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Ampullary tumours</w:t>
      </w:r>
    </w:p>
    <w:p>
      <w:pPr>
        <w:spacing w:after="120"/>
      </w:pPr>
      <w:r>
        <w:rPr>
          <w:i/>
          <w:sz w:val="18"/>
        </w:rPr>
        <w:t xml:space="preserve">Standardized document set, 29 October 2026: this is the full-content document for the roadmap. Questions for consensus: AMP_2_Roadmap_Questions.docx. Decision discussion for all settings: AMP_7_Decision_Discussion.docx. Web page: https://drliuhao.github.io/mh-liver-pathways/ampullary/ 7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Ampullary tumours · system roadmap V16 · Extrahepatic-disease update, 29 October 2026</w:t>
      </w:r>
    </w:p>
    <w:p>
      <w:pPr>
        <w:spacing w:after="320" w:line="276"/>
      </w:pPr>
      <w:r>
        <w:rPr>
          <w:color w:val="5A6069"/>
          <w:sz w:val="20"/>
          <w:szCs w:val="20"/>
        </w:rPr>
        <w:t xml:space="preserve">10 gates · 41 cited sources · 22 stated uncertainties · 15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and the one error this disease punishes hardest: treating a biopsy that reads adenoma as though it had excluded the carcinoma underneath it.</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Presentation, workup and local extent</w:t>
      </w:r>
    </w:p>
    <w:p>
      <w:pPr>
        <w:spacing w:after="140"/>
      </w:pPr>
      <w:r>
        <w:rPr>
          <w:b/>
          <w:bCs/>
          <w:color w:val="176A87"/>
          <w:sz w:val="19"/>
          <w:szCs w:val="19"/>
        </w:rPr>
        <w:t xml:space="preserve">The question. </w:t>
      </w:r>
      <w:r>
        <w:rPr>
          <w:sz w:val="19"/>
          <w:szCs w:val="19"/>
        </w:rPr>
        <w:t xml:space="preserve">Do I know where this tumour actually starts, how deep it goes and how far up the ducts it runs — and did I get that before anyone put a stent across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Pancreatic-protocol CT of the abdomen and pelvis plus CT chest, before elective instrumentation</w:t>
      </w:r>
    </w:p>
    <w:p>
      <w:pPr>
        <w:pStyle w:val="ListParagraph"/>
        <w:numPr>
          <w:ilvl w:val="0"/>
          <w:numId w:val="2"/>
        </w:numPr>
        <w:spacing w:after="60" w:line="268"/>
      </w:pPr>
      <w:r>
        <w:rPr>
          <w:color w:val="15181F"/>
          <w:sz w:val="18"/>
          <w:szCs w:val="18"/>
        </w:rPr>
        <w:t xml:space="preserve">Duodenoscopy with a side-viewing instrument, with targeted biopsies, and colonoscopy if not already done</w:t>
      </w:r>
    </w:p>
    <w:p>
      <w:pPr>
        <w:pStyle w:val="ListParagraph"/>
        <w:numPr>
          <w:ilvl w:val="0"/>
          <w:numId w:val="2"/>
        </w:numPr>
        <w:spacing w:after="60" w:line="268"/>
      </w:pPr>
      <w:r>
        <w:rPr>
          <w:color w:val="15181F"/>
          <w:sz w:val="18"/>
          <w:szCs w:val="18"/>
        </w:rPr>
        <w:t xml:space="preserve">EUS and MRI with MRCP where an endoscopic resection is being considered or intraductal extension is in question</w:t>
      </w:r>
    </w:p>
    <w:p>
      <w:pPr>
        <w:pStyle w:val="ListParagraph"/>
        <w:numPr>
          <w:ilvl w:val="0"/>
          <w:numId w:val="2"/>
        </w:numPr>
        <w:spacing w:after="60" w:line="268"/>
      </w:pPr>
      <w:r>
        <w:rPr>
          <w:color w:val="15181F"/>
          <w:sz w:val="18"/>
          <w:szCs w:val="18"/>
        </w:rPr>
        <w:t xml:space="preserve">Liver function tests, baseline CA 19-9 and CEA</w:t>
      </w:r>
    </w:p>
    <w:p>
      <w:pPr>
        <w:pStyle w:val="ListParagraph"/>
        <w:numPr>
          <w:ilvl w:val="0"/>
          <w:numId w:val="2"/>
        </w:numPr>
        <w:spacing w:after="60" w:line="268"/>
      </w:pPr>
      <w:r>
        <w:rPr>
          <w:color w:val="15181F"/>
          <w:sz w:val="18"/>
          <w:szCs w:val="18"/>
        </w:rPr>
        <w:t xml:space="preserve">The epicentre recorded — ampulla, non-ampullary duodenum or distal bile duct — because that is what sets the prognosis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Look at the papilla with a side-viewing duodenoscope, not a forward-viewing gastroscope, and describe the lesion by compartment: ampullary-duodenal, intra-ampullary, or ampullary-ductal.</w:t>
      </w:r>
    </w:p>
    <w:p>
      <w:pPr>
        <w:spacing w:after="50" w:line="276"/>
        <w:ind w:left="240"/>
      </w:pPr>
      <w:r>
        <w:rPr>
          <w:color w:val="15181F"/>
          <w:sz w:val="18"/>
          <w:szCs w:val="18"/>
        </w:rPr>
        <w:t xml:space="preserve">Every suspected ampullary neoplasm. NCCN specifies a side-viewing endoscope in the workup. PERIPAN asks endoscopists to classify the lesion as ampullary-duodenal (visible change on the duodenal surface) or as sitting inside the ampulla, and to say when it looks like an intra-ampullary papillary tubular neoplasm — an elevated papilla covered by relatively preserved mucosa — because that tells the pathologist what to cut for.</w:t>
      </w:r>
    </w:p>
    <w:p>
      <w:pPr>
        <w:spacing w:after="50"/>
        <w:ind w:left="240"/>
      </w:pPr>
      <w:r>
        <w:rPr>
          <w:b/>
          <w:bCs/>
          <w:color w:val="8C2F26"/>
          <w:sz w:val="18"/>
          <w:szCs w:val="18"/>
        </w:rPr>
        <w:t xml:space="preserve">Caveat. </w:t>
      </w:r>
      <w:r>
        <w:rPr>
          <w:color w:val="15181F"/>
          <w:sz w:val="18"/>
          <w:szCs w:val="18"/>
        </w:rPr>
        <w:t xml:space="preserve">Do not accept a forward-viewing look as the examination. In familial adenomatous polyposis a short transparent cap on a gastroscope visualised the duodenum and ampulla in 95% of patients, so cap assistance is a workable substitute; an uncapped forward-viewing pass is not.</w:t>
      </w:r>
    </w:p>
    <w:p>
      <w:pPr>
        <w:spacing w:after="50" w:line="276"/>
        <w:ind w:left="240"/>
      </w:pPr>
      <w:r>
        <w:rPr>
          <w:i/>
          <w:iCs/>
          <w:color w:val="5A6069"/>
          <w:sz w:val="17"/>
          <w:szCs w:val="17"/>
        </w:rPr>
        <w:t xml:space="preserve">The compartment predicts the histology, and it inverts the usual intuition: ampullary-duodenal tumours are mostly intestinal subtype, while ampullary-ductal tumours — endoscopically the subtle, dimple-like ulcerations — are mostly pancreatobiliary. The unimpressive lesion is the dangerous one. In Adsay's 249-case series the four anatomic subsets had 3-year survival of 73% (intra-ampullary papillary-tubular-neoplasm-associated, n=61), 69% (periampullary-duodenal, n=12), 41% (ampullary-ductal, n=36) and 54% (ampullary-NOS, n=140, 55% of cases). Read in full the ordering is softer than the numbers suggest: the omnibus log-rank across the four groups at 1 year gave P=0.167, and the authors call the subsets prognostically distinct on pairwise comparison of the Kaplan-Meier curves rather than on a significant overall test. No confidence interval is given for any estimate anywhere in the paper, no multivariable model adjusting for T stage, nodes or invasion size is reported although one is described in the methods, the favourable periampullary-duodenal group has 12 patients of whom 6 were node positive, and invasion size — the variable that drives the ordering — was in part derived by applying an invasive-to-non-invasive ratio read off the slides to the gross size rather than measured. The categories were assigned retrospectively by the same authors who devised the scheme, with no blinded reassignment and no interobserver statistic, so the reproducibility of the gross algorithm the whole classification rests on is untested. Use the compartment to tell the pathologist what to cut for, not to give a prognosis. [EXPERTISE]</w:t>
      </w:r>
    </w:p>
    <w:p>
      <w:pPr>
        <w:spacing w:after="60" w:line="276"/>
        <w:ind w:left="240"/>
      </w:pPr>
      <w:r>
        <w:rPr>
          <w:color w:val="5A6069"/>
          <w:sz w:val="16"/>
          <w:szCs w:val="16"/>
        </w:rPr>
        <w:t xml:space="preserve">Sources: PERIPAN 2025; Soons 2021 FAP duodenum; Adsay 2012 four subsets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Add EUS and MRI with MRCP before committing to an endoscopic resection, and record intraductal extension as a length, not as a yes or no.</w:t>
      </w:r>
    </w:p>
    <w:p>
      <w:pPr>
        <w:spacing w:after="50" w:line="276"/>
        <w:ind w:left="240"/>
      </w:pPr>
      <w:r>
        <w:rPr>
          <w:color w:val="15181F"/>
          <w:sz w:val="18"/>
          <w:szCs w:val="18"/>
        </w:rPr>
        <w:t xml:space="preserve">Any lesion that might be taken endoscopically. ESGE recommends EUS and abdominal MRCP for staging ampullary tumours (strong recommendation, low quality evidence) and NCCN suggests EUS in all lesions that might be removed endoscopically, to assess intraductal or parenchymal invasion. Against surgical pathology as the reference, EUS in 102 patients gave 80% sensitivity and 93% specificity for any intraductal extension, accuracy 91%, AUROC 0.87 (95% CI 0.76–0.97), and ERCP in 81 patients gave 83% and 93%, accuracy 84%, AUROC 0.88 (0.77–0.99). Overall EUS accuracy for local tissue invasion was 90% (90 of 100).</w:t>
      </w:r>
    </w:p>
    <w:p>
      <w:pPr>
        <w:spacing w:after="50"/>
        <w:ind w:left="240"/>
      </w:pPr>
      <w:r>
        <w:rPr>
          <w:b/>
          <w:bCs/>
          <w:color w:val="8C2F26"/>
          <w:sz w:val="18"/>
          <w:szCs w:val="18"/>
        </w:rPr>
        <w:t xml:space="preserve">Caveat. </w:t>
      </w:r>
      <w:r>
        <w:rPr>
          <w:color w:val="15181F"/>
          <w:sz w:val="18"/>
          <w:szCs w:val="18"/>
        </w:rPr>
        <w:t xml:space="preserve">Do not treat EUS as a reliable way to separate an adenoma from a T1 cancer, and read the headline accuracy by stage rather than overall. The 90% figure is carried almost entirely by correctly calling 65 of 66 lesions confined to the ampulla: accuracy was 98% for T1 but 78% for T2, 80% for T3 and 78% for T4, with 7 patients understaged (duodenal wall 4, pancreas 1, other structures 2) and 3 overstaged — so EUS systematically understages in exactly the categories that would change the operation. A separate single-centre retrospective series of 120 biopsy-proven adenomas reported overall T-stage accuracy of 81.7% with 93.9% sensitivity and 45.5% specificity for the adenoma/T1 category and 50.0% sensitivity for T2, but there EUS erred mostly towards overstaging (20 overstaged, 2 understaged), and its nodal accuracy of 75.0% with N1 sensitivity 62.5% rests on only 16 operated adenocarcinomas, 3 of the 8 node-positive patients having been called N0. Either way, a node-negative EUS does not establish N0.</w:t>
      </w:r>
    </w:p>
    <w:p>
      <w:pPr>
        <w:spacing w:after="50" w:line="276"/>
        <w:ind w:left="240"/>
      </w:pPr>
      <w:r>
        <w:rPr>
          <w:i/>
          <w:iCs/>
          <w:color w:val="5A6069"/>
          <w:sz w:val="17"/>
          <w:szCs w:val="17"/>
        </w:rPr>
        <w:t xml:space="preserve">Compared against ERCP rather than surgical pathology, EUS sensitivity for intraductal extension fell to 56% with 97% specificity (accuracy 90%, AUROC 0.77, 95% CI 0.64–0.89), missing 6 of 12 bile duct extensions, so the reference standard changes the answer. Three limits that the full text makes clear. First, the reference standard is partly circular for the lesions that matter most: in endoscopically resected adenomas, absence of intraductal extension was assumed whenever resection was complete with a negative margin and cholangiography was clear, which already incorporates endoscopic judgement and inflates specificity and accuracy. Second, the three comparisons use non-overlapping subsets of the same cohort (90, 102 and 81 patients) selected by whether an ERCP or a resection specimen existed, so EUS and ERCP were not read in the same patients and the claim that they perform similarly is not a paired comparison. Third, sensitivity rests on 9 to 12 patients with intraductal extension, which is why the intervals are wide. Two incidental findings from the same series are worth carrying: 10 of 58 papillectomy specimens (17%) proved non-adenomatous despite an outside biopsy reported as adenoma, and EUS-FNA diagnosed adenocarcinoma in 6 of 7 (86%) but adenoma or advanced adenoma in only 1 of 5 (20%).</w:t>
      </w:r>
    </w:p>
    <w:p>
      <w:pPr>
        <w:spacing w:after="60" w:line="276"/>
        <w:ind w:left="240"/>
      </w:pPr>
      <w:r>
        <w:rPr>
          <w:color w:val="5A6069"/>
          <w:sz w:val="16"/>
          <w:szCs w:val="16"/>
        </w:rPr>
        <w:t xml:space="preserve">Sources: ESGE ampullary 2021; Ridtitid 2014; Peng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place a biliary stent before planned surgery as a routine; stent for cholangitis or fever, for severe symptomatic jaundice, or when the operation is being delayed, including for neoadjuvant therapy.</w:t>
      </w:r>
    </w:p>
    <w:p>
      <w:pPr>
        <w:spacing w:after="50" w:line="276"/>
        <w:ind w:left="240"/>
      </w:pPr>
      <w:r>
        <w:rPr>
          <w:color w:val="15181F"/>
          <w:sz w:val="18"/>
          <w:szCs w:val="18"/>
        </w:rPr>
        <w:t xml:space="preserve">This is NCCN's stent position for ampullary adenocarcinoma, and the randomised evidence behind it is strong but borrowed: in 202 patients with cancer of the pancreatic head, preoperative biliary drainage raised serious complications within 120 days from 39% to 74% (relative risk for early surgery 0.54, 95% CI 0.41–0.71, P&lt;0.001). ERCP-guided drainage is preferred over the percutaneous route when drainage is needed, stents should be as short as feasible, and a fully covered self-expanding metal stent is preferred when neoadjuvant therapy is planned because it can be exchanged or removed.</w:t>
      </w:r>
    </w:p>
    <w:p>
      <w:pPr>
        <w:spacing w:after="50"/>
        <w:ind w:left="240"/>
      </w:pPr>
      <w:r>
        <w:rPr>
          <w:b/>
          <w:bCs/>
          <w:color w:val="8C2F26"/>
          <w:sz w:val="18"/>
          <w:szCs w:val="18"/>
        </w:rPr>
        <w:t xml:space="preserve">Caveat. </w:t>
      </w:r>
      <w:r>
        <w:rPr>
          <w:color w:val="15181F"/>
          <w:sz w:val="18"/>
          <w:szCs w:val="18"/>
        </w:rPr>
        <w:t xml:space="preserve">Read the limits honestly, because they are larger than the headline. That trial enrolled cancer of the pancreatic head — 92% of the 196 patients had adenocarcinoma, site was carried only as a pancreatic-versus-periampullary covariate and no ampullary subgroup result is reported anywhere. Bilirubin was 40–250 µmol/L. Surgery-related complications alone did not differ (early surgery 35 of 94, 37%, versus drainage 48 of 102, 47%; relative risk 0.79, 95% CI 0.57–1.11, P=0.14), so on the question clinicians actually ask — does operating on a jaundiced patient carry more surgical risk — the trial is null. The entire excess was procedural: drainage-related complications occurred in 47 of 102 (46%) against 2 of 94 (2%), dominated by cholangitis in 27 patients (26%), stent occlusion in 15 (15%) and a need for stent exchange in 31 (30%). Mortality did not differ (any cause 12 of 94, 13%, versus 15 of 102, 15%; relative risk 0.85, 0.42–1.72) and median stay was 14 against 16 days. NCCN also states that a self-expanding metal stent should only be placed once a tissue diagnosis is confirmed — an uncovered metal stent in an undiagnosed papilla is a self-inflicted problem.</w:t>
      </w:r>
    </w:p>
    <w:p>
      <w:pPr>
        <w:spacing w:after="50" w:line="276"/>
        <w:ind w:left="240"/>
      </w:pPr>
      <w:r>
        <w:rPr>
          <w:i/>
          <w:iCs/>
          <w:color w:val="5A6069"/>
          <w:sz w:val="17"/>
          <w:szCs w:val="17"/>
        </w:rPr>
        <w:t xml:space="preserve">Downgraded from B to C on the full-text read, and the reason is not the trial's conduct but what it tested and in whom. The intervention was a 10 Fr plastic endoprosthesis left for 4 to 6 weeks; the authors' own closing recommendation is that drainage during neoadjuvant treatment might be better achieved with metal stents, which concedes that the intervention tested is not the one now used. The design was a noninferiority comparison with a 10 percentage-point margin and one-sided alpha 0.05, and it is universally cited as showing that drainage causes harm. Only 61% of patients went on to resection and 31% had a palliative bypass, and the palliative subgroup showed the largest difference (surgical complications 18 of 33, 55%, versus 5 of 28, 18%, P=0.003) — so the result is partly driven by patients in whom stenting would now be definitive therapy rather than preparation. Events were counted to 120 days from randomisation, which gives the drainage arm a 4 to 6 week period at risk with no equivalent in the early-surgery arm. Separately, a stent across the papilla degrades the endoscopic and EUS assessment that the papillectomy decision depends on, which is a second and ampullary-specific reason to stage first where the clinical situation allows.</w:t>
      </w:r>
    </w:p>
    <w:p>
      <w:pPr>
        <w:spacing w:after="60" w:line="276"/>
        <w:ind w:left="240"/>
      </w:pPr>
      <w:r>
        <w:rPr>
          <w:color w:val="5A6069"/>
          <w:sz w:val="16"/>
          <w:szCs w:val="16"/>
        </w:rPr>
        <w:t xml:space="preserve">Sources: Preoperative biliary drainage RCT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Name the tumour by its epicentre and stop writing </w:t>
      </w:r>
      <w:r>
        <w:rPr>
          <w:i/>
          <w:iCs/>
          <w:color w:val="15181F"/>
          <w:sz w:val="19"/>
          <w:szCs w:val="19"/>
        </w:rPr>
        <w:t xml:space="preserve">periampullary</w:t>
      </w:r>
      <w:r>
        <w:rPr>
          <w:color w:val="15181F"/>
          <w:sz w:val="19"/>
          <w:szCs w:val="19"/>
        </w:rPr>
        <w:t xml:space="preserve"> once the specimen is in hand — ampullary, duodenal, distal bile duct and pancreatic head cancers share an operation and not a prognosis.</w:t>
      </w:r>
    </w:p>
    <w:p>
      <w:pPr>
        <w:spacing w:after="50" w:line="276"/>
        <w:ind w:left="240"/>
      </w:pPr>
      <w:r>
        <w:rPr>
          <w:color w:val="15181F"/>
          <w:sz w:val="18"/>
          <w:szCs w:val="18"/>
        </w:rPr>
        <w:t xml:space="preserve">PERIPAN defines ampullary carcinoma as arising from any segment of the ampulla of Vater, distal cholangiocarcinoma as having its epicentre in the common bile duct above the sphincter of Oddi with no or minimal ampullary involvement, and duodenal carcinoma as having its epicentre in the non-ampullary duodenum. It recommends that </w:t>
      </w:r>
      <w:r>
        <w:rPr>
          <w:i/>
          <w:iCs/>
          <w:color w:val="15181F"/>
          <w:sz w:val="18"/>
          <w:szCs w:val="18"/>
        </w:rPr>
        <w:t xml:space="preserve">periampullary</w:t>
      </w:r>
      <w:r>
        <w:rPr>
          <w:color w:val="15181F"/>
          <w:sz w:val="18"/>
          <w:szCs w:val="18"/>
        </w:rPr>
        <w:t xml:space="preserve"> be avoided in pathology reports and cancer-registry submissions, and used before resection only when imaging cannot identify the epicentre.</w:t>
      </w:r>
    </w:p>
    <w:p>
      <w:pPr>
        <w:spacing w:after="50"/>
        <w:ind w:left="240"/>
      </w:pPr>
      <w:r>
        <w:rPr>
          <w:b/>
          <w:bCs/>
          <w:color w:val="8C2F26"/>
          <w:sz w:val="18"/>
          <w:szCs w:val="18"/>
        </w:rPr>
        <w:t xml:space="preserve">Caveat. </w:t>
      </w:r>
      <w:r>
        <w:rPr>
          <w:color w:val="15181F"/>
          <w:sz w:val="18"/>
          <w:szCs w:val="18"/>
        </w:rPr>
        <w:t xml:space="preserve">Do not let the shared Whipple collapse the distinction. Pancreatobiliary-predominant ampullary carcinoma — the worst-prognosis tubular ampullary group — still had median survival of 41 months against 15.6 months for pancreatic ductal adenocarcinoma, and 1.97 times the hazard of death (95% CI 1.42–2.72, P&lt;0.001) when matched for size and node status; in Adsay's series the ampullary-ductal subset's 3-year survival was 41% against 11% for 113 pancreatic ductal adenocarcinomas. The distinction does not change the operation; it changes what you tell the patient and how you read every adjuvant study.</w:t>
      </w:r>
    </w:p>
    <w:p>
      <w:pPr>
        <w:spacing w:after="50" w:line="276"/>
        <w:ind w:left="240"/>
      </w:pPr>
      <w:r>
        <w:rPr>
          <w:i/>
          <w:iCs/>
          <w:color w:val="5A6069"/>
          <w:sz w:val="17"/>
          <w:szCs w:val="17"/>
        </w:rPr>
        <w:t xml:space="preserve">PERIPAN is explicit that the historical habit of pooling these tumours is why the adjuvant literature cannot be reconciled: inconsistent definitions and high interobserver variability have hindered consistent conclusions, particularly about adjuvant chemotherapy. There is a corollary that cuts the other way and belongs here. Applying the strict epicentre definition reclassified 68 of 317 previously labelled ampullary cases (21%) as pancreatic (33), duodenal (16) or common bile duct (19) carcinomas secondarily involving the ampulla. Removing those cases removes mostly the worst-prognosis tumours, so part of the survival gap between ampullary carcinoma and pancreatic cancer in the modern literature is a definitional effect rather than a biological one. The comparator cohorts in that series were convenience groups from the same archives with no matching for stage, size or treatment, and adjuvant therapy was not recorded at all.</w:t>
      </w:r>
    </w:p>
    <w:p>
      <w:pPr>
        <w:spacing w:after="60" w:line="276"/>
        <w:ind w:left="240"/>
      </w:pPr>
      <w:r>
        <w:rPr>
          <w:color w:val="5A6069"/>
          <w:sz w:val="16"/>
          <w:szCs w:val="16"/>
        </w:rPr>
        <w:t xml:space="preserve">Sources: PERIPAN 2025; Reid 2016 subtype reproducibility; Adsay 2012 four subsets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ERCP or percutaneous cholangiography when cross-sectional imaging and EUS leave the ductal extent unresolved — accepting the added morbidity.</w:t>
      </w:r>
    </w:p>
    <w:p>
      <w:pPr>
        <w:spacing w:after="50" w:line="276"/>
        <w:ind w:left="240"/>
      </w:pPr>
      <w:r>
        <w:rPr>
          <w:color w:val="15181F"/>
          <w:sz w:val="18"/>
          <w:szCs w:val="18"/>
        </w:rPr>
        <w:t xml:space="preserve">An indeterminate stricture, or a lesion where the length of intraductal growth will decide between papillectomy and resection. ERCP matched surgical pathology as well as EUS did for intraductal extension (83% sensitivity, 93% specificity).</w:t>
      </w:r>
    </w:p>
    <w:p>
      <w:pPr>
        <w:spacing w:after="50"/>
        <w:ind w:left="240"/>
      </w:pPr>
      <w:r>
        <w:rPr>
          <w:b/>
          <w:bCs/>
          <w:color w:val="8C2F26"/>
          <w:sz w:val="18"/>
          <w:szCs w:val="18"/>
        </w:rPr>
        <w:t xml:space="preserve">Caveat. </w:t>
      </w:r>
      <w:r>
        <w:rPr>
          <w:color w:val="15181F"/>
          <w:sz w:val="18"/>
          <w:szCs w:val="18"/>
        </w:rPr>
        <w:t xml:space="preserve">NCCN notes that ERCP and PTC add diagnostic capability beyond EGD, EUS and CT but carry increased morbidity and even mortality. Do not order one to confirm what EUS and MRCP have already established.</w:t>
      </w:r>
    </w:p>
    <w:p>
      <w:pPr>
        <w:spacing w:after="50" w:line="276"/>
        <w:ind w:left="240"/>
      </w:pPr>
      <w:r>
        <w:rPr>
          <w:i/>
          <w:iCs/>
          <w:color w:val="5A6069"/>
          <w:sz w:val="17"/>
          <w:szCs w:val="17"/>
        </w:rPr>
        <w:t xml:space="preserve">Intraductal ultrasound at the same session performed well in the one series reporting it — sensitivity 87.5%, specificity 92.5% and accuracy 90.2% for carcinoma in 72 patients, with T-stage accuracy 86%, 71% and 86% for T1, T2 and T3 and nodal accuracy 75% — but that paper is cited here from its abstract only; the full text was not obtained, so its selection, blinding and reference standard cannot be checked. ESGE itself only suggests intraductal ultrasound in selected patients, with routine use balanced against training, cost and pancreatitis risk. Note too that the EUS-against-ERCP comparison behind this string is not a paired one: the two tests were compared in different, availability-selected subsets of the same cohort. [EXPERTISE]</w:t>
      </w:r>
    </w:p>
    <w:p>
      <w:pPr>
        <w:spacing w:after="60" w:line="276"/>
        <w:ind w:left="240"/>
      </w:pPr>
      <w:r>
        <w:rPr>
          <w:color w:val="5A6069"/>
          <w:sz w:val="16"/>
          <w:szCs w:val="16"/>
        </w:rPr>
        <w:t xml:space="preserve">Sources: IDUS plus transpapillary biopsy; Ridtitid 2014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PET/CT when MRI cannot be performed, and MRI for indeterminate liver lesions.</w:t>
      </w:r>
    </w:p>
    <w:p>
      <w:pPr>
        <w:spacing w:after="50" w:line="276"/>
        <w:ind w:left="240"/>
      </w:pPr>
      <w:r>
        <w:rPr>
          <w:color w:val="15181F"/>
          <w:sz w:val="18"/>
          <w:szCs w:val="18"/>
        </w:rPr>
        <w:t xml:space="preserve">NCCN's own sequence: MRI for indeterminate liver lesions as clinically indicated, with PET/CT substituted when MRI is not possible, such as in a pacemaker-dependent patient.</w:t>
      </w:r>
    </w:p>
    <w:p>
      <w:pPr>
        <w:spacing w:after="50"/>
        <w:ind w:left="240"/>
      </w:pPr>
      <w:r>
        <w:rPr>
          <w:b/>
          <w:bCs/>
          <w:color w:val="8C2F26"/>
          <w:sz w:val="18"/>
          <w:szCs w:val="18"/>
        </w:rPr>
        <w:t xml:space="preserve">Caveat. </w:t>
      </w:r>
      <w:r>
        <w:rPr>
          <w:color w:val="15181F"/>
          <w:sz w:val="18"/>
          <w:szCs w:val="18"/>
        </w:rPr>
        <w:t xml:space="preserve">Not a staging test in its own right in this disease, and no ampullary-specific performance data support it as one.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Germline testing at the point of diagnosis, not after the operation.</w:t>
      </w:r>
    </w:p>
    <w:p>
      <w:pPr>
        <w:spacing w:after="50" w:line="276"/>
        <w:ind w:left="240"/>
      </w:pPr>
      <w:r>
        <w:rPr>
          <w:color w:val="15181F"/>
          <w:sz w:val="18"/>
          <w:szCs w:val="18"/>
        </w:rPr>
        <w:t xml:space="preserve">NCCN recommends genetic testing for inherited mutations in any patient with confirmed ampullary adenocarcinoma or a positive family history, using comprehensive hereditary-cancer panels, with counselling for anyone positive for </w:t>
      </w:r>
      <w:r>
        <w:rPr>
          <w:i/>
          <w:iCs/>
          <w:color w:val="15181F"/>
          <w:sz w:val="18"/>
          <w:szCs w:val="18"/>
        </w:rPr>
        <w:t xml:space="preserve">ATM, BRCA1, BRCA2, CDKN2A, MLH1, MSH2, MSH6, PALB2, PMS2, STK11</w:t>
      </w:r>
      <w:r>
        <w:rPr>
          <w:color w:val="15181F"/>
          <w:sz w:val="18"/>
          <w:szCs w:val="18"/>
        </w:rPr>
        <w:t xml:space="preserve"> or </w:t>
      </w:r>
      <w:r>
        <w:rPr>
          <w:i/>
          <w:iCs/>
          <w:color w:val="15181F"/>
          <w:sz w:val="18"/>
          <w:szCs w:val="18"/>
        </w:rPr>
        <w:t xml:space="preserve">TP53</w:t>
      </w:r>
      <w:r>
        <w:rPr>
          <w:color w:val="15181F"/>
          <w:sz w:val="18"/>
          <w:szCs w:val="18"/>
        </w:rPr>
        <w:t xml:space="preserve">, or with a positive family history regardless of mutation status. The supporting ampullary data are much thinner than the recommendation: in a nationwide Dutch series of 90 resected carcinomas diagnosed under age 50, mismatch-repair deficiency was found in 11 of 23 duodenal carcinomas (47.8%) but only 1 of 23 ampullary (4.3%) and 2 of 44 pancreatic (4.5%), and it was that single ampullary patient and those two pancreatic patients in whom deficiency proved attributable to Lynch syndrome.</w:t>
      </w:r>
    </w:p>
    <w:p>
      <w:pPr>
        <w:spacing w:after="50"/>
        <w:ind w:left="240"/>
      </w:pPr>
      <w:r>
        <w:rPr>
          <w:b/>
          <w:bCs/>
          <w:color w:val="8C2F26"/>
          <w:sz w:val="18"/>
          <w:szCs w:val="18"/>
        </w:rPr>
        <w:t xml:space="preserve">Caveat. </w:t>
      </w:r>
      <w:r>
        <w:rPr>
          <w:color w:val="15181F"/>
          <w:sz w:val="18"/>
          <w:szCs w:val="18"/>
        </w:rPr>
        <w:t xml:space="preserve">Do not quote that series as showing concordance between deficiency and a hereditary cause in ampullary cancer. One of one is not an estimate, no confidence interval appears anywhere in the paper, and the 4.3% ampullary deficiency rate is indistinguishable from pancreatic cancer and lower than the roughly 10% to 15% reported in unselected ampullary series — which would mean selecting by young age performs worse than testing everyone, the opposite of the paper's framing. The cohort is also resection-specimens-only from 23 cooperating laboratories, with 72 of 162 eligible patients (44%) not included because material was not supplied and no comparison of included against excluded patients offered. The case for germline testing at diagnosis rests on NCCN's recommendation and on the family consequences of a positive result, not on this prevalence estimate.</w:t>
      </w:r>
    </w:p>
    <w:p>
      <w:pPr>
        <w:spacing w:after="60" w:line="276"/>
        <w:ind w:left="240"/>
      </w:pPr>
      <w:r>
        <w:rPr>
          <w:color w:val="5A6069"/>
          <w:sz w:val="16"/>
          <w:szCs w:val="16"/>
        </w:rPr>
        <w:t xml:space="preserve">Sources: Kryklyva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stage this tumour on a portal-venous CT of the abdomen alone.</w:t>
      </w:r>
    </w:p>
    <w:p>
      <w:pPr>
        <w:spacing w:after="50" w:line="276"/>
        <w:ind w:left="240"/>
      </w:pPr>
      <w:r>
        <w:rPr>
          <w:color w:val="15181F"/>
          <w:sz w:val="18"/>
          <w:szCs w:val="18"/>
        </w:rPr>
        <w:t xml:space="preserve">Use the pancreatic protocol with chest imaging, and add EUS and MRCP when an endoscopic resection is in question.</w:t>
      </w:r>
    </w:p>
    <w:p>
      <w:pPr>
        <w:spacing w:after="50"/>
        <w:ind w:left="240"/>
      </w:pPr>
      <w:r>
        <w:rPr>
          <w:b/>
          <w:bCs/>
          <w:color w:val="8C2F26"/>
          <w:sz w:val="18"/>
          <w:szCs w:val="18"/>
        </w:rPr>
        <w:t xml:space="preserve">Caveat. </w:t>
      </w:r>
      <w:r>
        <w:rPr>
          <w:color w:val="15181F"/>
          <w:sz w:val="18"/>
          <w:szCs w:val="18"/>
        </w:rPr>
        <w:t xml:space="preserve">A single-phase abdominal CT answers neither the depth question nor the intraductal-extension question, and both decide the operation.</w:t>
      </w:r>
    </w:p>
    <w:p>
      <w:pPr>
        <w:spacing w:after="60" w:line="276"/>
        <w:ind w:left="240"/>
      </w:pPr>
      <w:r>
        <w:rPr>
          <w:color w:val="5A6069"/>
          <w:sz w:val="16"/>
          <w:szCs w:val="16"/>
        </w:rPr>
        <w:t xml:space="preserve">Sources: ESGE ampullary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self-expanding metal stent be placed across an undiagnosed papilla.</w:t>
      </w:r>
    </w:p>
    <w:p>
      <w:pPr>
        <w:spacing w:after="50" w:line="276"/>
        <w:ind w:left="240"/>
      </w:pPr>
      <w:r>
        <w:rPr>
          <w:color w:val="15181F"/>
          <w:sz w:val="18"/>
          <w:szCs w:val="18"/>
        </w:rPr>
        <w:t xml:space="preserve">NCCN: metal stents only once tissue diagnosis is confirmed; a removable or fully covered stent where the diagnosis or the plan is still open.</w:t>
      </w:r>
    </w:p>
    <w:p>
      <w:pPr>
        <w:spacing w:after="50"/>
        <w:ind w:left="240"/>
      </w:pPr>
      <w:r>
        <w:rPr>
          <w:b/>
          <w:bCs/>
          <w:color w:val="8C2F26"/>
          <w:sz w:val="18"/>
          <w:szCs w:val="18"/>
        </w:rPr>
        <w:t xml:space="preserve">Caveat. </w:t>
      </w:r>
      <w:r>
        <w:rPr>
          <w:color w:val="15181F"/>
          <w:sz w:val="18"/>
          <w:szCs w:val="18"/>
        </w:rPr>
        <w:t xml:space="preserve">It forecloses endoscopic resection, distorts the specimen, and in a patient who turns out to have a benign adenoma it was never needed.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The biopsy says adenoma — what is underneath it</w:t>
      </w:r>
    </w:p>
    <w:p>
      <w:pPr>
        <w:spacing w:after="140"/>
      </w:pPr>
      <w:r>
        <w:rPr>
          <w:b/>
          <w:bCs/>
          <w:color w:val="176A87"/>
          <w:sz w:val="19"/>
          <w:szCs w:val="19"/>
        </w:rPr>
        <w:t xml:space="preserve">The question. </w:t>
      </w:r>
      <w:r>
        <w:rPr>
          <w:sz w:val="19"/>
          <w:szCs w:val="19"/>
        </w:rPr>
        <w:t xml:space="preserve">How likely is it that there is an invasive carcinoma under this adenoma, and am I about to choose an operation that cannot treat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High-grade dysplasia anywhere in the biopsy</w:t>
      </w:r>
    </w:p>
    <w:p>
      <w:pPr>
        <w:pStyle w:val="ListParagraph"/>
        <w:numPr>
          <w:ilvl w:val="0"/>
          <w:numId w:val="2"/>
        </w:numPr>
        <w:spacing w:after="60" w:line="268"/>
      </w:pPr>
      <w:r>
        <w:rPr>
          <w:color w:val="15181F"/>
          <w:sz w:val="18"/>
          <w:szCs w:val="18"/>
        </w:rPr>
        <w:t xml:space="preserve">Bile duct or pancreatic duct dilatation on imaging</w:t>
      </w:r>
    </w:p>
    <w:p>
      <w:pPr>
        <w:pStyle w:val="ListParagraph"/>
        <w:numPr>
          <w:ilvl w:val="0"/>
          <w:numId w:val="2"/>
        </w:numPr>
        <w:spacing w:after="60" w:line="268"/>
      </w:pPr>
      <w:r>
        <w:rPr>
          <w:color w:val="15181F"/>
          <w:sz w:val="18"/>
          <w:szCs w:val="18"/>
        </w:rPr>
        <w:t xml:space="preserve">Symptoms — jaundice, pancreatitis, weight loss, pain</w:t>
      </w:r>
    </w:p>
    <w:p>
      <w:pPr>
        <w:pStyle w:val="ListParagraph"/>
        <w:numPr>
          <w:ilvl w:val="0"/>
          <w:numId w:val="2"/>
        </w:numPr>
        <w:spacing w:after="60" w:line="268"/>
      </w:pPr>
      <w:r>
        <w:rPr>
          <w:color w:val="15181F"/>
          <w:sz w:val="18"/>
          <w:szCs w:val="18"/>
        </w:rPr>
        <w:t xml:space="preserve">Age 65 or over</w:t>
      </w:r>
    </w:p>
    <w:p>
      <w:pPr>
        <w:pStyle w:val="ListParagraph"/>
        <w:numPr>
          <w:ilvl w:val="0"/>
          <w:numId w:val="2"/>
        </w:numPr>
        <w:spacing w:after="60" w:line="268"/>
      </w:pPr>
      <w:r>
        <w:rPr>
          <w:color w:val="15181F"/>
          <w:sz w:val="18"/>
          <w:szCs w:val="18"/>
        </w:rPr>
        <w:t xml:space="preserve">Villous architecture, an ulcerated or firm papilla, or a markedly raised CA 19-9 or CEA</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biopsy that reads adenoma as a floor, not a ceiling — the reported false-negative rate for invasive carcinoma beneath an ampullary adenoma is 20% to 40%, and the cause is sampling, not interpretation.</w:t>
      </w:r>
    </w:p>
    <w:p>
      <w:pPr>
        <w:spacing w:after="50" w:line="276"/>
        <w:ind w:left="240"/>
      </w:pPr>
      <w:r>
        <w:rPr>
          <w:color w:val="15181F"/>
          <w:sz w:val="18"/>
          <w:szCs w:val="18"/>
        </w:rPr>
        <w:t xml:space="preserve">Every patient in whom the management plan rests on the biopsy. NCCN states that endoscopic biopsies of ampullary adenocarcinoma have poor diagnostic accuracy with high false-negative rates of about 20% to 40%, and that final pathology has repeatedly reported carcinoma in lesions initially called adenoma. PERIPAN puts the false-negative rate at 20% to 30% for exactly this distinction and attributes it to sampling bias — the carcinoma within the adenoma not being represented.</w:t>
      </w:r>
    </w:p>
    <w:p>
      <w:pPr>
        <w:spacing w:after="50"/>
        <w:ind w:left="240"/>
      </w:pPr>
      <w:r>
        <w:rPr>
          <w:b/>
          <w:bCs/>
          <w:color w:val="8C2F26"/>
          <w:sz w:val="18"/>
          <w:szCs w:val="18"/>
        </w:rPr>
        <w:t xml:space="preserve">Caveat. </w:t>
      </w:r>
      <w:r>
        <w:rPr>
          <w:color w:val="15181F"/>
          <w:sz w:val="18"/>
          <w:szCs w:val="18"/>
        </w:rPr>
        <w:t xml:space="preserve">Do not reason from the biopsy to the operation as if the two were the same question. In a 10-year single-institution series, 90 of 252 patients with an ampullary biopsy had a follow-up biopsy or resection specimen; 55 (61.1%) were concordant and 35 (38.9%) discordant, with 8 of the 35 discordances (22.9%, and 8.9% of the 90) a major one — and all 8 were a benign biopsy with a malignant resection, 7 of them attributed to superficial sampling and only 1 to interpretive error. In 44 endoscopic papillectomies done for lesions judged benign, 14 (32%) harboured adenocarcinoma missed on the prior biopsies: invasive adenocarcinoma in 9 (20.5%) and adenoma with intramucosal carcinoma in a further 5 (11.3%), with a further 5 (11.3%) non-adenomatous lesions wrongly called adenoma.</w:t>
      </w:r>
    </w:p>
    <w:p>
      <w:pPr>
        <w:spacing w:after="50" w:line="276"/>
        <w:ind w:left="240"/>
      </w:pPr>
      <w:r>
        <w:rPr>
          <w:i/>
          <w:iCs/>
          <w:color w:val="5A6069"/>
          <w:sz w:val="17"/>
          <w:szCs w:val="17"/>
        </w:rPr>
        <w:t xml:space="preserve">This is the single most consequential error in this disease, and it is not reducible by more biopsies alone. PERIPAN: acquisition of biopsy material from the accurate site is key and more important than the number of biopsies — but it recommends a minimum of three targeted biopsies of viable abnormal tissue, because fewer than three is a sampling choice masquerading as a result. Both supporting series understate the problem rather than overstate it, and in opposite ways. The 8.9% major-discrepancy rate is computed on the 36% of patients who had follow-up pathology, and those are precisely the patients whose biopsy or clinical picture raised concern, so it is a lower bound. The 32% occult-carcinoma rate comes from a cohort in which 35 of the original 79 papillectomies (44.3%) had already been excluded for a malignant biopsy or a suspicious endoscopic appearance — it is the rate </w:t>
      </w:r>
      <w:r>
        <w:rPr>
          <w:i/>
          <w:iCs/>
          <w:color w:val="5A6069"/>
          <w:sz w:val="17"/>
          <w:szCs w:val="17"/>
        </w:rPr>
        <w:t xml:space="preserve">after</w:t>
      </w:r>
      <w:r>
        <w:rPr>
          <w:i/>
          <w:iCs/>
          <w:color w:val="5A6069"/>
          <w:sz w:val="17"/>
          <w:szCs w:val="17"/>
        </w:rPr>
        <w:t xml:space="preserve"> the obviously malignant lesions were removed. The same institutional series reports biopsy sensitivity for malignancy of 60% (12 of 20) and cytology 56% (5 of 9), rising to 89% (8 of 9) combined, but those are 9-to-20-patient estimates with no confidence intervals, cytology was ordered in 88% of non-ampullary periampullary but only 17% of ampullary tumours, and 3 of 5 pathologists knew the malignant cytology result before signing out the biopsy — so the incremental value of adding cytology is not estimable from these data.</w:t>
      </w:r>
    </w:p>
    <w:p>
      <w:pPr>
        <w:spacing w:after="60" w:line="276"/>
        <w:ind w:left="240"/>
      </w:pPr>
      <w:r>
        <w:rPr>
          <w:color w:val="5A6069"/>
          <w:sz w:val="16"/>
          <w:szCs w:val="16"/>
        </w:rPr>
        <w:t xml:space="preserve">Sources: PERIPAN 2025; Gamble 2023; Kim 2013; Attila 2018</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Score the malignancy risk explicitly before choosing between an endoscopic and an open operation, rather than carrying an unstated impression into the decision.</w:t>
      </w:r>
    </w:p>
    <w:p>
      <w:pPr>
        <w:spacing w:after="50" w:line="276"/>
        <w:ind w:left="240"/>
      </w:pPr>
      <w:r>
        <w:rPr>
          <w:color w:val="15181F"/>
          <w:sz w:val="18"/>
          <w:szCs w:val="18"/>
        </w:rPr>
        <w:t xml:space="preserve">Any biopsy-proven adenoma where the choice of operation is live. In 127 non-familial periampullary adenomas taken to pancreatoduodenectomy at 8 institutions, 59 (46.4%) proved malignant on final pathology; age 65 or over (odds ratio 3.2, 95% CI 1.3–7.9), bile duct 9 mm or more (3.3, 1.4–10.1), any preoperative symptom (7.7, 2.1–26.8) and high-grade dysplasia on biopsy (7.5, 2.6–19.8) were independent predictors, weighted into a 0–6 score (age 1, duct 1, symptoms 2, high-grade dysplasia 2). In a separate single-centre retrospective cohort of 91 patients, 24 (26.4%) biopsy-proven adenomas were upgraded after resection — 4 to carcinoma in situ and 20 to adenocarcinoma — with high-grade dysplasia on biopsy (odds ratio 6.66, 95% CI 1.52–29.08) and ductal dilatation over 7 mm (10.96, 2.25–53.42) independent predictors in the paper's Table 4; its abstract reports 6.86 (1.58–29.79) and 11.12 (2.27–54.37), a discrepancy the paper does not explain.</w:t>
      </w:r>
    </w:p>
    <w:p>
      <w:pPr>
        <w:spacing w:after="50"/>
        <w:ind w:left="240"/>
      </w:pPr>
      <w:r>
        <w:rPr>
          <w:b/>
          <w:bCs/>
          <w:color w:val="8C2F26"/>
          <w:sz w:val="18"/>
          <w:szCs w:val="18"/>
        </w:rPr>
        <w:t xml:space="preserve">Caveat. </w:t>
      </w:r>
      <w:r>
        <w:rPr>
          <w:color w:val="15181F"/>
          <w:sz w:val="18"/>
          <w:szCs w:val="18"/>
        </w:rPr>
        <w:t xml:space="preserve">Do not use the score to justify a Whipple in the low-risk group: in that series the patients at no or low risk had a higher rate of major postoperative complications than the intermediate and high-risk groups, though the three-group comparison was not significant (51.7%, 27.1% and 29.4%, P=0.11) and significance appeared only after the strata were collapsed at a score of 3 and adjusted for comorbidity, obesity, duct size and parenchymal texture (odds ratio 2.9, 95% CI 1.01–8.6, P=0.047). The simpler reading of that inversion is physiological rather than prognostic: patients with benign pathology have soft, non-atrophic glands and non-dilated ducts because nothing is obstructing them, and fistula risk follows gland texture and duct size. The score is a shared-decision instrument, and the authors present it as one.</w:t>
      </w:r>
    </w:p>
    <w:p>
      <w:pPr>
        <w:spacing w:after="50" w:line="276"/>
        <w:ind w:left="240"/>
      </w:pPr>
      <w:r>
        <w:rPr>
          <w:i/>
          <w:iCs/>
          <w:color w:val="5A6069"/>
          <w:sz w:val="17"/>
          <w:szCs w:val="17"/>
        </w:rPr>
        <w:t xml:space="preserve">Downgraded from C to D on the full-text read, and the recommendation to score explicitly stands while the score itself should not be quoted to a patient as a calibrated risk. Four reasons. The score was derived and evaluated in the same 127 patients with no split sample, no bootstrap, no c-statistic, no calibration plot and no sensitivity or specificity at any threshold, and the authors state that validation was impossible. Its strata appear three different ways in the same paper: the abstract gives low risk n=26, intermediate 59 and high 26 with malignancy rates of 10.3%, 44.1% and 88.2%, the results text gives 11.5%, 41.7% and 84.6%, and Table 4 gives 3 of 29, 26 of 59 and 30 of 34 — so the calibration cannot be checked from the published data. Every patient in the cohort had a pancreatoduodenectomy, so the score is calibrated on a population already judged to need resection, which is not the population facing the choice. And two of its four components — any preoperative symptom, worth 2 points on a list that includes fatigue, nausea and dark urine, and a bile duct of 9 mm or more — are proxies for obstruction rather than for neoplastic progression; jaundice and biliary stenting were dropped from the model as redundant with symptoms, which concedes the point. Lesion size did not predict malignancy (median 2.9 against 3.5 cm, P=0.3, missing in 27 of 127) and EUS findings are absent from the paper entirely. [REGISTRY]</w:t>
      </w:r>
    </w:p>
    <w:p>
      <w:pPr>
        <w:spacing w:after="60" w:line="276"/>
        <w:ind w:left="240"/>
      </w:pPr>
      <w:r>
        <w:rPr>
          <w:color w:val="5A6069"/>
          <w:sz w:val="16"/>
          <w:szCs w:val="16"/>
        </w:rPr>
        <w:t xml:space="preserve">Sources: Malignancy risk score; Kim 2013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For a deep or intra-ampullary lesion that forceps cannot reach, use EUS-guided fine-needle biopsy rather than aspiration or brushings.</w:t>
      </w:r>
    </w:p>
    <w:p>
      <w:pPr>
        <w:spacing w:after="50" w:line="276"/>
        <w:ind w:left="240"/>
      </w:pPr>
      <w:r>
        <w:rPr>
          <w:color w:val="15181F"/>
          <w:sz w:val="18"/>
          <w:szCs w:val="18"/>
        </w:rPr>
        <w:t xml:space="preserve">Hard-to-reach, deep-seated intra-ampullary lesions — typically ampullary-ductal carcinoma or an intra-ampullary papillary tubular neoplasm covered by intact or ulcerated mucosa. PERIPAN recommends EUS-FNB here, and prefers core biopsy over cytology because the distinction between reactive and neoplastic atypia on cytology is extremely challenging and because tissue permits immunohistochemistry and molecular work.</w:t>
      </w:r>
    </w:p>
    <w:p>
      <w:pPr>
        <w:spacing w:after="50"/>
        <w:ind w:left="240"/>
      </w:pPr>
      <w:r>
        <w:rPr>
          <w:b/>
          <w:bCs/>
          <w:color w:val="8C2F26"/>
          <w:sz w:val="18"/>
          <w:szCs w:val="18"/>
        </w:rPr>
        <w:t xml:space="preserve">Caveat. </w:t>
      </w:r>
      <w:r>
        <w:rPr>
          <w:color w:val="15181F"/>
          <w:sz w:val="18"/>
          <w:szCs w:val="18"/>
        </w:rPr>
        <w:t xml:space="preserve">Do not rely on aspiration or brushings alone. In one 72-patient series transpapillary forceps biopsy by itself detected 68.7% of carcinomas — a false-negative rate of 31.3% — with 100% specificity, and combining it with intraductal ultrasound raised sensitivity to 97% and accuracy to 94.5%; that paper is cited from its abstract only, since the full text was not obtained, so treat the increment as a direction rather than a number. The general point does not depend on it: in a separate series EUS-FNA diagnosed adenocarcinoma in 6 of 7 cases but adenoma or advanced adenoma in only 1 of 5.</w:t>
      </w:r>
    </w:p>
    <w:p>
      <w:pPr>
        <w:spacing w:after="50" w:line="276"/>
        <w:ind w:left="240"/>
      </w:pPr>
      <w:r>
        <w:rPr>
          <w:i/>
          <w:iCs/>
          <w:color w:val="5A6069"/>
          <w:sz w:val="17"/>
          <w:szCs w:val="17"/>
        </w:rPr>
        <w:t xml:space="preserve">EUS-FNA or brushings may be added to FNB to raise yield in difficult cases, but not substituted for it.</w:t>
      </w:r>
    </w:p>
    <w:p>
      <w:pPr>
        <w:spacing w:after="60" w:line="276"/>
        <w:ind w:left="240"/>
      </w:pPr>
      <w:r>
        <w:rPr>
          <w:color w:val="5A6069"/>
          <w:sz w:val="16"/>
          <w:szCs w:val="16"/>
        </w:rPr>
        <w:t xml:space="preserve">Sources: PERIPAN 2025; IDUS plus transpapillary biopsy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Resample, once, with the endoscopic compartment named on the request form — then stop.</w:t>
      </w:r>
    </w:p>
    <w:p>
      <w:pPr>
        <w:spacing w:after="50" w:line="276"/>
        <w:ind w:left="240"/>
      </w:pPr>
      <w:r>
        <w:rPr>
          <w:color w:val="15181F"/>
          <w:sz w:val="18"/>
          <w:szCs w:val="18"/>
        </w:rPr>
        <w:t xml:space="preserve">A non-diagnostic or discordant first biopsy where the compartment was not stated. PERIPAN is explicit that precise information on the site of the lesion relative to the duodenum, ampullary channel, bile duct, pancreatic duct and pancreas, and the presence or absence of intracanalicular growth, changes how the specimen is cut: if ampullary-ductal origin is suspected from the dimple-like endoscopic appearance, the pathologist takes deeper sections to look for subtle cancer growth.</w:t>
      </w:r>
    </w:p>
    <w:p>
      <w:pPr>
        <w:spacing w:after="50"/>
        <w:ind w:left="240"/>
      </w:pPr>
      <w:r>
        <w:rPr>
          <w:b/>
          <w:bCs/>
          <w:color w:val="8C2F26"/>
          <w:sz w:val="18"/>
          <w:szCs w:val="18"/>
        </w:rPr>
        <w:t xml:space="preserve">Caveat. </w:t>
      </w:r>
      <w:r>
        <w:rPr>
          <w:color w:val="15181F"/>
          <w:sz w:val="18"/>
          <w:szCs w:val="18"/>
        </w:rPr>
        <w:t xml:space="preserve">Do not keep resampling in pursuit of a negative result that will not change the plan. If a third negative biopsy would not alter the operation, the patient needs a decision, not another endoscopy — and each ampullary biopsy carries a pancreatitis risk.</w:t>
      </w:r>
    </w:p>
    <w:p>
      <w:pPr>
        <w:spacing w:after="50" w:line="276"/>
        <w:ind w:left="240"/>
      </w:pPr>
      <w:r>
        <w:rPr>
          <w:i/>
          <w:iCs/>
          <w:color w:val="5A6069"/>
          <w:sz w:val="17"/>
          <w:szCs w:val="17"/>
        </w:rPr>
        <w:t xml:space="preserve">In a prospective screening series of 102 patients with familial polyposis the papilla was abnormal in 87 of 97 biopsied there, and among the 80 patients biopsied at both sites the papilla was twice as likely to be adenomatous as the peripapillary area (81% against 41%) — so an ampullary biopsy in polyposis is high-yield and is also why it is now discouraged. The harm figure most often quoted, that 30% of available tests showed an asymptomatic amylase rise after ampullary biopsy in a prospective series of 35 polyposis patients, together with a handful of case reports of acute pancreatitis, reaches this page through a narrative review rather than from the primary studies; that review has no protocol, no second reviewer, no risk-of-bias appraisal and no pooling, so the figure is an unweighted quotation. If a biopsy of the ampulla is unavoidable, taking it from the 9-to-1-o'clock sector, away from the pancreatic orifice, has been suggested.</w:t>
      </w:r>
    </w:p>
    <w:p>
      <w:pPr>
        <w:spacing w:after="60" w:line="276"/>
        <w:ind w:left="240"/>
      </w:pPr>
      <w:r>
        <w:rPr>
          <w:color w:val="5A6069"/>
          <w:sz w:val="16"/>
          <w:szCs w:val="16"/>
        </w:rPr>
        <w:t xml:space="preserve">Sources: PERIPAN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Report high-risk features and tumour budding on the biopsy, even when T and N stage cannot be assessed.</w:t>
      </w:r>
    </w:p>
    <w:p>
      <w:pPr>
        <w:spacing w:after="50" w:line="276"/>
        <w:ind w:left="240"/>
      </w:pPr>
      <w:r>
        <w:rPr>
          <w:color w:val="15181F"/>
          <w:sz w:val="18"/>
          <w:szCs w:val="18"/>
        </w:rPr>
        <w:t xml:space="preserve">Any biopsy or ampullectomy specimen. PERIPAN asks for presence of non-invasive neoplasia versus invasive carcinoma, histological type including poorly cohesive morphology, grade, lymphatic, vascular and perineural invasion, and tumour budding. High budding — three or more budding foci per ×200 field — is reported as an independent predictor of overall survival with a stronger prognostic impact than tumour stage or nodal metastasis.</w:t>
      </w:r>
    </w:p>
    <w:p>
      <w:pPr>
        <w:spacing w:after="50"/>
        <w:ind w:left="240"/>
      </w:pPr>
      <w:r>
        <w:rPr>
          <w:b/>
          <w:bCs/>
          <w:color w:val="8C2F26"/>
          <w:sz w:val="18"/>
          <w:szCs w:val="18"/>
        </w:rPr>
        <w:t xml:space="preserve">Caveat. </w:t>
      </w:r>
      <w:r>
        <w:rPr>
          <w:color w:val="15181F"/>
          <w:sz w:val="18"/>
          <w:szCs w:val="18"/>
        </w:rPr>
        <w:t xml:space="preserve">Do not over-read a budding score from a biopsy. PERIPAN acknowledges that the invasive front, where budding should be assessed, may not be represented in the biopsy at all. Note also what the claim rests on: the threshold of three or more budding foci per ×200 field has no reproducibility data of its own, the prognostic claim comes largely from the same institutional tradition that produced the ampullary subtype classification, and PERIPAN grades the recommendation low evidence and weak. Budding is reported because it may be the only prognostic variable available in a specimen that cannot be staged, not because it has been validated against T and N stage in independent cohorts.</w:t>
      </w:r>
    </w:p>
    <w:p>
      <w:pPr>
        <w:spacing w:after="60" w:line="276"/>
        <w:ind w:left="240"/>
      </w:pPr>
      <w:r>
        <w:rPr>
          <w:color w:val="5A6069"/>
          <w:sz w:val="16"/>
          <w:szCs w:val="16"/>
        </w:rPr>
        <w:t xml:space="preserve">Sources: PERIPAN 2025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papillectomy to obtain a diagnosis when adenoma has not been proven.</w:t>
      </w:r>
    </w:p>
    <w:p>
      <w:pPr>
        <w:spacing w:after="50" w:line="276"/>
        <w:ind w:left="240"/>
      </w:pPr>
      <w:r>
        <w:rPr>
          <w:color w:val="15181F"/>
          <w:sz w:val="18"/>
          <w:szCs w:val="18"/>
        </w:rPr>
        <w:t xml:space="preserve">Prove the adenoma first. This is ESGE's first recommendation in ampullary tumours and it is a strong recommendation on low-quality evidence.</w:t>
      </w:r>
    </w:p>
    <w:p>
      <w:pPr>
        <w:spacing w:after="50"/>
        <w:ind w:left="240"/>
      </w:pPr>
      <w:r>
        <w:rPr>
          <w:b/>
          <w:bCs/>
          <w:color w:val="8C2F26"/>
          <w:sz w:val="18"/>
          <w:szCs w:val="18"/>
        </w:rPr>
        <w:t xml:space="preserve">Caveat. </w:t>
      </w:r>
      <w:r>
        <w:rPr>
          <w:color w:val="15181F"/>
          <w:sz w:val="18"/>
          <w:szCs w:val="18"/>
        </w:rPr>
        <w:t xml:space="preserve">The cost of ignoring it is measurable, and it is the most important single finding in the European comparison of these two operations. Final histology was neither adenoma nor adenocarcinoma — mostly hyperplastic or chronic inflammatory tissue — in 270 of 1,115 endoscopic papillectomy patients (24.2%) and 25 of 169 transduodenal surgical ampullectomy patients (14.8%), while advanced cancer (T2 or above, or node positive) was found in 122 papillectomy (10.9%) and 62 surgical ampullectomy (36.6%) patients. Roughly a third of the procedures in each arm were therefore performed for the wrong indication: either there was no neoplasm to remove, or the disease was already beyond what a local resection can treat. The authors call the rate of poor indications still high for both operations.</w:t>
      </w:r>
    </w:p>
    <w:p>
      <w:pPr>
        <w:spacing w:after="60" w:line="276"/>
        <w:ind w:left="240"/>
      </w:pPr>
      <w:r>
        <w:rPr>
          <w:color w:val="5A6069"/>
          <w:sz w:val="16"/>
          <w:szCs w:val="16"/>
        </w:rPr>
        <w:t xml:space="preserve">Sources: ESGE ampullary 2021; Pancreas2000 EP vs TSA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subtype the carcinoma on the biopsy in order to drive definitive treatment when the patient is going to resection.</w:t>
      </w:r>
    </w:p>
    <w:p>
      <w:pPr>
        <w:spacing w:after="50" w:line="276"/>
        <w:ind w:left="240"/>
      </w:pPr>
      <w:r>
        <w:rPr>
          <w:color w:val="15181F"/>
          <w:sz w:val="18"/>
          <w:szCs w:val="18"/>
        </w:rPr>
        <w:t xml:space="preserve">PERIPAN: subtyping and biomarker assessment on biopsy material should be done only if it may influence subsequent treatment — that is, mainly in a patient who may not have surgery. Otherwise subtype and test for mismatch-repair deficiency on the resection specimen.</w:t>
      </w:r>
    </w:p>
    <w:p>
      <w:pPr>
        <w:spacing w:after="50"/>
        <w:ind w:left="240"/>
      </w:pPr>
      <w:r>
        <w:rPr>
          <w:b/>
          <w:bCs/>
          <w:color w:val="8C2F26"/>
          <w:sz w:val="18"/>
          <w:szCs w:val="18"/>
        </w:rPr>
        <w:t xml:space="preserve">Caveat. </w:t>
      </w:r>
      <w:r>
        <w:rPr>
          <w:color w:val="15181F"/>
          <w:sz w:val="18"/>
          <w:szCs w:val="18"/>
        </w:rPr>
        <w:t xml:space="preserve">About 40% of ampullary carcinomas show a mixed or hybrid phenotype — 94 of 232 cases by consensus of three of five blinded observers, against pure pancreatobiliary in 74 (32%) and pure intestinal in only 13 (6%) — so the subtype seen in a biopsy may not represent the tumour. The reproducibility study that established this warns explicitly that caution is warranted when applying the classification to biopsies and tissue microarrays, and in its own side experiment two fields from a single tumour shown blind to eight observers were called pancreatobiliary by 6 of 8 and hybrid by 2 of 8 for one field, and intestinal by 4 of 8 and mixed by 4 of 8 for the other. It also selected tumours with an invasive component over 3.0 mm, which removes the small intra-ampullary lesions that a biopsy is most likely to represent.</w:t>
      </w:r>
    </w:p>
    <w:p>
      <w:pPr>
        <w:spacing w:after="60" w:line="276"/>
        <w:ind w:left="240"/>
      </w:pPr>
      <w:r>
        <w:rPr>
          <w:color w:val="5A6069"/>
          <w:sz w:val="16"/>
          <w:szCs w:val="16"/>
        </w:rPr>
        <w:t xml:space="preserve">Sources: PERIPAN 2025; Reid 2016 subtype reproducibility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Endoscopic papillectomy</w:t>
      </w:r>
    </w:p>
    <w:p>
      <w:pPr>
        <w:spacing w:after="140"/>
      </w:pPr>
      <w:r>
        <w:rPr>
          <w:b/>
          <w:bCs/>
          <w:color w:val="176A87"/>
          <w:sz w:val="19"/>
          <w:szCs w:val="19"/>
        </w:rPr>
        <w:t xml:space="preserve">The question. </w:t>
      </w:r>
      <w:r>
        <w:rPr>
          <w:sz w:val="19"/>
          <w:szCs w:val="19"/>
        </w:rPr>
        <w:t xml:space="preserve">Can I take this out in one piece with a clear deep margin, and will this patient still be coming back to me in five years?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Adenoma proven on biopsy, with no suspicion of invasive carcinoma — high-grade dysplasia alone does not exclude the operation</w:t>
      </w:r>
    </w:p>
    <w:p>
      <w:pPr>
        <w:pStyle w:val="ListParagraph"/>
        <w:numPr>
          <w:ilvl w:val="0"/>
          <w:numId w:val="2"/>
        </w:numPr>
        <w:spacing w:after="60" w:line="268"/>
      </w:pPr>
      <w:r>
        <w:rPr>
          <w:color w:val="15181F"/>
          <w:sz w:val="18"/>
          <w:szCs w:val="18"/>
        </w:rPr>
        <w:t xml:space="preserve">No intraductal extension, or extension short enough that the resection can clear it</w:t>
      </w:r>
    </w:p>
    <w:p>
      <w:pPr>
        <w:pStyle w:val="ListParagraph"/>
        <w:numPr>
          <w:ilvl w:val="0"/>
          <w:numId w:val="2"/>
        </w:numPr>
        <w:spacing w:after="60" w:line="268"/>
      </w:pPr>
      <w:r>
        <w:rPr>
          <w:color w:val="15181F"/>
          <w:sz w:val="18"/>
          <w:szCs w:val="18"/>
        </w:rPr>
        <w:t xml:space="preserve">Size that can be taken en bloc — ESGE sets 20 to 30 mm as the ceiling for an en bloc intent</w:t>
      </w:r>
    </w:p>
    <w:p>
      <w:pPr>
        <w:pStyle w:val="ListParagraph"/>
        <w:numPr>
          <w:ilvl w:val="0"/>
          <w:numId w:val="2"/>
        </w:numPr>
        <w:spacing w:after="60" w:line="268"/>
      </w:pPr>
      <w:r>
        <w:rPr>
          <w:color w:val="15181F"/>
          <w:sz w:val="18"/>
          <w:szCs w:val="18"/>
        </w:rPr>
        <w:t xml:space="preserve">Duodenal anatomy that permits access, with no diverticulum preventing it</w:t>
      </w:r>
    </w:p>
    <w:p>
      <w:pPr>
        <w:pStyle w:val="ListParagraph"/>
        <w:numPr>
          <w:ilvl w:val="0"/>
          <w:numId w:val="2"/>
        </w:numPr>
        <w:spacing w:after="60" w:line="268"/>
      </w:pPr>
      <w:r>
        <w:rPr>
          <w:color w:val="15181F"/>
          <w:sz w:val="18"/>
          <w:szCs w:val="18"/>
        </w:rPr>
        <w:t xml:space="preserve">A high-volume centre, and a patient who will attend surveillance for at least five years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Endoscopic papillectomy by direct snare resection without submucosal injection, aiming at en bloc removal, at a high-volume centre.</w:t>
      </w:r>
    </w:p>
    <w:p>
      <w:pPr>
        <w:spacing w:after="50" w:line="276"/>
        <w:ind w:left="240"/>
      </w:pPr>
      <w:r>
        <w:rPr>
          <w:color w:val="15181F"/>
          <w:sz w:val="18"/>
          <w:szCs w:val="18"/>
        </w:rPr>
        <w:t xml:space="preserve">Ampullary adenoma without intraductal extension. ESGE recommends papillectomy in this group (strong recommendation, moderate quality evidence), recommends en bloc resection of adenomas up to 20–30 mm to achieve R0 and reduce recurrence (strong, low quality), and recommends direct snare resection without submucosal injection (strong, moderate quality). NCCN agrees that adenomas without suspicion of adenocarcinoma, including those with high-grade dysplasia, may be safely removed endoscopically, and that this should be done at a high-volume centre.</w:t>
      </w:r>
    </w:p>
    <w:p>
      <w:pPr>
        <w:spacing w:after="50"/>
        <w:ind w:left="240"/>
      </w:pPr>
      <w:r>
        <w:rPr>
          <w:b/>
          <w:bCs/>
          <w:color w:val="8C2F26"/>
          <w:sz w:val="18"/>
          <w:szCs w:val="18"/>
        </w:rPr>
        <w:t xml:space="preserve">Caveat. </w:t>
      </w:r>
      <w:r>
        <w:rPr>
          <w:color w:val="15181F"/>
          <w:sz w:val="18"/>
          <w:szCs w:val="18"/>
        </w:rPr>
        <w:t xml:space="preserve">Do not take on a lesion that cannot be reached or encircled, and do not improvise an en bloc attempt above 30 mm. ESGE suggests surgery when endoscopic resection is not feasible for technical reasons such as a diverticulum or size over 4 cm, and when intraductal involvement exceeds 20 mm — with surveillance still mandatory afterwards.</w:t>
      </w:r>
    </w:p>
    <w:p>
      <w:pPr>
        <w:spacing w:after="50" w:line="276"/>
        <w:ind w:left="240"/>
      </w:pPr>
      <w:r>
        <w:rPr>
          <w:i/>
          <w:iCs/>
          <w:color w:val="5A6069"/>
          <w:sz w:val="17"/>
          <w:szCs w:val="17"/>
        </w:rPr>
        <w:t xml:space="preserve">Submucosal injection is specifically not recommended: it lifts the mucosa away from the ductal structures the snare needs to engage and makes the anatomy harder, not easier. ESGE grades that recommendation strong on moderate-quality evidence, which the subsequent literature does not quite support — the 2025 European comparison of papillectomy with surgical ampullectomy notes that the evidence remains contradictory and that submucosal injection was still used in 24.2% of its matched endoscopic cases. The more useful warning about en bloc intent is that technical success and histological completeness are different things: in 798 Japanese patients, en bloc resection was achieved in 89.0% and technical success in 94.9%, yet only 58.6% of en bloc resections (416 of 710) were ultimately R0, the rest downgraded by thermal artefact or margin involvement. An en bloc resection is a better starting point for a margin assessment, not a guarantee of one. [EXPERTISE]</w:t>
      </w:r>
    </w:p>
    <w:p>
      <w:pPr>
        <w:spacing w:after="60" w:line="276"/>
        <w:ind w:left="240"/>
      </w:pPr>
      <w:r>
        <w:rPr>
          <w:color w:val="5A6069"/>
          <w:sz w:val="16"/>
          <w:szCs w:val="16"/>
        </w:rPr>
        <w:t xml:space="preserve">Sources: ESGE ampullary 2021; Choi 2022; Japanese 22-centre papillectomy; Pancreas2000 EP vs TSA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Place a prophylactic pancreatic duct stent, and use a wire-guided technique if that is what it takes to get the stent in.</w:t>
      </w:r>
    </w:p>
    <w:p>
      <w:pPr>
        <w:spacing w:after="50" w:line="276"/>
        <w:ind w:left="240"/>
      </w:pPr>
      <w:r>
        <w:rPr>
          <w:color w:val="15181F"/>
          <w:sz w:val="18"/>
          <w:szCs w:val="18"/>
        </w:rPr>
        <w:t xml:space="preserve">Every papillectomy. ESGE recommends prophylactic pancreatic duct stenting to reduce post-papillectomy pancreatitis (strong recommendation, moderate quality evidence). In the only randomised trial of the stent itself, 19 patients were allocated after en bloc snare ampullectomy; pancreatitis within 24 hours occurred in 3 of 9 analysed unstented patients (33%) and none of 10 stented patients (P=0.02). In practice the stent is placed in the large majority of cases — 93.6% of 798 Japanese papillectomies and 73.6% of one 106-patient Korean cohort, where stenting was associated with less pancreatitis on multivariable analysis (odds ratio 0.205, 95% CI 0.044–0.945, P=0.042).</w:t>
      </w:r>
    </w:p>
    <w:p>
      <w:pPr>
        <w:spacing w:after="50"/>
        <w:ind w:left="240"/>
      </w:pPr>
      <w:r>
        <w:rPr>
          <w:b/>
          <w:bCs/>
          <w:color w:val="8C2F26"/>
          <w:sz w:val="18"/>
          <w:szCs w:val="18"/>
        </w:rPr>
        <w:t xml:space="preserve">Caveat. </w:t>
      </w:r>
      <w:r>
        <w:rPr>
          <w:color w:val="15181F"/>
          <w:sz w:val="18"/>
          <w:szCs w:val="18"/>
        </w:rPr>
        <w:t xml:space="preserve">Give both halves when consenting, because the randomised evidence is weaker than the recommendation it supports. That 19-patient trial was stopped early at a pre-specified interim look triggered when the unstented pancreatitis rate reached 30%, against a planned 25 patients per arm, and it reports three different results from the same data: 33% against 0% as treated (P=0.02), 25% against 0% excluding the patient in whom stent placement failed (P=0.05), and 25% against 9% by intention to treat, counting that patient in the stented arm, where significance is lost (P=0.3). The outcome window was 24 hours, so bleeding, perforation, papillary stenosis and recurrence were not captured at all. In a 45-patient randomised pilot of wire-guided against conventional papillectomy, the wire-guided technique placed a stent in 22 of 22 (100%) against 15 of 23 (65%, P=0.004) but its primary endpoint was negative — pancreatitis 4 of 22 (18%) against 3 of 23 (13%), P=0.960, numerically worse in the arm designed to prevent it. The much-quoted finding inside its conventional arm, pancreatitis in 3 of 8 patients who ended without a stent (37.5%) against 0 of 15 with one (P=0.032), is a post-randomisation comparison between patients who differ precisely by whether bleeding and oedema allowed a stent — that is, by procedural difficulty, which is itself a cause of pancreatitis. The stent probably matters; the route to placing it does not; and neither trial establishes the size of the effect.</w:t>
      </w:r>
    </w:p>
    <w:p>
      <w:pPr>
        <w:spacing w:after="50" w:line="276"/>
        <w:ind w:left="240"/>
      </w:pPr>
      <w:r>
        <w:rPr>
          <w:i/>
          <w:iCs/>
          <w:color w:val="5A6069"/>
          <w:sz w:val="17"/>
          <w:szCs w:val="17"/>
        </w:rPr>
        <w:t xml:space="preserve">Downgraded from B to C: the two randomised trials behind this string comprise 64 patients and 10 pancreatitis events between them, one was stopped early and negative on its own intention-to-treat analysis, and the other missed its primary endpoint, so ESGE's grading of moderate-quality evidence overstates what exists. The recommendation stands because the direction is consistent and the intervention is cheap and reversible. Pooled complication figures for endoscopic ampullectomy in the polyposis literature are haemorrhage 4%–21%, pancreatitis 4%–30% and perforation 2%–3%, quoted there as unweighted ranges; in individual cohorts adverse events occurred in 259 of 798 (32.5%, severe in 3.9%, with one procedure-related death), 37 of 136 (27.2%), 26 of 106 (24.5%) and 7 of 44 (15.9%), and the series reporting the lowest rates are also the ones that measured enzymes only in symptomatic patients. [EXPERTISE]</w:t>
      </w:r>
    </w:p>
    <w:p>
      <w:pPr>
        <w:spacing w:after="60" w:line="276"/>
        <w:ind w:left="240"/>
      </w:pPr>
      <w:r>
        <w:rPr>
          <w:color w:val="5A6069"/>
          <w:sz w:val="16"/>
          <w:szCs w:val="16"/>
        </w:rPr>
        <w:t xml:space="preserve">Sources: ESGE ampullary 2021; Harewood 2005; Wire-guided papillectomy RCT; Choi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Tell the patient before the procedure that about one in five will recur, and that recurrence is late as often as early.</w:t>
      </w:r>
    </w:p>
    <w:p>
      <w:pPr>
        <w:spacing w:after="50" w:line="276"/>
        <w:ind w:left="240"/>
      </w:pPr>
      <w:r>
        <w:rPr>
          <w:color w:val="15181F"/>
          <w:sz w:val="18"/>
          <w:szCs w:val="18"/>
        </w:rPr>
        <w:t xml:space="preserve">Consent for every papillectomy. In 22 Japanese tertiary centres, 776 patients with confirmed ampullary adenoma or adenocarcinoma had cumulative recurrence of 13% (95% CI 11–16) at 1 year, 20% (17–23) at 3 years and 22% (19–26) at 5 years; R0 resection was achieved in only 416 of 798 (52.1%), with R1 in 176 (22.1%) and an indeterminate Rx margin in 206 (25.8%), and even after R0 cumulative recurrence was 4.9% at 1 year, 11% at 3 years and 13% at 5 years. In a 136-patient single-centre cohort where 124 (91.2%) achieved complete eradication, recurrence occurred in 20 (16.1%) at a mean of 3.2 years, range 0.5 to 9.75 years, a rate of 5.8 per 100 person-years (95% CI 3.6–8.8), and 9 of the 20 recurrences (45%) appeared after the first two years of surveillance.</w:t>
      </w:r>
    </w:p>
    <w:p>
      <w:pPr>
        <w:spacing w:after="50"/>
        <w:ind w:left="240"/>
      </w:pPr>
      <w:r>
        <w:rPr>
          <w:b/>
          <w:bCs/>
          <w:color w:val="8C2F26"/>
          <w:sz w:val="18"/>
          <w:szCs w:val="18"/>
        </w:rPr>
        <w:t xml:space="preserve">Caveat. </w:t>
      </w:r>
      <w:r>
        <w:rPr>
          <w:color w:val="15181F"/>
          <w:sz w:val="18"/>
          <w:szCs w:val="18"/>
        </w:rPr>
        <w:t xml:space="preserve">Do not present papillectomy as a definitive operation with a short follow-up, and do not quote a single recurrence rate as though the series were measuring the same thing. They are not. The Japanese study counted any histologically confirmed neoplastic tissue, with no requirement for a prior negative surveillance endoscopy, and its median time to recurrence was 6 months (3 months after R1) — so a large fraction of its 18.3% is residual disease. The single-centre study required one negative surveillance endoscopy first and allowed multiple treatment sessions inside its definition of complete eradication, which converts early incomplete resection into a non-event and shifts the curve rightwards. The two 20% figures are not comparable, and the honest statement at consent is that about one in five patients will need further endoscopic treatment of the papilla, early or late. Recurrence rate in the single-centre cohort did not differ by baseline pathology — 5.2 per 100 person-years for low-grade dysplasia, 6.9 for high-grade dysplasia and 7.7 for adenocarcinoma, with overlapping intervals.</w:t>
      </w:r>
    </w:p>
    <w:p>
      <w:pPr>
        <w:spacing w:after="50" w:line="276"/>
        <w:ind w:left="240"/>
      </w:pPr>
      <w:r>
        <w:rPr>
          <w:i/>
          <w:iCs/>
          <w:color w:val="5A6069"/>
          <w:sz w:val="17"/>
          <w:szCs w:val="17"/>
        </w:rPr>
        <w:t xml:space="preserve">Margin status is the strongest predictor and is reported twice in the Japanese paper: against R0, the abstract and discussion give hazard ratios of 2.95 (95% CI 1.85–4.71) for R1 and 2.30 (1.44–3.68) for Rx, while Table 2 gives 2.95 (1.87–4.66) and 2.38 (1.49–3.81) for the same comparisons — a small discrepancy, but it means two models were in play and neither is identified. Rx behaved almost identically to frank R1 by 5 years (34% each), which suggests an indeterminate margin is largely an undetected positive one. In a 106-patient Korean cohort a positive or uncertain margin predicted early recurrence (odds ratio 4.023, 95% CI 1.088–16.387, P=0.048) and piecemeal resection predicted late recurrence (6.610, 1.760–24.820, P=0.005) and non-curative resection (5.424, 1.582–18.600, P=0.007) — estimates drawn from 11 to 13 events against 5 or 6 covariates, with intervals spanning an order of magnitude, and with the early-versus-late split defined by the timing of a first surveillance endoscopy that was itself left to the endoscopist. Two further cautions on the timing claim. The Japanese cohort found the later treatment era 2015–2020 an independent predictor of recurrence (hazard ratio 1.57, 1.09–2.26, P=0.016) with no mechanism beyond more procedures by less experienced operators, which could equally be more intensive surveillance. And in the single-centre cohort recurrence was more frequent after en bloc than piecemeal resection (19.4% against 7.0%) and after an initially complete than an incomplete resection (16.5% against 6.1%) — the signature of detection bias in how residual disease was classified, reported in that paper without comment. Its mean follow-up of 2.8 years is also shorter than its mean time to recurrence of 3.2 years, and the single recurrence at 9.75 years is what drives the suggestion of ten-year surveillance.</w:t>
      </w:r>
    </w:p>
    <w:p>
      <w:pPr>
        <w:spacing w:after="60" w:line="276"/>
        <w:ind w:left="240"/>
      </w:pPr>
      <w:r>
        <w:rPr>
          <w:color w:val="5A6069"/>
          <w:sz w:val="16"/>
          <w:szCs w:val="16"/>
        </w:rPr>
        <w:t xml:space="preserve">Sources: Japanese 22-centre papillectomy; Han 2023 recurrence timing; Choi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Piecemeal resection with ablation of visible residual tissue, accepting a materially higher recurrence rate, where en bloc is not achievable and the alternative is a pancreatoduodenectomy for a benign lesion.</w:t>
      </w:r>
    </w:p>
    <w:p>
      <w:pPr>
        <w:spacing w:after="50" w:line="276"/>
        <w:ind w:left="240"/>
      </w:pPr>
      <w:r>
        <w:rPr>
          <w:color w:val="15181F"/>
          <w:sz w:val="18"/>
          <w:szCs w:val="18"/>
        </w:rPr>
        <w:t xml:space="preserve">A large or awkward adenoma in a patient for whom the operative alternative carries real risk. Most patients with a non-curative initial resection in the 106-patient cohort were still managed endoscopically — endoscopic success was 93.4% against curative resection in 76.4%.</w:t>
      </w:r>
    </w:p>
    <w:p>
      <w:pPr>
        <w:spacing w:after="50"/>
        <w:ind w:left="240"/>
      </w:pPr>
      <w:r>
        <w:rPr>
          <w:b/>
          <w:bCs/>
          <w:color w:val="8C2F26"/>
          <w:sz w:val="18"/>
          <w:szCs w:val="18"/>
        </w:rPr>
        <w:t xml:space="preserve">Caveat. </w:t>
      </w:r>
      <w:r>
        <w:rPr>
          <w:color w:val="15181F"/>
          <w:sz w:val="18"/>
          <w:szCs w:val="18"/>
        </w:rPr>
        <w:t xml:space="preserve">Do not call it equivalent. Piecemeal resection was the independent predictor of both late recurrence (odds ratio 6.610, P=0.005) and non-curative resection (5.424, P=0.007) in one cohort and of recurrence overall in the Japanese national cohort (hazard ratio 1.69, 95% CI 1.07–2.65, P=0.023), and it destroys the margin assessment the next decision depends on. Ablation at the index session is not a rescue either: in the European cohort, 69 of 481 adenoma cases (14.4%) had argon plasma coagulation or radiofrequency ablation during the index papillectomy, and if those are counted as probable R2 resections — which is what visible residual tissue means — the primary success rate of papillectomy alone falls from 80.2% to 65.9% (317 of 481). Retreatment then cascades: of 40 adenoma patients given endoscopic retherapy, 17 (42.5%) were still incomplete at the next follow-up and needed a second session, and 12 of the remaining 15 (80%) needed a third. If the patient's malignancy risk is high, piecemeal papillectomy is the wrong operation rather than a smaller one.</w:t>
      </w:r>
    </w:p>
    <w:p>
      <w:pPr>
        <w:spacing w:after="50" w:line="276"/>
        <w:ind w:left="240"/>
      </w:pPr>
      <w:r>
        <w:rPr>
          <w:i/>
          <w:iCs/>
          <w:color w:val="5A6069"/>
          <w:sz w:val="17"/>
          <w:szCs w:val="17"/>
        </w:rPr>
        <w:t xml:space="preserve">Piecemeal resection occurred in 16 of 106 (15.1%) in one cohort and 16 of 44 (36.4%) in another, and en bloc intent failed to deliver an assessable R0 margin in 41% of en bloc Japanese cases, so this is a common situation and worth planning for rather than discovering. Both the 80.2% and the 65.9% figures appear in the European paper without a single preferred estimate, and the reclassification of ablated cases as R2 is the authors' retrospective assumption — a reasonable one, and still an assumption.</w:t>
      </w:r>
    </w:p>
    <w:p>
      <w:pPr>
        <w:spacing w:after="60" w:line="276"/>
        <w:ind w:left="240"/>
      </w:pPr>
      <w:r>
        <w:rPr>
          <w:color w:val="5A6069"/>
          <w:sz w:val="16"/>
          <w:szCs w:val="16"/>
        </w:rPr>
        <w:t xml:space="preserve">Sources: Choi 2022; Japanese 22-centre papillectomy; Malignancy risk score; Pancreas2000 EP vs TSA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Papillectomy with close surveillance for high-grade dysplasia or an early carcinoma found after the fact, rather than automatic conversion to resection.</w:t>
      </w:r>
    </w:p>
    <w:p>
      <w:pPr>
        <w:spacing w:after="50" w:line="276"/>
        <w:ind w:left="240"/>
      </w:pPr>
      <w:r>
        <w:rPr>
          <w:color w:val="15181F"/>
          <w:sz w:val="18"/>
          <w:szCs w:val="18"/>
        </w:rPr>
        <w:t xml:space="preserve">A margin-negative specimen in a patient whose operative risk is substantial. In a propensity-matched Korean multicentre cohort of 127 papillectomies whose final pathology showed high-grade dysplasia or adenocarcinoma, drawn from 485 papillectomies in a 1,607-patient registry, 5-year overall survival was 89.2% with papillectomy alone (22 matched patients) against 82.3% with subsequent radical surgery (33 patients), P=0.861, over a median follow-up of 43.3 months; unmatched the figures were 91.9% against 82.3%, P=0.443.</w:t>
      </w:r>
    </w:p>
    <w:p>
      <w:pPr>
        <w:spacing w:after="50"/>
        <w:ind w:left="240"/>
      </w:pPr>
      <w:r>
        <w:rPr>
          <w:b/>
          <w:bCs/>
          <w:color w:val="8C2F26"/>
          <w:sz w:val="18"/>
          <w:szCs w:val="18"/>
        </w:rPr>
        <w:t xml:space="preserve">Caveat. </w:t>
      </w:r>
      <w:r>
        <w:rPr>
          <w:color w:val="15181F"/>
          <w:sz w:val="18"/>
          <w:szCs w:val="18"/>
        </w:rPr>
        <w:t xml:space="preserve">Read the recurrence curves, not the survival curves, and note that two endpoints missed significance in the same direction. Matched 5-year recurrence-free survival was 66.1% with papillectomy alone against 86.7% with surgery, P=0.052, and in the adenocarcinoma-only subgroup (30 against 25 patients) it was 61.4% against 82.6%, P=0.066, with 5-year overall survival 83.2% against 85.0% (P=0.652). A 20-point absolute difference that misses significance in 55 patients is not equivalence. Margin status is what makes surveillance defensible, and it is not a small effect: within the papillectomy-alone group, patients with both lateral and deep margins positive had significantly worse overall survival than those with negative margins (P=0.007) or a positive lateral margin alone (P=0.015), and recurrence-free survival was worse for any positive margin.</w:t>
      </w:r>
    </w:p>
    <w:p>
      <w:pPr>
        <w:spacing w:after="50" w:line="276"/>
        <w:ind w:left="240"/>
      </w:pPr>
      <w:r>
        <w:rPr>
          <w:i/>
          <w:iCs/>
          <w:color w:val="5A6069"/>
          <w:sz w:val="17"/>
          <w:szCs w:val="17"/>
        </w:rPr>
        <w:t xml:space="preserve">Downgraded from C to D on the full-text read. T stage is never reported anywhere in the paper — in a cohort where between a third and three-quarters of patients had adenocarcinoma, the absence of any T1a-versus-T1b distinction removes the single variable on which the clinical question turns, since T1b carries a substantially higher nodal metastasis risk. Nodal status is unknown in the papillectomy-alone arm by definition, so the two arms are compared with different information. Immortal time bias is unaddressed and runs against the paper's own conclusion: patients had to survive and remain fit for up to 3 months to enter the surgery arm, while anyone who did not stayed in the papillectomy-alone arm, and no landmark analysis is performed. Matching discarded 72 of 94 papillectomy-alone patients to find 22 matches for 33 surgical patients, inverting the usual ratio, and the groups still differed on the proportion with adenocarcinoma afterwards (63.6% against 75.8%) with no balance diagnostics reported. Allocation was by the treating physician on exactly the variables used for matching, surveillance intensity was left to each of 9 hospitals, and median follow-up of 43.3 months is used to report 5-year survival. The most robust part of that paper is its diagnostic table, which is worth carrying separately: pre-papillectomy forceps biopsy agreed with the papillectomy specimen in 82.1% (300 of 365) of lesions called low-grade dysplasia, 60.3% (35 of 58) called high-grade dysplasia and 91.4% (32 of 35) called adenocarcinoma; of 365 called low-grade, 44 (12.1%) were upgraded after resection, 33 to high-grade dysplasia and 11 to adenocarcinoma.</w:t>
      </w:r>
    </w:p>
    <w:p>
      <w:pPr>
        <w:spacing w:after="60" w:line="276"/>
        <w:ind w:left="240"/>
      </w:pPr>
      <w:r>
        <w:rPr>
          <w:color w:val="5A6069"/>
          <w:sz w:val="16"/>
          <w:szCs w:val="16"/>
        </w:rPr>
        <w:t xml:space="preserve">Sources: Yoon 2022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papillectomy when intraductal extension exceeds 20 mm, when the lesion is over 4 cm, or when a diverticulum prevents access.</w:t>
      </w:r>
    </w:p>
    <w:p>
      <w:pPr>
        <w:spacing w:after="50" w:line="276"/>
        <w:ind w:left="240"/>
      </w:pPr>
      <w:r>
        <w:rPr>
          <w:color w:val="15181F"/>
          <w:sz w:val="18"/>
          <w:szCs w:val="18"/>
        </w:rPr>
        <w:t xml:space="preserve">ESGE's own boundary for referring to surgery, with surveillance continuing afterwards either way.</w:t>
      </w:r>
    </w:p>
    <w:p>
      <w:pPr>
        <w:spacing w:after="50"/>
        <w:ind w:left="240"/>
      </w:pPr>
      <w:r>
        <w:rPr>
          <w:b/>
          <w:bCs/>
          <w:color w:val="8C2F26"/>
          <w:sz w:val="18"/>
          <w:szCs w:val="18"/>
        </w:rPr>
        <w:t xml:space="preserve">Caveat. </w:t>
      </w:r>
      <w:r>
        <w:rPr>
          <w:color w:val="15181F"/>
          <w:sz w:val="18"/>
          <w:szCs w:val="18"/>
        </w:rPr>
        <w:t xml:space="preserve">The completeness data support the boundary rather than only the opinion, though they are thin: among 58 patients referred for papillectomy, complete resection was achieved in 53 overall (91%) but in only 4 of 5 (80%) with intraductal extension defined by EUS and 4 of 7 (57%) with it defined by ERCP — five and seven patients respectively, so treat the direction as real and the proportions as illustrative. The larger Japanese cohort makes the same point with more patients: where ductal extension was confirmed pathologically, R0 was achieved in only 28 of 137 (20.4%).</w:t>
      </w:r>
    </w:p>
    <w:p>
      <w:pPr>
        <w:spacing w:after="60" w:line="276"/>
        <w:ind w:left="240"/>
      </w:pPr>
      <w:r>
        <w:rPr>
          <w:color w:val="5A6069"/>
          <w:sz w:val="16"/>
          <w:szCs w:val="16"/>
        </w:rPr>
        <w:t xml:space="preserve">Sources: ESGE ampullary 2021; Ridtitid 2014; Japanese 22-centre papillectomy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discharge a patient after a papillectomy.</w:t>
      </w:r>
    </w:p>
    <w:p>
      <w:pPr>
        <w:spacing w:after="50" w:line="276"/>
        <w:ind w:left="240"/>
      </w:pPr>
      <w:r>
        <w:rPr>
          <w:color w:val="15181F"/>
          <w:sz w:val="18"/>
          <w:szCs w:val="18"/>
        </w:rPr>
        <w:t xml:space="preserve">Enrol every patient in the surveillance schedule at gate 9 before the procedure, and say so at consent.</w:t>
      </w:r>
    </w:p>
    <w:p>
      <w:pPr>
        <w:spacing w:after="50"/>
        <w:ind w:left="240"/>
      </w:pPr>
      <w:r>
        <w:rPr>
          <w:b/>
          <w:bCs/>
          <w:color w:val="8C2F26"/>
          <w:sz w:val="18"/>
          <w:szCs w:val="18"/>
        </w:rPr>
        <w:t xml:space="preserve">Caveat. </w:t>
      </w:r>
      <w:r>
        <w:rPr>
          <w:color w:val="15181F"/>
          <w:sz w:val="18"/>
          <w:szCs w:val="18"/>
        </w:rPr>
        <w:t xml:space="preserve">Recurrences occurred out to 9.75 years and nearly half appeared after the first two years in the cohort that looked for them longest, so a two-year follow-up programme is designed to miss them. The caveat that belongs with that figure is that the same cohort required a negative surveillance endoscopy before counting an event, which pushes early residual disease out of the recurrence count and the curve to the right; the ten-year recommendation rests on one patient recurring at 9.75 years. What is not in doubt is that recurrence after a histological R0 is common — 11% at 3 years and 13% at 5 years in 416 R0 patients — so a negative margin is not a discharge criterion.</w:t>
      </w:r>
    </w:p>
    <w:p>
      <w:pPr>
        <w:spacing w:after="60" w:line="276"/>
        <w:ind w:left="240"/>
      </w:pPr>
      <w:r>
        <w:rPr>
          <w:color w:val="5A6069"/>
          <w:sz w:val="16"/>
          <w:szCs w:val="16"/>
        </w:rPr>
        <w:t xml:space="preserve">Sources: Han 2023 recurrence timing; ESGE ampullary 2021; Japanese 22-centre papillectomy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Reading the papillectomy specimen</w:t>
      </w:r>
    </w:p>
    <w:p>
      <w:pPr>
        <w:spacing w:after="140"/>
      </w:pPr>
      <w:r>
        <w:rPr>
          <w:b/>
          <w:bCs/>
          <w:color w:val="176A87"/>
          <w:sz w:val="19"/>
          <w:szCs w:val="19"/>
        </w:rPr>
        <w:t xml:space="preserve">The question. </w:t>
      </w:r>
      <w:r>
        <w:rPr>
          <w:sz w:val="19"/>
          <w:szCs w:val="19"/>
        </w:rPr>
        <w:t xml:space="preserve">Does this specimen commit me to a pancreatoduodenectomy, or to a surveillance programme?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Deep or lateral margin positive, or indeterminate</w:t>
      </w:r>
    </w:p>
    <w:p>
      <w:pPr>
        <w:pStyle w:val="ListParagraph"/>
        <w:numPr>
          <w:ilvl w:val="0"/>
          <w:numId w:val="2"/>
        </w:numPr>
        <w:spacing w:after="60" w:line="268"/>
      </w:pPr>
      <w:r>
        <w:rPr>
          <w:color w:val="15181F"/>
          <w:sz w:val="18"/>
          <w:szCs w:val="18"/>
        </w:rPr>
        <w:t xml:space="preserve">Invasive carcinoma in the specimen that was not expected</w:t>
      </w:r>
    </w:p>
    <w:p>
      <w:pPr>
        <w:pStyle w:val="ListParagraph"/>
        <w:numPr>
          <w:ilvl w:val="0"/>
          <w:numId w:val="2"/>
        </w:numPr>
        <w:spacing w:after="60" w:line="268"/>
      </w:pPr>
      <w:r>
        <w:rPr>
          <w:color w:val="15181F"/>
          <w:sz w:val="18"/>
          <w:szCs w:val="18"/>
        </w:rPr>
        <w:t xml:space="preserve">Resection was piecemeal, so no margin can be assessed</w:t>
      </w:r>
    </w:p>
    <w:p>
      <w:pPr>
        <w:pStyle w:val="ListParagraph"/>
        <w:numPr>
          <w:ilvl w:val="0"/>
          <w:numId w:val="2"/>
        </w:numPr>
        <w:spacing w:after="60" w:line="268"/>
      </w:pPr>
      <w:r>
        <w:rPr>
          <w:color w:val="15181F"/>
          <w:sz w:val="18"/>
          <w:szCs w:val="18"/>
        </w:rPr>
        <w:t xml:space="preserve">Lymphovascular or perineural invasion, poor differentiation, or high tumour budding</w:t>
      </w:r>
    </w:p>
    <w:p>
      <w:pPr>
        <w:pStyle w:val="ListParagraph"/>
        <w:numPr>
          <w:ilvl w:val="0"/>
          <w:numId w:val="2"/>
        </w:numPr>
        <w:spacing w:after="60" w:line="268"/>
      </w:pPr>
      <w:r>
        <w:rPr>
          <w:color w:val="15181F"/>
          <w:sz w:val="18"/>
          <w:szCs w:val="18"/>
        </w:rPr>
        <w:t xml:space="preserve">Specimen orientation was not agreed with the pathologist before it was sent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100" w:line="276"/>
      </w:pPr>
      <w:r>
        <w:rPr>
          <w:i/>
          <w:iCs/>
          <w:color w:val="5A6069"/>
          <w:sz w:val="17"/>
          <w:szCs w:val="17"/>
        </w:rPr>
        <w:t xml:space="preserve">This is NCCN's algorithm and the order reflects its wording, not a survival comparison — no trial compares these three paths. The one piece of comparative evidence, propensity-matched and retrospective, found no overall survival difference between papillectomy alone and papillectomy followed by surgery for high-grade dysplasia or early carcinoma (89.2% against 82.3% at 5 years, P=0.861), with recurrence-free survival favouring surgery at P=0.052 and 61.4% against 82.6% at P=0.066 in the adenocarcinoma-only subgroup, and margin status the discriminator. That comparison rests on 55 matched patients, never reports T stage, and does not handle the immortal time the surgical arm had to survive to enter it, so it supports surveillance as a defensible option in a margin-negative specimen rather than as an equivalent one.</w:t>
      </w:r>
    </w:p>
    <w:p>
      <w:pPr>
        <w:spacing w:after="50" w:before="120"/>
        <w:ind w:left="240"/>
      </w:pPr>
      <w:r>
        <w:rPr>
          <w:b/>
          <w:bCs/>
          <w:color w:val="15181F"/>
          <w:sz w:val="19"/>
          <w:szCs w:val="19"/>
        </w:rPr>
        <w:t xml:space="preserve">Negative margins, adenoma only — endoscopic surveillance</w:t>
      </w:r>
      <w:r>
        <w:rPr>
          <w:color w:val="5A6069"/>
          <w:sz w:val="15"/>
          <w:szCs w:val="15"/>
        </w:rPr>
        <w:t xml:space="preserve">   grade D</w:t>
      </w:r>
    </w:p>
    <w:p>
      <w:pPr>
        <w:spacing w:after="50" w:line="276"/>
        <w:ind w:left="240"/>
      </w:pPr>
      <w:r>
        <w:rPr>
          <w:color w:val="15181F"/>
          <w:sz w:val="18"/>
          <w:szCs w:val="18"/>
        </w:rPr>
        <w:t xml:space="preserve">NCCN: patients with ampullary adenoma and negative margins after endoscopic removal should be endoscopically observed.</w:t>
      </w:r>
    </w:p>
    <w:p>
      <w:pPr>
        <w:spacing w:after="50" w:line="276"/>
        <w:ind w:left="240"/>
      </w:pPr>
      <w:r>
        <w:rPr>
          <w:color w:val="15181F"/>
          <w:sz w:val="18"/>
          <w:szCs w:val="18"/>
        </w:rPr>
        <w:t xml:space="preserve">A complete en bloc resection with clear deep and lateral margins and no invasive component.</w:t>
      </w:r>
    </w:p>
    <w:p>
      <w:pPr>
        <w:spacing w:after="50"/>
        <w:ind w:left="240"/>
      </w:pPr>
      <w:r>
        <w:rPr>
          <w:b/>
          <w:bCs/>
          <w:color w:val="8C2F26"/>
          <w:sz w:val="18"/>
          <w:szCs w:val="18"/>
        </w:rPr>
        <w:t xml:space="preserve">Caveat. </w:t>
      </w:r>
      <w:r>
        <w:rPr>
          <w:color w:val="15181F"/>
          <w:sz w:val="18"/>
          <w:szCs w:val="18"/>
        </w:rPr>
        <w:t xml:space="preserve">Not a discharge. All patients who have had endoscopic removal or surgical ampullectomy need endoscopic surveillance — only pancreatoduodenectomy for adenoma removes the need.</w:t>
      </w:r>
    </w:p>
    <w:p>
      <w:pPr>
        <w:spacing w:after="60" w:line="276"/>
        <w:ind w:left="240"/>
      </w:pPr>
      <w:r>
        <w:rPr>
          <w:color w:val="5A6069"/>
          <w:sz w:val="16"/>
          <w:szCs w:val="16"/>
        </w:rPr>
        <w:t xml:space="preserve">Sources: Japanese 22-centre papillectomy</w:t>
      </w:r>
    </w:p>
    <w:p>
      <w:pPr>
        <w:spacing w:after="50" w:before="120"/>
        <w:ind w:left="240"/>
      </w:pPr>
      <w:r>
        <w:rPr>
          <w:b/>
          <w:bCs/>
          <w:color w:val="15181F"/>
          <w:sz w:val="19"/>
          <w:szCs w:val="19"/>
        </w:rPr>
        <w:t xml:space="preserve">Positive margins, adenoma only — endoscopic re-excision</w:t>
      </w:r>
      <w:r>
        <w:rPr>
          <w:color w:val="5A6069"/>
          <w:sz w:val="15"/>
          <w:szCs w:val="15"/>
        </w:rPr>
        <w:t xml:space="preserve">   grade D</w:t>
      </w:r>
    </w:p>
    <w:p>
      <w:pPr>
        <w:spacing w:after="50" w:line="276"/>
        <w:ind w:left="240"/>
      </w:pPr>
      <w:r>
        <w:rPr>
          <w:color w:val="15181F"/>
          <w:sz w:val="18"/>
          <w:szCs w:val="18"/>
        </w:rPr>
        <w:t xml:space="preserve">NCCN: patients with positive margins after endoscopic removal can be re-excised, or have surgical ampullectomy or pancreatoduodenectomy.</w:t>
      </w:r>
    </w:p>
    <w:p>
      <w:pPr>
        <w:spacing w:after="50" w:line="276"/>
        <w:ind w:left="240"/>
      </w:pPr>
      <w:r>
        <w:rPr>
          <w:color w:val="15181F"/>
          <w:sz w:val="18"/>
          <w:szCs w:val="18"/>
        </w:rPr>
        <w:t xml:space="preserve">Residual adenoma that is visible and reachable, in a patient who will tolerate repeated procedures. Most non-curative endoscopic resections are salvaged endoscopically.</w:t>
      </w:r>
    </w:p>
    <w:p>
      <w:pPr>
        <w:spacing w:after="50"/>
        <w:ind w:left="240"/>
      </w:pPr>
      <w:r>
        <w:rPr>
          <w:b/>
          <w:bCs/>
          <w:color w:val="8C2F26"/>
          <w:sz w:val="18"/>
          <w:szCs w:val="18"/>
        </w:rPr>
        <w:t xml:space="preserve">Caveat. </w:t>
      </w:r>
      <w:r>
        <w:rPr>
          <w:color w:val="15181F"/>
          <w:sz w:val="18"/>
          <w:szCs w:val="18"/>
        </w:rPr>
        <w:t xml:space="preserve">Do not re-excise repeatedly in a patient whose malignancy risk score was high to begin with, or where the deep margin rather than the lateral margin is the problem.</w:t>
      </w:r>
    </w:p>
    <w:p>
      <w:pPr>
        <w:spacing w:after="60" w:line="276"/>
        <w:ind w:left="240"/>
      </w:pPr>
      <w:r>
        <w:rPr>
          <w:color w:val="5A6069"/>
          <w:sz w:val="16"/>
          <w:szCs w:val="16"/>
        </w:rPr>
        <w:t xml:space="preserve">Sources: Choi 2022; Malignancy risk score</w:t>
      </w:r>
    </w:p>
    <w:p>
      <w:pPr>
        <w:spacing w:after="50" w:before="120"/>
        <w:ind w:left="240"/>
      </w:pPr>
      <w:r>
        <w:rPr>
          <w:b/>
          <w:bCs/>
          <w:color w:val="15181F"/>
          <w:sz w:val="19"/>
          <w:szCs w:val="19"/>
        </w:rPr>
        <w:t xml:space="preserve">Invasive adenocarcinoma in the specimen — pancreatoduodenectomy</w:t>
      </w:r>
      <w:r>
        <w:rPr>
          <w:color w:val="5A6069"/>
          <w:sz w:val="15"/>
          <w:szCs w:val="15"/>
        </w:rPr>
        <w:t xml:space="preserve">   grade D</w:t>
      </w:r>
    </w:p>
    <w:p>
      <w:pPr>
        <w:spacing w:after="50" w:line="276"/>
        <w:ind w:left="240"/>
      </w:pPr>
      <w:r>
        <w:rPr>
          <w:color w:val="15181F"/>
          <w:sz w:val="18"/>
          <w:szCs w:val="18"/>
        </w:rPr>
        <w:t xml:space="preserve">NCCN: where adenocarcinoma is found, pancreatoduodenectomy. Patients who undergo adenoma resection by pancreatoduodenectomy need no surveillance.</w:t>
      </w:r>
    </w:p>
    <w:p>
      <w:pPr>
        <w:spacing w:after="50" w:line="276"/>
        <w:ind w:left="240"/>
      </w:pPr>
      <w:r>
        <w:rPr>
          <w:color w:val="15181F"/>
          <w:sz w:val="18"/>
          <w:szCs w:val="18"/>
        </w:rPr>
        <w:t xml:space="preserve">An unexpected invasive carcinoma, particularly with a positive deep margin, lymphovascular or perineural invasion or poor differentiation. This is gate 5 from here.</w:t>
      </w:r>
    </w:p>
    <w:p>
      <w:pPr>
        <w:spacing w:after="50"/>
        <w:ind w:left="240"/>
      </w:pPr>
      <w:r>
        <w:rPr>
          <w:b/>
          <w:bCs/>
          <w:color w:val="8C2F26"/>
          <w:sz w:val="18"/>
          <w:szCs w:val="18"/>
        </w:rPr>
        <w:t xml:space="preserve">Caveat. </w:t>
      </w:r>
      <w:r>
        <w:rPr>
          <w:color w:val="15181F"/>
          <w:sz w:val="18"/>
          <w:szCs w:val="18"/>
        </w:rPr>
        <w:t xml:space="preserve">A papillectomy specimen cannot stage the nodes, and nodal involvement is frequent even in early T stages — so a decision to stop after papillectomy for invasive disease is a decision to accept unknown nodal status.</w:t>
      </w:r>
    </w:p>
    <w:p>
      <w:pPr>
        <w:spacing w:after="60" w:line="276"/>
        <w:ind w:left="240"/>
      </w:pPr>
      <w:r>
        <w:rPr>
          <w:color w:val="5A6069"/>
          <w:sz w:val="16"/>
          <w:szCs w:val="16"/>
        </w:rPr>
        <w:t xml:space="preserve">Sources: Balci 2015 nodal substaging; Yoon 2022</w:t>
      </w:r>
    </w:p>
    <w:p>
      <w:pPr>
        <w:spacing w:after="60" w:line="276"/>
        <w:ind w:left="240"/>
      </w:pPr>
      <w:r>
        <w:rPr>
          <w:i/>
          <w:iCs/>
          <w:color w:val="5A6069"/>
          <w:sz w:val="16"/>
          <w:szCs w:val="16"/>
        </w:rPr>
        <w:t xml:space="preserve">Ratification item: what does this programme do with an invasive carcinoma found incidentally in a margin-negative papillectomy specimen in a fit patient? NCCN routes it to pancreatoduodenectomy; the Korean propensity-matched data support surveillance in selected margin-negative cases; neither answer is evidence-based and the group needs one position rather than one per endoscopist. Registry: specimen findings, decision taken, recurrence and nodal status at any later resection.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Agree the orientation and the margins with the pathologist before the specimen leaves the room, in writing.</w:t>
      </w:r>
    </w:p>
    <w:p>
      <w:pPr>
        <w:spacing w:after="50" w:line="276"/>
        <w:ind w:left="240"/>
      </w:pPr>
      <w:r>
        <w:rPr>
          <w:color w:val="15181F"/>
          <w:sz w:val="18"/>
          <w:szCs w:val="18"/>
        </w:rPr>
        <w:t xml:space="preserve">Every ampullectomy specimen, endoscopic or surgical. NCCN requires either direct communication between the endoscopist or surgeon and the pathologist, or a clearly documented method on the requisition, marking the deep (radial) margin, the duodenal mucosal margin and any other relevant margin. PERIPAN asks for the size of the invasive carcinoma and the margin status to be reported on ampullectomy specimens, and for the specimen to reach the pathology department fresh and be fixed within about 30 minutes.</w:t>
      </w:r>
    </w:p>
    <w:p>
      <w:pPr>
        <w:spacing w:after="50"/>
        <w:ind w:left="240"/>
      </w:pPr>
      <w:r>
        <w:rPr>
          <w:b/>
          <w:bCs/>
          <w:color w:val="8C2F26"/>
          <w:sz w:val="18"/>
          <w:szCs w:val="18"/>
        </w:rPr>
        <w:t xml:space="preserve">Caveat. </w:t>
      </w:r>
      <w:r>
        <w:rPr>
          <w:color w:val="15181F"/>
          <w:sz w:val="18"/>
          <w:szCs w:val="18"/>
        </w:rPr>
        <w:t xml:space="preserve">Do not let a non-pathologist open or section the specimen, and do not drop a whole specimen into formalin — PERIPAN says both explicitly. If pathology is unavailable, refrigerate.</w:t>
      </w:r>
    </w:p>
    <w:p>
      <w:pPr>
        <w:spacing w:after="50" w:line="276"/>
        <w:ind w:left="240"/>
      </w:pPr>
      <w:r>
        <w:rPr>
          <w:i/>
          <w:iCs/>
          <w:color w:val="5A6069"/>
          <w:sz w:val="17"/>
          <w:szCs w:val="17"/>
        </w:rPr>
        <w:t xml:space="preserve">An indeterminate margin is not a neutral result. In the 798-patient Japanese cohort an indeterminate Rx margin carried a hazard ratio of 2.38 for recurrence against R0 (95% CI 1.49–3.81; reported as 2.30, 1.44–3.68 in that paper's abstract), close to the 2.95 for a frankly positive margin, and by 5 years cumulative recurrence after Rx and after R1 was the same at 34% — so an unreadable margin behaves like a positive one. Rx accounted for 206 of 798 specimens (25.8%), which makes this the commonest ambiguous result in the whole pathway and one on which ESGE offers no recommendation at all. Orientation failures manufacture indeterminate margins. Note too that margin status in that cohort was assessed locally at 22 centres with no central review and no interobserver data, which is an argument for writing the local method down rather than for discounting the finding.</w:t>
      </w:r>
    </w:p>
    <w:p>
      <w:pPr>
        <w:spacing w:after="60" w:line="276"/>
        <w:ind w:left="240"/>
      </w:pPr>
      <w:r>
        <w:rPr>
          <w:color w:val="5A6069"/>
          <w:sz w:val="16"/>
          <w:szCs w:val="16"/>
        </w:rPr>
        <w:t xml:space="preserve">Sources: PERIPAN 2025; Japanese 22-centre papillectomy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Surgical ampullectomy as the intermediate step after a failed endoscopic resection of a benign lesion, at a centre with the expertise — see gate 4.</w:t>
      </w:r>
    </w:p>
    <w:p>
      <w:pPr>
        <w:spacing w:after="50" w:line="276"/>
        <w:ind w:left="240"/>
      </w:pPr>
      <w:r>
        <w:rPr>
          <w:color w:val="15181F"/>
          <w:sz w:val="18"/>
          <w:szCs w:val="18"/>
        </w:rPr>
        <w:t xml:space="preserve">NCCN places surgical ampullectomy between endoscopic re-excision and pancreatoduodenectomy for positive margins after endoscopic removal, and states that it can be chosen at surgical centres where there is expertise for the technique.</w:t>
      </w:r>
    </w:p>
    <w:p>
      <w:pPr>
        <w:spacing w:after="50"/>
        <w:ind w:left="240"/>
      </w:pPr>
      <w:r>
        <w:rPr>
          <w:b/>
          <w:bCs/>
          <w:color w:val="8C2F26"/>
          <w:sz w:val="18"/>
          <w:szCs w:val="18"/>
        </w:rPr>
        <w:t xml:space="preserve">Caveat. </w:t>
      </w:r>
      <w:r>
        <w:rPr>
          <w:color w:val="15181F"/>
          <w:sz w:val="18"/>
          <w:szCs w:val="18"/>
        </w:rPr>
        <w:t xml:space="preserve">Positive margins after a surgical ampullectomy route the patient on to pancreatoduodenectomy in the same NCCN algorithm, so this is a step that can be spent rather than a destination.</w:t>
      </w:r>
    </w:p>
    <w:p>
      <w:pPr>
        <w:spacing w:after="50" w:line="276"/>
        <w:ind w:left="240"/>
      </w:pPr>
      <w:r>
        <w:rPr>
          <w:i/>
          <w:iCs/>
          <w:color w:val="5A6069"/>
          <w:sz w:val="17"/>
          <w:szCs w:val="17"/>
        </w:rPr>
        <w:t xml:space="preserve">In the European cohort, R0 after transduodenal surgical ampullectomy was 90.5% (57 of 63) against 73.1% (416 of 569) after papillectomy (P=0.001), and for adenoma alone 92.9% (53 of 57) against 80.2% (386 of 481, falling to 65.9% once index-session ablation is counted as a probable R2 resection). Two things qualify the comparison. The surgical arm has 63 patients and 6 cancers, so every surgical subgroup figure rests on single-digit numerators, and the only procedure-related death in the study was in that arm. And advanced cancer was found in 36.6% of the surgical specimens against 10.9% of the endoscopic ones, which says as much about who was selected for surgery as about what surgery achieves. [EXPERTISE]</w:t>
      </w:r>
    </w:p>
    <w:p>
      <w:pPr>
        <w:spacing w:after="60" w:line="276"/>
        <w:ind w:left="240"/>
      </w:pPr>
      <w:r>
        <w:rPr>
          <w:color w:val="5A6069"/>
          <w:sz w:val="16"/>
          <w:szCs w:val="16"/>
        </w:rPr>
        <w:t xml:space="preserve">Sources: Pancreas2000 EP vs TSA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record a piecemeal resection as R0.</w:t>
      </w:r>
    </w:p>
    <w:p>
      <w:pPr>
        <w:spacing w:after="50" w:line="276"/>
        <w:ind w:left="240"/>
      </w:pPr>
      <w:r>
        <w:rPr>
          <w:color w:val="15181F"/>
          <w:sz w:val="18"/>
          <w:szCs w:val="18"/>
        </w:rPr>
        <w:t xml:space="preserve">Call it what it is, and let the surveillance interval and the conversion discussion follow from that.</w:t>
      </w:r>
    </w:p>
    <w:p>
      <w:pPr>
        <w:spacing w:after="50"/>
        <w:ind w:left="240"/>
      </w:pPr>
      <w:r>
        <w:rPr>
          <w:b/>
          <w:bCs/>
          <w:color w:val="8C2F26"/>
          <w:sz w:val="18"/>
          <w:szCs w:val="18"/>
        </w:rPr>
        <w:t xml:space="preserve">Caveat. </w:t>
      </w:r>
      <w:r>
        <w:rPr>
          <w:color w:val="15181F"/>
          <w:sz w:val="18"/>
          <w:szCs w:val="18"/>
        </w:rPr>
        <w:t xml:space="preserve">Piecemeal resection independently predicted both late recurrence (odds ratio 6.610, P=0.005) and non-curative resection (5.424, P=0.007), and the margin it leaves cannot be assessed. An R-status assigned to an unassessable margin is the start of an avoidable recurrence.</w:t>
      </w:r>
    </w:p>
    <w:p>
      <w:pPr>
        <w:spacing w:after="60" w:line="276"/>
        <w:ind w:left="240"/>
      </w:pPr>
      <w:r>
        <w:rPr>
          <w:color w:val="5A6069"/>
          <w:sz w:val="16"/>
          <w:szCs w:val="16"/>
        </w:rPr>
        <w:t xml:space="preserve">Sources: Japanese 22-centre papillectomy; Choi 2022</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The benign lesion endoscopy cannot clear — ampullectomy or Whipple</w:t>
      </w:r>
    </w:p>
    <w:p>
      <w:pPr>
        <w:spacing w:after="140"/>
      </w:pPr>
      <w:r>
        <w:rPr>
          <w:b/>
          <w:bCs/>
          <w:color w:val="176A87"/>
          <w:sz w:val="19"/>
          <w:szCs w:val="19"/>
        </w:rPr>
        <w:t xml:space="preserve">The question. </w:t>
      </w:r>
      <w:r>
        <w:rPr>
          <w:sz w:val="19"/>
          <w:szCs w:val="19"/>
        </w:rPr>
        <w:t xml:space="preserve">Is a transduodenal ampullectomy the right-sized operation here, or am I about to under-treat a cancer I have not found?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Adenoma not clearable endoscopically — size, diverticulum, intraductal extension over 20 mm, or repeated positive margins</w:t>
      </w:r>
    </w:p>
    <w:p>
      <w:pPr>
        <w:pStyle w:val="ListParagraph"/>
        <w:numPr>
          <w:ilvl w:val="0"/>
          <w:numId w:val="2"/>
        </w:numPr>
        <w:spacing w:after="60" w:line="268"/>
      </w:pPr>
      <w:r>
        <w:rPr>
          <w:color w:val="15181F"/>
          <w:sz w:val="18"/>
          <w:szCs w:val="18"/>
        </w:rPr>
        <w:t xml:space="preserve">No invasive carcinoma demonstrated, and a malignancy risk score that is not high</w:t>
      </w:r>
    </w:p>
    <w:p>
      <w:pPr>
        <w:pStyle w:val="ListParagraph"/>
        <w:numPr>
          <w:ilvl w:val="0"/>
          <w:numId w:val="2"/>
        </w:numPr>
        <w:spacing w:after="60" w:line="268"/>
      </w:pPr>
      <w:r>
        <w:rPr>
          <w:color w:val="15181F"/>
          <w:sz w:val="18"/>
          <w:szCs w:val="18"/>
        </w:rPr>
        <w:t xml:space="preserve">Patient fit for a transduodenal operation, at a centre that performs them</w:t>
      </w:r>
    </w:p>
    <w:p>
      <w:pPr>
        <w:pStyle w:val="ListParagraph"/>
        <w:numPr>
          <w:ilvl w:val="0"/>
          <w:numId w:val="2"/>
        </w:numPr>
        <w:spacing w:after="60" w:line="268"/>
      </w:pPr>
      <w:r>
        <w:rPr>
          <w:color w:val="15181F"/>
          <w:sz w:val="18"/>
          <w:szCs w:val="18"/>
        </w:rPr>
        <w:t xml:space="preserve">An ampullary neuroendocrine tumour — which is a different decision and belongs with resection</w:t>
      </w:r>
    </w:p>
    <w:p>
      <w:pPr>
        <w:pStyle w:val="ListParagraph"/>
        <w:numPr>
          <w:ilvl w:val="0"/>
          <w:numId w:val="2"/>
        </w:numPr>
        <w:spacing w:after="60" w:line="268"/>
      </w:pPr>
      <w:r>
        <w:rPr>
          <w:color w:val="15181F"/>
          <w:sz w:val="18"/>
          <w:szCs w:val="18"/>
        </w:rPr>
        <w:t xml:space="preserve">Familial adenomatous polyposis with Spigelman stage IV disease unsuitable for endoscopic therapy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proportionality to the demonstrated disease, not by survival — overall survival was comparable between the endoscopic and transduodenal routes in the only matched comparison, and no study compares transduodenal ampullectomy with pancreatoduodenectomy for benign disease in a way that controls selection. NCCN's own text is candid that the few direct comparisons of pancreatoduodenectomy and surgical ampullectomy contain too few ampullectomies to support a conclusion, and that attempts to establish standard indications for ampullectomy have not settled the criteria.</w:t>
      </w:r>
    </w:p>
    <w:p>
      <w:pPr>
        <w:spacing w:after="50" w:before="120"/>
        <w:ind w:left="240"/>
      </w:pPr>
      <w:r>
        <w:rPr>
          <w:b/>
          <w:bCs/>
          <w:color w:val="15181F"/>
          <w:sz w:val="19"/>
          <w:szCs w:val="19"/>
        </w:rPr>
        <w:t xml:space="preserve">Transduodenal surgical ampullectomy</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lists surgical ampullectomy for an adenoma with positive margins after endoscopic removal and states it can be chosen at surgical centres where there is expertise for the technique; it does not list it for invasive carcinoma.</w:t>
      </w:r>
    </w:p>
    <w:p>
      <w:pPr>
        <w:spacing w:after="50" w:line="276"/>
        <w:ind w:left="240"/>
      </w:pPr>
      <w:r>
        <w:rPr>
          <w:color w:val="15181F"/>
          <w:sz w:val="18"/>
          <w:szCs w:val="18"/>
        </w:rPr>
        <w:t xml:space="preserve">A demonstrably benign adenoma that endoscopy cannot clear, in a patient in whom a pancreatoduodenectomy is a disproportionate operation. In the largest comparison — 569 papillectomies against 63 transduodenal ampullectomies drawn from a 1,673-patient European database of 58 centres — R0 was 90.5% against 73.1% (P=0.001), and for adenoma alone 92.9% against 80.2% (P=0.01); recurrence after a histological R0 was 2 of 63 (3.2%) against 82 of 512 (16.0%), P=0.01; severe adverse events were 2 of 63 (3.2%) against 11 of 569 (1.9%), P=0.38. In 62 propensity-matched pairs, R0 was 90.3% against 72.6% (P=0.02), recurrence 3.2% against 8.0% (P=0.07), reinterventions were more frequent after papillectomy, and overall survival was comparable. The burden difference is the one unambiguous finding: median procedure time 227.5 against 30 minutes and median hospital stay 14 against 3 days (both P&lt;0.001).</w:t>
      </w:r>
    </w:p>
    <w:p>
      <w:pPr>
        <w:spacing w:after="50"/>
        <w:ind w:left="240"/>
      </w:pPr>
      <w:r>
        <w:rPr>
          <w:b/>
          <w:bCs/>
          <w:color w:val="8C2F26"/>
          <w:sz w:val="18"/>
          <w:szCs w:val="18"/>
        </w:rPr>
        <w:t xml:space="preserve">Caveat. </w:t>
      </w:r>
      <w:r>
        <w:rPr>
          <w:color w:val="15181F"/>
          <w:sz w:val="18"/>
          <w:szCs w:val="18"/>
        </w:rPr>
        <w:t xml:space="preserve">Not for invasive carcinoma, and not for an ampullary neuroendocrine tumour. Downgraded to grade D because the comparison that favours this operation is built in a way that favours it. The 62 matched pairs are 98.4% of the eligible surgical patients but only 10.9% of the eligible papillectomy patients, so the surgical arm is its whole population while the endoscopic arm is a 1-in-9 selection chosen to resemble it. Matching omitted intraductal extension, duct dilation and index-session ablation — the variables that most obviously drive both the choice of procedure and the chance of R0 — and intrabiliary extension and duct dilation still differed after matching (21% against 8.1%, P=0.01; 45.2% against 30.6%, P=0.001). Follow-up was 37.5 against 15.5 months after matching (P=0.006) and surveillance was asymmetric, with endoscopic patients routinely re-scoped and biopsied and surgical patients not, so the recurrence comparison is not a like-for-like one and no time-to-event analysis of recurrence is presented. The R0 comparison is between a fragmented endoscopic specimen and an intact surgical one read by local pathologists at 58 centres over 14 years with no central review, which structurally favours surgery. With 63 surgical patients, 6 cancers and 1 against 2 severe adverse events in the matched arms, the safety comparison has no power to detect the morbidity difference that drives the clinical choice. On neuroendocrine tumours, a 14-patient single-institution retrospective series reported R0 in all 8 pancreatoduodenectomy patients against 3 of the 4 transduodenal cases with a reported margin (75%), and nodal involvement in 7 of 8 (88%) after pancreatoduodenectomy against 1 of 6 after transduodenal resection, where nodes were examined in only 1 of the 6, and concluded that the transduodenal approach may provide an inadequate oncological resection and can understage these tumours.</w:t>
      </w:r>
    </w:p>
    <w:p>
      <w:pPr>
        <w:spacing w:after="60" w:line="276"/>
        <w:ind w:left="240"/>
      </w:pPr>
      <w:r>
        <w:rPr>
          <w:color w:val="5A6069"/>
          <w:sz w:val="16"/>
          <w:szCs w:val="16"/>
        </w:rPr>
        <w:t xml:space="preserve">Sources: Pancreas2000 EP vs TSA; Ampullary NET operation</w:t>
      </w:r>
    </w:p>
    <w:p>
      <w:pPr>
        <w:spacing w:after="50" w:before="120"/>
        <w:ind w:left="240"/>
      </w:pPr>
      <w:r>
        <w:rPr>
          <w:b/>
          <w:bCs/>
          <w:color w:val="15181F"/>
          <w:sz w:val="19"/>
          <w:szCs w:val="19"/>
        </w:rPr>
        <w:t xml:space="preserve">Pancreatoduodenectomy for a benign or premalignant lesion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if endoscopic removal is not possible, pancreatoduodenectomy can be performed; and patients with positive margins after ampullectomy can go on to pancreatoduodenectomy. Patients who have an adenoma resected by pancreatoduodenectomy do not need surveillance.</w:t>
      </w:r>
    </w:p>
    <w:p>
      <w:pPr>
        <w:spacing w:after="50" w:line="276"/>
        <w:ind w:left="240"/>
      </w:pPr>
      <w:r>
        <w:rPr>
          <w:color w:val="15181F"/>
          <w:sz w:val="18"/>
          <w:szCs w:val="18"/>
        </w:rPr>
        <w:t xml:space="preserve">A high malignancy risk score, repeated failed endoscopic and transduodenal attempts, or Spigelman stage IV polyposis not suitable for endoscopic therapy. In the 127-patient multi-institutional series of non-familial periampullary adenomas taken to pancreatoduodenectomy, 59 (46.4%) proved malignant — so in a selected high-risk group this is often the correct cancer operation performed before the cancer was proven. The authors concede the selection plainly: every patient in that cohort had already been judged to need a Whipple, the true denominator including patients managed endoscopically or by transduodenal resection is unknown, and their own earlier single-centre figure was 29%.</w:t>
      </w:r>
    </w:p>
    <w:p>
      <w:pPr>
        <w:spacing w:after="50"/>
        <w:ind w:left="240"/>
      </w:pPr>
      <w:r>
        <w:rPr>
          <w:b/>
          <w:bCs/>
          <w:color w:val="8C2F26"/>
          <w:sz w:val="18"/>
          <w:szCs w:val="18"/>
        </w:rPr>
        <w:t xml:space="preserve">Caveat. </w:t>
      </w:r>
      <w:r>
        <w:rPr>
          <w:color w:val="15181F"/>
          <w:sz w:val="18"/>
          <w:szCs w:val="18"/>
        </w:rPr>
        <w:t xml:space="preserve">Do not use it as the default for a low-risk adenoma. In that same series the patients at no or low risk of malignancy had more major postoperative complications than the intermediate and high-risk groups, although across the three strata as defined the difference was not significant (51.7%, 27.1% and 29.4%, P=0.11) and reached significance only after the strata were collapsed at a score of 3 and adjusted (odds ratio 2.9, 95% CI 1.01–8.6, P=0.047); the published malignancy rates per stratum appear three different ways in the same paper. The quoted morbidity and mortality for pancreatoduodenectomy in ampullary disease are 27%–59% and 2%–10%, and the operation also carries a higher fistula risk here than in non-ampullary disease — clinically relevant fistula in 83 of 310 ampullary resections (26.8%) against 557 of 4,722 non-ampullary (11.8%), odds ratio 2.73 (95% CI 2.09–3.57), on a cross-dataset comparison rather than a within-cohort one.</w:t>
      </w:r>
    </w:p>
    <w:p>
      <w:pPr>
        <w:spacing w:after="60" w:line="276"/>
        <w:ind w:left="240"/>
      </w:pPr>
      <w:r>
        <w:rPr>
          <w:color w:val="5A6069"/>
          <w:sz w:val="16"/>
          <w:szCs w:val="16"/>
        </w:rPr>
        <w:t xml:space="preserve">Sources: Malignancy risk score; Soons 2021 FAP duodenum</w:t>
      </w:r>
    </w:p>
    <w:p>
      <w:pPr>
        <w:spacing w:after="60" w:line="276"/>
        <w:ind w:left="240"/>
      </w:pPr>
      <w:r>
        <w:rPr>
          <w:i/>
          <w:iCs/>
          <w:color w:val="5A6069"/>
          <w:sz w:val="16"/>
          <w:szCs w:val="16"/>
        </w:rPr>
        <w:t xml:space="preserve">Ratification item: does this programme offer transduodenal ampullectomy at all, and under what written criteria? NCCN makes it conditional on local expertise and lists no indications, and the indication criteria remain undetermined in the literature. The European data do favour it over papillectomy on R0 and recurrence, but the matched analysis pairs 98.4% of the eligible surgical population with a 1-in-9 selection of the eligible endoscopic population, follow-up was more than twice as long in the surgical arm (37.5 against 15.5 months after matching, P=0.006), and endoscopic patients were routinely re-scoped with scar biopsies while surgical patients were not — so the recurrence gap is inflated by design. 36.6% of the surgical specimens held advanced cancer and 14.8% held no neoplasm at all. An operation offered without written criteria will be offered inconsistently. Audit: indication, final histology, R status, recurrence, reintervention.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Pancreas-preserving duodenectomy in familial adenomatous polyposis with uncontrollable benign duodenal disease.</w:t>
      </w:r>
    </w:p>
    <w:p>
      <w:pPr>
        <w:spacing w:after="50" w:line="276"/>
        <w:ind w:left="240"/>
      </w:pPr>
      <w:r>
        <w:rPr>
          <w:color w:val="15181F"/>
          <w:sz w:val="18"/>
          <w:szCs w:val="18"/>
        </w:rPr>
        <w:t xml:space="preserve">Spigelman stage IV disease without malignancy, where endoscopic therapy can no longer control the duodenum. Pancreatoduodenectomy is the operation when duodenal cancer is present, and an intraoperative frozen section can decide between them when malignancy is in doubt.</w:t>
      </w:r>
    </w:p>
    <w:p>
      <w:pPr>
        <w:spacing w:after="50"/>
        <w:ind w:left="240"/>
      </w:pPr>
      <w:r>
        <w:rPr>
          <w:b/>
          <w:bCs/>
          <w:color w:val="8C2F26"/>
          <w:sz w:val="18"/>
          <w:szCs w:val="18"/>
        </w:rPr>
        <w:t xml:space="preserve">Caveat. </w:t>
      </w:r>
      <w:r>
        <w:rPr>
          <w:color w:val="15181F"/>
          <w:sz w:val="18"/>
          <w:szCs w:val="18"/>
        </w:rPr>
        <w:t xml:space="preserve">Counsel against the morbidity honestly: reported in-hospital morbidity is 49% regardless of indication, with other series at 60%–76%, long-term pancreatitis 16%–21% and exocrine insufficiency 30%–60%, and 30-day mortality from 2% to 29%. Adenomas in the neo-duodenum are eventually found in 50%–78% of patients at a median of 46 to 75 months, so the operation does not end surveillance, and 3 of 47 patients (6.4%) in one series developed adenocarcinoma afterwards at a median of 9.25 years. All of these figures reach this page through a narrative review that reports them as unweighted ranges across series of 6 to 49 patients, with no protocol, no risk-of-bias appraisal and no pooling — use them to frame the conversation, not to quote a number.</w:t>
      </w:r>
    </w:p>
    <w:p>
      <w:pPr>
        <w:spacing w:after="50" w:line="276"/>
        <w:ind w:left="240"/>
      </w:pPr>
      <w:r>
        <w:rPr>
          <w:i/>
          <w:iCs/>
          <w:color w:val="5A6069"/>
          <w:sz w:val="17"/>
          <w:szCs w:val="17"/>
        </w:rPr>
        <w:t xml:space="preserve">There is no long-term evidence that endoscopic therapy reduces cancer risk or prevents this operation. The review that sets this out is blunt about it: across 7 cohort studies published in a decade, totalling 181 polyposis patients, five reported residual or recurrent disease in 78%–100% of non-ampullary and 15%–38% of ampullary disease, one found that stage IV patients downstaged by endoscopic therapy subsequently progressed faster than patients with primary progression, and only one reported duodenal adenocarcinoma after endoscopic therapy at all. Its authors go as far as to suggest it may be time to reconsider the use of endoscopic therapy in these patients. That is why the choice belongs in a multidisciplinary discussion with the patient rather than in an algorithm. [EXPERTISE]</w:t>
      </w:r>
    </w:p>
    <w:p>
      <w:pPr>
        <w:spacing w:after="60" w:line="276"/>
        <w:ind w:left="240"/>
      </w:pPr>
      <w:r>
        <w:rPr>
          <w:color w:val="5A6069"/>
          <w:sz w:val="16"/>
          <w:szCs w:val="16"/>
        </w:rPr>
        <w:t xml:space="preserve">Sources: Soons 2021 FAP duodenum; ESGE polyposis 2019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transduodenal ampullectomy for invasive carcinoma in order to avoid a pancreatoduodenectomy.</w:t>
      </w:r>
    </w:p>
    <w:p>
      <w:pPr>
        <w:spacing w:after="50" w:line="276"/>
        <w:ind w:left="240"/>
      </w:pPr>
      <w:r>
        <w:rPr>
          <w:color w:val="15181F"/>
          <w:sz w:val="18"/>
          <w:szCs w:val="18"/>
        </w:rPr>
        <w:t xml:space="preserve">If the lesion is an invasive adenocarcinoma, the operation is a pancreatoduodenectomy with regional lymphadenectomy — gate 5.</w:t>
      </w:r>
    </w:p>
    <w:p>
      <w:pPr>
        <w:spacing w:after="50"/>
        <w:ind w:left="240"/>
      </w:pPr>
      <w:r>
        <w:rPr>
          <w:b/>
          <w:bCs/>
          <w:color w:val="8C2F26"/>
          <w:sz w:val="18"/>
          <w:szCs w:val="18"/>
        </w:rPr>
        <w:t xml:space="preserve">Caveat. </w:t>
      </w:r>
      <w:r>
        <w:rPr>
          <w:color w:val="15181F"/>
          <w:sz w:val="18"/>
          <w:szCs w:val="18"/>
        </w:rPr>
        <w:t xml:space="preserve">It cannot stage the nodes, and nodal status is the dominant prognostic variable: in 313 pathologically re-reviewed ampullary resections, median overall survival was 107.5 months for node-negative against 32 months for node-positive disease (P&lt;0.0001), with 45% node positive on a median of 11 nodes examined. A National Cancer Database analysis of 8,127 resections, cited here from its abstract only because the full text was not obtained, reports lymph node metastasis in 56.7%. NCCN's own summary is that ampullectomy has lower morbidity and mortality but a higher recurrence rate, and the European comparison bears that out at the extreme: of 88 invasive cancers treated endoscopically, R0 was achieved in 30 (34.1%), and endotherapy alone succeeded in 34 of 75 T1a (45.3%) and 5 of 13 T1b cancers (38.5%) — it failed in roughly two-thirds of T1 disease.</w:t>
      </w:r>
    </w:p>
    <w:p>
      <w:pPr>
        <w:spacing w:after="60" w:line="276"/>
        <w:ind w:left="240"/>
      </w:pPr>
      <w:r>
        <w:rPr>
          <w:color w:val="5A6069"/>
          <w:sz w:val="16"/>
          <w:szCs w:val="16"/>
        </w:rPr>
        <w:t xml:space="preserve">Sources: Balci 2015 nodal substaging; Node yield, NCDB; Ampullary NET operation; Pancreas2000 EP vs TSA</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Pancreatoduodenectomy for invasive carcinoma</w:t>
      </w:r>
    </w:p>
    <w:p>
      <w:pPr>
        <w:spacing w:after="140"/>
      </w:pPr>
      <w:r>
        <w:rPr>
          <w:b/>
          <w:bCs/>
          <w:color w:val="176A87"/>
          <w:sz w:val="19"/>
          <w:szCs w:val="19"/>
        </w:rPr>
        <w:t xml:space="preserve">The question. </w:t>
      </w:r>
      <w:r>
        <w:rPr>
          <w:sz w:val="19"/>
          <w:szCs w:val="19"/>
        </w:rPr>
        <w:t xml:space="preserve">Can I take this out with a clear margin, harvest enough nodes to stage it honestly, and will the pathology report answer the adjuvant question?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Invasive ampullary adenocarcinoma, or a lesion whose malignancy risk makes a cancer operation correct</w:t>
      </w:r>
    </w:p>
    <w:p>
      <w:pPr>
        <w:pStyle w:val="ListParagraph"/>
        <w:numPr>
          <w:ilvl w:val="0"/>
          <w:numId w:val="2"/>
        </w:numPr>
        <w:spacing w:after="60" w:line="268"/>
      </w:pPr>
      <w:r>
        <w:rPr>
          <w:color w:val="15181F"/>
          <w:sz w:val="18"/>
          <w:szCs w:val="18"/>
        </w:rPr>
        <w:t xml:space="preserve">No peritoneal, hepatic or distant nodal metastases on staging or at operation</w:t>
      </w:r>
    </w:p>
    <w:p>
      <w:pPr>
        <w:pStyle w:val="ListParagraph"/>
        <w:numPr>
          <w:ilvl w:val="0"/>
          <w:numId w:val="2"/>
        </w:numPr>
        <w:spacing w:after="60" w:line="268"/>
      </w:pPr>
      <w:r>
        <w:rPr>
          <w:color w:val="15181F"/>
          <w:sz w:val="18"/>
          <w:szCs w:val="18"/>
        </w:rPr>
        <w:t xml:space="preserve">Patient fit for pancreatoduodenectomy with reconstruction</w:t>
      </w:r>
    </w:p>
    <w:p>
      <w:pPr>
        <w:pStyle w:val="ListParagraph"/>
        <w:numPr>
          <w:ilvl w:val="0"/>
          <w:numId w:val="2"/>
        </w:numPr>
        <w:spacing w:after="60" w:line="268"/>
      </w:pPr>
      <w:r>
        <w:rPr>
          <w:color w:val="15181F"/>
          <w:sz w:val="18"/>
          <w:szCs w:val="18"/>
        </w:rPr>
        <w:t xml:space="preserve">High-volume centre, with a pathologist briefed on orientation and margins</w:t>
      </w:r>
    </w:p>
    <w:p>
      <w:pPr>
        <w:pStyle w:val="ListParagraph"/>
        <w:numPr>
          <w:ilvl w:val="0"/>
          <w:numId w:val="2"/>
        </w:numPr>
        <w:spacing w:after="60" w:line="268"/>
      </w:pPr>
      <w:r>
        <w:rPr>
          <w:color w:val="15181F"/>
          <w:sz w:val="18"/>
          <w:szCs w:val="18"/>
        </w:rPr>
        <w:t xml:space="preserve">Biliary stent only where gate 0's indications were met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Pancreatoduodenectomy with standard regional lymphadenectomy, dissecting the SMA margin meticulously and treating margin status as the thing that is actually in your hands.</w:t>
      </w:r>
    </w:p>
    <w:p>
      <w:pPr>
        <w:spacing w:after="50" w:line="276"/>
        <w:ind w:left="240"/>
      </w:pPr>
      <w:r>
        <w:rPr>
          <w:color w:val="15181F"/>
          <w:sz w:val="18"/>
          <w:szCs w:val="18"/>
        </w:rPr>
        <w:t xml:space="preserve">Every resectable invasive ampullary adenocarcinoma. NCCN's goals are an R0 resection with regional nodes, meticulous perivascular dissection as for pancreatic cancer, recognition of the need for venous resection and reconstruction, and intraoperative exclusion of peritoneal, liver and distant nodal disease. Reported 5-year survival after pancreatoduodenectomy for ampullary adenocarcinoma is 32% to 78%, with morbidity 27%–59% and mortality 2%–10%.</w:t>
      </w:r>
    </w:p>
    <w:p>
      <w:pPr>
        <w:spacing w:after="50"/>
        <w:ind w:left="240"/>
      </w:pPr>
      <w:r>
        <w:rPr>
          <w:b/>
          <w:bCs/>
          <w:color w:val="8C2F26"/>
          <w:sz w:val="18"/>
          <w:szCs w:val="18"/>
        </w:rPr>
        <w:t xml:space="preserve">Caveat. </w:t>
      </w:r>
      <w:r>
        <w:rPr>
          <w:color w:val="15181F"/>
          <w:sz w:val="18"/>
          <w:szCs w:val="18"/>
        </w:rPr>
        <w:t xml:space="preserve">Do not treat the margin as a reporting formality. In 313 ampullary resections, surgical margin positivity correlated with nodal stage (P=0.001). Under the CAP protocol tumour at or within 1 mm of a margin is a positive margin, but NCCN states plainly that this is extrapolated from rectal cancer data and that there is currently a lack of definitive evidence for what constitutes an adequate margin in ampullary resection specimens. NCCN suggests frozen section of the pancreatic neck and bile duct about 5 mm back from the transection to avoid cautery artefact, and further excision to achieve 5 mm of clearance if tumour is within that distance.</w:t>
      </w:r>
    </w:p>
    <w:p>
      <w:pPr>
        <w:spacing w:after="50" w:line="276"/>
        <w:ind w:left="240"/>
      </w:pPr>
      <w:r>
        <w:rPr>
          <w:i/>
          <w:iCs/>
          <w:color w:val="5A6069"/>
          <w:sz w:val="17"/>
          <w:szCs w:val="17"/>
        </w:rPr>
        <w:t xml:space="preserve">Prognostic factors across series are lymphovascular invasion, perineural invasion, size and stage, ulceration, differentiation, nodal burden and margin status, but the data vary widely. Perineural invasion is the clearest of them in NCCN's own summary: median survival 18.7 against 51.9 months with and without it in 70 patients (P=0.001), and 5-year survival 36.8% against 72.1% in 89 patients (P&lt;0.001). One ampullary-specific operative point from the multi-institutional adjuvant series is worth knowing before consent: ampullary pancreatoduodenectomy carried a higher fistula risk than non-ampullary, with a mean Fistula Risk Score of 4.3 against 3.6 and a soft gland in 73.9% against 52.9% (both P&lt;0.001), and clinically relevant postoperative pancreatic fistula in 83 of 310 (26.8%) against 557 of 4,722 (11.8%), odds ratio 2.73 (95% CI 2.09–3.57) — a comparison made against a separate fistula-study dataset with no matching for era, centre or surgeon, so treat the direction as real and the magnitude as approximate. [EXPERTISE]</w:t>
      </w:r>
    </w:p>
    <w:p>
      <w:pPr>
        <w:spacing w:after="60" w:line="276"/>
        <w:ind w:left="240"/>
      </w:pPr>
      <w:r>
        <w:rPr>
          <w:color w:val="5A6069"/>
          <w:sz w:val="16"/>
          <w:szCs w:val="16"/>
        </w:rPr>
        <w:t xml:space="preserve">Sources: PERIPAN 2025; Balci 2015 nodal substaging; Ecker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Harvest and count the nodes, and report the number involved rather than only node-positive or node-negative.</w:t>
      </w:r>
    </w:p>
    <w:p>
      <w:pPr>
        <w:spacing w:after="50" w:line="276"/>
        <w:ind w:left="240"/>
      </w:pPr>
      <w:r>
        <w:rPr>
          <w:color w:val="15181F"/>
          <w:sz w:val="18"/>
          <w:szCs w:val="18"/>
        </w:rPr>
        <w:t xml:space="preserve">Every resection. A National Cancer Database analysis of 8,127 ampullary resections placed the inflection point in the survival hazard at 20 examined nodes and concluded that a minimum of 20 is needed to stratify prognosis and minimise stage migration, with the log-odds nodal classification the most prognostic of the four schemes tested; that paper is cited here from its abstract only, because the full text was not obtained, so the derivation of the threshold cannot be inspected. PERIPAN, finding no ampullary-specific evidence, recommends adhering to the same minimum lymph node yield as for pancreatic cancer — where groups have proposed 11 to 17 as a quality indicator — until better data exist, and recommends revisiting the specimen and submitting more tissue when the count falls short.</w:t>
      </w:r>
    </w:p>
    <w:p>
      <w:pPr>
        <w:spacing w:after="50"/>
        <w:ind w:left="240"/>
      </w:pPr>
      <w:r>
        <w:rPr>
          <w:b/>
          <w:bCs/>
          <w:color w:val="8C2F26"/>
          <w:sz w:val="18"/>
          <w:szCs w:val="18"/>
        </w:rPr>
        <w:t xml:space="preserve">Caveat. </w:t>
      </w:r>
      <w:r>
        <w:rPr>
          <w:color w:val="15181F"/>
          <w:sz w:val="18"/>
          <w:szCs w:val="18"/>
        </w:rPr>
        <w:t xml:space="preserve">Do not read a low count as reassurance, and do not read nodal substaging as a settled gain. In 313 pathologically verified resections the median number of nodes examined was 11, only 150 (48%) had 12 or more, and 45% were node positive overall but 56% among those with 12 or more examined. Substaging by metastatic node number gave median survival of 107.5 months for N0, 40 months for one to two involved nodes and 24.5 months for three or more (P&lt;0.0001), with 5-year survival 62%, 31.5% and 30% and adjusted hazard ratios of 1.6 (95% CI 1.1–2.4) and 1.9 (1.1–3.2), P for trend 0.018 — a modest effect whose lower confidence bounds nearly touch 1. The N1 and N2 5-year estimates are essentially identical, which is the comparison clinicians actually use. AJCC 8th edition uses one to three and four or more as its N1 and N2 boundaries.</w:t>
      </w:r>
    </w:p>
    <w:p>
      <w:pPr>
        <w:spacing w:after="50" w:line="276"/>
        <w:ind w:left="240"/>
      </w:pPr>
      <w:r>
        <w:rPr>
          <w:i/>
          <w:iCs/>
          <w:color w:val="5A6069"/>
          <w:sz w:val="17"/>
          <w:szCs w:val="17"/>
        </w:rPr>
        <w:t xml:space="preserve">Two findings from the full text of that nodal series change how it should be quoted. First, the clean N0-versus-N1 separation does not survive adequate sampling: restricted to the 150 patients with 12 or more nodes examined, median survival was not reached for N0, 74 months for N1 and 29 months for N2 (P=0.02) with 5-year survival 64%, 52% and 38% — the N0 and N1 curves converge, which implies that part of the apparent value of substaging in the whole cohort comes from understaging in the half with fewer than 12 nodes. The authors note the convergence and still recommend the scheme. Second, adjuvant therapy data were not available at all, and node-positive patients are precisely those most likely to have received chemotherapy, so the N1 and N2 hazard ratios are confounded by treatment in an unknown direction. N2 cases were also markedly over-represented at the one institution using a different gross dissection method (26% against 13.5%), so the N1/N2 split is partly a marker of which laboratory handled the specimen. Nodal risk rises steeply with T stage in the series NCCN tabulates — 28.0%, 50.9%, 71.7% and 77.3% for T1 to T4 in one of 450 patients, and 11.3%, 28.4%, 43.8% and 100% in another of 259 — which is also why a papillectomy for invasive disease leaves a real question unanswered.</w:t>
      </w:r>
    </w:p>
    <w:p>
      <w:pPr>
        <w:spacing w:after="60" w:line="276"/>
        <w:ind w:left="240"/>
      </w:pPr>
      <w:r>
        <w:rPr>
          <w:color w:val="5A6069"/>
          <w:sz w:val="16"/>
          <w:szCs w:val="16"/>
        </w:rPr>
        <w:t xml:space="preserve">Sources: Node yield, NCDB; Balci 2015 nodal substaging; PERIPAN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Neoadjuvant systemic therapy, with or without subsequent chemoradiation, in a patient with high-risk features — presented as a selection exercise, not as a survival benefit.</w:t>
      </w:r>
    </w:p>
    <w:p>
      <w:pPr>
        <w:spacing w:after="50" w:line="276"/>
        <w:ind w:left="240"/>
      </w:pPr>
      <w:r>
        <w:rPr>
          <w:color w:val="15181F"/>
          <w:sz w:val="18"/>
          <w:szCs w:val="18"/>
        </w:rPr>
        <w:t xml:space="preserve">NCCN's high-risk features are equivocal or indeterminate imaging findings, markedly elevated CA 19-9 or CEA, large primary tumours, large regional nodes, excessive weight loss and extreme pain. Regimens differ by presumed subtype: CapeOx, FOLFIRINOX or FOLFOX for intestinal type; albumin-bound paclitaxel–gemcitabine, capecitabine–gemcitabine, cisplatin–gemcitabine or FOLFIRINOX for pancreatobiliary and mixed type. Repeat pancreatic-protocol CT or MRI afterwards, then operate if still resectable.</w:t>
      </w:r>
    </w:p>
    <w:p>
      <w:pPr>
        <w:spacing w:after="50"/>
        <w:ind w:left="240"/>
      </w:pPr>
      <w:r>
        <w:rPr>
          <w:b/>
          <w:bCs/>
          <w:color w:val="8C2F26"/>
          <w:sz w:val="18"/>
          <w:szCs w:val="18"/>
        </w:rPr>
        <w:t xml:space="preserve">Caveat. </w:t>
      </w:r>
      <w:r>
        <w:rPr>
          <w:color w:val="15181F"/>
          <w:sz w:val="18"/>
          <w:szCs w:val="18"/>
        </w:rPr>
        <w:t xml:space="preserve">Do not offer it as a treatment effect. In the largest series NCCN cites — 8,688 ampullary cancers with 175 receiving neoadjuvant therapy — median overall survival was 43 against 33 months with surgery first and the difference was not significant (P=0.416), and the neoadjuvant patients were younger and more often node-positive. Neoadjuvant use runs at only 1%–4% of resections, downstaging occurred in 15%–67% of tumours, and NCCN states there is limited evidence to recommend specific neoadjuvant regimens off-study and that there are no prospective randomised phase III data behind these recommendations. Name the borrowing when you offer a regimen: modified FOLFIRINOX comes from PRODIGE-24, a trial of resected pancreatic </w:t>
      </w:r>
      <w:r>
        <w:rPr>
          <w:i/>
          <w:iCs/>
          <w:color w:val="15181F"/>
          <w:sz w:val="18"/>
          <w:szCs w:val="18"/>
        </w:rPr>
        <w:t xml:space="preserve">ductal</w:t>
      </w:r>
      <w:r>
        <w:rPr>
          <w:color w:val="15181F"/>
          <w:sz w:val="18"/>
          <w:szCs w:val="18"/>
        </w:rPr>
        <w:t xml:space="preserve"> adenocarcinoma that excluded nonductal pancreatic tumours by design, restricted entry to WHO performance status 0–1, age under 80 and CA 19-9 under 180 U/mL, and produced grade 3 or 4 toxicity in 75.9% of patients — with no disease-free survival benefit in the 101 patients aged 70 or over (hazard ratio 0.86, 95% CI 0.53–1.39), who are closer to the median age of ampullary cancer than the trial population as a whole.</w:t>
      </w:r>
    </w:p>
    <w:p>
      <w:pPr>
        <w:spacing w:after="50" w:line="276"/>
        <w:ind w:left="240"/>
      </w:pPr>
      <w:r>
        <w:rPr>
          <w:i/>
          <w:iCs/>
          <w:color w:val="5A6069"/>
          <w:sz w:val="17"/>
          <w:szCs w:val="17"/>
        </w:rPr>
        <w:t xml:space="preserve">Surgery first is NCCN's preferred route for resectable disease. Where chemoradiation is considered because of positive or close margins, chemotherapy should be given before it. Nothing in the adjuvant pancreatic trials transfers to the neoadjuvant ampullary setting: PRODIGE-24 enrolled only after complete macroscopic resection, excluded nonductal tumours, and reported in a disease whose resected median survival is roughly half that of ampullary cancer. [PROTOCOL]</w:t>
      </w:r>
    </w:p>
    <w:p>
      <w:pPr>
        <w:spacing w:after="60" w:line="276"/>
        <w:ind w:left="240"/>
      </w:pPr>
      <w:r>
        <w:rPr>
          <w:color w:val="5A6069"/>
          <w:sz w:val="16"/>
          <w:szCs w:val="16"/>
        </w:rPr>
        <w:t xml:space="preserve">Sources: PRODIGE-24; ABC-02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Minimally invasive pancreatoduodenectomy where the programme does them.</w:t>
      </w:r>
    </w:p>
    <w:p>
      <w:pPr>
        <w:spacing w:after="50" w:line="276"/>
        <w:ind w:left="240"/>
      </w:pPr>
      <w:r>
        <w:rPr>
          <w:color w:val="15181F"/>
          <w:sz w:val="18"/>
          <w:szCs w:val="18"/>
        </w:rPr>
        <w:t xml:space="preserve">NCCN records that meta-analysis and a multicentre international cohort found better operative time, blood loss and length of stay with laparoscopic than open pancreatoduodenectomy.</w:t>
      </w:r>
    </w:p>
    <w:p>
      <w:pPr>
        <w:spacing w:after="50"/>
        <w:ind w:left="240"/>
      </w:pPr>
      <w:r>
        <w:rPr>
          <w:b/>
          <w:bCs/>
          <w:color w:val="8C2F26"/>
          <w:sz w:val="18"/>
          <w:szCs w:val="18"/>
        </w:rPr>
        <w:t xml:space="preserve">Caveat. </w:t>
      </w:r>
      <w:r>
        <w:rPr>
          <w:color w:val="15181F"/>
          <w:sz w:val="18"/>
          <w:szCs w:val="18"/>
        </w:rPr>
        <w:t xml:space="preserve">NCCN also states that how laparoscopic and robotic pancreatoduodenectomy compare with the open operation remains to be investigated, and the ampullary-specific data are thin. Approach is a programme decision about volume and expertise, not an oncological one. [EXPERTISE]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add an extended lymphadenectomy.</w:t>
      </w:r>
    </w:p>
    <w:p>
      <w:pPr>
        <w:spacing w:after="50" w:line="276"/>
        <w:ind w:left="240"/>
      </w:pPr>
      <w:r>
        <w:rPr>
          <w:color w:val="15181F"/>
          <w:sz w:val="18"/>
          <w:szCs w:val="18"/>
        </w:rPr>
        <w:t xml:space="preserve">Standard regional lymphadenectomy, with the nodes counted. Mark and submit separately any station taken beyond the standard dissection, as PERIPAN asks.</w:t>
      </w:r>
    </w:p>
    <w:p>
      <w:pPr>
        <w:spacing w:after="50"/>
        <w:ind w:left="240"/>
      </w:pPr>
      <w:r>
        <w:rPr>
          <w:b/>
          <w:bCs/>
          <w:color w:val="8C2F26"/>
          <w:sz w:val="18"/>
          <w:szCs w:val="18"/>
        </w:rPr>
        <w:t xml:space="preserve">Caveat. </w:t>
      </w:r>
      <w:r>
        <w:rPr>
          <w:color w:val="15181F"/>
          <w:sz w:val="18"/>
          <w:szCs w:val="18"/>
        </w:rPr>
        <w:t xml:space="preserve">In the pancreatic literature, which NCCN carries across to this operation, a randomised single-institution trial, an Italian multicentre randomised series of 81 patients, a Japanese randomised multicentre trial and multiple systematic reviews and meta-analyses of randomised trials all found no survival impact from extended lymphadenectomy, with more postoperative diarrhoea. Sampling of aortocaval and common hepatic artery nodes can be considered because involvement there carries an inferior prognosis — that is staging, not therapy.</w:t>
      </w:r>
    </w:p>
    <w:p>
      <w:pPr>
        <w:spacing w:after="50" w:line="276"/>
        <w:ind w:left="240"/>
      </w:pPr>
      <w:r>
        <w:rPr>
          <w:i/>
          <w:iCs/>
          <w:color w:val="5A6069"/>
          <w:sz w:val="17"/>
          <w:szCs w:val="17"/>
        </w:rPr>
        <w:t xml:space="preserve">Downgraded from A to B. The randomised evidence against extended lymphadenectomy is strong, consistent and large, but all of it is in pancreatic ductal adenocarcinoma; no randomised trial of lymphadenectomy extent has been done in ampullary cancer, and the extrapolation is NCCN's. Grade A on an ampullary page would claim randomised ampullary evidence that does not exist. The recommendation itself is not in doubt, and the direction of any residual uncertainty favours the standard operation.</w:t>
      </w:r>
    </w:p>
    <w:p>
      <w:pPr>
        <w:spacing w:after="60" w:line="276"/>
        <w:ind w:left="240"/>
      </w:pPr>
      <w:r>
        <w:rPr>
          <w:color w:val="5A6069"/>
          <w:sz w:val="16"/>
          <w:szCs w:val="16"/>
        </w:rPr>
        <w:t xml:space="preserve">Sources: Node yield, NCDB</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route a locally advanced tumour to a resection attempt without a second opinion.</w:t>
      </w:r>
    </w:p>
    <w:p>
      <w:pPr>
        <w:spacing w:after="50" w:line="276"/>
        <w:ind w:left="240"/>
      </w:pPr>
      <w:r>
        <w:rPr>
          <w:color w:val="15181F"/>
          <w:sz w:val="18"/>
          <w:szCs w:val="18"/>
        </w:rPr>
        <w:t xml:space="preserve">NCCN treats locally advanced ampullary disease the same way as metastatic disease in the current version, and asks for referral to a tertiary cancer centre for a second opinion about unresectability — that is gate 7 from here.</w:t>
      </w:r>
    </w:p>
    <w:p>
      <w:pPr>
        <w:spacing w:after="50"/>
        <w:ind w:left="240"/>
      </w:pPr>
      <w:r>
        <w:rPr>
          <w:b/>
          <w:bCs/>
          <w:color w:val="8C2F26"/>
          <w:sz w:val="18"/>
          <w:szCs w:val="18"/>
        </w:rPr>
        <w:t xml:space="preserve">Caveat. </w:t>
      </w:r>
      <w:r>
        <w:rPr>
          <w:color w:val="15181F"/>
          <w:sz w:val="18"/>
          <w:szCs w:val="18"/>
        </w:rPr>
        <w:t xml:space="preserve">An exploratory attempt that violates the tumour plane converts a systemic-therapy patient into a systemic-therapy patient with a laparotomy.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Histologic subtype, mismatch repair and molecular testing</w:t>
      </w:r>
    </w:p>
    <w:p>
      <w:pPr>
        <w:spacing w:after="140"/>
      </w:pPr>
      <w:r>
        <w:rPr>
          <w:b/>
          <w:bCs/>
          <w:color w:val="176A87"/>
          <w:sz w:val="19"/>
          <w:szCs w:val="19"/>
        </w:rPr>
        <w:t xml:space="preserve">The question. </w:t>
      </w:r>
      <w:r>
        <w:rPr>
          <w:sz w:val="19"/>
          <w:szCs w:val="19"/>
        </w:rPr>
        <w:t xml:space="preserve">Is this subtype call reliable enough to choose an adjuvant regimen off it, and has anyone sent the mismatch-repair test?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Subtype assigned on the invasive component, not on the precursor lesion</w:t>
      </w:r>
    </w:p>
    <w:p>
      <w:pPr>
        <w:pStyle w:val="ListParagraph"/>
        <w:numPr>
          <w:ilvl w:val="0"/>
          <w:numId w:val="2"/>
        </w:numPr>
        <w:spacing w:after="60" w:line="268"/>
      </w:pPr>
      <w:r>
        <w:rPr>
          <w:color w:val="15181F"/>
          <w:sz w:val="18"/>
          <w:szCs w:val="18"/>
        </w:rPr>
        <w:t xml:space="preserve">Mixed subtype used only when the lesser component is at least 30% of the tumour</w:t>
      </w:r>
    </w:p>
    <w:p>
      <w:pPr>
        <w:pStyle w:val="ListParagraph"/>
        <w:numPr>
          <w:ilvl w:val="0"/>
          <w:numId w:val="2"/>
        </w:numPr>
        <w:spacing w:after="60" w:line="268"/>
      </w:pPr>
      <w:r>
        <w:rPr>
          <w:color w:val="15181F"/>
          <w:sz w:val="18"/>
          <w:szCs w:val="18"/>
        </w:rPr>
        <w:t xml:space="preserve">Tubular-NOS used where a confident call cannot be made, with the favoured lineage stated</w:t>
      </w:r>
    </w:p>
    <w:p>
      <w:pPr>
        <w:pStyle w:val="ListParagraph"/>
        <w:numPr>
          <w:ilvl w:val="0"/>
          <w:numId w:val="2"/>
        </w:numPr>
        <w:spacing w:after="60" w:line="268"/>
      </w:pPr>
      <w:r>
        <w:rPr>
          <w:color w:val="15181F"/>
          <w:sz w:val="18"/>
          <w:szCs w:val="18"/>
        </w:rPr>
        <w:t xml:space="preserve">Mismatch-repair testing done as a reflex, independent of subtype</w:t>
      </w:r>
    </w:p>
    <w:p>
      <w:pPr>
        <w:pStyle w:val="ListParagraph"/>
        <w:numPr>
          <w:ilvl w:val="0"/>
          <w:numId w:val="2"/>
        </w:numPr>
        <w:spacing w:after="60" w:line="268"/>
      </w:pPr>
      <w:r>
        <w:rPr>
          <w:color w:val="15181F"/>
          <w:sz w:val="18"/>
          <w:szCs w:val="18"/>
        </w:rPr>
        <w:t xml:space="preserve">Somatic profiling where metastatic disease and anticancer therapy are both in prospect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Report the subtype as intestinal, pancreatobiliary, mixed or tubular-NOS, based on the invasive component and on morphology, with immunohistochemistry as support rather than as the determinant.</w:t>
      </w:r>
    </w:p>
    <w:p>
      <w:pPr>
        <w:spacing w:after="50" w:line="276"/>
        <w:ind w:left="240"/>
      </w:pPr>
      <w:r>
        <w:rPr>
          <w:color w:val="15181F"/>
          <w:sz w:val="18"/>
          <w:szCs w:val="18"/>
        </w:rPr>
        <w:t xml:space="preserve">Every resected invasive ampullary carcinoma. PERIPAN asks for subtyping of tubular-type adenocarcinomas based on the invasive component, reserving </w:t>
      </w:r>
      <w:r>
        <w:rPr>
          <w:i/>
          <w:iCs/>
          <w:color w:val="15181F"/>
          <w:sz w:val="18"/>
          <w:szCs w:val="18"/>
        </w:rPr>
        <w:t xml:space="preserve">mixed</w:t>
      </w:r>
      <w:r>
        <w:rPr>
          <w:color w:val="15181F"/>
          <w:sz w:val="18"/>
          <w:szCs w:val="18"/>
        </w:rPr>
        <w:t xml:space="preserve"> for tumours with unequivocal intestinal and pancreatobiliary areas where the lesser component is at least 30%, and replacing the old term </w:t>
      </w:r>
      <w:r>
        <w:rPr>
          <w:i/>
          <w:iCs/>
          <w:color w:val="15181F"/>
          <w:sz w:val="18"/>
          <w:szCs w:val="18"/>
        </w:rPr>
        <w:t xml:space="preserve">hybrid</w:t>
      </w:r>
      <w:r>
        <w:rPr>
          <w:color w:val="15181F"/>
          <w:sz w:val="18"/>
          <w:szCs w:val="18"/>
        </w:rPr>
        <w:t xml:space="preserve"> with tubular-NOS, with the favoured lineage and component percentages given in a comment. NCCN asks for intestinal, pancreatobiliary or mixed, with ambiguous cases classified as tubular adenocarcinoma with mixed features and the predominant pattern noted.</w:t>
      </w:r>
    </w:p>
    <w:p>
      <w:pPr>
        <w:spacing w:after="50"/>
        <w:ind w:left="240"/>
      </w:pPr>
      <w:r>
        <w:rPr>
          <w:b/>
          <w:bCs/>
          <w:color w:val="8C2F26"/>
          <w:sz w:val="18"/>
          <w:szCs w:val="18"/>
        </w:rPr>
        <w:t xml:space="preserve">Caveat. </w:t>
      </w:r>
      <w:r>
        <w:rPr>
          <w:color w:val="15181F"/>
          <w:sz w:val="18"/>
          <w:szCs w:val="18"/>
        </w:rPr>
        <w:t xml:space="preserve">Do not rely on an immunohistochemical panel to settle it. NCCN states that immunohistochemistry is not required and that overlap between intestinal and pancreatobiliary profiles may make current panels unreliable for definitive determination. PERIPAN adds that pancreatobiliary tumours are more likely to express MUC1 and CK7 and less likely CDX2, MUC2 and CK20 — and the reverse for intestinal — but that none of these markers is entirely specific or sensitive individually or in combination, that studies have used positivity thresholds of 1%, 5%, 10%, 20% and 50%, and that even the best-performing published formula leaves more than a quarter of cases ambiguous.</w:t>
      </w:r>
    </w:p>
    <w:p>
      <w:pPr>
        <w:spacing w:after="50" w:line="276"/>
        <w:ind w:left="240"/>
      </w:pPr>
      <w:r>
        <w:rPr>
          <w:i/>
          <w:iCs/>
          <w:color w:val="5A6069"/>
          <w:sz w:val="17"/>
          <w:szCs w:val="17"/>
        </w:rPr>
        <w:t xml:space="preserve">Typical morphology: intestinal tumours have large tubules lined by tall columnar cells with elongated, pseudostratified, hyperchromatic nuclei, with dirty intraluminal necrosis as a further clue; pancreatobiliary tumours have more widely separated, smaller, simpler glands lined by cuboidal or low columnar cells without stratification, often with desmoplastic stroma.</w:t>
      </w:r>
    </w:p>
    <w:p>
      <w:pPr>
        <w:spacing w:after="60" w:line="276"/>
        <w:ind w:left="240"/>
      </w:pPr>
      <w:r>
        <w:rPr>
          <w:color w:val="5A6069"/>
          <w:sz w:val="16"/>
          <w:szCs w:val="16"/>
        </w:rPr>
        <w:t xml:space="preserve">Sources: PERIPAN 2025; Reid 2016 subtype reproducibility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State the reproducibility of the subtype call alongside the call itself — interobserver agreement is fair, not good.</w:t>
      </w:r>
    </w:p>
    <w:p>
      <w:pPr>
        <w:spacing w:after="50" w:line="276"/>
        <w:ind w:left="240"/>
      </w:pPr>
      <w:r>
        <w:rPr>
          <w:color w:val="15181F"/>
          <w:sz w:val="18"/>
          <w:szCs w:val="18"/>
        </w:rPr>
        <w:t xml:space="preserve">Any report or board discussion where the subtype is about to drive a treatment choice. In 232 resected ampullary carcinomas with an invasive component over 3.0 mm, read independently and blind by five pathologists from five institutions, overall agreement on a purist four-category scheme was fair (κ 0.39, P&lt;0.001) and all five observers agreed in 53 of 232 cases (23%). By consensus of three of five the commonest category was mixed pancreatobiliary-intestinal at 94 cases (40%), then pure pancreatobiliary 74 (32%), other 51 (22%) and pure intestinal only 13 (6%). Asked to force each tumour into a predominant pattern, agreement improved only to moderate (κ 0.44, P&lt;0.0001) with all five agreeing in 81 cases (35%).</w:t>
      </w:r>
    </w:p>
    <w:p>
      <w:pPr>
        <w:spacing w:after="50"/>
        <w:ind w:left="240"/>
      </w:pPr>
      <w:r>
        <w:rPr>
          <w:b/>
          <w:bCs/>
          <w:color w:val="8C2F26"/>
          <w:sz w:val="18"/>
          <w:szCs w:val="18"/>
        </w:rPr>
        <w:t xml:space="preserve">Caveat. </w:t>
      </w:r>
      <w:r>
        <w:rPr>
          <w:color w:val="15181F"/>
          <w:sz w:val="18"/>
          <w:szCs w:val="18"/>
        </w:rPr>
        <w:t xml:space="preserve">Do not present the prognostic claim without this, because the claim exists only under the forced classification. Under the purist scheme there was no survival difference at all: pure intestinal 80 against pure pancreatobiliary 40 months (P=0.33), and across pure pancreatobiliary, mixed and pure intestinal 40, 56 and 80 months (P=0.65), with T stage, node status and 3- and 5-year survival all non-significant. Only after the 94 indeterminate mixed tumours — 40% of the cohort — were force-assigned to a side did a difference appear: pancreatobiliary-predominant against intestinal-predominant median survival 41 against 80 months (P=0.026), 3-year 55% against 75%, 5-year 38% against 57%, hazard ratio for death 1.78 (95% CI 1.06–2.98, P=0.028). And that difference was not independent: on multivariable analysis high tumour budding, high T stage and node positivity all remained significant while predominant histologic type failed, P=0.39. NCCN's own position is that current data on the independent prognostic and predictive value of subtyping are conflicting. PERIPAN says the role of immunohistochemistry and tumour markers in prognosis or treatment response is still unclear, and attributes that to the inconsistent definitions of ampullary carcinoma used in the historical literature.</w:t>
      </w:r>
    </w:p>
    <w:p>
      <w:pPr>
        <w:spacing w:after="50" w:line="276"/>
        <w:ind w:left="240"/>
      </w:pPr>
      <w:r>
        <w:rPr>
          <w:i/>
          <w:iCs/>
          <w:color w:val="5A6069"/>
          <w:sz w:val="17"/>
          <w:szCs w:val="17"/>
        </w:rPr>
        <w:t xml:space="preserve">The mixed phenotype is a feature of the organ, not a failure of the pathologist: the ampulla sits at the junction of three epithelia, and intratumoral heterogeneity is expected. That is also why the subtype in a biopsy may not be the subtype in the tumour. Two details make the 23% full-agreement figure an optimistic ceiling rather than a floor. The cohort was restricted to tumours with an invasive component over 3.0 mm, which removes exactly the small, mostly intra-ampullary tumours where subtyping is hardest and where the classification would most change management. And in a side experiment within the same paper, two fields from a single tumour shown blind to eight observers were called pancreatobiliary by 6 of 8 and hybrid by 2 of 8 for one field, and intestinal by 4 of 8 and mixed by 4 of 8 for the other. Pure intestinal carcinoma — the phenotype that intestinal-type regimens are chosen for — comprised 13 of 232 cases under the purist scheme, so every statement about the pure intestinal phenotype in that paper rests on 13 patients. The counterweight, which is solid, is that even pancreatobiliary-predominant ampullary carcinoma behaved far better than pancreatic ductal adenocarcinoma: median 41 against 15.6 months (P&lt;0.001), and hazard ratio 1.97 (95% CI 1.42–2.72, P&lt;0.001) when matched for size and node status — although that 476-patient comparator cohort is described as previously unpublished, with no inclusion criteria, dates, stage distribution or treatment given.</w:t>
      </w:r>
    </w:p>
    <w:p>
      <w:pPr>
        <w:spacing w:after="60" w:line="276"/>
        <w:ind w:left="240"/>
      </w:pPr>
      <w:r>
        <w:rPr>
          <w:color w:val="5A6069"/>
          <w:sz w:val="16"/>
          <w:szCs w:val="16"/>
        </w:rPr>
        <w:t xml:space="preserve">Sources: Reid 2016 subtype reproducibility; PERIPAN 2025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Test every ampullary carcinoma for mismatch-repair deficiency as a reflex, regardless of subtype.</w:t>
      </w:r>
    </w:p>
    <w:p>
      <w:pPr>
        <w:spacing w:after="50" w:line="276"/>
        <w:ind w:left="240"/>
      </w:pPr>
      <w:r>
        <w:rPr>
          <w:color w:val="15181F"/>
          <w:sz w:val="18"/>
          <w:szCs w:val="18"/>
        </w:rPr>
        <w:t xml:space="preserve">Every case at diagnosis. PERIPAN recommends reflex mismatch-repair testing by immunohistochemistry or PCR, on the grounds that recent studies show deficiency rates comparable to colorectal cancer and independent of subtype, and that deficiency identifies a subset with different behaviour and candidacy for immunotherapy. It asks for the result to follow the diagnosis immediately or accompany the final pathology report. The test is cheap, it is a germline trigger as well as a treatment test, and nothing about it depends on the subtype call being reliable — which is the strongest argument for making it a reflex.</w:t>
      </w:r>
    </w:p>
    <w:p>
      <w:pPr>
        <w:spacing w:after="50"/>
        <w:ind w:left="240"/>
      </w:pPr>
      <w:r>
        <w:rPr>
          <w:b/>
          <w:bCs/>
          <w:color w:val="8C2F26"/>
          <w:sz w:val="18"/>
          <w:szCs w:val="18"/>
        </w:rPr>
        <w:t xml:space="preserve">Caveat. </w:t>
      </w:r>
      <w:r>
        <w:rPr>
          <w:color w:val="15181F"/>
          <w:sz w:val="18"/>
          <w:szCs w:val="18"/>
        </w:rPr>
        <w:t xml:space="preserve">Do not make it conditional on age, subtype or stage — but do not quote a prevalence figure with more confidence than the data carry. The one-in-six estimate PERIPAN relies on is graded low evidence and is the upper end of a wide range: deficiency was found in 18 of 119 tested non-medullary ampullary carcinomas (15%) in one institutional series, where the 119 were a convenience subset of 348 cases that happened to have been tested, and in only 1 of 23 early-onset ampullary carcinomas (4.3%) in a nationwide Dutch series where the same analysis found 11 of 23 duodenal carcinomas (47.8%) deficient. The claim that every mismatch-repair-deficient ampullary and pancreatic carcinoma in that Dutch series was attributable to Lynch syndrome rests on 1 ampullary and 2 pancreatic patients, and no confidence interval appears anywhere in that paper. Medullary-type ampullary carcinoma, 11 of 359 cases (3%) in one series, was mismatch-repair deficient in 7 of 11 (64%) and should prompt the test on sight.</w:t>
      </w:r>
    </w:p>
    <w:p>
      <w:pPr>
        <w:spacing w:after="50" w:line="276"/>
        <w:ind w:left="240"/>
      </w:pPr>
      <w:r>
        <w:rPr>
          <w:i/>
          <w:iCs/>
          <w:color w:val="5A6069"/>
          <w:sz w:val="17"/>
          <w:szCs w:val="17"/>
        </w:rPr>
        <w:t xml:space="preserve">NCCN reaches a narrower position, recommending somatic molecular profiling for patients with metastatic disease who are candidates for anticancer therapy, with microsatellite instability and mismatch-repair deficiency among the alterations sought; the 2021 ESGE ampullary guideline went further in the other direction and recommended against routine immunohistochemistry, PCR and microsatellite instability testing of ampullary biopsies, a position PERIPAN has since reversed. The reflex-for-all position is PERIPAN's and is the live local choice. Whichever is adopted, the local deficiency rate should be measured rather than assumed, because the published range runs from 4% to 15% and no series has established the figure in an unselected, consecutively tested ampullary population. [PAYER]</w:t>
      </w:r>
    </w:p>
    <w:p>
      <w:pPr>
        <w:spacing w:after="60" w:line="276"/>
        <w:ind w:left="240"/>
      </w:pPr>
      <w:r>
        <w:rPr>
          <w:color w:val="5A6069"/>
          <w:sz w:val="16"/>
          <w:szCs w:val="16"/>
        </w:rPr>
        <w:t xml:space="preserve">Sources: PERIPAN 2025; Kryklyva 2021; Medullary ampullary carcinoma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Next-generation sequencing of the tumour, preferably RNA-based for fusions, in a patient who is a candidate for anticancer therapy.</w:t>
      </w:r>
    </w:p>
    <w:p>
      <w:pPr>
        <w:spacing w:after="50" w:line="276"/>
        <w:ind w:left="240"/>
      </w:pPr>
      <w:r>
        <w:rPr>
          <w:color w:val="15181F"/>
          <w:sz w:val="18"/>
          <w:szCs w:val="18"/>
        </w:rPr>
        <w:t xml:space="preserve">NCCN recommends tumour or somatic profiling by NGS for patients with metastatic disease who are candidates for therapy, to identify actionable alterations including fusions in </w:t>
      </w:r>
      <w:r>
        <w:rPr>
          <w:i/>
          <w:iCs/>
          <w:color w:val="15181F"/>
          <w:sz w:val="18"/>
          <w:szCs w:val="18"/>
        </w:rPr>
        <w:t xml:space="preserve">ALK, NRG1, NTRK, ROS1, FGFR2</w:t>
      </w:r>
      <w:r>
        <w:rPr>
          <w:color w:val="15181F"/>
          <w:sz w:val="18"/>
          <w:szCs w:val="18"/>
        </w:rPr>
        <w:t xml:space="preserve"> and </w:t>
      </w:r>
      <w:r>
        <w:rPr>
          <w:i/>
          <w:iCs/>
          <w:color w:val="15181F"/>
          <w:sz w:val="18"/>
          <w:szCs w:val="18"/>
        </w:rPr>
        <w:t xml:space="preserve">RET</w:t>
      </w:r>
      <w:r>
        <w:rPr>
          <w:color w:val="15181F"/>
          <w:sz w:val="18"/>
          <w:szCs w:val="18"/>
        </w:rPr>
        <w:t xml:space="preserve">, mutations in </w:t>
      </w:r>
      <w:r>
        <w:rPr>
          <w:i/>
          <w:iCs/>
          <w:color w:val="15181F"/>
          <w:sz w:val="18"/>
          <w:szCs w:val="18"/>
        </w:rPr>
        <w:t xml:space="preserve">BRAF, BRCA1/2, KRAS</w:t>
      </w:r>
      <w:r>
        <w:rPr>
          <w:color w:val="15181F"/>
          <w:sz w:val="18"/>
          <w:szCs w:val="18"/>
        </w:rPr>
        <w:t xml:space="preserve"> and </w:t>
      </w:r>
      <w:r>
        <w:rPr>
          <w:i/>
          <w:iCs/>
          <w:color w:val="15181F"/>
          <w:sz w:val="18"/>
          <w:szCs w:val="18"/>
        </w:rPr>
        <w:t xml:space="preserve">PALB2</w:t>
      </w:r>
      <w:r>
        <w:rPr>
          <w:color w:val="15181F"/>
          <w:sz w:val="18"/>
          <w:szCs w:val="18"/>
        </w:rPr>
        <w:t xml:space="preserve">, </w:t>
      </w:r>
      <w:r>
        <w:rPr>
          <w:i/>
          <w:iCs/>
          <w:color w:val="15181F"/>
          <w:sz w:val="18"/>
          <w:szCs w:val="18"/>
        </w:rPr>
        <w:t xml:space="preserve">HER2</w:t>
      </w:r>
      <w:r>
        <w:rPr>
          <w:color w:val="15181F"/>
          <w:sz w:val="18"/>
          <w:szCs w:val="18"/>
        </w:rPr>
        <w:t xml:space="preserve"> amplification, microsatellite instability, mismatch-repair deficiency and tumour mutational burden, with HER2 overexpression by immunohistochemistry with or without FISH. Tissue is preferred; cell-free DNA may be considered if tissue testing is not feasible.</w:t>
      </w:r>
    </w:p>
    <w:p>
      <w:pPr>
        <w:spacing w:after="50"/>
        <w:ind w:left="240"/>
      </w:pPr>
      <w:r>
        <w:rPr>
          <w:b/>
          <w:bCs/>
          <w:color w:val="8C2F26"/>
          <w:sz w:val="18"/>
          <w:szCs w:val="18"/>
        </w:rPr>
        <w:t xml:space="preserve">Caveat. </w:t>
      </w:r>
      <w:r>
        <w:rPr>
          <w:color w:val="15181F"/>
          <w:sz w:val="18"/>
          <w:szCs w:val="18"/>
        </w:rPr>
        <w:t xml:space="preserve">Do not expect the subtype to predict the genomics in an individual patient. A genomic classification of 3,411 periampullary cancers, as summarised by NCCN, found high concordance between histologic subtype and genomic category overall — pancreatobiliary resembling pancreatic adenocarcinoma with frequent </w:t>
      </w:r>
      <w:r>
        <w:rPr>
          <w:i/>
          <w:iCs/>
          <w:color w:val="15181F"/>
          <w:sz w:val="18"/>
          <w:szCs w:val="18"/>
        </w:rPr>
        <w:t xml:space="preserve">KRAS</w:t>
      </w:r>
      <w:r>
        <w:rPr>
          <w:color w:val="15181F"/>
          <w:sz w:val="18"/>
          <w:szCs w:val="18"/>
        </w:rPr>
        <w:t xml:space="preserve"> mutation, intestinal resembling colorectal adenocarcinoma with </w:t>
      </w:r>
      <w:r>
        <w:rPr>
          <w:i/>
          <w:iCs/>
          <w:color w:val="15181F"/>
          <w:sz w:val="18"/>
          <w:szCs w:val="18"/>
        </w:rPr>
        <w:t xml:space="preserve">APC</w:t>
      </w:r>
      <w:r>
        <w:rPr>
          <w:color w:val="15181F"/>
          <w:sz w:val="18"/>
          <w:szCs w:val="18"/>
        </w:rPr>
        <w:t xml:space="preserve"> and </w:t>
      </w:r>
      <w:r>
        <w:rPr>
          <w:i/>
          <w:iCs/>
          <w:color w:val="15181F"/>
          <w:sz w:val="18"/>
          <w:szCs w:val="18"/>
        </w:rPr>
        <w:t xml:space="preserve">PIK3CA</w:t>
      </w:r>
      <w:r>
        <w:rPr>
          <w:color w:val="15181F"/>
          <w:sz w:val="18"/>
          <w:szCs w:val="18"/>
        </w:rPr>
        <w:t xml:space="preserve"> mutations, higher tumour mutational burden and mismatch-repair deficiency — but also significant genomic heterogeneity within each histologic subtype. NCCN adds that the prognostic value of </w:t>
      </w:r>
      <w:r>
        <w:rPr>
          <w:i/>
          <w:iCs/>
          <w:color w:val="15181F"/>
          <w:sz w:val="18"/>
          <w:szCs w:val="18"/>
        </w:rPr>
        <w:t xml:space="preserve">KRAS</w:t>
      </w:r>
      <w:r>
        <w:rPr>
          <w:color w:val="15181F"/>
          <w:sz w:val="18"/>
          <w:szCs w:val="18"/>
        </w:rPr>
        <w:t xml:space="preserve"> over histologic subtype is questionable and that the distribution of </w:t>
      </w:r>
      <w:r>
        <w:rPr>
          <w:i/>
          <w:iCs/>
          <w:color w:val="15181F"/>
          <w:sz w:val="18"/>
          <w:szCs w:val="18"/>
        </w:rPr>
        <w:t xml:space="preserve">KRAS</w:t>
      </w:r>
      <w:r>
        <w:rPr>
          <w:color w:val="15181F"/>
          <w:sz w:val="18"/>
          <w:szCs w:val="18"/>
        </w:rPr>
        <w:t xml:space="preserve"> across subtypes is unclear because the studies are small.</w:t>
      </w:r>
    </w:p>
    <w:p>
      <w:pPr>
        <w:spacing w:after="50" w:line="276"/>
        <w:ind w:left="240"/>
      </w:pPr>
      <w:r>
        <w:rPr>
          <w:i/>
          <w:iCs/>
          <w:color w:val="5A6069"/>
          <w:sz w:val="17"/>
          <w:szCs w:val="17"/>
        </w:rPr>
        <w:t xml:space="preserve">Other reported somatic alterations include </w:t>
      </w:r>
      <w:r>
        <w:rPr>
          <w:i/>
          <w:iCs/>
          <w:color w:val="5A6069"/>
          <w:sz w:val="17"/>
          <w:szCs w:val="17"/>
        </w:rPr>
        <w:t xml:space="preserve">APC, TP53, CDKN2A, DPC4, ELF3, PIK3CA, SMAD4</w:t>
      </w:r>
      <w:r>
        <w:rPr>
          <w:i/>
          <w:iCs/>
          <w:color w:val="5A6069"/>
          <w:sz w:val="17"/>
          <w:szCs w:val="17"/>
        </w:rPr>
        <w:t xml:space="preserve"> and </w:t>
      </w:r>
      <w:r>
        <w:rPr>
          <w:i/>
          <w:iCs/>
          <w:color w:val="5A6069"/>
          <w:sz w:val="17"/>
          <w:szCs w:val="17"/>
        </w:rPr>
        <w:t xml:space="preserve">HER2</w:t>
      </w:r>
      <w:r>
        <w:rPr>
          <w:i/>
          <w:iCs/>
          <w:color w:val="5A6069"/>
          <w:sz w:val="17"/>
          <w:szCs w:val="17"/>
        </w:rPr>
        <w:t xml:space="preserve"> amplification, with pathogenic germline </w:t>
      </w:r>
      <w:r>
        <w:rPr>
          <w:i/>
          <w:iCs/>
          <w:color w:val="5A6069"/>
          <w:sz w:val="17"/>
          <w:szCs w:val="17"/>
        </w:rPr>
        <w:t xml:space="preserve">BRCA1/2, ATM, RAD50</w:t>
      </w:r>
      <w:r>
        <w:rPr>
          <w:i/>
          <w:iCs/>
          <w:color w:val="5A6069"/>
          <w:sz w:val="17"/>
          <w:szCs w:val="17"/>
        </w:rPr>
        <w:t xml:space="preserve"> and </w:t>
      </w:r>
      <w:r>
        <w:rPr>
          <w:i/>
          <w:iCs/>
          <w:color w:val="5A6069"/>
          <w:sz w:val="17"/>
          <w:szCs w:val="17"/>
        </w:rPr>
        <w:t xml:space="preserve">MUTYH</w:t>
      </w:r>
      <w:r>
        <w:rPr>
          <w:i/>
          <w:iCs/>
          <w:color w:val="5A6069"/>
          <w:sz w:val="17"/>
          <w:szCs w:val="17"/>
        </w:rPr>
        <w:t xml:space="preserve"> variants described.</w:t>
      </w:r>
    </w:p>
    <w:p>
      <w:pPr>
        <w:spacing w:after="60" w:line="276"/>
        <w:ind w:left="240"/>
      </w:pPr>
      <w:r>
        <w:rPr>
          <w:color w:val="5A6069"/>
          <w:sz w:val="16"/>
          <w:szCs w:val="16"/>
        </w:rPr>
        <w:t xml:space="preserve">Sources: PERIPAN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Report the rare non-tubular subtypes separately, because they behave differently.</w:t>
      </w:r>
    </w:p>
    <w:p>
      <w:pPr>
        <w:spacing w:after="50" w:line="276"/>
        <w:ind w:left="240"/>
      </w:pPr>
      <w:r>
        <w:rPr>
          <w:color w:val="15181F"/>
          <w:sz w:val="18"/>
          <w:szCs w:val="18"/>
        </w:rPr>
        <w:t xml:space="preserve">PERIPAN recognises medullary, micropapillary, gastric-type, rhabdoid and osteoclastic carcinomas, and poorly cohesive carcinoma with or without signet-ring cell formation, as entities to be reported separately from tubular adenocarcinomas. Medullary carcinoma was 11 of 359 ampullary carcinomas (3%), a frequency similar to the colon and unlike the pancreas; patients were younger (mean 57 against 65 years, P=0.02) and the invasive component was larger (mean 3.2 against 1.9 cm, P=0.01), while overall size did not differ significantly (3.5 against 2.6 cm, P=0.09).</w:t>
      </w:r>
    </w:p>
    <w:p>
      <w:pPr>
        <w:spacing w:after="50"/>
        <w:ind w:left="240"/>
      </w:pPr>
      <w:r>
        <w:rPr>
          <w:b/>
          <w:bCs/>
          <w:color w:val="8C2F26"/>
          <w:sz w:val="18"/>
          <w:szCs w:val="18"/>
        </w:rPr>
        <w:t xml:space="preserve">Caveat. </w:t>
      </w:r>
      <w:r>
        <w:rPr>
          <w:color w:val="15181F"/>
          <w:sz w:val="18"/>
          <w:szCs w:val="18"/>
        </w:rPr>
        <w:t xml:space="preserve">Do not fold these into the intestinal/pancreatobiliary dichotomy, and do not carry the prognostic claim. In the medullary series 7 of 11 were mismatch-repair deficient against 18 of 119 tested non-medullary cases (15%, P&lt;0.001), 6 of the 7 with MLH1/PMS2 loss, none carrying BRAF V600E, and 7 of 8 tested expressed PD-L1 by combined positive score and 6 of 8 by tumour proportion score, against 6 of 18 (33%) and 0 of 18 among non-medullary deficient carcinomas — a different therapeutic conversation entirely. But 5-year survival was 53% against 47% (P=0.47), and 53% against 48% against glandular ampullary carcinomas alone (P=0.84), so the suggestion that medullary carcinoma behaves less aggressively is a non-significant 6-point difference. Despite the pushing border, lymphovascular invasion was present in 7 of 11 (64%, identical to non-medullary) and node positivity was 40% against 46%.</w:t>
      </w:r>
    </w:p>
    <w:p>
      <w:pPr>
        <w:spacing w:after="50" w:line="276"/>
        <w:ind w:left="240"/>
      </w:pPr>
      <w:r>
        <w:rPr>
          <w:i/>
          <w:iCs/>
          <w:color w:val="5A6069"/>
          <w:sz w:val="17"/>
          <w:szCs w:val="17"/>
        </w:rPr>
        <w:t xml:space="preserve">Downgraded from C to D. Eleven cases with 3 deaths cannot support a survival comparison; no adjuvant treatment data are reported for either group; PD-L1 was assessed in 8 of 11 cases, EBV in 3, INI1 in 8 and MLH1 promoter methylation in 1, with no statement of why the others lacked tissue, which is a real risk of bias in exactly the markers that generate the therapeutic claim; the PD-L1-independent-of-MMR-status finding comes from 4 mismatch-repair-proficient tumours of which 3 stained positive; PD-L1 thresholds had to be extrapolated from lung and gastric cancer because none is established for the ampulla; and medullary morphology was assigned with no blinded review and no interobserver data, against a 50%-non-gland-forming criterion applied retrospectively to slides accrued over 1989 to 2013. The direction is real, the point estimates are fragile, and the authors state that a clinical trial is needed before immunotherapy can be recommended on these findings. Treat the subtype as a reason to test, not as a treatment decision.</w:t>
      </w:r>
    </w:p>
    <w:p>
      <w:pPr>
        <w:spacing w:after="60" w:line="276"/>
        <w:ind w:left="240"/>
      </w:pPr>
      <w:r>
        <w:rPr>
          <w:color w:val="5A6069"/>
          <w:sz w:val="16"/>
          <w:szCs w:val="16"/>
        </w:rPr>
        <w:t xml:space="preserve">Sources: PERIPAN 2025; Medullary ampullary carcinoma</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let the subtype alone decide whether to give adjuvant therapy.</w:t>
      </w:r>
    </w:p>
    <w:p>
      <w:pPr>
        <w:spacing w:after="50" w:line="276"/>
        <w:ind w:left="240"/>
      </w:pPr>
      <w:r>
        <w:rPr>
          <w:color w:val="15181F"/>
          <w:sz w:val="18"/>
          <w:szCs w:val="18"/>
        </w:rPr>
        <w:t xml:space="preserve">Decide on stage, nodal burden, margin and fitness, and treat the subtype as one input among those — see gate 7, where the two halves of the subtype-directed argument are set out.</w:t>
      </w:r>
    </w:p>
    <w:p>
      <w:pPr>
        <w:spacing w:after="50"/>
        <w:ind w:left="240"/>
      </w:pPr>
      <w:r>
        <w:rPr>
          <w:b/>
          <w:bCs/>
          <w:color w:val="8C2F26"/>
          <w:sz w:val="18"/>
          <w:szCs w:val="18"/>
        </w:rPr>
        <w:t xml:space="preserve">Caveat. </w:t>
      </w:r>
      <w:r>
        <w:rPr>
          <w:color w:val="15181F"/>
          <w:sz w:val="18"/>
          <w:szCs w:val="18"/>
        </w:rPr>
        <w:t xml:space="preserve">The two subtype-stratified analyses do not carry equal weight, and the full-text read explains their divergence by cohort and method rather than by chance. The positive result comes from 214 resections at 5 European centres, where adjuvant therapy was associated with longer median overall survival in the pancreatobiliary and mixed group (85 against 65 months, P=0.005; multivariable hazard ratio 0.351, 95% CI 0.151–0.851, P=0.015) with no significant benefit in intestinal tumours (115 against 147 months, hazard ratio 0.443, 0.099–1.984, P=0.287) — but in that same cohort the whole-cohort result was negative and numerically inverted, with median overall survival 168 months without adjuvant therapy against 113 months with it, hazard ratio 1.124 (0.756–1.987), P=0.608, and adjuvant therapy was allocated at tumour board on T3/4 stage, node positivity and raised CA 19-9, with no propensity matching, weighting or landmark analysis performed anywhere in the study. The negative result comes from 357 resections at 12 institutions, where adjuvant therapy was propensity-matched on the factors that actually drove its selection — node positivity (odds ratio 5.17, 95% CI 3.01–8.87) and perineural invasion (2.74, 1.59–4.70) — deaths within 90 days were excluded to limit immortal time bias, and the signal disappeared in both subtypes (intestinal hazard ratio 1.21, 0.67–2.16, P=0.53; pancreatobiliary 1.35, 0.66–2.76, P=0.41), at every stage stratum, and whether the analysis was restricted to fluorouracil-based or gemcitabine-based regimens, with no interaction between agent and subtype. NCCN cites a third retrospective study, of 475 patients, that found benefit confined to the intestinal subtype (5-year overall survival 83.7% against 33.2%, P=0.015) — a third direction from a third cohort.</w:t>
      </w:r>
    </w:p>
    <w:p>
      <w:pPr>
        <w:spacing w:after="50" w:line="276"/>
        <w:ind w:left="240"/>
      </w:pPr>
      <w:r>
        <w:rPr>
          <w:i/>
          <w:iCs/>
          <w:color w:val="5A6069"/>
          <w:sz w:val="17"/>
          <w:szCs w:val="17"/>
        </w:rPr>
        <w:t xml:space="preserve">Reid's reproducibility study is the ceiling on all of this: a classification with κ 0.39, full agreement in 23% of cases and 40% of tumours mixed cannot support a treatment interaction, and in that cohort the subtype itself failed multivariable analysis at P=0.39. Neither of the two adjuvant cohorts had central pathology review or immunohistochemistry, and one excluded 369 of 756 screened patients (49%) for unknown subtype — a larger group than the one analysed. Misclassification of that magnitude biases any subtype-by-agent interaction towards the null, which is an argument for reading the negative result cautiously as well; the propensity-matched intervals do not exclude a 25% to 35% relative risk reduction, so what that study establishes is the absence of a large benefit rather than the absence of any. Decide on stage, nodal burden, margin and fitness, and treat the subtype as one input among those — see gate 7.</w:t>
      </w:r>
    </w:p>
    <w:p>
      <w:pPr>
        <w:spacing w:after="60" w:line="276"/>
        <w:ind w:left="240"/>
      </w:pPr>
      <w:r>
        <w:rPr>
          <w:color w:val="5A6069"/>
          <w:sz w:val="16"/>
          <w:szCs w:val="16"/>
        </w:rPr>
        <w:t xml:space="preserve">Sources: Bolm 2020; Ecker 2019; Reid 2016 subtype reproducibility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the term </w:t>
      </w:r>
      <w:r>
        <w:rPr>
          <w:i/>
          <w:iCs/>
          <w:color w:val="15181F"/>
          <w:sz w:val="19"/>
          <w:szCs w:val="19"/>
        </w:rPr>
        <w:t xml:space="preserve">papillary adenocarcinoma</w:t>
      </w:r>
      <w:r>
        <w:rPr>
          <w:color w:val="15181F"/>
          <w:sz w:val="19"/>
          <w:szCs w:val="19"/>
        </w:rPr>
        <w:t xml:space="preserve"> for the invasive component, and do not call pancreatic intraepithelial neoplasia an ampullary precursor.</w:t>
      </w:r>
    </w:p>
    <w:p>
      <w:pPr>
        <w:spacing w:after="50" w:line="276"/>
        <w:ind w:left="240"/>
      </w:pPr>
      <w:r>
        <w:rPr>
          <w:color w:val="15181F"/>
          <w:sz w:val="18"/>
          <w:szCs w:val="18"/>
        </w:rPr>
        <w:t xml:space="preserve">PERIPAN's nomenclature: intra-ampullary papillary tubular neoplasm for a precursor growing along the ampullary lumen, adenoma for one on the duodenal surface of the papilla, and the predominant component deciding when both are involved.</w:t>
      </w:r>
    </w:p>
    <w:p>
      <w:pPr>
        <w:spacing w:after="50"/>
        <w:ind w:left="240"/>
      </w:pPr>
      <w:r>
        <w:rPr>
          <w:b/>
          <w:bCs/>
          <w:color w:val="8C2F26"/>
          <w:sz w:val="18"/>
          <w:szCs w:val="18"/>
        </w:rPr>
        <w:t xml:space="preserve">Caveat. </w:t>
      </w:r>
      <w:r>
        <w:rPr>
          <w:color w:val="15181F"/>
          <w:sz w:val="18"/>
          <w:szCs w:val="18"/>
        </w:rPr>
        <w:t xml:space="preserve">Both habits move patients between disease categories on a word. PanIN is not an ampullary precursor, and incidental dysplasia in the pancreas or bile duct does not disqualify an ampullary origin.</w:t>
      </w:r>
    </w:p>
    <w:p>
      <w:pPr>
        <w:spacing w:after="60" w:line="276"/>
        <w:ind w:left="240"/>
      </w:pPr>
      <w:r>
        <w:rPr>
          <w:color w:val="5A6069"/>
          <w:sz w:val="16"/>
          <w:szCs w:val="16"/>
        </w:rPr>
        <w:t xml:space="preserve">Sources: PERIPAN 2025</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Adjuvant therapy after resection</w:t>
      </w:r>
    </w:p>
    <w:p>
      <w:pPr>
        <w:spacing w:after="140"/>
      </w:pPr>
      <w:r>
        <w:rPr>
          <w:b/>
          <w:bCs/>
          <w:color w:val="176A87"/>
          <w:sz w:val="19"/>
          <w:szCs w:val="19"/>
        </w:rPr>
        <w:t xml:space="preserve">The question. </w:t>
      </w:r>
      <w:r>
        <w:rPr>
          <w:sz w:val="19"/>
          <w:szCs w:val="19"/>
        </w:rPr>
        <w:t xml:space="preserve">What can I actually tell this patient that adjuvant chemotherapy will do for them, and does the subtype change the regimen or only the conversation?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Stage II or III resected ampullary adenocarcinoma</w:t>
      </w:r>
    </w:p>
    <w:p>
      <w:pPr>
        <w:pStyle w:val="ListParagraph"/>
        <w:numPr>
          <w:ilvl w:val="0"/>
          <w:numId w:val="2"/>
        </w:numPr>
        <w:spacing w:after="60" w:line="268"/>
      </w:pPr>
      <w:r>
        <w:rPr>
          <w:color w:val="15181F"/>
          <w:sz w:val="18"/>
          <w:szCs w:val="18"/>
        </w:rPr>
        <w:t xml:space="preserve">Node-positive disease, or a close or positive margin</w:t>
      </w:r>
    </w:p>
    <w:p>
      <w:pPr>
        <w:pStyle w:val="ListParagraph"/>
        <w:numPr>
          <w:ilvl w:val="0"/>
          <w:numId w:val="2"/>
        </w:numPr>
        <w:spacing w:after="60" w:line="268"/>
      </w:pPr>
      <w:r>
        <w:rPr>
          <w:color w:val="15181F"/>
          <w:sz w:val="18"/>
          <w:szCs w:val="18"/>
        </w:rPr>
        <w:t xml:space="preserve">Medically fit, and within 12 weeks of surgery</w:t>
      </w:r>
    </w:p>
    <w:p>
      <w:pPr>
        <w:pStyle w:val="ListParagraph"/>
        <w:numPr>
          <w:ilvl w:val="0"/>
          <w:numId w:val="2"/>
        </w:numPr>
        <w:spacing w:after="60" w:line="268"/>
      </w:pPr>
      <w:r>
        <w:rPr>
          <w:color w:val="15181F"/>
          <w:sz w:val="18"/>
          <w:szCs w:val="18"/>
        </w:rPr>
        <w:t xml:space="preserve">Subtype reported on the invasive component, with the mismatch-repair result available</w:t>
      </w:r>
    </w:p>
    <w:p>
      <w:pPr>
        <w:pStyle w:val="ListParagraph"/>
        <w:numPr>
          <w:ilvl w:val="0"/>
          <w:numId w:val="2"/>
        </w:numPr>
        <w:spacing w:after="60" w:line="268"/>
      </w:pPr>
      <w:r>
        <w:rPr>
          <w:color w:val="15181F"/>
          <w:sz w:val="18"/>
          <w:szCs w:val="18"/>
        </w:rPr>
        <w:t xml:space="preserve">Stage I disease — where observation is an explicit NCCN option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adjuvant chemotherapy for stage II and III disease as a reasonable choice, not as an established benefit — and give both halves of ESPAC-3 when you do.</w:t>
      </w:r>
    </w:p>
    <w:p>
      <w:pPr>
        <w:spacing w:after="50" w:line="276"/>
        <w:ind w:left="240"/>
      </w:pPr>
      <w:r>
        <w:rPr>
          <w:color w:val="15181F"/>
          <w:sz w:val="18"/>
          <w:szCs w:val="18"/>
        </w:rPr>
        <w:t xml:space="preserve">A fit patient within 12 weeks of resection, with a total systemic-therapy duration of about 6 months. ESPAC-3 periampullary is the only phase III randomised trial to enrol a substantial ampullary population: 434 randomised and 428 analysed from 100 centres in 18 countries, of whom 297 had ampullary, 96 intrapancreatic bile duct and 35 other cancers (10 duodenal, 25 nondescript), allocated to observation (144), bolus fluorouracil with folinic acid (143) or gemcitabine (141). NCCN carries a category 1 designation for fluorouracil–leucovorin and for gemcitabine on the strength of it.</w:t>
      </w:r>
    </w:p>
    <w:p>
      <w:pPr>
        <w:spacing w:after="50"/>
        <w:ind w:left="240"/>
      </w:pPr>
      <w:r>
        <w:rPr>
          <w:b/>
          <w:bCs/>
          <w:color w:val="8C2F26"/>
          <w:sz w:val="18"/>
          <w:szCs w:val="18"/>
        </w:rPr>
        <w:t xml:space="preserve">Caveat. </w:t>
      </w:r>
      <w:r>
        <w:rPr>
          <w:color w:val="15181F"/>
          <w:sz w:val="18"/>
          <w:szCs w:val="18"/>
        </w:rPr>
        <w:t xml:space="preserve">The primary analysis was negative. Median overall survival was 35.2 months (95% CI 27.2–43.0) with observation against 43.1 months (34.0–56.0) with chemotherapy, hazard ratio 0.86 (95% CI 0.66–1.11), χ²=1.33, P=0.25, and the trial did not meet its primary endpoint. Significance appeared only in the prespecified multivariable analysis adjusting for age, bile duct cancer, poor tumour differentiation and positive lymph nodes: hazard ratio 0.75 (95% CI 0.57–0.98), Wald χ²=4.53, P=0.03, in a model of 415 patients and 236 deaths. By arm, unadjusted, fluorouracil against observation gave 0.95 (0.71–1.28), P=0.74 and gemcitabine 0.77 (0.57–1.05), P=0.10, with a three-group log-rank χ² of 2.96, P=0.23. The trial was open-label, a fifth of the fluorouracil arm (28 of 143) never received a dose, and only about half of each chemotherapy arm completed six cycles. Serious treatment-related adverse events were more frequent with fluorouracil–folinic acid than gemcitabine (70 of 143 patients, 49%, reporting 162 events against 43 of 141, 30%, reporting 81; P=0.002), with grade 3–4 diarrhoea 14% against 4% and stomatitis 11% against 0%. The authors themselves describe the positive multivariable result and the gemcitabine-specific result as hypothesis generating.</w:t>
      </w:r>
    </w:p>
    <w:p>
      <w:pPr>
        <w:spacing w:after="50" w:line="276"/>
        <w:ind w:left="240"/>
      </w:pPr>
      <w:r>
        <w:rPr>
          <w:i/>
          <w:iCs/>
          <w:color w:val="5A6069"/>
          <w:sz w:val="17"/>
          <w:szCs w:val="17"/>
        </w:rPr>
        <w:t xml:space="preserve">Downgraded from B to C on the full-text read, and the reason is specific: this page cannot cite ESPAC-3 as establishing adjuvant benefit in ampullary cancer. The trial was powered on 243 deaths and 430 patients to detect a 12 percentage-point absolute gain in 5-year survival (hazard ratio 0.68) across the pooled periampullary population, and the authors state that a separate survival analysis for each tumour type could not be built into the design because the incidence of each would have required an unattainable sample. It was never powered for the ampullary subgroup, and no hypothesis test for ampullary-only survival is reported anywhere in the paper: within the 297 ampullary patients the medians are observation 40.6 months (95% CI 30.6–61.4, 59 deaths), fluorouracil 57.8 months (32.8–84.0, 50 deaths) and gemcitabine 70.8 months (45.3–not estimable, 42 deaths), and they appear without a P value. Two further features of the full text matter. First, the adjustment that turns the result positive was for four variables on two of which the observation arm was prognostically the worst at baseline — poorly differentiated 33% against 22% and 19%, node positive 62% against 60% and 54% — so the shift from 0.86 to 0.75 is partly correcting a randomisation imbalance rather than independently confirming the primary analysis, and its interval only just excludes 1. Second, pooling created a group in which chemotherapy looked harmful: in the 96 intrapancreatic bile duct patients, median survival was 27.2 months (15.4–31.9) with observation against 18.3 (12.9–28.7) with fluorouracil and 19.5 (16.2–36.1) with gemcitabine. Any pooled benefit is therefore carried by the ampullary and other patients, in whom it was never formally tested. Survival differed sharply by tumour type — ampullary 53.1 months (42.3–72.5), other 32.6, bile duct 20.9 (17.0–27.5), χ²=27.75, P&lt;0.001, bile duct hazard ratio 2.13 (1.61–2.83) against ampullary — and the trial's own discussion concedes that intrapancreatic bile duct cancer may need to be treated as a separate entity. Observation-arm survival of 35 months is also far better than the ampullary literature of the era, which implies a fit, early-stage, selected population; screening data on who was excluded and why were not collected. See </w:t>
      </w:r>
      <w:r>
        <w:rPr>
          <w:i/>
          <w:iCs/>
          <w:color w:val="5A6069"/>
          <w:sz w:val="17"/>
          <w:szCs w:val="17"/>
        </w:rPr>
        <w:t xml:space="preserve">nonpm</w:t>
      </w:r>
      <w:r>
        <w:rPr>
          <w:i/>
          <w:iCs/>
          <w:color w:val="5A6069"/>
          <w:sz w:val="17"/>
          <w:szCs w:val="17"/>
        </w:rPr>
        <w:t xml:space="preserve"> for a discrepancy in the extracted guideline text at this point.</w:t>
      </w:r>
    </w:p>
    <w:p>
      <w:pPr>
        <w:spacing w:after="60" w:line="276"/>
        <w:ind w:left="240"/>
      </w:pPr>
      <w:r>
        <w:rPr>
          <w:color w:val="5A6069"/>
          <w:sz w:val="16"/>
          <w:szCs w:val="16"/>
        </w:rPr>
        <w:t xml:space="preserve">Sources: ESPAC-3 periampullary</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Choose the regimen by subtype, understanding that every option except fluorouracil and gemcitabine is an extrapolation from another disease.</w:t>
      </w:r>
    </w:p>
    <w:p>
      <w:pPr>
        <w:spacing w:after="50" w:line="276"/>
        <w:ind w:left="240"/>
      </w:pPr>
      <w:r>
        <w:rPr>
          <w:color w:val="15181F"/>
          <w:sz w:val="18"/>
          <w:szCs w:val="18"/>
        </w:rPr>
        <w:t xml:space="preserve">NCCN's lists. For pancreatobiliary and mixed type: fluorouracil–leucovorin, gemcitabine, capecitabine, capecitabine–gemcitabine, cisplatin–gemcitabine, FOLFOX or CapeOx, and modified FOLFIRINOX. For intestinal type: fluorouracil–leucovorin, gemcitabine, capecitabine, and FOLFOX or CapeOx. Chemotherapy precedes chemoradiation where chemoradiation is being considered for a positive or close margin. Only fluorouracil with folinic acid and single-agent gemcitabine have ever been given to ampullary patients in a randomised adjuvant trial, and that trial was negative on its primary endpoint.</w:t>
      </w:r>
    </w:p>
    <w:p>
      <w:pPr>
        <w:spacing w:after="50"/>
        <w:ind w:left="240"/>
      </w:pPr>
      <w:r>
        <w:rPr>
          <w:b/>
          <w:bCs/>
          <w:color w:val="8C2F26"/>
          <w:sz w:val="18"/>
          <w:szCs w:val="18"/>
        </w:rPr>
        <w:t xml:space="preserve">Caveat. </w:t>
      </w:r>
      <w:r>
        <w:rPr>
          <w:color w:val="15181F"/>
          <w:sz w:val="18"/>
          <w:szCs w:val="18"/>
        </w:rPr>
        <w:t xml:space="preserve">Name the source of each extrapolation when consenting, and say that the two trials doing most of the work excluded this disease by design. Capecitabine–gemcitabine rests on ESPAC-4, a trial of resected pancreatic </w:t>
      </w:r>
      <w:r>
        <w:rPr>
          <w:i/>
          <w:iCs/>
          <w:color w:val="15181F"/>
          <w:sz w:val="18"/>
          <w:szCs w:val="18"/>
        </w:rPr>
        <w:t xml:space="preserve">ductal</w:t>
      </w:r>
      <w:r>
        <w:rPr>
          <w:color w:val="15181F"/>
          <w:sz w:val="18"/>
          <w:szCs w:val="18"/>
        </w:rPr>
        <w:t xml:space="preserve"> adenocarcinoma in which nonductal pancreatic tumours were an explicit exclusion criterion: 730 patients analysed, median overall survival 28.0 months (95% CI 23.5–31.5) against 25.5 (22.7–27.9), hazard ratio 0.82 (0.68–0.98), P=0.032 — a 2.5-month median gain whose upper confidence limit almost touches 1, reported early on a monitoring committee's recommendation at 458 of a planned 480 deaths with no alpha adjustment presented, with the benefit concentrated in R0 patients (39.5 against 27.9 months) and essentially no separation in R1 disease (23.7 against 23.0 months), and grade 3–4 adverse events in 226 of 359 patients (63%) against 196 of 366 (54%). Modified FOLFIRINOX rests on PRODIGE-24, also resected pancreatic ductal adenocarcinoma with nonductal tumours excluded, and with entry restricted to WHO performance status 0–1, age under 80 and CA 19-9 under 180 U/mL: 493 patients, median disease-free survival 21.6 months (17.7–27.6) against 12.8 (11.7–15.2), hazard ratio 0.58 (0.46–0.73), P&lt;0.001, median overall survival 54.4 against 35.0 months, hazard ratio 0.64 (0.48–0.86), P=0.003, at the cost of grade 3–4 toxicity in 180 of 237 patients (75.9%) against 128 of 242 (52.9%), and with no disease-free survival benefit in the 101 patients aged 70 or over (hazard ratio 0.86, 0.53–1.39). Capecitabine rests on BILCAP in biliary tract cancer, whose own primary analysis was not significant (median overall survival 51.1 against 36.4 months, P=0.097), and on X-ACT in colon cancer for the intestinal subtype; cisplatin–gemcitabine on ABC-02 in advanced biliary tract cancer, which did include ampullary cancers but did not report how many and was not an adjuvant trial (11.7 against 8.1 months, hazard ratio 0.64, 0.52–0.80, P&lt;0.001); and CapeOx on a 31-patient phase II trial in advanced small bowel and ampullary cancers of which 12 were ampullary, again not adjuvant. BILCAP and ABC-02 are cited here from their abstracts and from guideline text only, since neither full text was read for this page.</w:t>
      </w:r>
    </w:p>
    <w:p>
      <w:pPr>
        <w:spacing w:after="50" w:line="276"/>
        <w:ind w:left="240"/>
      </w:pPr>
      <w:r>
        <w:rPr>
          <w:i/>
          <w:iCs/>
          <w:color w:val="5A6069"/>
          <w:sz w:val="17"/>
          <w:szCs w:val="17"/>
        </w:rPr>
        <w:t xml:space="preserve">NCCN states that the panel added capecitabine–gemcitabine for pancreatobiliary and mixed type on the basis of clinical expertise and that there are no prospective randomised phase III data supporting these recommendations. The two pancreatic trials are therefore borrowed evidence in the strict sense: both were designed to answer a question in a different tumour with roughly half the resected median survival of ampullary cancer, both excluded nonductal tumours as a matter of protocol, and neither reports a single ampullary patient. Transplanting a regimen with 75.9% grade 3–4 toxicity into a disease with no randomised evidence that any adjuvant chemotherapy helps is a decision about risk tolerance, not an application of trial evidence, and the consent conversation should say so. For stage I disease NCCN offers systemic therapy or observation; observation is a real option, not a concession.</w:t>
      </w:r>
    </w:p>
    <w:p>
      <w:pPr>
        <w:spacing w:after="60" w:line="276"/>
        <w:ind w:left="240"/>
      </w:pPr>
      <w:r>
        <w:rPr>
          <w:color w:val="5A6069"/>
          <w:sz w:val="16"/>
          <w:szCs w:val="16"/>
        </w:rPr>
        <w:t xml:space="preserve">Sources: ESPAC-4; PRODIGE-24; BILCAP; ABC-02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published arguments appeared, not by strength — and on the full-text read they are not of equal strength. The honest summary is that one randomised trial exists, its primary analysis was negative, its ampullary subgroup was never powered and was never tested statistically, and the two subtype-directed cohorts that followed differ in method rather than only in result: the positive one gave adjuvant therapy by prognosis at tumour board with no adjustment of any kind and reports a whole-cohort result running the other way, while the negative one propensity-matched on the actual drivers of treatment selection and handled immortal time bias. The methodologically stronger analysis is negative; it is also underpowered to exclude a modest benefit, and the classification on which the whole question depends has an interobserver κ of 0.39. That is the state of the evidence, and the choice below is a governance choice made in its absence.</w:t>
      </w:r>
    </w:p>
    <w:p>
      <w:pPr>
        <w:spacing w:after="50" w:before="120"/>
        <w:ind w:left="240"/>
      </w:pPr>
      <w:r>
        <w:rPr>
          <w:b/>
          <w:bCs/>
          <w:color w:val="15181F"/>
          <w:sz w:val="19"/>
          <w:szCs w:val="19"/>
        </w:rPr>
        <w:t xml:space="preserve">Adjuvant therapy directed by subtype</w:t>
      </w:r>
      <w:r>
        <w:rPr>
          <w:color w:val="5A6069"/>
          <w:sz w:val="15"/>
          <w:szCs w:val="15"/>
        </w:rPr>
        <w:t xml:space="preserve">   grade C</w:t>
      </w:r>
    </w:p>
    <w:p>
      <w:pPr>
        <w:spacing w:after="50" w:line="276"/>
        <w:ind w:left="240"/>
      </w:pPr>
      <w:r>
        <w:rPr>
          <w:color w:val="15181F"/>
          <w:sz w:val="18"/>
          <w:szCs w:val="18"/>
        </w:rPr>
        <w:t xml:space="preserve">NCCN lists different regimens for pancreatobiliary/mixed and intestinal type, so the guideline already uses subtype to choose the drug — but not to choose whether to treat.</w:t>
      </w:r>
    </w:p>
    <w:p>
      <w:pPr>
        <w:spacing w:after="50" w:line="276"/>
        <w:ind w:left="240"/>
      </w:pPr>
      <w:r>
        <w:rPr>
          <w:color w:val="15181F"/>
          <w:sz w:val="18"/>
          <w:szCs w:val="18"/>
        </w:rPr>
        <w:t xml:space="preserve">The argument for treating pancreatobiliary and mixed tumours preferentially rests on 214 resections at 5 European centres over 1996 to 2017, where adjuvant therapy gave median overall survival of 85 against 65 months in that group (P=0.005) and remained independent on multivariable analysis (hazard ratio 0.351, 95% CI 0.151–0.851, P=0.015), with no significant benefit in intestinal tumours (115 against 147 months, hazard ratio 0.443, 0.099–1.984, P=0.287). Regimens were pancreatic-type, gemcitabine monotherapy in 35 of 75 treated patients (46.6%).</w:t>
      </w:r>
    </w:p>
    <w:p>
      <w:pPr>
        <w:spacing w:after="50"/>
        <w:ind w:left="240"/>
      </w:pPr>
      <w:r>
        <w:rPr>
          <w:b/>
          <w:bCs/>
          <w:color w:val="8C2F26"/>
          <w:sz w:val="18"/>
          <w:szCs w:val="18"/>
        </w:rPr>
        <w:t xml:space="preserve">Caveat. </w:t>
      </w:r>
      <w:r>
        <w:rPr>
          <w:color w:val="15181F"/>
          <w:sz w:val="18"/>
          <w:szCs w:val="18"/>
        </w:rPr>
        <w:t xml:space="preserve">Read that cohort's whole-cohort result before relying on its subgroup. Across all 214 patients, median overall survival was 168 months without adjuvant therapy against 113 months with it, hazard ratio 1.124 (95% CI 0.756–1.987), P=0.608 — crude survival was 55 months longer in the untreated patients, because the decision to treat was made at multidisciplinary meeting on T3/4 stage, node positivity and raised CA 19-9, and no propensity matching, inverse-probability weighting or landmark analysis was performed anywhere in the study. A protective hazard ratio of 0.351 appearing only after the cohort is cut by subtype, in a dataset whose unstratified signal runs the other way, with no interaction test reported and only 53 treated pancreatobiliary or mixed patients supporting a model that also contains ASA, CEA, T, N, grade and margin, is the pattern of a subgroup artefact. The intestinal point estimate is in the same protective direction and merely imprecise. Subtype itself was not independent in the whole cohort (hazard ratio 1.559, 0.756–3.216, P=0.229); the 16 mixed tumours were pooled with pancreatobiliary after the data were seen; subtype was assigned locally at 5 centres over 21 years with no central review or immunohistochemistry; 20% of treated patients had an unknown regimen and treatment completion and dose intensity were not captured; year of surgery is not adjusted for in any model despite the cohort straddling the introduction of adjuvant gemcitabine; and several reported hazard ratios lie outside their own confidence limits. The whole-cohort median overall survival of 136.5 months is also far outside every other series in this literature, against a median follow-up of 80 months.</w:t>
      </w:r>
    </w:p>
    <w:p>
      <w:pPr>
        <w:spacing w:after="60" w:line="276"/>
        <w:ind w:left="240"/>
      </w:pPr>
      <w:r>
        <w:rPr>
          <w:color w:val="5A6069"/>
          <w:sz w:val="16"/>
          <w:szCs w:val="16"/>
        </w:rPr>
        <w:t xml:space="preserve">Sources: Bolm 2020; Ecker 2019</w:t>
      </w:r>
    </w:p>
    <w:p>
      <w:pPr>
        <w:spacing w:after="50" w:before="120"/>
        <w:ind w:left="240"/>
      </w:pPr>
      <w:r>
        <w:rPr>
          <w:b/>
          <w:bCs/>
          <w:color w:val="15181F"/>
          <w:sz w:val="19"/>
          <w:szCs w:val="19"/>
        </w:rPr>
        <w:t xml:space="preserve">Adjuvant therapy directed by stage, nodes and margin, ignoring subtype</w:t>
      </w:r>
      <w:r>
        <w:rPr>
          <w:color w:val="5A6069"/>
          <w:sz w:val="15"/>
          <w:szCs w:val="15"/>
        </w:rPr>
        <w:t xml:space="preserve">   grade C</w:t>
      </w:r>
    </w:p>
    <w:p>
      <w:pPr>
        <w:spacing w:after="50" w:line="276"/>
        <w:ind w:left="240"/>
      </w:pPr>
      <w:r>
        <w:rPr>
          <w:color w:val="15181F"/>
          <w:sz w:val="18"/>
          <w:szCs w:val="18"/>
        </w:rPr>
        <w:t xml:space="preserve">NCCN's algorithm is staged, not subtyped: systemic therapy or observation for stage I, systemic therapy with or without subsequent chemoradiation or observation for stage II, systemic therapy with or without chemoradiation for stage III.</w:t>
      </w:r>
    </w:p>
    <w:p>
      <w:pPr>
        <w:spacing w:after="50" w:line="276"/>
        <w:ind w:left="240"/>
      </w:pPr>
      <w:r>
        <w:rPr>
          <w:color w:val="15181F"/>
          <w:sz w:val="18"/>
          <w:szCs w:val="18"/>
        </w:rPr>
        <w:t xml:space="preserve">NCCN's algorithm is staged, not subtyped: systemic therapy or observation for stage I, systemic therapy with or without subsequent chemoradiation or observation for stage II, systemic therapy with or without chemoradiation for stage III. The best-adjusted individual-patient analysis sits here too: in 357 resections at 12 institutions, with 81 propensity-matched pairs, adjuvant therapy showed no survival benefit overall (hazard ratio 0.90, 95% CI 0.51–1.56, P=0.69) and none within any stage stratum, while stage drove both treatment and outcome — adjuvant use rose from 17.4% in stage I to 64.0% in stage II and 74.0% in stage III, and median survival fell from 137 to 57 to 45 months. Adding radiotherapy conferred nothing against surgery alone (hazard ratio 0.77, 0.41–1.44, P=0.41) or against chemotherapy alone (1.58, 0.69–2.60, P=0.28), and recurrence was predominantly distant (38 of 58, 65.5%) rather than locoregional (11 of 58, 19.0%). The registry weight points the other way: NCCN's discussion reports that in 4,190 National Cancer Database cases adjuvant chemotherapy gave median overall survival of 47.2 against 35.5 months (hazard ratio 0.82, P&lt;0.01) and adjuvant chemoradiation 38.1 against 31.0 months (0.84, P=0.02), with higher T and N stages appearing to benefit most, and two large meta-analyses of 71 studies with 8,280 patients and of 10 studies with 3,361 report clinical benefit.</w:t>
      </w:r>
    </w:p>
    <w:p>
      <w:pPr>
        <w:spacing w:after="50"/>
        <w:ind w:left="240"/>
      </w:pPr>
      <w:r>
        <w:rPr>
          <w:b/>
          <w:bCs/>
          <w:color w:val="8C2F26"/>
          <w:sz w:val="18"/>
          <w:szCs w:val="18"/>
        </w:rPr>
        <w:t xml:space="preserve">Caveat. </w:t>
      </w:r>
      <w:r>
        <w:rPr>
          <w:color w:val="15181F"/>
          <w:sz w:val="18"/>
          <w:szCs w:val="18"/>
        </w:rPr>
        <w:t xml:space="preserve">All of the supportive evidence is registry and retrospective, and the confounding runs one way: NCCN records that in the studies finding no effect, adjuvant therapy was more frequently used in patients with more advanced disease. That biases towards finding no benefit in unadjusted analyses and towards finding benefit once stage is adjusted — which is exactly the pattern the literature shows, including inside ESPAC-3 itself. The propensity-matched null is not a clean negative either: matching discarded 195 of 357 patients, the matched intervals do not exclude a 25% to 35% relative risk reduction, half the screened population (369 of 756) was excluded for unknown subtype, matching omitted grade, lymphovascular invasion, margin, CA 19-9 and year of surgery despite grade, lymphovascular invasion and margin all differing between treated and untreated patients, median follow-up of 34 months is shorter than the 57-month median survival, and the 17-year accrual is dominated by gemcitabine monotherapy so it cannot speak to modern multiagent therapy. Black race appeared as one of the strongest predictors of both death (hazard ratio 3.93, 95% CI 1.95–7.93) and treatment omission (odds ratio 0.26, 0.09–0.76), which signals access and socioeconomic confounding that no propensity model built on tumour variables can absorb.</w:t>
      </w:r>
    </w:p>
    <w:p>
      <w:pPr>
        <w:spacing w:after="60" w:line="276"/>
        <w:ind w:left="240"/>
      </w:pPr>
      <w:r>
        <w:rPr>
          <w:color w:val="5A6069"/>
          <w:sz w:val="16"/>
          <w:szCs w:val="16"/>
        </w:rPr>
        <w:t xml:space="preserve">Sources: ESPAC-3 periampullary; Ecker 2019</w:t>
      </w:r>
    </w:p>
    <w:p>
      <w:pPr>
        <w:spacing w:after="60" w:line="276"/>
        <w:ind w:left="240"/>
      </w:pPr>
      <w:r>
        <w:rPr>
          <w:i/>
          <w:iCs/>
          <w:color w:val="5A6069"/>
          <w:sz w:val="16"/>
          <w:szCs w:val="16"/>
        </w:rPr>
        <w:t xml:space="preserve">Ratification item: does this programme offer adjuvant chemotherapy to all resected stage II and III patients, as NCCN's algorithm implies, or preferentially to pancreatobiliary and mixed subtypes, as the European cohort suggests? And does it accept a subtype call whose interobserver κ is 0.39, with 40% of tumours mixed and pure intestinal morphology in only 6%, as a basis for that decision? The group should also decide whether it uses the ESPAC-4 and PRODIGE-24 regimens at all in ampullary disease, given that both trials excluded nonductal tumours by protocol. Deciding this in advance stops the subtype being used inconsistently by whoever happens to present the case. Registry: subtype as reported, adjuvant regimen, completion, recurrence site, overall survival.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Adjuvant chemoradiation after chemotherapy for a positive or close margin, or for node-positive disease, as a shared decision.</w:t>
      </w:r>
    </w:p>
    <w:p>
      <w:pPr>
        <w:spacing w:after="50" w:line="276"/>
        <w:ind w:left="240"/>
      </w:pPr>
      <w:r>
        <w:rPr>
          <w:color w:val="15181F"/>
          <w:sz w:val="18"/>
          <w:szCs w:val="18"/>
        </w:rPr>
        <w:t xml:space="preserve">NCCN lists chemoradiation as an option after chemotherapy for stage II and III disease, with capecitabine or fluorouracil concurrent for all subtypes and gemcitabine concurrent for pancreatobiliary type only. NCCN cites a systematic review and meta-analysis of 10 retrospective studies including 3,361 ampullary cancers in which adjuvant chemoradiation reduced the risk of death (hazard ratio 0.75, P=0.01), with the benefit reported as concentrated in node-positive disease — median overall survival 32.1 against 15.7 months (hazard ratio 0.47, P=0.004) in 186 patients with nodal involvement, and improved disease-specific and overall survival in N2 disease in 1,106 patients.</w:t>
      </w:r>
    </w:p>
    <w:p>
      <w:pPr>
        <w:spacing w:after="50"/>
        <w:ind w:left="240"/>
      </w:pPr>
      <w:r>
        <w:rPr>
          <w:b/>
          <w:bCs/>
          <w:color w:val="8C2F26"/>
          <w:sz w:val="18"/>
          <w:szCs w:val="18"/>
        </w:rPr>
        <w:t xml:space="preserve">Caveat. </w:t>
      </w:r>
      <w:r>
        <w:rPr>
          <w:color w:val="15181F"/>
          <w:sz w:val="18"/>
          <w:szCs w:val="18"/>
        </w:rPr>
        <w:t xml:space="preserve">Do not present it as established. NCCN records contradictory studies on the usefulness of adjuvant chemoradiation in ampullary cancer, all the supporting evidence is retrospective, adjuvant therapy in these series was preferentially given for higher T stage, nodal involvement and close or positive margins, and the one randomised EORTC trial of adjuvant chemoradiation in pancreatic head and periampullary cancers did not report how many patients had ampullary cancer. The one individual-patient analysis in this depot that matched on the drivers of treatment selection found that adding radiotherapy conferred nothing — against surgery alone hazard ratio 0.77 (95% CI 0.41–1.44), P=0.41, and against chemotherapy alone 1.58 (0.69–2.60), P=0.28 — in a disease whose recurrences are distant in roughly two-thirds of cases and locoregional in a fifth. Adjuvant chemoradiation use fell from 20% to 12% between 2004–2005 and 2012–2013 while chemotherapy use rose from 9% to 32%.</w:t>
      </w:r>
    </w:p>
    <w:p>
      <w:pPr>
        <w:spacing w:after="50" w:line="276"/>
        <w:ind w:left="240"/>
      </w:pPr>
      <w:r>
        <w:rPr>
          <w:i/>
          <w:iCs/>
          <w:color w:val="5A6069"/>
          <w:sz w:val="17"/>
          <w:szCs w:val="17"/>
        </w:rPr>
        <w:t xml:space="preserve">Chemotherapy first, then chemoradiation, is NCCN's sequence. Downgraded from C to D: every supporting figure is registry or meta-analysed retrospective data with treatment allocated by the prognostic factors being adjusted for, no randomised trial reports an ampullary result, and the best-adjusted cohort analysis is negative. The recommendation stays on the page because NCCN lists it and because a close or positive margin is a real clinical problem with few other answers, but it should be offered as a shared decision in the absence of evidence rather than as a standard of care.</w:t>
      </w:r>
    </w:p>
    <w:p>
      <w:pPr>
        <w:spacing w:after="60" w:line="276"/>
        <w:ind w:left="240"/>
      </w:pPr>
      <w:r>
        <w:rPr>
          <w:color w:val="5A6069"/>
          <w:sz w:val="16"/>
          <w:szCs w:val="16"/>
        </w:rPr>
        <w:t xml:space="preserve">Sources: ESPAC-3 periampullary; Ecker 2019</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tell a patient that adjuvant chemotherapy has been shown to improve survival in resected ampullary cancer.</w:t>
      </w:r>
    </w:p>
    <w:p>
      <w:pPr>
        <w:spacing w:after="50" w:line="276"/>
        <w:ind w:left="240"/>
      </w:pPr>
      <w:r>
        <w:rPr>
          <w:color w:val="15181F"/>
          <w:sz w:val="18"/>
          <w:szCs w:val="18"/>
        </w:rPr>
        <w:t xml:space="preserve">Say what is true: the one randomised trial missed its primary endpoint (hazard ratio 0.86, 95% CI 0.66–1.11, P=0.25), became significant only after adjustment for four prognostic variables on two of which the observation arm was worse at baseline (0.75, 0.57–0.98, P=0.03), was never powered for the ampullary subgroup, and reports no hypothesis test for ampullary-only survival anywhere. Then offer it, because the adjusted estimate and the registry data point the same way and because there is nothing better to offer — but offer it as a reasonable choice rather than as a demonstrated benefit, and record which it was presented as.</w:t>
      </w:r>
    </w:p>
    <w:p>
      <w:pPr>
        <w:spacing w:after="50"/>
        <w:ind w:left="240"/>
      </w:pPr>
      <w:r>
        <w:rPr>
          <w:b/>
          <w:bCs/>
          <w:color w:val="8C2F26"/>
          <w:sz w:val="18"/>
          <w:szCs w:val="18"/>
        </w:rPr>
        <w:t xml:space="preserve">Caveat. </w:t>
      </w:r>
      <w:r>
        <w:rPr>
          <w:color w:val="15181F"/>
          <w:sz w:val="18"/>
          <w:szCs w:val="18"/>
        </w:rPr>
        <w:t xml:space="preserve">The overstatement is not hypothetical — the extracted NCCN systemic-therapy page itself states that ESPAC-3 demonstrated significant improvements in disease-free and overall survival with adjuvant gemcitabine or fluorouracil versus observation in resectable ampullary adenocarcinoma, which the published trial does not support, and quotes median survivals of 23.0 and 23.6 months that match the ESPAC-3 pancreatic cohort rather than the periampullary trial. Confirm the wording against the published guideline before quoting it.</w:t>
      </w:r>
    </w:p>
    <w:p>
      <w:pPr>
        <w:spacing w:after="60" w:line="276"/>
        <w:ind w:left="240"/>
      </w:pPr>
      <w:r>
        <w:rPr>
          <w:color w:val="5A6069"/>
          <w:sz w:val="16"/>
          <w:szCs w:val="16"/>
        </w:rPr>
        <w:t xml:space="preserve">Sources: ESPAC-3 periampullary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therapy without the subtype and mismatch-repair result in hand.</w:t>
      </w:r>
    </w:p>
    <w:p>
      <w:pPr>
        <w:spacing w:after="50" w:line="276"/>
        <w:ind w:left="240"/>
      </w:pPr>
      <w:r>
        <w:rPr>
          <w:color w:val="15181F"/>
          <w:sz w:val="18"/>
          <w:szCs w:val="18"/>
        </w:rPr>
        <w:t xml:space="preserve">NCCN asks for adjuvant therapy to start within 12 weeks of surgery if the patient is fit, which leaves time for both results; PERIPAN asks for mismatch-repair testing to accompany the final pathology report.</w:t>
      </w:r>
    </w:p>
    <w:p>
      <w:pPr>
        <w:spacing w:after="50"/>
        <w:ind w:left="240"/>
      </w:pPr>
      <w:r>
        <w:rPr>
          <w:b/>
          <w:bCs/>
          <w:color w:val="8C2F26"/>
          <w:sz w:val="18"/>
          <w:szCs w:val="18"/>
        </w:rPr>
        <w:t xml:space="preserve">Caveat. </w:t>
      </w:r>
      <w:r>
        <w:rPr>
          <w:color w:val="15181F"/>
          <w:sz w:val="18"/>
          <w:szCs w:val="18"/>
        </w:rPr>
        <w:t xml:space="preserve">Starting a pancreatobiliary regimen in a tumour that turns out to be intestinal, or missing a mismatch-repair-deficient tumour, is an avoidable error of sequence rather than of judgement.</w:t>
      </w:r>
    </w:p>
    <w:p>
      <w:pPr>
        <w:spacing w:after="60" w:line="276"/>
        <w:ind w:left="240"/>
      </w:pPr>
      <w:r>
        <w:rPr>
          <w:color w:val="5A6069"/>
          <w:sz w:val="16"/>
          <w:szCs w:val="16"/>
        </w:rPr>
        <w:t xml:space="preserve">Sources: PERIPAN 2025</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Locally advanced or metastatic disease</w:t>
      </w:r>
    </w:p>
    <w:p>
      <w:pPr>
        <w:spacing w:after="140"/>
      </w:pPr>
      <w:r>
        <w:rPr>
          <w:b/>
          <w:bCs/>
          <w:color w:val="176A87"/>
          <w:sz w:val="19"/>
          <w:szCs w:val="19"/>
        </w:rPr>
        <w:t xml:space="preserve">The question. </w:t>
      </w:r>
      <w:r>
        <w:rPr>
          <w:sz w:val="19"/>
          <w:szCs w:val="19"/>
        </w:rPr>
        <w:t xml:space="preserve">What is this patient's performance status honestly, has the biliary tree been drained, and is there a target worth looking for?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Distant metastases on staging, with biopsy confirmation preferably from a metastatic site</w:t>
      </w:r>
    </w:p>
    <w:p>
      <w:pPr>
        <w:pStyle w:val="ListParagraph"/>
        <w:numPr>
          <w:ilvl w:val="0"/>
          <w:numId w:val="2"/>
        </w:numPr>
        <w:spacing w:after="60" w:line="268"/>
      </w:pPr>
      <w:r>
        <w:rPr>
          <w:color w:val="15181F"/>
          <w:sz w:val="18"/>
          <w:szCs w:val="18"/>
        </w:rPr>
        <w:t xml:space="preserve">Locally advanced disease, after a second opinion on unresectability</w:t>
      </w:r>
    </w:p>
    <w:p>
      <w:pPr>
        <w:pStyle w:val="ListParagraph"/>
        <w:numPr>
          <w:ilvl w:val="0"/>
          <w:numId w:val="2"/>
        </w:numPr>
        <w:spacing w:after="60" w:line="268"/>
      </w:pPr>
      <w:r>
        <w:rPr>
          <w:color w:val="15181F"/>
          <w:sz w:val="18"/>
          <w:szCs w:val="18"/>
        </w:rPr>
        <w:t xml:space="preserve">Performance status recorded as ECOG, with biliary drainage and nutrition assessed</w:t>
      </w:r>
    </w:p>
    <w:p>
      <w:pPr>
        <w:pStyle w:val="ListParagraph"/>
        <w:numPr>
          <w:ilvl w:val="0"/>
          <w:numId w:val="2"/>
        </w:numPr>
        <w:spacing w:after="60" w:line="268"/>
      </w:pPr>
      <w:r>
        <w:rPr>
          <w:color w:val="15181F"/>
          <w:sz w:val="18"/>
          <w:szCs w:val="18"/>
        </w:rPr>
        <w:t xml:space="preserve">Somatic molecular profiling and germline testing done or ordered</w:t>
      </w:r>
    </w:p>
    <w:p>
      <w:pPr>
        <w:pStyle w:val="ListParagraph"/>
        <w:numPr>
          <w:ilvl w:val="0"/>
          <w:numId w:val="2"/>
        </w:numPr>
        <w:spacing w:after="60" w:line="268"/>
      </w:pPr>
      <w:r>
        <w:rPr>
          <w:color w:val="15181F"/>
          <w:sz w:val="18"/>
          <w:szCs w:val="18"/>
        </w:rPr>
        <w:t xml:space="preserve">Recurrence after resection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Biopsy a metastatic site to confirm the diagnosis, using a core biopsy wherever possible so there is tissue for profiling.</w:t>
      </w:r>
    </w:p>
    <w:p>
      <w:pPr>
        <w:spacing w:after="50" w:line="276"/>
        <w:ind w:left="240"/>
      </w:pPr>
      <w:r>
        <w:rPr>
          <w:color w:val="15181F"/>
          <w:sz w:val="18"/>
          <w:szCs w:val="18"/>
        </w:rPr>
        <w:t xml:space="preserve">NCCN's own sequence for metastatic disease: biopsy confirmation preferably from a metastatic site, with core biopsy recommended if possible to obtain adequate tissue for molecular profiling or other ancillary studies, and histologic subtyping attempted on whichever specimen is obtained.</w:t>
      </w:r>
    </w:p>
    <w:p>
      <w:pPr>
        <w:spacing w:after="50"/>
        <w:ind w:left="240"/>
      </w:pPr>
      <w:r>
        <w:rPr>
          <w:b/>
          <w:bCs/>
          <w:color w:val="8C2F26"/>
          <w:sz w:val="18"/>
          <w:szCs w:val="18"/>
        </w:rPr>
        <w:t xml:space="preserve">Caveat. </w:t>
      </w:r>
      <w:r>
        <w:rPr>
          <w:color w:val="15181F"/>
          <w:sz w:val="18"/>
          <w:szCs w:val="18"/>
        </w:rPr>
        <w:t xml:space="preserve">Do not accept a cytological aspirate as the end of the diagnostic process when systemic therapy and molecular profiling both depend on the tissue. PERIPAN prefers core material over cytology for the same reason, and asks that the pathologist be told when a patient will not go to surgery so that immunohistochemical and molecular tests are done without delay.</w:t>
      </w:r>
    </w:p>
    <w:p>
      <w:pPr>
        <w:spacing w:after="50" w:line="276"/>
        <w:ind w:left="240"/>
      </w:pPr>
      <w:r>
        <w:rPr>
          <w:i/>
          <w:iCs/>
          <w:color w:val="5A6069"/>
          <w:sz w:val="17"/>
          <w:szCs w:val="17"/>
        </w:rPr>
        <w:t xml:space="preserve">In this setting subtyping on the biopsy is appropriate rather than discouraged, because it may influence treatment and no resection specimen is coming.</w:t>
      </w:r>
    </w:p>
    <w:p>
      <w:pPr>
        <w:spacing w:after="60" w:line="276"/>
        <w:ind w:left="240"/>
      </w:pPr>
      <w:r>
        <w:rPr>
          <w:color w:val="5A6069"/>
          <w:sz w:val="16"/>
          <w:szCs w:val="16"/>
        </w:rPr>
        <w:t xml:space="preserve">Sources: PERIPAN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Choose first-line systemic therapy by performance status and presumed subtype, and define performance status the way NCCN does.</w:t>
      </w:r>
    </w:p>
    <w:p>
      <w:pPr>
        <w:spacing w:after="50" w:line="276"/>
        <w:ind w:left="240"/>
      </w:pPr>
      <w:r>
        <w:rPr>
          <w:color w:val="15181F"/>
          <w:sz w:val="18"/>
          <w:szCs w:val="18"/>
        </w:rPr>
        <w:t xml:space="preserve">NCCN defines good performance status as ECOG 0–1 </w:t>
      </w:r>
      <w:r>
        <w:rPr>
          <w:i/>
          <w:iCs/>
          <w:color w:val="15181F"/>
          <w:sz w:val="18"/>
          <w:szCs w:val="18"/>
        </w:rPr>
        <w:t xml:space="preserve">with good biliary drainage and adequate nutritional intake</w:t>
      </w:r>
      <w:r>
        <w:rPr>
          <w:color w:val="15181F"/>
          <w:sz w:val="18"/>
          <w:szCs w:val="18"/>
        </w:rPr>
        <w:t xml:space="preserve">, intermediate as ECOG 2 and poor as ECOG 3 — so drainage and nutrition are part of the eligibility assessment, not a separate matter. For pancreatobiliary and mixed type with good or intermediate status: albumin-bound paclitaxel–gemcitabine, capecitabine–gemcitabine, cisplatin–gemcitabine, cisplatin–durvalumab–gemcitabine, or FOLFOX; with ECOG 0–1 only, also FOLFIRINOX or modified FOLFIRINOX and NALIRIFOX. For poor performance status, palliative and best supportive care are preferred.</w:t>
      </w:r>
    </w:p>
    <w:p>
      <w:pPr>
        <w:spacing w:after="50"/>
        <w:ind w:left="240"/>
      </w:pPr>
      <w:r>
        <w:rPr>
          <w:b/>
          <w:bCs/>
          <w:color w:val="8C2F26"/>
          <w:sz w:val="18"/>
          <w:szCs w:val="18"/>
        </w:rPr>
        <w:t xml:space="preserve">Caveat. </w:t>
      </w:r>
      <w:r>
        <w:rPr>
          <w:color w:val="15181F"/>
          <w:sz w:val="18"/>
          <w:szCs w:val="18"/>
        </w:rPr>
        <w:t xml:space="preserve">Do not treat any of these backbones as validated in this disease. ABC-02 randomised 410 patients with locally advanced or metastatic cholangiocarcinoma, gallbladder cancer or ampullary cancer to cisplatin–gemcitabine or gemcitabine, giving median overall survival 11.7 against 8.1 months (hazard ratio 0.64, 95% CI 0.52–0.80, P&lt;0.001) and progression-free survival 8.0 against 5.0 months (P&lt;0.001) — but the number of ampullary patients was not reported, so the ampullary effect size is unknown; that trial is cited here from its abstract and from guideline text only. The FOLFIRINOX and modified FOLFIRINOX options arrive from PRODIGE-24 and the gemcitabine-based ones partly from ESPAC-4, both of which were trials of pancreatic </w:t>
      </w:r>
      <w:r>
        <w:rPr>
          <w:i/>
          <w:iCs/>
          <w:color w:val="15181F"/>
          <w:sz w:val="18"/>
          <w:szCs w:val="18"/>
        </w:rPr>
        <w:t xml:space="preserve">ductal</w:t>
      </w:r>
      <w:r>
        <w:rPr>
          <w:color w:val="15181F"/>
          <w:sz w:val="18"/>
          <w:szCs w:val="18"/>
        </w:rPr>
        <w:t xml:space="preserve"> adenocarcinoma that excluded nonductal tumours by protocol, and PRODIGE-24 produced grade 3 or 4 toxicity in 75.9% of a population restricted to performance status 0–1 and age under 80. NCCN states that data for systemic therapy in ampullary cancer are very limited and that the recommendations are extrapolated from pancreatic, colorectal and biliary tract cancer.</w:t>
      </w:r>
    </w:p>
    <w:p>
      <w:pPr>
        <w:spacing w:after="50" w:line="276"/>
        <w:ind w:left="240"/>
      </w:pPr>
      <w:r>
        <w:rPr>
          <w:i/>
          <w:iCs/>
          <w:color w:val="5A6069"/>
          <w:sz w:val="17"/>
          <w:szCs w:val="17"/>
        </w:rPr>
        <w:t xml:space="preserve">Intestinal-type regimens follow the colorectal pattern and pancreatobiliary regimens the pancreatic and biliary pattern — which is a reasonable inference from the genomic concordance, and still an inference built on a morphological call with an interobserver κ of 0.39. Graded D rather than C because not one of the regimens on these lists has been tested in a trial that reports an ampullary population: the nearest, ABC-02, included ampullary patients without counting them, and the rest excluded nonductal tumours outright. Clinical trial entry should be screened at the same visit, and in this setting that is the strongest single recommendation on the gate. [PROTOCOL]</w:t>
      </w:r>
    </w:p>
    <w:p>
      <w:pPr>
        <w:spacing w:after="60" w:line="276"/>
        <w:ind w:left="240"/>
      </w:pPr>
      <w:r>
        <w:rPr>
          <w:color w:val="5A6069"/>
          <w:sz w:val="16"/>
          <w:szCs w:val="16"/>
        </w:rPr>
        <w:t xml:space="preserve">Sources: ABC-02; ESPAC-4; PRODIGE-24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Order somatic profiling and germline testing, and act on mismatch-repair deficiency.</w:t>
      </w:r>
    </w:p>
    <w:p>
      <w:pPr>
        <w:spacing w:after="50" w:line="276"/>
        <w:ind w:left="240"/>
      </w:pPr>
      <w:r>
        <w:rPr>
          <w:color w:val="15181F"/>
          <w:sz w:val="18"/>
          <w:szCs w:val="18"/>
        </w:rPr>
        <w:t xml:space="preserve">Every metastatic patient who is a candidate for anticancer therapy. NCCN's actionable list includes </w:t>
      </w:r>
      <w:r>
        <w:rPr>
          <w:i/>
          <w:iCs/>
          <w:color w:val="15181F"/>
          <w:sz w:val="18"/>
          <w:szCs w:val="18"/>
        </w:rPr>
        <w:t xml:space="preserve">ALK, NRG1, NTRK, ROS1, FGFR2</w:t>
      </w:r>
      <w:r>
        <w:rPr>
          <w:color w:val="15181F"/>
          <w:sz w:val="18"/>
          <w:szCs w:val="18"/>
        </w:rPr>
        <w:t xml:space="preserve"> and </w:t>
      </w:r>
      <w:r>
        <w:rPr>
          <w:i/>
          <w:iCs/>
          <w:color w:val="15181F"/>
          <w:sz w:val="18"/>
          <w:szCs w:val="18"/>
        </w:rPr>
        <w:t xml:space="preserve">RET</w:t>
      </w:r>
      <w:r>
        <w:rPr>
          <w:color w:val="15181F"/>
          <w:sz w:val="18"/>
          <w:szCs w:val="18"/>
        </w:rPr>
        <w:t xml:space="preserve"> fusions, </w:t>
      </w:r>
      <w:r>
        <w:rPr>
          <w:i/>
          <w:iCs/>
          <w:color w:val="15181F"/>
          <w:sz w:val="18"/>
          <w:szCs w:val="18"/>
        </w:rPr>
        <w:t xml:space="preserve">BRAF, BRCA1/2, KRAS</w:t>
      </w:r>
      <w:r>
        <w:rPr>
          <w:color w:val="15181F"/>
          <w:sz w:val="18"/>
          <w:szCs w:val="18"/>
        </w:rPr>
        <w:t xml:space="preserve"> and </w:t>
      </w:r>
      <w:r>
        <w:rPr>
          <w:i/>
          <w:iCs/>
          <w:color w:val="15181F"/>
          <w:sz w:val="18"/>
          <w:szCs w:val="18"/>
        </w:rPr>
        <w:t xml:space="preserve">PALB2</w:t>
      </w:r>
      <w:r>
        <w:rPr>
          <w:color w:val="15181F"/>
          <w:sz w:val="18"/>
          <w:szCs w:val="18"/>
        </w:rPr>
        <w:t xml:space="preserve"> mutations, </w:t>
      </w:r>
      <w:r>
        <w:rPr>
          <w:i/>
          <w:iCs/>
          <w:color w:val="15181F"/>
          <w:sz w:val="18"/>
          <w:szCs w:val="18"/>
        </w:rPr>
        <w:t xml:space="preserve">HER2</w:t>
      </w:r>
      <w:r>
        <w:rPr>
          <w:color w:val="15181F"/>
          <w:sz w:val="18"/>
          <w:szCs w:val="18"/>
        </w:rPr>
        <w:t xml:space="preserve"> amplification and overexpression, microsatellite instability, mismatch-repair deficiency and tumour mutational burden, with RNA-based assays preferred for fusions. Mismatch-repair deficiency is the highest-yield single result, reported in 15% of tested non-medullary ampullary carcinomas in one institutional series and in 64% of the rare medullary variant.</w:t>
      </w:r>
    </w:p>
    <w:p>
      <w:pPr>
        <w:spacing w:after="50"/>
        <w:ind w:left="240"/>
      </w:pPr>
      <w:r>
        <w:rPr>
          <w:b/>
          <w:bCs/>
          <w:color w:val="8C2F26"/>
          <w:sz w:val="18"/>
          <w:szCs w:val="18"/>
        </w:rPr>
        <w:t xml:space="preserve">Caveat. </w:t>
      </w:r>
      <w:r>
        <w:rPr>
          <w:color w:val="15181F"/>
          <w:sz w:val="18"/>
          <w:szCs w:val="18"/>
        </w:rPr>
        <w:t xml:space="preserve">Do not equate the gene with the target, and do not let a negative tissue result end the question — NCCN accepts cell-free DNA testing where tissue testing is not feasible. Do not quote a firm deficiency prevalence either: the 15% figure comes from 18 of 119 cases that happened to have been tested out of 348, and a nationwide series of early-onset disease found deficiency in only 1 of 23 ampullary carcinomas (4.3%), so the published range is wide and the local rate should be measured.</w:t>
      </w:r>
    </w:p>
    <w:p>
      <w:pPr>
        <w:spacing w:after="50" w:line="276"/>
        <w:ind w:left="240"/>
      </w:pPr>
      <w:r>
        <w:rPr>
          <w:i/>
          <w:iCs/>
          <w:color w:val="5A6069"/>
          <w:sz w:val="17"/>
          <w:szCs w:val="17"/>
        </w:rPr>
        <w:t xml:space="preserve">A deficient result is also a germline trigger, though the ampullary evidence for that is a single case: in the nationwide early-onset series the one deficient ampullary carcinoma and both deficient pancreatic carcinomas proved to be Lynch syndrome, while the strong signal in that study was in duodenal cancer (11 of 23 deficient, 8 Lynch and 2 constitutional mismatch repair deficiency). Refer on the result, not on the prevalence estimate. [PAYER]</w:t>
      </w:r>
    </w:p>
    <w:p>
      <w:pPr>
        <w:spacing w:after="60" w:line="276"/>
        <w:ind w:left="240"/>
      </w:pPr>
      <w:r>
        <w:rPr>
          <w:color w:val="5A6069"/>
          <w:sz w:val="16"/>
          <w:szCs w:val="16"/>
        </w:rPr>
        <w:t xml:space="preserve">Sources: PERIPAN 2025; Kryklyva 2021; Medullary ampullary carcinoma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Local therapy to liver or lung metastases, or surgery, in selected oligometastatic patients who have responded to systemic therapy.</w:t>
      </w:r>
    </w:p>
    <w:p>
      <w:pPr>
        <w:spacing w:after="50" w:line="276"/>
        <w:ind w:left="240"/>
      </w:pPr>
      <w:r>
        <w:rPr>
          <w:color w:val="15181F"/>
          <w:sz w:val="18"/>
          <w:szCs w:val="18"/>
        </w:rPr>
        <w:t xml:space="preserve">NCCN lists systemic therapy followed by surgery or other locally directed therapies to liver or lung metastases for select patients with oligometastatic disease and response or stable disease on systemic therapy, after multidisciplinary review.</w:t>
      </w:r>
    </w:p>
    <w:p>
      <w:pPr>
        <w:spacing w:after="50"/>
        <w:ind w:left="240"/>
      </w:pPr>
      <w:r>
        <w:rPr>
          <w:b/>
          <w:bCs/>
          <w:color w:val="8C2F26"/>
          <w:sz w:val="18"/>
          <w:szCs w:val="18"/>
        </w:rPr>
        <w:t xml:space="preserve">Caveat. </w:t>
      </w:r>
      <w:r>
        <w:rPr>
          <w:color w:val="15181F"/>
          <w:sz w:val="18"/>
          <w:szCs w:val="18"/>
        </w:rPr>
        <w:t xml:space="preserve">There is no comparative evidence in ampullary cancer, and the selection that produces the good outcomes is doing the work. Treat it as a protocol and registry activity rather than a standard offer. [REGISTRY] [PROTOCOL]</w:t>
      </w:r>
    </w:p>
    <w:p>
      <w:pPr>
        <w:spacing w:after="50" w:line="276"/>
        <w:ind w:left="240"/>
      </w:pPr>
      <w:r>
        <w:rPr>
          <w:i/>
          <w:iCs/>
          <w:color w:val="5A6069"/>
          <w:sz w:val="17"/>
          <w:szCs w:val="17"/>
        </w:rPr>
        <w:t xml:space="preserve">The liver is the dominant distant site: 38%–65% of distant recurrences in series reporting site, with peritoneum, lung and bone following. Nodal involvement was the sole predictor of liver metastasis in one analysis.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Palliative radiotherapy or chemoradiation for symptoms, and palliative care alongside treatment rather than after it.</w:t>
      </w:r>
    </w:p>
    <w:p>
      <w:pPr>
        <w:spacing w:after="50" w:line="276"/>
        <w:ind w:left="240"/>
      </w:pPr>
      <w:r>
        <w:rPr>
          <w:color w:val="15181F"/>
          <w:sz w:val="18"/>
          <w:szCs w:val="18"/>
        </w:rPr>
        <w:t xml:space="preserve">NCCN offers systemic therapy followed by radiotherapy for palliative indications, and palliative radiotherapy for severe pain refractory to analgesic therapy in the subsequent-therapy setting. Palliative and best supportive care run concurrently in every performance-status band, and are the preferred option in ECOG 3.</w:t>
      </w:r>
    </w:p>
    <w:p>
      <w:pPr>
        <w:spacing w:after="50"/>
        <w:ind w:left="240"/>
      </w:pPr>
      <w:r>
        <w:rPr>
          <w:b/>
          <w:bCs/>
          <w:color w:val="8C2F26"/>
          <w:sz w:val="18"/>
          <w:szCs w:val="18"/>
        </w:rPr>
        <w:t xml:space="preserve">Caveat. </w:t>
      </w:r>
      <w:r>
        <w:rPr>
          <w:color w:val="15181F"/>
          <w:sz w:val="18"/>
          <w:szCs w:val="18"/>
        </w:rPr>
        <w:t xml:space="preserve">Do not present palliative radiotherapy as disease control. It is symptom-directed here, and the ampullary-specific evidence is confined to small retrospective series.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an ampullary tumour as pancreatic cancer because it sits next to the pancreas.</w:t>
      </w:r>
    </w:p>
    <w:p>
      <w:pPr>
        <w:spacing w:after="50" w:line="276"/>
        <w:ind w:left="240"/>
      </w:pPr>
      <w:r>
        <w:rPr>
          <w:color w:val="15181F"/>
          <w:sz w:val="18"/>
          <w:szCs w:val="18"/>
        </w:rPr>
        <w:t xml:space="preserve">Record the epicentre, use the subtype to pick a backbone, and quote survival figures from ampullary rather than pancreatic series.</w:t>
      </w:r>
    </w:p>
    <w:p>
      <w:pPr>
        <w:spacing w:after="50"/>
        <w:ind w:left="240"/>
      </w:pPr>
      <w:r>
        <w:rPr>
          <w:b/>
          <w:bCs/>
          <w:color w:val="8C2F26"/>
          <w:sz w:val="18"/>
          <w:szCs w:val="18"/>
        </w:rPr>
        <w:t xml:space="preserve">Caveat. </w:t>
      </w:r>
      <w:r>
        <w:rPr>
          <w:color w:val="15181F"/>
          <w:sz w:val="18"/>
          <w:szCs w:val="18"/>
        </w:rPr>
        <w:t xml:space="preserve">Even the worst tubular ampullary group outperforms pancreatic adenocarcinoma substantially — median 41 against 15.6 months matched for size and node status, hazard ratio 1.97 (95% CI 1.42–2.72), and 3-year survival 41% against 11% in the ampullary-ductal subset — so a pancreatic prognosis given to an ampullary patient is wrong in a direction that changes their decisions. Hold the figures loosely: the matched comparison uses a 476-patient pancreatic cohort described as previously unpublished with no inclusion criteria or treatment data, and part of the ampullary advantage in the modern literature comes from the strict epicentre definition having reclassified 21% of previously labelled ampullary cases, mostly pancreatic, out of the group.</w:t>
      </w:r>
    </w:p>
    <w:p>
      <w:pPr>
        <w:spacing w:after="60" w:line="276"/>
        <w:ind w:left="240"/>
      </w:pPr>
      <w:r>
        <w:rPr>
          <w:color w:val="5A6069"/>
          <w:sz w:val="16"/>
          <w:szCs w:val="16"/>
        </w:rPr>
        <w:t xml:space="preserve">Sources: Reid 2016 subtype reproducibility; Adsay 2012 four subsets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systemic therapy in an undrained, cholestatic patient and call the resulting toxicity a performance-status problem.</w:t>
      </w:r>
    </w:p>
    <w:p>
      <w:pPr>
        <w:spacing w:after="50" w:line="276"/>
        <w:ind w:left="240"/>
      </w:pPr>
      <w:r>
        <w:rPr>
          <w:color w:val="15181F"/>
          <w:sz w:val="18"/>
          <w:szCs w:val="18"/>
        </w:rPr>
        <w:t xml:space="preserve">Drain first where drainage is indicated, by ERCP in preference to the percutaneous route, with a stent as short as feasible; NCCN builds drainage and nutrition into its definition of good performance status for exactly this reason.</w:t>
      </w:r>
    </w:p>
    <w:p>
      <w:pPr>
        <w:spacing w:after="50"/>
        <w:ind w:left="240"/>
      </w:pPr>
      <w:r>
        <w:rPr>
          <w:b/>
          <w:bCs/>
          <w:color w:val="8C2F26"/>
          <w:sz w:val="18"/>
          <w:szCs w:val="18"/>
        </w:rPr>
        <w:t xml:space="preserve">Caveat. </w:t>
      </w:r>
      <w:r>
        <w:rPr>
          <w:color w:val="15181F"/>
          <w:sz w:val="18"/>
          <w:szCs w:val="18"/>
        </w:rPr>
        <w:t xml:space="preserve">The sequence error is common and it is attributed afterwards to the patient rather than to the plan.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Surveillance, and the familial case</w:t>
      </w:r>
    </w:p>
    <w:p>
      <w:pPr>
        <w:spacing w:after="140"/>
      </w:pPr>
      <w:r>
        <w:rPr>
          <w:b/>
          <w:bCs/>
          <w:color w:val="176A87"/>
          <w:sz w:val="19"/>
          <w:szCs w:val="19"/>
        </w:rPr>
        <w:t xml:space="preserve">The question. </w:t>
      </w:r>
      <w:r>
        <w:rPr>
          <w:sz w:val="19"/>
          <w:szCs w:val="19"/>
        </w:rPr>
        <w:t xml:space="preserve">Who is following this patient, on what interval, for how many years, and who changes the interval when the papilla changes?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Endoscopic papillectomy or surgical ampullectomy performed — surveillance is mandatory either way</w:t>
      </w:r>
    </w:p>
    <w:p>
      <w:pPr>
        <w:pStyle w:val="ListParagraph"/>
        <w:numPr>
          <w:ilvl w:val="0"/>
          <w:numId w:val="2"/>
        </w:numPr>
        <w:spacing w:after="60" w:line="268"/>
      </w:pPr>
      <w:r>
        <w:rPr>
          <w:color w:val="15181F"/>
          <w:sz w:val="18"/>
          <w:szCs w:val="18"/>
        </w:rPr>
        <w:t xml:space="preserve">Pancreatoduodenectomy for adenoma — NCCN requires no surveillance</w:t>
      </w:r>
    </w:p>
    <w:p>
      <w:pPr>
        <w:pStyle w:val="ListParagraph"/>
        <w:numPr>
          <w:ilvl w:val="0"/>
          <w:numId w:val="2"/>
        </w:numPr>
        <w:spacing w:after="60" w:line="268"/>
      </w:pPr>
      <w:r>
        <w:rPr>
          <w:color w:val="15181F"/>
          <w:sz w:val="18"/>
          <w:szCs w:val="18"/>
        </w:rPr>
        <w:t xml:space="preserve">Resected ampullary adenocarcinoma — oncological surveillance for 5 years</w:t>
      </w:r>
    </w:p>
    <w:p>
      <w:pPr>
        <w:pStyle w:val="ListParagraph"/>
        <w:numPr>
          <w:ilvl w:val="0"/>
          <w:numId w:val="2"/>
        </w:numPr>
        <w:spacing w:after="60" w:line="268"/>
      </w:pPr>
      <w:r>
        <w:rPr>
          <w:color w:val="15181F"/>
          <w:sz w:val="18"/>
          <w:szCs w:val="18"/>
        </w:rPr>
        <w:t xml:space="preserve">Familial adenomatous polyposis, attenuated FAP or MUTYH-associated polyposis</w:t>
      </w:r>
    </w:p>
    <w:p>
      <w:pPr>
        <w:pStyle w:val="ListParagraph"/>
        <w:numPr>
          <w:ilvl w:val="0"/>
          <w:numId w:val="2"/>
        </w:numPr>
        <w:spacing w:after="60" w:line="268"/>
      </w:pPr>
      <w:r>
        <w:rPr>
          <w:color w:val="15181F"/>
          <w:sz w:val="18"/>
          <w:szCs w:val="18"/>
        </w:rPr>
        <w:t xml:space="preserve">An abnormal-looking ampulla in a polyposis patient, at any Spigelman stage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After endoscopic papillectomy or surgical ampullectomy, perform duodenoscopy with biopsies of the scar and of any abnormal area within the first 3 months, at 6 and 12 months, and yearly thereafter for at least 5 years.</w:t>
      </w:r>
    </w:p>
    <w:p>
      <w:pPr>
        <w:spacing w:after="50" w:line="276"/>
        <w:ind w:left="240"/>
      </w:pPr>
      <w:r>
        <w:rPr>
          <w:color w:val="15181F"/>
          <w:sz w:val="18"/>
          <w:szCs w:val="18"/>
        </w:rPr>
        <w:t xml:space="preserve">Every patient after either operation. This is ESGE's schedule (strong recommendation, low quality evidence), and the recurrence data support the duration rather than only the opinion: in a 136-patient cohort recurrence occurred at a mean of 3.2 years with a range of 0.5 to 9.75 years, 9 of 20 recurrences (45%) appeared after the first two years of surveillance, and the rate was 5.8 per 100 person-years (95% CI 3.6–8.8), with cumulative recurrence 3.2% at 1 year, 8.9% at 2, 11.3% at 3 and 14.5% at 5 years.</w:t>
      </w:r>
    </w:p>
    <w:p>
      <w:pPr>
        <w:spacing w:after="50"/>
        <w:ind w:left="240"/>
      </w:pPr>
      <w:r>
        <w:rPr>
          <w:b/>
          <w:bCs/>
          <w:color w:val="8C2F26"/>
          <w:sz w:val="18"/>
          <w:szCs w:val="18"/>
        </w:rPr>
        <w:t xml:space="preserve">Caveat. </w:t>
      </w:r>
      <w:r>
        <w:rPr>
          <w:color w:val="15181F"/>
          <w:sz w:val="18"/>
          <w:szCs w:val="18"/>
        </w:rPr>
        <w:t xml:space="preserve">Do not shorten the programme because the margin was negative. In 22 Japanese centres cumulative recurrence after R0 was 4.9% at 1 year, 11% at 3 years and 13% at 5 years, against 20% and 22% overall, and R0 was achieved in only 416 of 798 specimens (52.1%); recurrence rates in the single-centre cohort did not differ by baseline pathology. The schedule itself, though, is panel judgement: ESGE specifies examinations at 3, 6 and 12 months and then yearly to the month, on low-quality evidence, with no derivation, no interval-cancer analysis and no assessment of cost or patient burden, and the 3-month examination mostly detects residual rather than recurrent disease.</w:t>
      </w:r>
    </w:p>
    <w:p>
      <w:pPr>
        <w:spacing w:after="50" w:line="276"/>
        <w:ind w:left="240"/>
      </w:pPr>
      <w:r>
        <w:rPr>
          <w:i/>
          <w:iCs/>
          <w:color w:val="5A6069"/>
          <w:sz w:val="17"/>
          <w:szCs w:val="17"/>
        </w:rPr>
        <w:t xml:space="preserve">At least 5 years is a floor, not a ceiling — recurrences out to nearly 10 years are documented and ESGE's own wording is </w:t>
      </w:r>
      <w:r>
        <w:rPr>
          <w:i/>
          <w:iCs/>
          <w:color w:val="5A6069"/>
          <w:sz w:val="17"/>
          <w:szCs w:val="17"/>
        </w:rPr>
        <w:t xml:space="preserve">at least</w:t>
      </w:r>
      <w:r>
        <w:rPr>
          <w:i/>
          <w:iCs/>
          <w:color w:val="5A6069"/>
          <w:sz w:val="17"/>
          <w:szCs w:val="17"/>
        </w:rPr>
        <w:t xml:space="preserve"> 5 years. Two cautions on the cohort that makes the case for longer follow-up. Its mean follow-up of 2.8 years is shorter than its mean time to recurrence of 3.2 years, so more than half the person-time needed to observe what it describes was never accumulated, and the suggestion of ten-year surveillance rests on one patient recurring at 9.75 years. And its own stratifications run against the usual direction — recurrence in 19.4% after en bloc against 7.0% after piecemeal resection, and 16.5% after an initially complete against 6.1% after an incomplete resection — which is the signature of early residual disease being reclassified out of the recurrence count rather than of a protective effect of piecemeal resection. Whether this programme extends surveillance beyond 5 years is an unresolved local decision, and the honest basis for extending it is that recurrence after R0 is still running at 13% by 5 years, not the single late outlier.</w:t>
      </w:r>
    </w:p>
    <w:p>
      <w:pPr>
        <w:spacing w:after="60" w:line="276"/>
        <w:ind w:left="240"/>
      </w:pPr>
      <w:r>
        <w:rPr>
          <w:color w:val="5A6069"/>
          <w:sz w:val="16"/>
          <w:szCs w:val="16"/>
        </w:rPr>
        <w:t xml:space="preserve">Sources: ESGE ampullary 2021; Han 2023 recurrence timing; Japanese 22-centre papillectomy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After resection of ampullary adenocarcinoma, follow NCCN's oncological schedule, and record that pancreatoduodenectomy for adenoma needs no surveillance.</w:t>
      </w:r>
    </w:p>
    <w:p>
      <w:pPr>
        <w:spacing w:after="50" w:line="276"/>
        <w:ind w:left="240"/>
      </w:pPr>
      <w:r>
        <w:rPr>
          <w:color w:val="15181F"/>
          <w:sz w:val="18"/>
          <w:szCs w:val="18"/>
        </w:rPr>
        <w:t xml:space="preserve">NCCN: surveillance every 3–6 months for 2 years, then every 6–12 months for up to 5 years as clinically indicated, comprising history and examination, CT chest and CT or MRI of the abdomen and pelvis with contrast, and CEA and/or CA 19-9. Patients who have had an adenoma resected by pancreatoduodenectomy do not need surveillance, because the at-risk mucosa has gone.</w:t>
      </w:r>
    </w:p>
    <w:p>
      <w:pPr>
        <w:spacing w:after="50"/>
        <w:ind w:left="240"/>
      </w:pPr>
      <w:r>
        <w:rPr>
          <w:b/>
          <w:bCs/>
          <w:color w:val="8C2F26"/>
          <w:sz w:val="18"/>
          <w:szCs w:val="18"/>
        </w:rPr>
        <w:t xml:space="preserve">Caveat. </w:t>
      </w:r>
      <w:r>
        <w:rPr>
          <w:color w:val="15181F"/>
          <w:sz w:val="18"/>
          <w:szCs w:val="18"/>
        </w:rPr>
        <w:t xml:space="preserve">Do not over-read the markers. NCCN records contradictory associations between CEA or CA 19-9 and recurrence or survival in ampullary cancer and concludes that the prognostic utility of these markers remains controversial. A rising marker is a reason to image, not a diagnosis.</w:t>
      </w:r>
    </w:p>
    <w:p>
      <w:pPr>
        <w:spacing w:after="50" w:line="276"/>
        <w:ind w:left="240"/>
      </w:pPr>
      <w:r>
        <w:rPr>
          <w:i/>
          <w:iCs/>
          <w:color w:val="5A6069"/>
          <w:sz w:val="17"/>
          <w:szCs w:val="17"/>
        </w:rPr>
        <w:t xml:space="preserve">NCCN's figures: recurrence rates after resection are 28%–55%, with distant recurrence about 80% of events and the liver the commonest site at 38%–65% of distant recurrences. Recurrences are reported as early as under 6 months and as late as 22.5 months, so the front-loaded interval is appropriate.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polyposis, set the surveillance interval on the Spigelman stage </w:t>
      </w:r>
      <w:r>
        <w:rPr>
          <w:i/>
          <w:iCs/>
          <w:color w:val="15181F"/>
          <w:sz w:val="19"/>
          <w:szCs w:val="19"/>
        </w:rPr>
        <w:t xml:space="preserve">and</w:t>
      </w:r>
      <w:r>
        <w:rPr>
          <w:color w:val="15181F"/>
          <w:sz w:val="19"/>
          <w:szCs w:val="19"/>
        </w:rPr>
        <w:t xml:space="preserve"> on the appearance of the ampulla, taking whichever is shorter.</w:t>
      </w:r>
    </w:p>
    <w:p>
      <w:pPr>
        <w:spacing w:after="50" w:line="276"/>
        <w:ind w:left="240"/>
      </w:pPr>
      <w:r>
        <w:rPr>
          <w:color w:val="15181F"/>
          <w:sz w:val="18"/>
          <w:szCs w:val="18"/>
        </w:rPr>
        <w:t xml:space="preserve">Every patient with familial adenomatous polyposis, attenuated FAP or MUTYH-associated polyposis. ESGE in 2019 was the first guideline to build the ampullary appearance into the interval, and BSG adopted it in 2020: 5 years for a normal ampulla, 3 years for adenomatous change under 10 mm and 1 year for adenomatous change of 10 mm or more, applied alongside the Spigelman interval. Start surveillance at 25 for FAP and attenuated FAP and 35 for MUTYH-associated polyposis under the European guidelines, 20–30 and 30–35 under the US ones.</w:t>
      </w:r>
    </w:p>
    <w:p>
      <w:pPr>
        <w:spacing w:after="50"/>
        <w:ind w:left="240"/>
      </w:pPr>
      <w:r>
        <w:rPr>
          <w:b/>
          <w:bCs/>
          <w:color w:val="8C2F26"/>
          <w:sz w:val="18"/>
          <w:szCs w:val="18"/>
        </w:rPr>
        <w:t xml:space="preserve">Caveat. </w:t>
      </w:r>
      <w:r>
        <w:rPr>
          <w:color w:val="15181F"/>
          <w:sz w:val="18"/>
          <w:szCs w:val="18"/>
        </w:rPr>
        <w:t xml:space="preserve">Do not rely on the Spigelman stage alone. It measures duodenal polyp burden and contains no information about the ampulla, yet about 50% of duodenal cancers in these patients arise in the ampullary region, and neither the Spigelman classification nor its individual components predict the development of ampullary carcinoma. An abnormal-looking ampulla was an independent risk factor for duodenal high-grade dysplasia in one series. The original 1989 paper made the point itself and then left it out of its own score: among the 80 polyposis patients biopsied at both sites, the papilla was adenomatous in 81% against 41% for the peripapillary area, and periampullary biopsy found adenoma in 11 patients whose duodenum was otherwise normal.</w:t>
      </w:r>
    </w:p>
    <w:p>
      <w:pPr>
        <w:spacing w:after="50" w:line="276"/>
        <w:ind w:left="240"/>
      </w:pPr>
      <w:r>
        <w:rPr>
          <w:i/>
          <w:iCs/>
          <w:color w:val="5A6069"/>
          <w:sz w:val="17"/>
          <w:szCs w:val="17"/>
        </w:rPr>
        <w:t xml:space="preserve">Downgraded from C to D because neither half of this recommendation has been validated. The Spigelman score was devised in a single cross-sectional screening round of 102 patients, with its four components and their cut-points assigned by expert judgement from known adenoma and cancer risk factors rather than derived from any cancer outcome; no patient in that paper developed duodenal cancer during the study, 11 of 102 (11%) were stage IV, and no formal validation has appeared in the four decades since. Its four components each contribute 1 to 3 points as though equally weighted, its stage boundaries are arbitrary breaks in a 4-to-12-point range, and two of the four require histology, so the modern practice of computing the stage without biopsies does not measure the quantity the score was built from. The ESGE and BSG ampullary intervals of 5, 3 and 1 year carry no citation, no modelling and no stated derivation in the guideline text; they are described there as proposed intervals that seem safe. The stage does still carry information about the duodenum, and the best available support for that is modest: in 77 Japanese familial adenomatous polyposis patients followed a median 8.5 years, high-grade dysplasia arose during surveillance in 5 of 8 Spigelman stage IV patients (63% in the abstract and conclusions, reported as 4 of 8, 50%, in the results and discussion of the same paper) and in none of those at stages 0, II or III, with stage I containing no patients at all. That cohort produced one invasive duodenal carcinoma in total and it was present at the first endoscopy, so it observed essentially no incident cancer; lesions under 10 mm and ampullary tumours under 10 mm were not biopsied by protocol and unbiopsied patients were assigned the minimum histology and dysplasia scores, which pushes them towards the lower stages and concentrates events in stage IV by construction. Refer patients with a duodenal adenoma of 10 mm or more, or an ampullary adenoma of any size, to an expert centre. [EXPERTISE]</w:t>
      </w:r>
    </w:p>
    <w:p>
      <w:pPr>
        <w:spacing w:after="60" w:line="276"/>
        <w:ind w:left="240"/>
      </w:pPr>
      <w:r>
        <w:rPr>
          <w:color w:val="5A6069"/>
          <w:sz w:val="16"/>
          <w:szCs w:val="16"/>
        </w:rPr>
        <w:t xml:space="preserve">Sources: ESGE polyposis 2019; Spigelman 1989; Soons 2021 FAP duodenum; Yachida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Compute the Spigelman stage from previous pathology or from optical diagnosis, rather than biopsying duodenal lesions routinely.</w:t>
      </w:r>
    </w:p>
    <w:p>
      <w:pPr>
        <w:spacing w:after="50" w:line="276"/>
        <w:ind w:left="240"/>
      </w:pPr>
      <w:r>
        <w:rPr>
          <w:color w:val="15181F"/>
          <w:sz w:val="18"/>
          <w:szCs w:val="18"/>
        </w:rPr>
        <w:t xml:space="preserve">ESGE discourages routine biopsies of suspected duodenal lesions in polyposis because they interfere with future optical diagnosis and with endoscopic resection, and recommends determining the Spigelman stage from previous pathology reports or from optical diagnosis when resection is unnecessary because the adenoma is under 10 mm and not suspicious for invasive growth.</w:t>
      </w:r>
    </w:p>
    <w:p>
      <w:pPr>
        <w:spacing w:after="50"/>
        <w:ind w:left="240"/>
      </w:pPr>
      <w:r>
        <w:rPr>
          <w:b/>
          <w:bCs/>
          <w:color w:val="8C2F26"/>
          <w:sz w:val="18"/>
          <w:szCs w:val="18"/>
        </w:rPr>
        <w:t xml:space="preserve">Caveat. </w:t>
      </w:r>
      <w:r>
        <w:rPr>
          <w:color w:val="15181F"/>
          <w:sz w:val="18"/>
          <w:szCs w:val="18"/>
        </w:rPr>
        <w:t xml:space="preserve">Note the collision with gate 1: in a sporadic ampullary lesion the biopsy is essential and its false-negative rate is the central problem, while in polyposis routine biopsy of duodenal lesions is discouraged and ampullary biopsy carries a pancreatitis risk. These are different populations with different base rates, and the rules should not be swapped.</w:t>
      </w:r>
    </w:p>
    <w:p>
      <w:pPr>
        <w:spacing w:after="50" w:line="276"/>
        <w:ind w:left="240"/>
      </w:pPr>
      <w:r>
        <w:rPr>
          <w:i/>
          <w:iCs/>
          <w:color w:val="5A6069"/>
          <w:sz w:val="17"/>
          <w:szCs w:val="17"/>
        </w:rPr>
        <w:t xml:space="preserve">A worked example of the modified approach: one centre stopped biopsying duodenal lesions in 2017, computes the Spigelman score from prior histology, performs endoscopic mucosal resection for duodenal adenomas over 10 mm, and raises the Spigelman stage by one in the presence of an endoscopically evident papillary adenoma. That is a local convention, not a guideline.</w:t>
      </w:r>
    </w:p>
    <w:p>
      <w:pPr>
        <w:spacing w:after="60" w:line="276"/>
        <w:ind w:left="240"/>
      </w:pPr>
      <w:r>
        <w:rPr>
          <w:color w:val="5A6069"/>
          <w:sz w:val="16"/>
          <w:szCs w:val="16"/>
        </w:rPr>
        <w:t xml:space="preserve">Sources: ESGE polyposis 2019; Soons 2021 FAP duodenum</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Endoscopic ampullectomy for a progressive ampullary adenoma in polyposis, understanding the recurrence rate.</w:t>
      </w:r>
    </w:p>
    <w:p>
      <w:pPr>
        <w:spacing w:after="50" w:line="276"/>
        <w:ind w:left="240"/>
      </w:pPr>
      <w:r>
        <w:rPr>
          <w:color w:val="15181F"/>
          <w:sz w:val="18"/>
          <w:szCs w:val="18"/>
        </w:rPr>
        <w:t xml:space="preserve">An ampullary adenoma of 10 mm or more that is growing, or where invasive growth is suspected, at an expert centre.</w:t>
      </w:r>
    </w:p>
    <w:p>
      <w:pPr>
        <w:spacing w:after="50"/>
        <w:ind w:left="240"/>
      </w:pPr>
      <w:r>
        <w:rPr>
          <w:b/>
          <w:bCs/>
          <w:color w:val="8C2F26"/>
          <w:sz w:val="18"/>
          <w:szCs w:val="18"/>
        </w:rPr>
        <w:t xml:space="preserve">Caveat. </w:t>
      </w:r>
      <w:r>
        <w:rPr>
          <w:color w:val="15181F"/>
          <w:sz w:val="18"/>
          <w:szCs w:val="18"/>
        </w:rPr>
        <w:t xml:space="preserve">Recurrence after endoscopic ampullectomy in these patients is reported at 19%–58%, residual or recurrent ampullary disease in 15%–38% of patients across cohorts, haemorrhage 4%–21%, pancreatitis 4%–30% and perforation 2%–3% — and there is no long-term evidence that endoscopic therapy reduces cancer risk, delays surgery or improves survival. A Spigelman stage IV patient downstaged by endoscopic therapy remains high risk and in one cohort had a higher rate of subsequent progression than patients with primary progression. Argon plasma coagulation as primary therapy performed poorly, with persistent or recurrent duodenal disease in 12 of 16 patients (75%) and no regression of the primary lesion at 1 year.</w:t>
      </w:r>
    </w:p>
    <w:p>
      <w:pPr>
        <w:spacing w:after="50" w:line="276"/>
        <w:ind w:left="240"/>
      </w:pPr>
      <w:r>
        <w:rPr>
          <w:i/>
          <w:iCs/>
          <w:color w:val="5A6069"/>
          <w:sz w:val="17"/>
          <w:szCs w:val="17"/>
        </w:rPr>
        <w:t xml:space="preserve">One Dutch cohort reported duodenal surgery-free survival of 71% at 71 months after endoscopic papillectomy and 74% at 89 months after polypectomy. Maximum follow-up for ampullary disease in these studies was 5.9 years against 10 years for non-ampullary disease, so the ampullary figures are the less mature. All of these numbers reach this page through one narrative review, which collates them as unweighted ranges across 7 cohort studies totalling 181 polyposis patients, six of them single-centre retrospective series of at most 49 subjects, with no protocol, no second reviewer, no risk-of-bias appraisal and no pooling; its own authors conclude that the true effect of endoscopic therapy on prevention of duodenal surgery, cancer and survival cannot be determined and suggest it may be time to reconsider its use. Quote the ranges as a reason to involve the patient in the decision, not as a risk estimate.</w:t>
      </w:r>
    </w:p>
    <w:p>
      <w:pPr>
        <w:spacing w:after="60" w:line="276"/>
        <w:ind w:left="240"/>
      </w:pPr>
      <w:r>
        <w:rPr>
          <w:color w:val="5A6069"/>
          <w:sz w:val="16"/>
          <w:szCs w:val="16"/>
        </w:rPr>
        <w:t xml:space="preserve">Sources: Soons 2021 FAP duodenum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substitute a forward-viewing gastroscope without a cap for a proper ampullary examination at surveillance.</w:t>
      </w:r>
    </w:p>
    <w:p>
      <w:pPr>
        <w:spacing w:after="50" w:line="276"/>
        <w:ind w:left="240"/>
      </w:pPr>
      <w:r>
        <w:rPr>
          <w:color w:val="15181F"/>
          <w:sz w:val="18"/>
          <w:szCs w:val="18"/>
        </w:rPr>
        <w:t xml:space="preserve">Side-viewing duodenoscopy, or cap-assisted forward-viewing endoscopy, with the duodenum and the ampullary site thoroughly assessed and documented at every examination.</w:t>
      </w:r>
    </w:p>
    <w:p>
      <w:pPr>
        <w:spacing w:after="50"/>
        <w:ind w:left="240"/>
      </w:pPr>
      <w:r>
        <w:rPr>
          <w:b/>
          <w:bCs/>
          <w:color w:val="8C2F26"/>
          <w:sz w:val="18"/>
          <w:szCs w:val="18"/>
        </w:rPr>
        <w:t xml:space="preserve">Caveat. </w:t>
      </w:r>
      <w:r>
        <w:rPr>
          <w:color w:val="15181F"/>
          <w:sz w:val="18"/>
          <w:szCs w:val="18"/>
        </w:rPr>
        <w:t xml:space="preserve">Adenomatosis of the ampulla is under-reported in endoscopy documentation even in experienced centres, and until 2019 no guideline said what to do when it was found — so an undocumented papilla is the default failure. Chromoendoscopy is not recommended for duodenal surveillance, and EUS is not routine but may be considered for a large or suspicious periampullary lesion to separate benign from invasive growth.</w:t>
      </w:r>
    </w:p>
    <w:p>
      <w:pPr>
        <w:spacing w:after="60" w:line="276"/>
        <w:ind w:left="240"/>
      </w:pPr>
      <w:r>
        <w:rPr>
          <w:color w:val="5A6069"/>
          <w:sz w:val="16"/>
          <w:szCs w:val="16"/>
        </w:rPr>
        <w:t xml:space="preserve">Sources: Soons 2021 FAP duodenum; ESGE polyposis 2019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non-attendance as the patient's problem alone.</w:t>
      </w:r>
    </w:p>
    <w:p>
      <w:pPr>
        <w:spacing w:after="50" w:line="276"/>
        <w:ind w:left="240"/>
      </w:pPr>
      <w:r>
        <w:rPr>
          <w:color w:val="15181F"/>
          <w:sz w:val="18"/>
          <w:szCs w:val="18"/>
        </w:rPr>
        <w:t xml:space="preserve">Counsel on the expected disease course and optimise sedation, and record a named owner for the surveillance programme.</w:t>
      </w:r>
    </w:p>
    <w:p>
      <w:pPr>
        <w:spacing w:after="50"/>
        <w:ind w:left="240"/>
      </w:pPr>
      <w:r>
        <w:rPr>
          <w:b/>
          <w:bCs/>
          <w:color w:val="8C2F26"/>
          <w:sz w:val="18"/>
          <w:szCs w:val="18"/>
        </w:rPr>
        <w:t xml:space="preserve">Caveat. </w:t>
      </w:r>
      <w:r>
        <w:rPr>
          <w:color w:val="15181F"/>
          <w:sz w:val="18"/>
          <w:szCs w:val="18"/>
        </w:rPr>
        <w:t xml:space="preserve">Between 20% and 60% of FAP patients are non-adherent to endoscopic surveillance. Patients naive to sedation during surveillance were substantially more likely to be non-compliant (odds ratio 9.23, 95% CI 1.46–58.23, P&lt;0.05) in one patient-reported study, which makes sedation practice a modifiable determinant of surveillance quality rather than a comfort question.</w:t>
      </w:r>
    </w:p>
    <w:p>
      <w:pPr>
        <w:spacing w:after="60" w:line="276"/>
        <w:ind w:left="240"/>
      </w:pPr>
      <w:r>
        <w:rPr>
          <w:color w:val="5A6069"/>
          <w:sz w:val="16"/>
          <w:szCs w:val="16"/>
        </w:rPr>
        <w:t xml:space="preserve">Sources: Soons 2021 FAP duodenum</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How likely is carcinoma under an ampullary "adenoma"</w:t>
      </w:r>
    </w:p>
    <w:p>
      <w:pPr>
        <w:spacing w:after="120" w:line="276"/>
      </w:pPr>
      <w:r>
        <w:rPr>
          <w:i/>
          <w:iCs/>
          <w:color w:val="5A6069"/>
          <w:sz w:val="18"/>
          <w:szCs w:val="18"/>
        </w:rPr>
        <w:t xml:space="preserve">For the conversation where the biopsy says adenoma and the operation has to be chosen anyway.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Age 65 or over</w:t>
            </w:r>
          </w:p>
        </w:tc>
        <w:tc>
          <w:tcPr>
            <w:tcW w:type="dxa" w:w="5260"/>
            <w:tcMar>
              <w:top w:type="dxa" w:w="70"/>
              <w:left w:type="dxa" w:w="110"/>
              <w:bottom w:type="dxa" w:w="70"/>
              <w:right w:type="dxa" w:w="110"/>
            </w:tcMar>
            <w:vAlign w:val="top"/>
          </w:tcPr>
          <w:p>
            <w:pPr>
              <w:spacing w:after="0" w:line="276"/>
            </w:pPr>
            <w:r>
              <w:rPr>
                <w:color w:val="15181F"/>
                <w:sz w:val="17"/>
                <w:szCs w:val="17"/>
              </w:rPr>
              <w:t xml:space="preserve">1 point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Bile duct 9 mm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 point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Any preoperative symptom</w:t>
            </w:r>
          </w:p>
        </w:tc>
        <w:tc>
          <w:tcPr>
            <w:tcW w:type="dxa" w:w="5260"/>
            <w:tcMar>
              <w:top w:type="dxa" w:w="70"/>
              <w:left w:type="dxa" w:w="110"/>
              <w:bottom w:type="dxa" w:w="70"/>
              <w:right w:type="dxa" w:w="110"/>
            </w:tcMar>
            <w:vAlign w:val="top"/>
          </w:tcPr>
          <w:p>
            <w:pPr>
              <w:spacing w:after="0" w:line="276"/>
            </w:pPr>
            <w:r>
              <w:rPr>
                <w:color w:val="15181F"/>
                <w:sz w:val="17"/>
                <w:szCs w:val="17"/>
              </w:rPr>
              <w:t xml:space="preserve">2 points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High-grade dysplasia on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 points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0–2 (no or low risk)</w:t>
            </w:r>
          </w:p>
        </w:tc>
        <w:tc>
          <w:tcPr>
            <w:tcW w:type="dxa" w:w="5260"/>
            <w:tcMar>
              <w:top w:type="dxa" w:w="70"/>
              <w:left w:type="dxa" w:w="110"/>
              <w:bottom w:type="dxa" w:w="70"/>
              <w:right w:type="dxa" w:w="110"/>
            </w:tcMar>
            <w:vAlign w:val="top"/>
          </w:tcPr>
          <w:p>
            <w:pPr>
              <w:spacing w:after="0" w:line="276"/>
            </w:pPr>
            <w:r>
              <w:rPr>
                <w:color w:val="15181F"/>
                <w:sz w:val="17"/>
                <w:szCs w:val="17"/>
              </w:rPr>
              <w:t xml:space="preserve">Malignancy on final pathology 10.3% (3 of 29) — reported elsewhere in the same paper as 11.5%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Score 3–4 (intermediate)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44.1% (26 of 59) — reported elsewhere as 41.7%</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5–6 (high)</w:t>
            </w:r>
          </w:p>
        </w:tc>
        <w:tc>
          <w:tcPr>
            <w:tcW w:type="dxa" w:w="5260"/>
            <w:tcMar>
              <w:top w:type="dxa" w:w="70"/>
              <w:left w:type="dxa" w:w="110"/>
              <w:bottom w:type="dxa" w:w="70"/>
              <w:right w:type="dxa" w:w="110"/>
            </w:tcMar>
            <w:vAlign w:val="top"/>
          </w:tcPr>
          <w:p>
            <w:pPr>
              <w:spacing w:after="0" w:line="276"/>
            </w:pPr>
            <w:r>
              <w:rPr>
                <w:color w:val="15181F"/>
                <w:sz w:val="17"/>
                <w:szCs w:val="17"/>
              </w:rPr>
              <w:t xml:space="preserve">88.2% (30 of 34) — reported elsewhere as 84.6%</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Validated?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Derived and evaluated in the same 127 patients, all of whom had already had a Whipple; no c-statistic, no calibration plot, no external validation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Biopsy false-negative rate for invasive 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20%–40% (NCCN); 20%–30% (PERIPAN), from sampling, not interpretation</w:t>
            </w:r>
          </w:p>
        </w:tc>
      </w:tr>
    </w:tbl>
    <w:p>
      <w:pPr>
        <w:spacing w:after="200" w:line="276"/>
      </w:pPr>
      <w:r>
        <w:rPr>
          <w:i/>
          <w:iCs/>
          <w:color w:val="5A6069"/>
          <w:sz w:val="16"/>
          <w:szCs w:val="16"/>
        </w:rPr>
        <w:t xml:space="preserve">Derived in 127 non-familial periampullary adenomas taken to pancreatoduodenectomy at 8 institutions, of whom 59 (46.4%) proved malignant; independent predictors were age 65 or over (odds ratio 3.2, 95% CI 1.3–7.9), bile duct 9 mm or more (3.3, 1.4–10.1), any preoperative symptom (7.7, 2.1–26.8) and high-grade dysplasia (7.5, 2.6–19.8). Use it to structure the conversation, not to quote a probability. The full-text read found three things that limit it. The strata appear with three different sets of numbers in the same paper, shown above. The score was derived and tested in the same cohort, every member of which had already been judged to need a pancreatoduodenectomy, so it is not calibrated for the patient who is choosing between resection and endoscopic management — the authors say the true denominator is unknown and their own earlier single-centre malignancy rate was 29%. And two of the four components, any preoperative symptom and a dilated bile duct, are proxies for biliary obstruction rather than for neoplastic progression; jaundice and stenting were dropped from the model as redundant with symptoms. Lesion size did not predict malignancy (median 2.9 against 3.5 cm, P=0.3, missing in 27 of 127) and EUS appears nowhere in the paper. Read the score in both directions: patients at no or low risk had more major postoperative complications than the intermediate and high-risk groups, though across the three strata the difference was not significant (51.7%, 27.1%, 29.4%, P=0.11) and reached P=0.047 only after the strata were collapsed at a score of 3 and adjusted — and the likeliest explanation is that an unobstructed gland is soft and leaks. Corroborating figures: malignancy (carcinoma in situ or carcinoma) in 26.4% of 91 biopsy-proven adenomas after resection in a single-centre retrospective series, with high-grade dysplasia (odds ratio 6.66, 95% CI 1.52–29.08) and ductal dilatation (10.96, 2.25–53.42) independent in its Table 4 — its abstract gives 6.86 and 11.12; major discrepancy (benign biopsy, malignant resection) in 8 of 35 discordant ampullary biopsy pairs and 8 of the 90 patients with follow-up pathology (8.9%), itself a lower bound because only 36% of patients had follow-up pathology; occult adenocarcinoma in 14 of 44 papillectomies (32%) done for lesions judged benign, after 44.3% of papillectomies had already been excluded for a malignant biopsy or suspicious appearance; and transpapillary forceps biopsy alone 68.7% sensitive for carcinoma, rising to 97% with intraductal ultrasound, also by abstract only. This score is for non-familial disease; in polyposis use the Spigelman table instead, and read its caveats there.</w:t>
      </w:r>
    </w:p>
    <w:p>
      <w:pPr>
        <w:pStyle w:val="Heading3"/>
        <w:keepNext/>
        <w:spacing w:after="110" w:before="240"/>
      </w:pPr>
      <w:r>
        <w:rPr>
          <w:rFonts w:ascii="Cambria" w:cs="Cambria" w:eastAsia="Cambria" w:hAnsi="Cambria"/>
          <w:b/>
          <w:bCs/>
          <w:color w:val="17365D"/>
          <w:sz w:val="22"/>
          <w:szCs w:val="22"/>
        </w:rPr>
        <w:t xml:space="preserve">AJCC 8th edition — ampulla of Vater</w:t>
      </w:r>
    </w:p>
    <w:p>
      <w:pPr>
        <w:spacing w:after="120" w:line="276"/>
      </w:pPr>
      <w:r>
        <w:rPr>
          <w:i/>
          <w:iCs/>
          <w:color w:val="5A6069"/>
          <w:sz w:val="18"/>
          <w:szCs w:val="18"/>
        </w:rPr>
        <w:t xml:space="preserve">The T and N definitions that decide the stage, and therefore which adjuvant row of NCCN applies.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T1a</w:t>
            </w:r>
          </w:p>
        </w:tc>
        <w:tc>
          <w:tcPr>
            <w:tcW w:type="dxa" w:w="5260"/>
            <w:tcMar>
              <w:top w:type="dxa" w:w="70"/>
              <w:left w:type="dxa" w:w="110"/>
              <w:bottom w:type="dxa" w:w="70"/>
              <w:right w:type="dxa" w:w="110"/>
            </w:tcMar>
            <w:vAlign w:val="top"/>
          </w:tcPr>
          <w:p>
            <w:pPr>
              <w:spacing w:after="0" w:line="276"/>
            </w:pPr>
            <w:r>
              <w:rPr>
                <w:color w:val="15181F"/>
                <w:sz w:val="17"/>
                <w:szCs w:val="17"/>
              </w:rPr>
              <w:t xml:space="preserve">Limited to ampulla of Vater or sphincter of Oddi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T1b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Beyond the sphincter of Oddi (perisphincteric) and/or into duodenal submucosa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T2</w:t>
            </w:r>
          </w:p>
        </w:tc>
        <w:tc>
          <w:tcPr>
            <w:tcW w:type="dxa" w:w="5260"/>
            <w:tcMar>
              <w:top w:type="dxa" w:w="70"/>
              <w:left w:type="dxa" w:w="110"/>
              <w:bottom w:type="dxa" w:w="70"/>
              <w:right w:type="dxa" w:w="110"/>
            </w:tcMar>
            <w:vAlign w:val="top"/>
          </w:tcPr>
          <w:p>
            <w:pPr>
              <w:spacing w:after="0" w:line="276"/>
            </w:pPr>
            <w:r>
              <w:rPr>
                <w:color w:val="15181F"/>
                <w:sz w:val="17"/>
                <w:szCs w:val="17"/>
              </w:rPr>
              <w:t xml:space="preserve">Into the muscularis propria of the duodenum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T3a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Directly invades pancreas up to 0.5 cm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T3b</w:t>
            </w:r>
          </w:p>
        </w:tc>
        <w:tc>
          <w:tcPr>
            <w:tcW w:type="dxa" w:w="5260"/>
            <w:tcMar>
              <w:top w:type="dxa" w:w="70"/>
              <w:left w:type="dxa" w:w="110"/>
              <w:bottom w:type="dxa" w:w="70"/>
              <w:right w:type="dxa" w:w="110"/>
            </w:tcMar>
            <w:vAlign w:val="top"/>
          </w:tcPr>
          <w:p>
            <w:pPr>
              <w:spacing w:after="0" w:line="276"/>
            </w:pPr>
            <w:r>
              <w:rPr>
                <w:color w:val="15181F"/>
                <w:sz w:val="17"/>
                <w:szCs w:val="17"/>
              </w:rPr>
              <w:t xml:space="preserve">More than 0.5 cm into pancreas, or into peripancreatic or periduodenal tissue or duodenal serosa, without celiac axis or SMA involvement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Involves celiac axis, superior mesenteric artery and/or common hepatic artery, any size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N1 / N2</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to three / four or more regional nodes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IA / IB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T1a N0 / T1b or T2 N0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IIA / IIB</w:t>
            </w:r>
          </w:p>
        </w:tc>
        <w:tc>
          <w:tcPr>
            <w:tcW w:type="dxa" w:w="5260"/>
            <w:tcMar>
              <w:top w:type="dxa" w:w="70"/>
              <w:left w:type="dxa" w:w="110"/>
              <w:bottom w:type="dxa" w:w="70"/>
              <w:right w:type="dxa" w:w="110"/>
            </w:tcMar>
            <w:vAlign w:val="top"/>
          </w:tcPr>
          <w:p>
            <w:pPr>
              <w:spacing w:after="0" w:line="276"/>
            </w:pPr>
            <w:r>
              <w:rPr>
                <w:color w:val="15181F"/>
                <w:sz w:val="17"/>
                <w:szCs w:val="17"/>
              </w:rPr>
              <w:t xml:space="preserve">T3a N0 / T3b N0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IIIA / IIIB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T1–T3 N1 / T4 any N, or any T N2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IV</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M1</w:t>
            </w:r>
          </w:p>
        </w:tc>
      </w:tr>
    </w:tbl>
    <w:p>
      <w:pPr>
        <w:spacing w:after="200" w:line="276"/>
      </w:pPr>
      <w:r>
        <w:rPr>
          <w:i/>
          <w:iCs/>
          <w:color w:val="5A6069"/>
          <w:sz w:val="16"/>
          <w:szCs w:val="16"/>
        </w:rPr>
        <w:t xml:space="preserve">Nodal risk rises steeply with T stage in the series NCCN tabulates — 28.0%, 50.9%, 71.7% and 77.3% for T1 to T4 in one of 450 patients and 11.3%, 28.4%, 43.8% and 100% in another of 259 — which is why an operation that cannot stage the nodes leaves a real question open. Number of involved nodes matters beyond the N category: in 313 pathologically verified resections, median overall survival was 107.5 months for N0, 40 months for one to two involved nodes and 24.5 months for three or more, with 5-year survival 62%, 31.5% and 30% and adjusted hazard ratios of 1.6 (95% CI 1.1–2.4) and 1.9 (1.1–3.2), P for trend 0.018; median nodes examined was 11 and 45% were node-positive. Two qualifications from the full text. The N0-versus-N1 separation largely disappears once sampling is adequate: in the 150 patients with 12 or more nodes examined, median survival was not reached for N0, 74 months for N1 and 29 months for N2 (P=0.02), 5-year survival 64%, 52% and 38% — so part of the apparent value of substaging reflects understaging in the half of the cohort with fewer than 12 nodes. And adjuvant therapy data were not available in that series at all, so the N1 and N2 hazard ratios are confounded by treatment in an unknown direction. For node yield, a National Cancer Database analysis of 8,127 resections placed the inflection point in the survival hazard at 20 examined nodes and found the log-odds nodal classification most prognostic, but that paper is cited here from its abstract only; PERIPAN, finding no ampullary-specific evidence, defers to the pancreatic minimum (proposals of 11 to 17) and asks that a short count trigger re-examination of the specimen. Under the CAP protocol tumour at or within 1 mm of a margin is a positive margin — NCCN notes this is extrapolated from rectal cancer and that what constitutes an adequate ampullary margin is undefined. ESGE notes that the 8th edition T subcategories are insufficiently precise, with no significant difference in recurrence-free survival between T1b and T2 or between T2 and T3a in two large retrospective evaluations. Grade: G1 well, G2 moderately, G3 poorly differentiated.</w:t>
      </w:r>
    </w:p>
    <w:p>
      <w:pPr>
        <w:pStyle w:val="Heading3"/>
        <w:keepNext/>
        <w:spacing w:after="110" w:before="240"/>
      </w:pPr>
      <w:r>
        <w:rPr>
          <w:rFonts w:ascii="Cambria" w:cs="Cambria" w:eastAsia="Cambria" w:hAnsi="Cambria"/>
          <w:b/>
          <w:bCs/>
          <w:color w:val="17365D"/>
          <w:sz w:val="22"/>
          <w:szCs w:val="22"/>
        </w:rPr>
        <w:t xml:space="preserve">Histologic subtype — reproducibility and what it predicts</w:t>
      </w:r>
    </w:p>
    <w:p>
      <w:pPr>
        <w:spacing w:after="120" w:line="276"/>
      </w:pPr>
      <w:r>
        <w:rPr>
          <w:i/>
          <w:iCs/>
          <w:color w:val="5A6069"/>
          <w:sz w:val="18"/>
          <w:szCs w:val="18"/>
        </w:rPr>
        <w:t xml:space="preserve">Before anyone chooses an adjuvant regimen off the subtype line of the pathology report.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Overall interobserver agreement, purist 4-category scheme (5 blinded observers, 232 cases)</w:t>
            </w:r>
          </w:p>
        </w:tc>
        <w:tc>
          <w:tcPr>
            <w:tcW w:type="dxa" w:w="5260"/>
            <w:tcMar>
              <w:top w:type="dxa" w:w="70"/>
              <w:left w:type="dxa" w:w="110"/>
              <w:bottom w:type="dxa" w:w="70"/>
              <w:right w:type="dxa" w:w="110"/>
            </w:tcMar>
            <w:vAlign w:val="top"/>
          </w:tcPr>
          <w:p>
            <w:pPr>
              <w:spacing w:after="0" w:line="276"/>
            </w:pPr>
            <w:r>
              <w:rPr>
                <w:color w:val="15181F"/>
                <w:sz w:val="17"/>
                <w:szCs w:val="17"/>
              </w:rPr>
              <w:t xml:space="preserve">κ 0.39, "fair"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All five observers agreed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53 of 232 cases (23%)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Mixed pancreatobiliary-intestinal by consensus of 3 of 5</w:t>
            </w:r>
          </w:p>
        </w:tc>
        <w:tc>
          <w:tcPr>
            <w:tcW w:type="dxa" w:w="5260"/>
            <w:tcMar>
              <w:top w:type="dxa" w:w="70"/>
              <w:left w:type="dxa" w:w="110"/>
              <w:bottom w:type="dxa" w:w="70"/>
              <w:right w:type="dxa" w:w="110"/>
            </w:tcMar>
            <w:vAlign w:val="top"/>
          </w:tcPr>
          <w:p>
            <w:pPr>
              <w:spacing w:after="0" w:line="276"/>
            </w:pPr>
            <w:r>
              <w:rPr>
                <w:color w:val="15181F"/>
                <w:sz w:val="17"/>
                <w:szCs w:val="17"/>
              </w:rPr>
              <w:t xml:space="preserve">94 cases (40%)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Pure pancreatobiliary / pure intestinal / other by that consensus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74 (32%) / 13 (6%) / 51 (22%)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Survival under the purist scheme</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difference: 40 (pancreatobiliary), 56 (mixed), 80 months (intestinal), P=0.65; pure intestinal vs pure pancreatobiliary P=0.33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Agreement after forcing each tumour to a predominant pattern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κ 0.44, "moderate"; all five agreed in 81 cases (35%)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Survival under the forced binary scheme</w:t>
            </w:r>
          </w:p>
        </w:tc>
        <w:tc>
          <w:tcPr>
            <w:tcW w:type="dxa" w:w="5260"/>
            <w:tcMar>
              <w:top w:type="dxa" w:w="70"/>
              <w:left w:type="dxa" w:w="110"/>
              <w:bottom w:type="dxa" w:w="70"/>
              <w:right w:type="dxa" w:w="110"/>
            </w:tcMar>
            <w:vAlign w:val="top"/>
          </w:tcPr>
          <w:p>
            <w:pPr>
              <w:spacing w:after="0" w:line="276"/>
            </w:pPr>
            <w:r>
              <w:rPr>
                <w:color w:val="15181F"/>
                <w:sz w:val="17"/>
                <w:szCs w:val="17"/>
              </w:rPr>
              <w:t xml:space="preserve">41 vs 80 months, 5-year 38% vs 57%, hazard ratio 1.78 (95% CI 1.06–2.98), P=0.028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Independent of established prognostic factors?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 predominant subtype failed multivariable analysis at P=0.39; budding, T stage and nodes survived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Pancreatobiliary ampullary vs pancreatic ductal adenocarcinoma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41 vs 15.6 months; hazard ratio 1.97 (1.42–2.72) matched for size and node status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Mismatch-repair deficiency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15% of 119 tested non-medullary cases in one series, 4.3% of 23 early-onset cases in another; independent of subtype — reflex testing recommended by PERIPAN</w:t>
            </w:r>
          </w:p>
        </w:tc>
      </w:tr>
    </w:tbl>
    <w:p>
      <w:pPr>
        <w:spacing w:after="200" w:line="276"/>
      </w:pPr>
      <w:r>
        <w:rPr>
          <w:i/>
          <w:iCs/>
          <w:color w:val="5A6069"/>
          <w:sz w:val="16"/>
          <w:szCs w:val="16"/>
        </w:rPr>
        <w:t xml:space="preserve">The one number to carry out of this table is that the survival difference between subtypes exists only after 40% of the cohort has been force-assigned to a side, and even then it is not independent of stage, nodes or tumour budding. Under the biologically honest purist classification there was no difference at all (P=0.65), and pure intestinal morphology — the phenotype that intestinal-type regimens are chosen for — was present in 13 of 232 cases. The cohort was also restricted to tumours with an invasive component over 3.0 mm, which removes the small intra-ampullary lesions where subtyping is hardest, so 23% full agreement is an optimistic ceiling. Definitions to apply when reading the report: subtype is assigned on the </w:t>
      </w:r>
      <w:r>
        <w:rPr>
          <w:i/>
          <w:iCs/>
          <w:color w:val="5A6069"/>
          <w:sz w:val="16"/>
          <w:szCs w:val="16"/>
        </w:rPr>
        <w:t xml:space="preserve">invasive</w:t>
      </w:r>
      <w:r>
        <w:rPr>
          <w:i/>
          <w:iCs/>
          <w:color w:val="5A6069"/>
          <w:sz w:val="16"/>
          <w:szCs w:val="16"/>
        </w:rPr>
        <w:t xml:space="preserve"> component, not the precursor; </w:t>
      </w:r>
      <w:r>
        <w:rPr>
          <w:i/>
          <w:iCs/>
          <w:color w:val="5A6069"/>
          <w:sz w:val="16"/>
          <w:szCs w:val="16"/>
        </w:rPr>
        <w:t xml:space="preserve">mixed</w:t>
      </w:r>
      <w:r>
        <w:rPr>
          <w:i/>
          <w:iCs/>
          <w:color w:val="5A6069"/>
          <w:sz w:val="16"/>
          <w:szCs w:val="16"/>
        </w:rPr>
        <w:t xml:space="preserve"> requires unequivocal intestinal and pancreatobiliary areas with the lesser component at least 30%, a threshold PERIPAN sets without stated derivation; </w:t>
      </w:r>
      <w:r>
        <w:rPr>
          <w:i/>
          <w:iCs/>
          <w:color w:val="5A6069"/>
          <w:sz w:val="16"/>
          <w:szCs w:val="16"/>
        </w:rPr>
        <w:t xml:space="preserve">tubular-NOS</w:t>
      </w:r>
      <w:r>
        <w:rPr>
          <w:i/>
          <w:iCs/>
          <w:color w:val="5A6069"/>
          <w:sz w:val="16"/>
          <w:szCs w:val="16"/>
        </w:rPr>
        <w:t xml:space="preserve"> replaces the old term </w:t>
      </w:r>
      <w:r>
        <w:rPr>
          <w:i/>
          <w:iCs/>
          <w:color w:val="5A6069"/>
          <w:sz w:val="16"/>
          <w:szCs w:val="16"/>
        </w:rPr>
        <w:t xml:space="preserve">hybrid</w:t>
      </w:r>
      <w:r>
        <w:rPr>
          <w:i/>
          <w:iCs/>
          <w:color w:val="5A6069"/>
          <w:sz w:val="16"/>
          <w:szCs w:val="16"/>
        </w:rPr>
        <w:t xml:space="preserve"> where no confident call can be made, with the favoured lineage stated — a renaming that does not address the reproducibility problem, and PERIPAN reports no interobserver study of its new definitions. Immunohistochemistry supports but does not settle it: pancreatobiliary tumours more often express MUC1 and CK7 and less often CDX2, MUC2 and CK20, and the reverse for intestinal, but no marker is entirely specific or sensitive individually or in combination, published studies have used positivity thresholds of 1%, 5%, 10%, 20% and 50%, and the best-known formula still leaves more than a quarter of cases ambiguous. The adjuvant implication is contested but not symmetrically so: 214 resections at 5 European centres found adjuvant therapy improved median overall survival in pancreatobiliary and mixed tumours (85 vs 65 months, P=0.005; multivariable hazard ratio 0.351, 95% CI 0.151–0.851) with no benefit in intestinal tumours, but in that same cohort the whole-cohort result was inverted (168 months without adjuvant therapy vs 113 with it, hazard ratio 1.124, P=0.608), treatment was allocated at tumour board by stage, nodes and CA 19-9, and no adjustment for that selection was performed; 357 resections at 12 institutions, propensity-matched on node positivity and perineural invasion with immortal time bias handled, found no benefit in either subtype (intestinal hazard ratio 1.21, 0.67–2.16; pancreatobiliary 1.35, 0.66–2.76) — though with intervals that do not exclude a 25% to 35% relative risk reduction. A 475-patient series cited by NCCN found benefit confined to the intestinal subtype. PERIPAN's own conclusion is that the prognostic and predictive role of subtype remains unclear because the historical studies used inconsistent definitions of ampullary carcinoma. One clinical pearl that is not contested: the endoscopically subtle, dimple-like ampullary-ductal lesions are mostly pancreatobiliary, while the florid duodenal-surface lesions are mostly intestinal.</w:t>
      </w:r>
    </w:p>
    <w:p>
      <w:pPr>
        <w:pStyle w:val="Heading3"/>
        <w:keepNext/>
        <w:spacing w:after="110" w:before="240"/>
      </w:pPr>
      <w:r>
        <w:rPr>
          <w:rFonts w:ascii="Cambria" w:cs="Cambria" w:eastAsia="Cambria" w:hAnsi="Cambria"/>
          <w:b/>
          <w:bCs/>
          <w:color w:val="17365D"/>
          <w:sz w:val="22"/>
          <w:szCs w:val="22"/>
        </w:rPr>
        <w:t xml:space="preserve">Surveillance intervals — after papillectomy, and in polyposis</w:t>
      </w:r>
    </w:p>
    <w:p>
      <w:pPr>
        <w:spacing w:after="120" w:line="276"/>
      </w:pPr>
      <w:r>
        <w:rPr>
          <w:i/>
          <w:iCs/>
          <w:color w:val="5A6069"/>
          <w:sz w:val="18"/>
          <w:szCs w:val="18"/>
        </w:rPr>
        <w:t xml:space="preserve">The two schedules people look up mid-clinic, and where the guidelines differ.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After endoscopic papillectomy or surgical ampullectomy</w:t>
            </w:r>
          </w:p>
        </w:tc>
        <w:tc>
          <w:tcPr>
            <w:tcW w:type="dxa" w:w="5260"/>
            <w:tcMar>
              <w:top w:type="dxa" w:w="70"/>
              <w:left w:type="dxa" w:w="110"/>
              <w:bottom w:type="dxa" w:w="70"/>
              <w:right w:type="dxa" w:w="110"/>
            </w:tcMar>
            <w:vAlign w:val="top"/>
          </w:tcPr>
          <w:p>
            <w:pPr>
              <w:spacing w:after="0" w:line="276"/>
            </w:pPr>
            <w:r>
              <w:rPr>
                <w:color w:val="15181F"/>
                <w:sz w:val="17"/>
                <w:szCs w:val="17"/>
              </w:rPr>
              <w:t xml:space="preserve">Duodenoscopy with biopsies of the scar and any abnormal area at ≤3 months, 6 and 12 months, then yearly for at least 5 years (ESGE)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After pancreatoduodenectomy for adenoma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surveillance (NCCN)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After resection of adenocarcinoma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3–6 months for 2 years, then every 6–12 months to 5 years: examination, chest CT, CT or MRI abdomen and pelvis, CEA and/or CA 19-9 (NCCN)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Spigelman points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Polyp number 1–4 / 5–20 / &gt;20 = 1 / 2 / 3; size 1–4 / 5–10 / &gt;10 mm = 1 / 2 / 3; tubular / tubulovillous / villous = 1 / 2 / 3; dysplasia mild / moderate / severe = 1 / 2 /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Spigelman stages</w:t>
            </w:r>
          </w:p>
        </w:tc>
        <w:tc>
          <w:tcPr>
            <w:tcW w:type="dxa" w:w="5260"/>
            <w:tcMar>
              <w:top w:type="dxa" w:w="70"/>
              <w:left w:type="dxa" w:w="110"/>
              <w:bottom w:type="dxa" w:w="70"/>
              <w:right w:type="dxa" w:w="110"/>
            </w:tcMar>
            <w:vAlign w:val="top"/>
          </w:tcPr>
          <w:p>
            <w:pPr>
              <w:spacing w:after="0" w:line="276"/>
            </w:pPr>
            <w:r>
              <w:rPr>
                <w:color w:val="15181F"/>
                <w:sz w:val="17"/>
                <w:szCs w:val="17"/>
              </w:rPr>
              <w:t xml:space="preserve">0 = 0 points; I = 1–4; II = 5–6; III = 7–8; IV = 9–12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0 / 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ESGE, ASGE, BSG 5 years; ACG 4 years (0) and 2–3 years (I)</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II</w:t>
            </w:r>
          </w:p>
        </w:tc>
        <w:tc>
          <w:tcPr>
            <w:tcW w:type="dxa" w:w="5260"/>
            <w:tcMar>
              <w:top w:type="dxa" w:w="70"/>
              <w:left w:type="dxa" w:w="110"/>
              <w:bottom w:type="dxa" w:w="70"/>
              <w:right w:type="dxa" w:w="110"/>
            </w:tcMar>
            <w:vAlign w:val="top"/>
          </w:tcPr>
          <w:p>
            <w:pPr>
              <w:spacing w:after="0" w:line="276"/>
            </w:pPr>
            <w:r>
              <w:rPr>
                <w:color w:val="15181F"/>
                <w:sz w:val="17"/>
                <w:szCs w:val="17"/>
              </w:rPr>
              <w:t xml:space="preserve">ESGE, ASGE, BSG 3 years; ACG 1–3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III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ESGE 1 year; ASGE 6–12 months; BSG 1 year, consider endoscopic therapy; ACG 6–12 months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IV</w:t>
            </w:r>
          </w:p>
        </w:tc>
        <w:tc>
          <w:tcPr>
            <w:tcW w:type="dxa" w:w="5260"/>
            <w:tcMar>
              <w:top w:type="dxa" w:w="70"/>
              <w:left w:type="dxa" w:w="110"/>
              <w:bottom w:type="dxa" w:w="70"/>
              <w:right w:type="dxa" w:w="110"/>
            </w:tcMar>
            <w:vAlign w:val="top"/>
          </w:tcPr>
          <w:p>
            <w:pPr>
              <w:spacing w:after="0" w:line="276"/>
            </w:pPr>
            <w:r>
              <w:rPr>
                <w:color w:val="15181F"/>
                <w:sz w:val="17"/>
                <w:szCs w:val="17"/>
              </w:rPr>
              <w:t xml:space="preserve">ESGE 6 months, consider therapy; BSG 6–12 months, consider endoscopic or surgical therapy; ASGE 3–6 months plus surgical evaluation; ACG 3–6 months, surgical evaluation, and surgery if the papilla is involved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Ampulla, independent of Spigelman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Normal 5 years; adenomatous change &lt;10 mm 3 years; ≥10 mm 1 year (ESGE 2019, BSG 2020) — take the shorter of the two intervals</w:t>
            </w:r>
          </w:p>
        </w:tc>
      </w:tr>
    </w:tbl>
    <w:p>
      <w:pPr>
        <w:spacing w:after="200" w:line="276"/>
      </w:pPr>
      <w:r>
        <w:rPr>
          <w:i/>
          <w:iCs/>
          <w:color w:val="5A6069"/>
          <w:sz w:val="16"/>
          <w:szCs w:val="16"/>
        </w:rPr>
        <w:t xml:space="preserve">Why the duration after papillectomy is long: recurrence occurred at a mean of 3.2 years with a range of 0.5 to 9.75 years in a 136-patient cohort, with 45% of recurrences after the first two years and a rate of 5.8 per 100 person-years; cumulative recurrence in 22 Japanese centres was 20% at 3 years and 22% at 5 years overall, and still 11% and 13% after R0, with R0 achieved in only 416 of 798 patients (52.1%) and an indeterminate Rx margin in a further 25.8% that behaved like a positive one. The two series define recurrence differently — the Japanese cohort counts any neoplastic tissue including early residual disease, the single-centre cohort requires a prior negative endoscopy — so the rates are not interchangeable, and the single-centre cohort's mean follow-up (2.8 years) is shorter than its own mean time to recurrence. Why the ampullary row exists separately: the Spigelman classification contains no information about the ampulla, yet about 50% of duodenal cancers in polyposis arise there, and neither the Spigelman stage nor its components predict ampullary carcinoma — ESGE in 2019 was the first guideline to act on this, and its 5-, 3- and 1-year ampullary intervals carry no citation, no modelling and no stated derivation in the guideline text. The Spigelman score itself has never been formally validated: it was constructed by expert judgement from a single cross-sectional screening round of 102 patients in which no one developed duodenal cancer, its four components are equally weighted without rationale, its stage boundaries are arbitrary breaks in a 4-to-12-point range, and two of the four require histology that current guidelines discourage obtaining. The stage does predict duodenal high-grade dysplasia, on thin evidence: 5 of 8 stage IV patients (63%, given as 4 of 8 and 50% elsewhere in the same paper) in a 77-patient Japanese cohort and none at stages 0, II or III, with stage I empty, one incident carcinoma in the whole cohort, and unbiopsied small and ampullary lesions scored at floor values so that stage assignment and outcome are not independent. Cumulative duodenal cancer incidence in FAP is quoted as 2%–5% by age 55 rising to 18% by 75, from cohorts spanning decades in which both endoscopic technology and Spigelman scoring changed. Refer any patient with a duodenal adenoma of 10 mm or more, or an ampullary adenoma of any size, to an expert centre. The ACG, ASGE and BSG figures here are as tabulated in the Soons review rather than read from those guidelines directly, and the dysplasia row reflects the original three-tier wording — under two-tier reporting, low grade scores 1 and high grade 3. Verify against the current editions before adopting any single column.</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whole page is built around the assumption that a biopsy reading adenoma should be treated as potentially harbouring carcinoma, and that the operation should be chosen on a risk estimate rather than on the biopsy.</w:t>
      </w:r>
    </w:p>
    <w:p>
      <w:pPr>
        <w:spacing w:after="40" w:line="276"/>
        <w:ind w:left="260"/>
      </w:pPr>
      <w:r>
        <w:rPr>
          <w:color w:val="15181F"/>
          <w:sz w:val="18"/>
          <w:szCs w:val="18"/>
        </w:rPr>
        <w:t xml:space="preserve">Grade C. The false-negative rate is well documented (20%–40% per NCCN, 20%–30% per PERIPAN, 8 of 90 biopsy–resection pairs a benign biopsy with a malignant resection, 32% occult carcinoma in papillectomies done for lesions judged benign, 46.4% malignancy in a surgical series selected for resection) and a risk score exists, but no study randomises management strategy against biopsy result, the score has never been externally validated, and each of the supporting figures comes from a cohort selected in a way that shifts it. The position is defensible and it is not an evidence-based threshold.</w:t>
      </w:r>
    </w:p>
    <w:p>
      <w:pPr>
        <w:spacing w:after="60" w:before="160"/>
      </w:pPr>
      <w:r>
        <w:rPr>
          <w:b/>
          <w:bCs/>
          <w:color w:val="8E5008"/>
          <w:sz w:val="19"/>
          <w:szCs w:val="19"/>
        </w:rPr>
        <w:t xml:space="preserve">2. </w:t>
      </w:r>
      <w:r>
        <w:rPr>
          <w:b/>
          <w:bCs/>
          <w:sz w:val="19"/>
          <w:szCs w:val="19"/>
        </w:rPr>
        <w:t xml:space="preserve">No numeric threshold is given here for when a malignancy risk score should push a patient from papillectomy to pancreatoduodenectomy.</w:t>
      </w:r>
    </w:p>
    <w:p>
      <w:pPr>
        <w:spacing w:after="40" w:line="276"/>
        <w:ind w:left="260"/>
      </w:pPr>
      <w:r>
        <w:rPr>
          <w:color w:val="15181F"/>
          <w:sz w:val="18"/>
          <w:szCs w:val="18"/>
        </w:rPr>
        <w:t xml:space="preserve">Deliberate. The published score stratifies malignancy risk at 10.3%, 44.1% and 88.2% but says nothing about which operation each stratum should get, publishes three mutually inconsistent sets of those numbers, was never validated outside its derivation cohort, and was built entirely in patients who had already had a pancreatoduodenectomy. The same paper shows the lowest-risk group has the highest major-complication odds, most plausibly because an unobstructed gland is soft. A cut-off here would be an institutional convention dressed as evidence. It belongs in approvals, not in the gate.</w:t>
      </w:r>
    </w:p>
    <w:p>
      <w:pPr>
        <w:spacing w:after="60" w:before="160"/>
      </w:pPr>
      <w:r>
        <w:rPr>
          <w:b/>
          <w:bCs/>
          <w:color w:val="8E5008"/>
          <w:sz w:val="19"/>
          <w:szCs w:val="19"/>
        </w:rPr>
        <w:t xml:space="preserve">3. </w:t>
      </w:r>
      <w:r>
        <w:rPr>
          <w:b/>
          <w:bCs/>
          <w:sz w:val="19"/>
          <w:szCs w:val="19"/>
        </w:rPr>
        <w:t xml:space="preserve">The histologic subtype is reported and used, while its interobserver agreement is κ 0.39 and its prognostic effect is not independent of stage.</w:t>
      </w:r>
    </w:p>
    <w:p>
      <w:pPr>
        <w:spacing w:after="40" w:line="276"/>
        <w:ind w:left="260"/>
      </w:pPr>
      <w:r>
        <w:rPr>
          <w:color w:val="15181F"/>
          <w:sz w:val="18"/>
          <w:szCs w:val="18"/>
        </w:rPr>
        <w:t xml:space="preserve">This is the page's most uncomfortable position and it is deliberately stated twice. The full-text read made it worse rather than better. In the reproducibility study, five blinded observers reached κ 0.39 with full agreement in 23% of 232 cases, 40% of tumours were mixed and pure intestinal morphology was present in only 6%; the survival difference between subtypes appeared only after the mixed cases were force-assigned to a side, and even then failed multivariable analysis at P=0.39 while budding, T stage and nodes survived. NCCN's own discussion calls the prognostic and predictive data conflicting; PERIPAN calls the role of markers unclear and attributes that to inconsistent historical definitions of the disease. We report the subtype because the guidelines organise the regimen lists around it, not because the call is reliable or because it has been shown to predict anything independently.</w:t>
      </w:r>
    </w:p>
    <w:p>
      <w:pPr>
        <w:spacing w:after="60" w:before="160"/>
      </w:pPr>
      <w:r>
        <w:rPr>
          <w:b/>
          <w:bCs/>
          <w:color w:val="8E5008"/>
          <w:sz w:val="19"/>
          <w:szCs w:val="19"/>
        </w:rPr>
        <w:t xml:space="preserve">4. </w:t>
      </w:r>
      <w:r>
        <w:rPr>
          <w:b/>
          <w:bCs/>
          <w:sz w:val="19"/>
          <w:szCs w:val="19"/>
        </w:rPr>
        <w:t xml:space="preserve">Whether adjuvant therapy should be offered preferentially to pancreatobiliary and mixed subtypes is genuinely unresolved, and the page does not pick a side.</w:t>
      </w:r>
    </w:p>
    <w:p>
      <w:pPr>
        <w:spacing w:after="40" w:line="276"/>
        <w:ind w:left="260"/>
      </w:pPr>
      <w:r>
        <w:rPr>
          <w:color w:val="15181F"/>
          <w:sz w:val="18"/>
          <w:szCs w:val="18"/>
        </w:rPr>
        <w:t xml:space="preserve">The two cohorts are not of equal methodological weight, and the page should not present them as a coin toss. The positive study (214 European resections) gave adjuvant therapy by tumour-board decision on T3/4 stage, node positivity and CA 19-9, performed no propensity matching, weighting or landmark analysis, reported no interaction test, pooled its 16 mixed tumours with pancreatobiliary after seeing the data, and reports a whole-cohort result running the other way (median overall survival 168 months without adjuvant therapy against 113 months with it, hazard ratio 1.124, 95% CI 0.756–1.987, P=0.608) together with several hazard ratios that lie outside their own confidence limits and a whole-cohort median survival of 136.5 months far outside every other series. The negative study (357 resections, 81 propensity-matched pairs) matched on the factors that actually drove treatment selection, excluded 90-day deaths to limit immortal time bias, and found the signal absent in both subtypes and at every stage stratum. So the better-controlled analysis is negative. What it is not is decisive: its intervals do not exclude a 25% to 35% relative risk reduction, half the screened population was excluded for unknown subtype, and misclassification of a κ-0.39 variable biases any subtype interaction towards the null. ESPAC-3 could not settle it — only 135 of its 297 ampullary tumours could be subtyped at all, leaving 80 intestinal and 46 pancreatobiliary split across three arms, with no interaction test and no power calculation. A third retrospective series found benefit confined to the intestinal subtype. The page does not pick a side on whether to treat by subtype, but it no longer presents the two cohorts as equally informative.</w:t>
      </w:r>
    </w:p>
    <w:p>
      <w:pPr>
        <w:spacing w:after="60" w:before="160"/>
      </w:pPr>
      <w:r>
        <w:rPr>
          <w:b/>
          <w:bCs/>
          <w:color w:val="8E5008"/>
          <w:sz w:val="19"/>
          <w:szCs w:val="19"/>
        </w:rPr>
        <w:t xml:space="preserve">5. </w:t>
      </w:r>
      <w:r>
        <w:rPr>
          <w:b/>
          <w:bCs/>
          <w:sz w:val="19"/>
          <w:szCs w:val="19"/>
        </w:rPr>
        <w:t xml:space="preserve">ESPAC-3 was never powered for its ampullary subgroup and reports no hypothesis test for ampullary-only survival anywhere, so this page cannot cite it as establishing adjuvant benefit in ampullary cancer.</w:t>
      </w:r>
    </w:p>
    <w:p>
      <w:pPr>
        <w:spacing w:after="40" w:line="276"/>
        <w:ind w:left="260"/>
      </w:pPr>
      <w:r>
        <w:rPr>
          <w:color w:val="15181F"/>
          <w:sz w:val="18"/>
          <w:szCs w:val="18"/>
        </w:rPr>
        <w:t xml:space="preserve">This is the single most important correction the full-text read produced. The trial was powered on 243 deaths and 430 patients to detect a 12 percentage-point absolute 5-year gain across the pooled periampullary population, and its authors state that a separate analysis for each tumour type could not be built into the design. Within the 297 ampullary patients the medians are observation 40.6 months (95% CI 30.6–61.4, 59 deaths), fluorouracil 57.8 months (32.8–84.0, 50 deaths) and gemcitabine 70.8 months (45.3–not estimable, 42 deaths), and they appear with no P value because none was computed. The primary analysis across all 428 patients was negative (hazard ratio 0.86, 95% CI 0.66–1.11, P=0.25) and became significant only after multivariable adjustment (0.75, 0.57–0.98, P=0.03) for age, bile duct histology, poor differentiation and node positivity — and the observation arm was prognostically the worst at baseline on two of those four (poorly differentiated 33% against 22% and 19%; node positive 62% against 60% and 54%), so the shift partly corrects a randomisation imbalance rather than independently confirming the result. Quoting the ampullary medians alone is the most favourable possible framing of this trial, and the page says so wherever it quotes them. Adjuvant chemotherapy is still offered, because the adjusted estimate and the registry data point the same way and because there is nothing better; it is offered as a reasonable choice, not as a demonstrated benefit.</w:t>
      </w:r>
    </w:p>
    <w:p>
      <w:pPr>
        <w:spacing w:after="60" w:before="160"/>
      </w:pPr>
      <w:r>
        <w:rPr>
          <w:b/>
          <w:bCs/>
          <w:color w:val="8E5008"/>
          <w:sz w:val="19"/>
          <w:szCs w:val="19"/>
        </w:rPr>
        <w:t xml:space="preserve">6. </w:t>
      </w:r>
      <w:r>
        <w:rPr>
          <w:b/>
          <w:bCs/>
          <w:sz w:val="19"/>
          <w:szCs w:val="19"/>
        </w:rPr>
        <w:t xml:space="preserve">The extracted NCCN systemic-therapy page overstates ESPAC-3 and carries figures that appear to belong to a different trial cohort.</w:t>
      </w:r>
    </w:p>
    <w:p>
      <w:pPr>
        <w:spacing w:after="40" w:line="276"/>
        <w:ind w:left="260"/>
      </w:pPr>
      <w:r>
        <w:rPr>
          <w:color w:val="15181F"/>
          <w:sz w:val="18"/>
          <w:szCs w:val="18"/>
        </w:rPr>
        <w:t xml:space="preserve">It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The published periampullary trial reported neither — its primary analysis was negative and its ampullary medians are 57.8 and 70.8 months; those 23-month figures match the ESPAC-3 pancreatic cohort. The full-text read confirms the discrepancy from the trial side: there is no significant disease-free or overall survival result for ampullary adenocarcinoma in ESPAC-3 to report, adjusted or otherwise, because the subgroup was never tested. The guideline's own discussion section states the position correctly. This needs checking against the published PDF before the page is ratified, and is flagged in nonpm.</w:t>
      </w:r>
    </w:p>
    <w:p>
      <w:pPr>
        <w:spacing w:after="60" w:before="160"/>
      </w:pPr>
      <w:r>
        <w:rPr>
          <w:b/>
          <w:bCs/>
          <w:color w:val="8E5008"/>
          <w:sz w:val="19"/>
          <w:szCs w:val="19"/>
        </w:rPr>
        <w:t xml:space="preserve">7. </w:t>
      </w:r>
      <w:r>
        <w:rPr>
          <w:b/>
          <w:bCs/>
          <w:sz w:val="19"/>
          <w:szCs w:val="19"/>
        </w:rPr>
        <w:t xml:space="preserve">Preoperative biliary stenting is discouraged on the strength of a randomised trial in pancreatic head cancer, not in ampullary tumours.</w:t>
      </w:r>
    </w:p>
    <w:p>
      <w:pPr>
        <w:spacing w:after="40" w:line="276"/>
        <w:ind w:left="260"/>
      </w:pPr>
      <w:r>
        <w:rPr>
          <w:color w:val="15181F"/>
          <w:sz w:val="18"/>
          <w:szCs w:val="18"/>
        </w:rPr>
        <w:t xml:space="preserve">Grade C after the full-text read, down from B, and the extrapolation is larger than it first looks. The effect was large on the composite endpoint (serious complications within 120 days 39% against 74%, relative risk 0.54, 95% CI 0.41–0.71) but the composite counts drainage complications and surgical complications in one tally, and surgical complications alone did not differ (37% against 47%, relative risk 0.79, 0.57–1.11, P=0.14) — so on the question clinicians actually ask, the trial is null. The intervention was a 10 Fr plastic stent left 4 to 6 weeks, with cholangitis in 26% and a need for exchange in 30%, and the authors themselves recommend metal stents for the neoadjuvant setting, which concedes that what was tested is not what is now used. Site was carried only as a pancreatic-versus-periampullary covariate with no ampullary subgroup reported, 92% of patients had adenocarcinoma of the pancreatic head, only 61% went on to resection, and the palliative-bypass subgroup drove much of the difference. NCCN states the position; nobody has tested it in ampullary tumours.</w:t>
      </w:r>
    </w:p>
    <w:p>
      <w:pPr>
        <w:spacing w:after="60" w:before="160"/>
      </w:pPr>
      <w:r>
        <w:rPr>
          <w:b/>
          <w:bCs/>
          <w:color w:val="8E5008"/>
          <w:sz w:val="19"/>
          <w:szCs w:val="19"/>
        </w:rPr>
        <w:t xml:space="preserve">8. </w:t>
      </w:r>
      <w:r>
        <w:rPr>
          <w:b/>
          <w:bCs/>
          <w:sz w:val="19"/>
          <w:szCs w:val="19"/>
        </w:rPr>
        <w:t xml:space="preserve">The prophylactic pancreatic duct stent is treated as standard on the basis of one randomised trial of 19 patients.</w:t>
      </w:r>
    </w:p>
    <w:p>
      <w:pPr>
        <w:spacing w:after="40" w:line="276"/>
        <w:ind w:left="260"/>
      </w:pPr>
      <w:r>
        <w:rPr>
          <w:color w:val="15181F"/>
          <w:sz w:val="18"/>
          <w:szCs w:val="18"/>
        </w:rPr>
        <w:t xml:space="preserve">Grade C after the full-text read, down from B, and fragile in fact. The 19-patient trial was stopped early at a pre-specified interim look triggered by a 30% event rate in the control arm, against a planned 25 per arm, and reports three results from the same data: 33% against 0% as treated (P=0.02), 25% against 0% excluding the failed placement (P=0.05), and 25% against 9% by intention to treat, where significance is lost (P=0.3). Its outcome window was 24 hours. The 45-patient randomised comparison of wire-guided against conventional technique missed its primary endpoint (pancreatitis 18% against 13%, P=0.960) despite achieving stent placement in 100% against 65%, and its much-quoted internal finding of 37.5% pancreatitis when stenting failed against 0% when it succeeded is a post-randomisation comparison between patients who differ by procedural difficulty. ESGE grades prophylactic stenting strong on moderate-quality evidence; the underlying randomised evidence is 64 patients and 10 events. The recommendation stands on consistency of direction and on a cheap, reversible intervention, not on trial precision.</w:t>
      </w:r>
    </w:p>
    <w:p>
      <w:pPr>
        <w:spacing w:after="60" w:before="160"/>
      </w:pPr>
      <w:r>
        <w:rPr>
          <w:b/>
          <w:bCs/>
          <w:color w:val="8E5008"/>
          <w:sz w:val="19"/>
          <w:szCs w:val="19"/>
        </w:rPr>
        <w:t xml:space="preserve">9. </w:t>
      </w:r>
      <w:r>
        <w:rPr>
          <w:b/>
          <w:bCs/>
          <w:sz w:val="19"/>
          <w:szCs w:val="19"/>
        </w:rPr>
        <w:t xml:space="preserve">Whether this programme offers transduodenal surgical ampullectomy at all, and on what criteria, is left open.</w:t>
      </w:r>
    </w:p>
    <w:p>
      <w:pPr>
        <w:spacing w:after="40" w:line="276"/>
        <w:ind w:left="260"/>
      </w:pPr>
      <w:r>
        <w:rPr>
          <w:color w:val="15181F"/>
          <w:sz w:val="18"/>
          <w:szCs w:val="18"/>
        </w:rPr>
        <w:t xml:space="preserve">NCCN makes it conditional on local expertise and lists no indications. The best comparative data — 62 propensity-matched pairs from a 1,673-patient European database — favour it over papillectomy on R0 (90.3% against 72.6%, P=0.02) and recurrence, with comparable survival, but the full-text read shows the comparison is built in a way that favours it. The 62 pairs are 98.4% of the eligible surgical patients and only 10.9% of the eligible papillectomy patients, so the surgical arm is its whole population while the endoscopic arm is a 1-in-9 selection chosen to resemble it; matching omitted intraductal extension, duct dilation and index-session ablation, and intrabiliary extension and duct dilation still differed afterwards; follow-up was 37.5 against 15.5 months after matching (P=0.006); and endoscopic patients were routinely re-scoped with scar biopsies while surgical patients were not, so the fivefold recurrence gap conflates residual disease with differential ascertainment. The surgical arm has 63 patients and 6 cancers, the only procedure-related death in the study is in it, and 36.6% of its specimens held advanced cancer while 14.8% held no neoplasm. The one unambiguous finding is burden: 227.5 against 30 minutes and 14 against 3 hospital days. An operation offered without written criteria is offered inconsistently.</w:t>
      </w:r>
    </w:p>
    <w:p>
      <w:pPr>
        <w:spacing w:after="60" w:before="160"/>
      </w:pPr>
      <w:r>
        <w:rPr>
          <w:b/>
          <w:bCs/>
          <w:color w:val="8E5008"/>
          <w:sz w:val="19"/>
          <w:szCs w:val="19"/>
        </w:rPr>
        <w:t xml:space="preserve">10. </w:t>
      </w:r>
      <w:r>
        <w:rPr>
          <w:b/>
          <w:bCs/>
          <w:sz w:val="19"/>
          <w:szCs w:val="19"/>
        </w:rPr>
        <w:t xml:space="preserve">What to do with an invasive carcinoma found incidentally in a margin-negative papillectomy specimen in a fit patient is not resolved here.</w:t>
      </w:r>
    </w:p>
    <w:p>
      <w:pPr>
        <w:spacing w:after="40" w:line="276"/>
        <w:ind w:left="260"/>
      </w:pPr>
      <w:r>
        <w:rPr>
          <w:color w:val="15181F"/>
          <w:sz w:val="18"/>
          <w:szCs w:val="18"/>
        </w:rPr>
        <w:t xml:space="preserve">NCCN routes it to pancreatoduodenectomy. The propensity-matched multicentre cohort that is used to argue otherwise found no overall survival difference between papillectomy alone and papillectomy plus surgery (89.2% against 82.3% at 5 years, P=0.861), but its recurrence endpoints missed significance twice in the same direction — matched recurrence-free survival 66.1% against 86.7% at P=0.052, and 61.4% against 82.6% at P=0.066 in the adenocarcinoma-only subgroup — on 55 matched patients. It never reports T stage, which is the variable the whole question turns on, since T1b carries a substantially higher nodal metastasis risk than T1a; nodal status is unknown in the papillectomy arm by definition; and the immortal time the surgical arm had to survive to enter it is unaddressed, biasing overall survival towards surgery and against the paper's own conclusion. Neither answer is evidence-based; the group needs one position rather than one per endoscopist, and the position should specify what happens when T1a and T1b cannot be distinguished.</w:t>
      </w:r>
    </w:p>
    <w:p>
      <w:pPr>
        <w:spacing w:after="60" w:before="160"/>
      </w:pPr>
      <w:r>
        <w:rPr>
          <w:b/>
          <w:bCs/>
          <w:color w:val="8E5008"/>
          <w:sz w:val="19"/>
          <w:szCs w:val="19"/>
        </w:rPr>
        <w:t xml:space="preserve">11. </w:t>
      </w:r>
      <w:r>
        <w:rPr>
          <w:b/>
          <w:bCs/>
          <w:sz w:val="19"/>
          <w:szCs w:val="19"/>
        </w:rPr>
        <w:t xml:space="preserve">Surveillance after papillectomy is set at </w:t>
      </w:r>
      <w:r>
        <w:rPr>
          <w:b/>
          <w:bCs/>
          <w:i/>
          <w:iCs/>
          <w:sz w:val="19"/>
          <w:szCs w:val="19"/>
        </w:rPr>
        <w:t xml:space="preserve">at least</w:t>
      </w:r>
      <w:r>
        <w:rPr>
          <w:b/>
          <w:bCs/>
          <w:sz w:val="19"/>
          <w:szCs w:val="19"/>
        </w:rPr>
        <w:t xml:space="preserve"> 5 years, and the page does not say when it stops.</w:t>
      </w:r>
    </w:p>
    <w:p>
      <w:pPr>
        <w:spacing w:after="40" w:line="276"/>
        <w:ind w:left="260"/>
      </w:pPr>
      <w:r>
        <w:rPr>
          <w:color w:val="15181F"/>
          <w:sz w:val="18"/>
          <w:szCs w:val="18"/>
        </w:rPr>
        <w:t xml:space="preserve">ESGE's wording is at least 5 years and its month-by-month schedule carries no derivation, no interval-cancer analysis and no burden assessment. Recurrence after a histological R0 was still 13% at 5 years in 798 Japanese patients, which is the honest reason to keep going. The ten-year argument is weaker than it reads: it comes from one cohort whose mean follow-up (2.8 years) was shorter than its own mean time to recurrence (3.2 years), whose single latest event at 9.75 years drives the recommendation, and whose internal stratifications show more recurrence after en bloc than piecemeal resection and after initially complete than incomplete resection — the signature of early residual disease being classified out of the recurrence count. There is no study of stopping rules and no competing-risk analysis in this population. Setting an endpoint locally is reasonable; claiming evidence for it is not.</w:t>
      </w:r>
    </w:p>
    <w:p>
      <w:pPr>
        <w:spacing w:after="60" w:before="160"/>
      </w:pPr>
      <w:r>
        <w:rPr>
          <w:b/>
          <w:bCs/>
          <w:color w:val="8E5008"/>
          <w:sz w:val="19"/>
          <w:szCs w:val="19"/>
        </w:rPr>
        <w:t xml:space="preserve">12. </w:t>
      </w:r>
      <w:r>
        <w:rPr>
          <w:b/>
          <w:bCs/>
          <w:sz w:val="19"/>
          <w:szCs w:val="19"/>
        </w:rPr>
        <w:t xml:space="preserve">In polyposis the page tells you not to biopsy duodenal lesions routinely, and in sporadic disease it tells you the biopsy is essential.</w:t>
      </w:r>
    </w:p>
    <w:p>
      <w:pPr>
        <w:spacing w:after="40" w:line="276"/>
        <w:ind w:left="260"/>
      </w:pPr>
      <w:r>
        <w:rPr>
          <w:color w:val="15181F"/>
          <w:sz w:val="18"/>
          <w:szCs w:val="18"/>
        </w:rPr>
        <w:t xml:space="preserve">Both are correct and the reason is base rates, not inconsistency. ESGE discourages routine duodenal biopsy in polyposis because it compromises optical diagnosis and future endoscopic mucosal resection, and because ampullary biopsy carries a pancreatitis risk; in a sporadic ampullary lesion the biopsy is the only thing standing between an adenoma plan and a cancer. The page states both rules and names the populations, because the commonest way to misapply either is to carry it across.</w:t>
      </w:r>
    </w:p>
    <w:p>
      <w:pPr>
        <w:spacing w:after="60" w:before="160"/>
      </w:pPr>
      <w:r>
        <w:rPr>
          <w:b/>
          <w:bCs/>
          <w:color w:val="8E5008"/>
          <w:sz w:val="19"/>
          <w:szCs w:val="19"/>
        </w:rPr>
        <w:t xml:space="preserve">13. </w:t>
      </w:r>
      <w:r>
        <w:rPr>
          <w:b/>
          <w:bCs/>
          <w:sz w:val="19"/>
          <w:szCs w:val="19"/>
        </w:rPr>
        <w:t xml:space="preserve">The tumour board operating model and the audit items are operational requirements, not evidence-based interventions.</w:t>
      </w:r>
    </w:p>
    <w:p>
      <w:pPr>
        <w:spacing w:after="40" w:line="276"/>
        <w:ind w:left="260"/>
      </w:pPr>
      <w:r>
        <w:rPr>
          <w:color w:val="15181F"/>
          <w:sz w:val="18"/>
          <w:szCs w:val="18"/>
        </w:rPr>
        <w:t xml:space="preserve">Grade D by construction. They are listed as Standard because the programme would be choosing them, not because trials support them, and they should be audited for adherence rather than for effectiveness.</w:t>
      </w:r>
    </w:p>
    <w:p>
      <w:pPr>
        <w:spacing w:after="60" w:before="160"/>
      </w:pPr>
      <w:r>
        <w:rPr>
          <w:b/>
          <w:bCs/>
          <w:color w:val="8E5008"/>
          <w:sz w:val="19"/>
          <w:szCs w:val="19"/>
        </w:rPr>
        <w:t xml:space="preserve">14. </w:t>
      </w:r>
      <w:r>
        <w:rPr>
          <w:b/>
          <w:bCs/>
          <w:sz w:val="19"/>
          <w:szCs w:val="19"/>
        </w:rPr>
        <w:t xml:space="preserve">ESPAC-4 and PRODIGE-24 sit in this depot as borrowed evidence from a different disease, and the page now says so wherever it uses them.</w:t>
      </w:r>
    </w:p>
    <w:p>
      <w:pPr>
        <w:spacing w:after="40" w:line="276"/>
        <w:ind w:left="260"/>
      </w:pPr>
      <w:r>
        <w:rPr>
          <w:color w:val="15181F"/>
          <w:sz w:val="18"/>
          <w:szCs w:val="18"/>
        </w:rPr>
        <w:t xml:space="preserve">Both are trials of resected pancreatic </w:t>
      </w:r>
      <w:r>
        <w:rPr>
          <w:i/>
          <w:iCs/>
          <w:color w:val="15181F"/>
          <w:sz w:val="18"/>
          <w:szCs w:val="18"/>
        </w:rPr>
        <w:t xml:space="preserve">ductal</w:t>
      </w:r>
      <w:r>
        <w:rPr>
          <w:color w:val="15181F"/>
          <w:sz w:val="18"/>
          <w:szCs w:val="18"/>
        </w:rPr>
        <w:t xml:space="preserve"> adenocarcinoma in which nonductal pancreatic tumours were an explicit exclusion criterion, so neither reports a single ampullary patient and neither can be read as evidence in this disease. ESPAC-4 gained 2.5 months of median survival (28.0 against 25.5 months, hazard ratio 0.82, 95% CI 0.68–0.98, P=0.032), was reported early at 458 of a planned 480 deaths with no alpha adjustment presented, and its benefit sat in R0 patients with essentially no separation in R1 disease. PRODIGE-24 doubled median disease-free survival (21.6 against 12.8 months) in a population restricted to performance status 0–1, age under 80 and CA 19-9 under 180 U/mL, at the cost of grade 3–4 toxicity in 75.9% of patients, and showed no disease-free survival benefit in the fifth of patients aged 70 or over (hazard ratio 0.86, 0.53–1.39) — the group closest to the median age of ampullary cancer. Ampullary carcinoma has roughly double the resected median survival of pancreatic cancer and no randomised evidence that any adjuvant chemotherapy helps, so transplanting these regimens is a decision about risk tolerance rather than an application of trial evidence. NCCN itself says the panel added capecitabine–gemcitabine on the basis of clinical expertise and that no prospective randomised phase III data support these recommendations.</w:t>
      </w:r>
    </w:p>
    <w:p>
      <w:pPr>
        <w:spacing w:after="60" w:before="160"/>
      </w:pPr>
      <w:r>
        <w:rPr>
          <w:b/>
          <w:bCs/>
          <w:color w:val="8E5008"/>
          <w:sz w:val="19"/>
          <w:szCs w:val="19"/>
        </w:rPr>
        <w:t xml:space="preserve">15. </w:t>
      </w:r>
      <w:r>
        <w:rPr>
          <w:b/>
          <w:bCs/>
          <w:sz w:val="19"/>
          <w:szCs w:val="19"/>
        </w:rPr>
        <w:t xml:space="preserve">Roughly a third of both papillectomies and surgical ampullectomies in the largest European series were performed for the wrong indication, and that is a bigger problem than which operation is better.</w:t>
      </w:r>
    </w:p>
    <w:p>
      <w:pPr>
        <w:spacing w:after="40" w:line="276"/>
        <w:ind w:left="260"/>
      </w:pPr>
      <w:r>
        <w:rPr>
          <w:color w:val="15181F"/>
          <w:sz w:val="18"/>
          <w:szCs w:val="18"/>
        </w:rPr>
        <w:t xml:space="preserve">Final histology was neither adenoma nor adenocarcinoma — mostly hyperplastic or chronic inflammatory tissue — in 270 of 1,115 papillectomy patients (24.2%) and 25 of 169 surgical ampullectomy patients (14.8%), while advanced cancer (T2 or above, or node positive) was found in 122 papillectomy (10.9%) and 62 surgical ampullectomy (36.6%) patients. So in roughly a third of cases in each arm there was either no neoplasm to remove or disease already beyond what a local resection can treat. The authors call the rate of poor indications still high for both operations. Nothing on this page reduces that rate except the gate 0 and gate 1 discipline: a side-viewing examination, staged before any stent, with the compartment named and the malignancy risk stated out loud.</w:t>
      </w:r>
    </w:p>
    <w:p>
      <w:pPr>
        <w:spacing w:after="60" w:before="160"/>
      </w:pPr>
      <w:r>
        <w:rPr>
          <w:b/>
          <w:bCs/>
          <w:color w:val="8E5008"/>
          <w:sz w:val="19"/>
          <w:szCs w:val="19"/>
        </w:rPr>
        <w:t xml:space="preserve">16. </w:t>
      </w:r>
      <w:r>
        <w:rPr>
          <w:b/>
          <w:bCs/>
          <w:sz w:val="19"/>
          <w:szCs w:val="19"/>
        </w:rPr>
        <w:t xml:space="preserve">The papillectomy R0 rate of 80% is closer to 66% once ablation at the index session is counted honestly, and papillectomy failed in roughly two-thirds of T1 cancers.</w:t>
      </w:r>
    </w:p>
    <w:p>
      <w:pPr>
        <w:spacing w:after="40" w:line="276"/>
        <w:ind w:left="260"/>
      </w:pPr>
      <w:r>
        <w:rPr>
          <w:color w:val="15181F"/>
          <w:sz w:val="18"/>
          <w:szCs w:val="18"/>
        </w:rPr>
        <w:t xml:space="preserve">In the European series, R0 for adenoma after papillectomy was 386 of 481 (80.2%); but 69 of those cases (14.4%) had argon plasma coagulation or radiofrequency ablation during the index procedure, which means visible residual tissue, and counting them as probable R2 resections brings the primary success rate of papillectomy alone to 317 of 481 (65.9%). Both figures appear in the paper without a preferred estimate, and the reclassification is the authors' retrospective assumption. Retreatment then cascades: of 40 adenoma patients given endoscopic retherapy, 17 (42.5%) were still incomplete at the next follow-up and 12 of the remaining 15 (80%) needed a third session. In invasive disease the failure is starker — of 88 T1 cancers treated endoscopically, R0 was achieved in 30 (34.1%), and endotherapy alone succeeded in 34 of 75 T1a (45.3%) and 5 of 13 T1b cancers (38.5%). Independently, in 798 Japanese papillectomies only 416 (52.1%) were R0 at all, and only 58.6% of technically successful en bloc resections were ultimately R0.</w:t>
      </w:r>
    </w:p>
    <w:p>
      <w:pPr>
        <w:spacing w:after="60" w:before="160"/>
      </w:pPr>
      <w:r>
        <w:rPr>
          <w:b/>
          <w:bCs/>
          <w:color w:val="8E5008"/>
          <w:sz w:val="19"/>
          <w:szCs w:val="19"/>
        </w:rPr>
        <w:t xml:space="preserve">17. </w:t>
      </w:r>
      <w:r>
        <w:rPr>
          <w:b/>
          <w:bCs/>
          <w:sz w:val="19"/>
          <w:szCs w:val="19"/>
        </w:rPr>
        <w:t xml:space="preserve">The recurrence rates quoted after papillectomy are not measuring the same thing, so the page gives the definitions alongside the numbers.</w:t>
      </w:r>
    </w:p>
    <w:p>
      <w:pPr>
        <w:spacing w:after="40" w:line="276"/>
        <w:ind w:left="260"/>
      </w:pPr>
      <w:r>
        <w:rPr>
          <w:color w:val="15181F"/>
          <w:sz w:val="18"/>
          <w:szCs w:val="18"/>
        </w:rPr>
        <w:t xml:space="preserve">The 798-patient Japanese cohort counted any histologically confirmed neoplastic tissue with no requirement for a prior negative surveillance endoscopy, and its median time to recurrence was 6 months (3 months after R1), so a large fraction of its 18.3% is residual disease. The 136-patient single-centre cohort required one negative surveillance endoscopy first and allowed multiple treatment sessions inside its definition of complete eradication, which converts early incomplete resection into a non-event and shifts the curve rightwards — and its own data show the consequence, with more recurrence after en bloc (19.4%) than piecemeal (7.0%) resection and after initially complete (16.5%) than incomplete (6.1%) resection. A third cohort split recurrence into early and late by the timing of a first surveillance endoscopy left to the endoscopist's discretion, and publishes inconsistent denominators for both. The clinically useful statement is that about one in five patients will need further endoscopic treatment of the papilla; the precise rate depends on a definition nobody has standardised.</w:t>
      </w:r>
    </w:p>
    <w:p>
      <w:pPr>
        <w:spacing w:after="60" w:before="160"/>
      </w:pPr>
      <w:r>
        <w:rPr>
          <w:b/>
          <w:bCs/>
          <w:color w:val="8E5008"/>
          <w:sz w:val="19"/>
          <w:szCs w:val="19"/>
        </w:rPr>
        <w:t xml:space="preserve">18. </w:t>
      </w:r>
      <w:r>
        <w:rPr>
          <w:b/>
          <w:bCs/>
          <w:sz w:val="19"/>
          <w:szCs w:val="19"/>
        </w:rPr>
        <w:t xml:space="preserve">An indeterminate resection margin is the commonest ambiguous pathology result in this pathway and no guideline says what to do about it.</w:t>
      </w:r>
    </w:p>
    <w:p>
      <w:pPr>
        <w:spacing w:after="40" w:line="276"/>
        <w:ind w:left="260"/>
      </w:pPr>
      <w:r>
        <w:rPr>
          <w:color w:val="15181F"/>
          <w:sz w:val="18"/>
          <w:szCs w:val="18"/>
        </w:rPr>
        <w:t xml:space="preserve">In the 798-patient Japanese cohort an Rx margin accounted for 206 specimens (25.8%), carried a hazard ratio of 2.38 for recurrence against R0 (95% CI 1.49–3.81) close to the 2.95 for a frankly positive margin, and by 5 years had the same cumulative recurrence as R1 at 34% — so it behaves like an undetected positive margin. ESGE offers no recommendation for it. Margin assessment in that study was local at 22 centres with no central review and no interobserver data, which is an argument for writing the local method down rather than for discounting the finding. This page's answer is to treat Rx as positive for surveillance purposes and to prevent it at the specimen-handling step, but that is a convention, not evidence.</w:t>
      </w:r>
    </w:p>
    <w:p>
      <w:pPr>
        <w:spacing w:after="60" w:before="160"/>
      </w:pPr>
      <w:r>
        <w:rPr>
          <w:b/>
          <w:bCs/>
          <w:color w:val="8E5008"/>
          <w:sz w:val="19"/>
          <w:szCs w:val="19"/>
        </w:rPr>
        <w:t xml:space="preserve">19. </w:t>
      </w:r>
      <w:r>
        <w:rPr>
          <w:b/>
          <w:bCs/>
          <w:sz w:val="19"/>
          <w:szCs w:val="19"/>
        </w:rPr>
        <w:t xml:space="preserve">The one-in-six figure for mismatch-repair deficiency in ampullary carcinoma is the upper end of a wide range, not an established prevalence.</w:t>
      </w:r>
    </w:p>
    <w:p>
      <w:pPr>
        <w:spacing w:after="40" w:line="276"/>
        <w:ind w:left="260"/>
      </w:pPr>
      <w:r>
        <w:rPr>
          <w:color w:val="15181F"/>
          <w:sz w:val="18"/>
          <w:szCs w:val="18"/>
        </w:rPr>
        <w:t xml:space="preserve">PERIPAN's reflex-testing recommendation is graded low evidence and rests on an assertion that deficiency rates are comparable to colorectal cancer. The two primary series in this depot give 18 of 119 tested non-medullary ampullary carcinomas (15%), where the 119 were a convenience subset of 348 that happened to have been tested, and 1 of 23 early-onset ampullary carcinomas (4.3%) in a nationwide Dutch series whose signal was overwhelmingly in duodenal cancer (11 of 23, 47.8%). The claim that deficiency in ampullary cancer reliably indicates a hereditary defect rests, in that series, on one patient. None of this argues against reflex testing — the test is cheap, it does not depend on the unreliable subtype call, and it is simultaneously a treatment test and a germline trigger — but the programme should measure its own deficiency rate rather than quote one in six.</w:t>
      </w:r>
    </w:p>
    <w:p>
      <w:pPr>
        <w:spacing w:after="60" w:before="160"/>
      </w:pPr>
      <w:r>
        <w:rPr>
          <w:b/>
          <w:bCs/>
          <w:color w:val="8E5008"/>
          <w:sz w:val="19"/>
          <w:szCs w:val="19"/>
        </w:rPr>
        <w:t xml:space="preserve">20. </w:t>
      </w:r>
      <w:r>
        <w:rPr>
          <w:b/>
          <w:bCs/>
          <w:sz w:val="19"/>
          <w:szCs w:val="19"/>
        </w:rPr>
        <w:t xml:space="preserve">The Spigelman score has never been validated, and the ampullary surveillance intervals that correct it are uncited panel judgement.</w:t>
      </w:r>
    </w:p>
    <w:p>
      <w:pPr>
        <w:spacing w:after="40" w:line="276"/>
        <w:ind w:left="260"/>
      </w:pPr>
      <w:r>
        <w:rPr>
          <w:color w:val="15181F"/>
          <w:sz w:val="18"/>
          <w:szCs w:val="18"/>
        </w:rPr>
        <w:t xml:space="preserve">The score was constructed in 1989 from a single cross-sectional screening round of 102 polyposis patients, with its four components and cut-points assigned from known risk factors rather than derived from any cancer outcome; no patient in that paper developed duodenal cancer during the study, and no formal validation has appeared since. Its components are equally weighted without rationale, its stage boundaries are arbitrary breaks in a 4-to-12-point range, and two of the four require histology that current guidelines discourage obtaining — so the stage as now computed is not the quantity the score was built from. The best supporting cohort found high-grade dysplasia in 5 of 8 stage IV patients (reported as 4 of 8 elsewhere in the same paper) and none at stages 0, II or III, but had one incident invasive cancer in total, no patients at stage I, and a protocol that left small and ampullary lesions unbiopsied and scored them at floor values, so stage assignment and outcome were not independent. The ESGE and BSG ampullary intervals of 5, 3 and 1 year are described in the guideline as proposed intervals that seem safe, with no citation and no modelling. The page keeps both because about half of duodenal cancers in these patients are periampullary and the alternative is nothing; it grades them D.</w:t>
      </w:r>
    </w:p>
    <w:p>
      <w:pPr>
        <w:spacing w:after="60" w:before="160"/>
      </w:pPr>
      <w:r>
        <w:rPr>
          <w:b/>
          <w:bCs/>
          <w:color w:val="8E5008"/>
          <w:sz w:val="19"/>
          <w:szCs w:val="19"/>
        </w:rPr>
        <w:t xml:space="preserve">21. </w:t>
      </w:r>
      <w:r>
        <w:rPr>
          <w:b/>
          <w:bCs/>
          <w:sz w:val="19"/>
          <w:szCs w:val="19"/>
        </w:rPr>
        <w:t xml:space="preserve">Two papers cited on this page were not obtained in full text and are quoted from their abstracts only.</w:t>
      </w:r>
    </w:p>
    <w:p>
      <w:pPr>
        <w:spacing w:after="40" w:line="276"/>
        <w:ind w:left="260"/>
      </w:pPr>
      <w:r>
        <w:rPr>
          <w:color w:val="15181F"/>
          <w:sz w:val="18"/>
          <w:szCs w:val="18"/>
        </w:rPr>
        <w:t xml:space="preserve">They are the National Cancer Database node-yield analysis (PMID 38353072), which supplies the 20-node threshold and the 56.7% nodal metastasis rate, and the intraductal ultrasound and transpapillary biopsy series (22319960), which supplies the 68.7% forceps sensitivity and the 97% combined figure. Their selection, blinding, reference standards and stated limitations could not be checked, so every string that uses them says so. Three papers previously listed here — the 91-patient malignancy prediction cohort (23442830), the EUS preoperative evaluation series (30834717) and the 14-patient ampullary neuroendocrine tumour series (27457864) — have since been obtained and read in full. BILCAP (30922733) and ABC-02 (20375404) are likewise quoted from abstract and guideline text only; both are trials in other diseases.</w:t>
      </w:r>
    </w:p>
    <w:p>
      <w:pPr>
        <w:spacing w:after="60" w:before="160"/>
      </w:pPr>
      <w:r>
        <w:rPr>
          <w:b/>
          <w:bCs/>
          <w:color w:val="8E5008"/>
          <w:sz w:val="19"/>
          <w:szCs w:val="19"/>
        </w:rPr>
        <w:t xml:space="preserve">22. </w:t>
      </w:r>
      <w:r>
        <w:rPr>
          <w:b/>
          <w:bCs/>
          <w:sz w:val="19"/>
          <w:szCs w:val="19"/>
        </w:rPr>
        <w:t xml:space="preserve">The grades on this page fell in several places after the full-text read, and every downgrade is explained in the note on the string it belongs to.</w:t>
      </w:r>
    </w:p>
    <w:p>
      <w:pPr>
        <w:spacing w:after="40" w:line="276"/>
        <w:ind w:left="260"/>
      </w:pPr>
      <w:r>
        <w:rPr>
          <w:color w:val="15181F"/>
          <w:sz w:val="18"/>
          <w:szCs w:val="18"/>
        </w:rPr>
        <w:t xml:space="preserve">Preoperative biliary drainage moved from B to C (borrowed population, composite endpoint, null surgical-complication result, plastic stents only); prophylactic pancreatic stenting from B to C (64 randomised patients, one trial negative on intention to treat, the other on its primary endpoint); adjuvant chemotherapy for stage II and III disease from B to C (the only randomised trial was negative on its primary endpoint and never tested its ampullary subgroup); extended lymphadenectomy from A to B (the randomised evidence is strong but entirely in pancreatic ductal adenocarcinoma); adjuvant chemoradiation from C to D (all registry and retrospective with treatment allocated by the factors adjusted for, and the best-adjusted cohort analysis negative); the malignancy risk score from C to D (derived and tested in the same already-resected cohort, three inconsistent sets of published strata); papillectomy with surveillance for an incidental early carcinoma from C to D (55 matched patients, T stage never reported, immortal time bias unaddressed); transduodenal ampullectomy from C to D (63 surgical patients, 1-in-9 matched selection, unequal follow-up and asymmetric surveillance); rare non-tubular subtypes from C to D (11 medullary cases, no blinded review, selective marker availability); first-line systemic therapy in metastatic disease from C to D (not one listed regimen has been tested in a trial reporting an ampullary population); and polyposis surveillance intervals from C to D (an unvalidated score and uncited intervals). No recommendation was removed. The roadmap's positions stand; what changed is how well supported the page says they are.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malignancy risk, on a stated score, moves a biopsy-proven ampullary adenoma from papillectomy to pancreatoduodenectomy?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published score stratifies malignancy risk at 10.3%, 44.1% and 88.2% but assigns no operation to any stratum, publishes three mutually inconsistent sets of those proportions, was derived and tested in the same 127 patients with no validation statistic of any kind, and was built entirely in patients already judged to need a pancreatoduodenectomy. In the same series the lowest-risk patients had the most major complications. There is no threshold in the literature to adopt, and the programme should decide whether it uses the score as a structured conversation or as a number.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offer transduodenal surgical ampullectomy, and under what written criteria?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makes it conditional on local expertise and lists no indications; the indication criteria remain undetermined in the literature. The comparative data favour it over papillectomy on R0 (90.3% against 72.6%) and recurrence but come from 62 propensity-matched pairs in which the surgical arm is 98.4% of its eligible population and the endoscopic arm a 1-in-9 selection, follow-up was 37.5 against 15.5 months, and only the endoscopic patients were systematically re-scoped with scar biopsies. 36.6% of the surgical specimens held advanced cancer. The reliable difference is burden: 227.5 against 30 minutes and 14 against 3 days. [EXPERTISE]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An invasive carcinoma found incidentally in a margin-negative papillectomy specimen in a fit patient — complete to pancreatoduodenectomy, or surveil? And what happens when T1a and T1b cannot be distinguished?</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routes it to resection on low-quality evidence. The propensity-matched cohort used to argue for surveillance found equivalent overall survival but recurrence-free survival differences of 66.1% against 86.7% (P=0.052) and, in adenocarcinoma only, 61.4% against 82.6% (P=0.066) on 55 matched patients — two near misses in the same direction. That cohort never reports T stage, so it cannot inform the T1a-versus-T1b split on which nodal risk turns; nodal status is unknown in its papillectomy arm by definition; and the immortal time the surgical arm had to survive is unaddressed. Without a standing position this will be decided by whoever is in the room.</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adjuvant chemotherapy offered to all resected stage II and III patients, or preferentially by histologic subtype?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ESPAC-3's primary analysis was negative (hazard ratio 0.86, 95% CI 0.66–1.11, P=0.25), it was never powered for its ampullary subgroup, and no hypothesis test for ampullary-only survival is reported anywhere in the paper. The two subtype-stratified cohorts do not carry equal weight: the positive one allocated adjuvant therapy at tumour board by stage, nodes and CA 19-9 with no adjustment of any kind and reports a whole-cohort result running the other way (hazard ratio 1.124, P=0.608), while the negative one propensity-matched on those same selection drivers and handled immortal time bias — though its intervals do not exclude a 25% to 35% relative risk reduction. A third cohort found benefit confined to the intestinal subtype. NCCN's algorithm is staged while its regimen lists are subtyped.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subtype call with interobserver κ 0.39 accepted as a basis for choosing the adjuvant regimen?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but a governance one. The guidelines organise their regimen lists around the subtype; the reproducibility data say five blinded observers agree in 23% of cases, 40% of tumours are mixed, pure intestinal morphology is present in only 6%, the survival difference appears only after the mixed cases are force-assigned, and even then the subtype fails multivariable analysis at P=0.39. PERIPAN's own conclusion is that the prognostic and predictive role of subtype remains unclear. The group should decide whether the regimen follows the subtype or the stage.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mismatch-repair testing a reflex on every ampullary carcinoma, or ordered by indication?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PERIPAN recommends reflex testing on every case regardless of subtype, graded low evidence, on an assertion that the deficiency rate is comparable to colorectal cancer; the 2021 ESGE ampullary guideline recommended against routine molecular and immunohistochemical testing of ampullary biopsies, and NCCN recommends somatic profiling only for metastatic patients who are candidates for therapy. The published prevalence runs from 4.3% (1 of 23 early-onset cases) to 15% (18 of 119 tested cases), so one in six is the upper end of a range rather than an established figure. The result is both a treatment test and a germline trigger, which is the argument for reflex testing independent of the prevalence estimate.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minimum number of examined lymph nodes does this programme hold itself to at pancreatoduodenectomy for ampullary cancer?</w:t>
            </w:r>
          </w:p>
        </w:tc>
        <w:tc>
          <w:tcPr>
            <w:tcW w:type="dxa" w:w="4740"/>
            <w:tcMar>
              <w:top w:type="dxa" w:w="70"/>
              <w:left w:type="dxa" w:w="110"/>
              <w:bottom w:type="dxa" w:w="70"/>
              <w:right w:type="dxa" w:w="110"/>
            </w:tcMar>
            <w:vAlign w:val="top"/>
          </w:tcPr>
          <w:p>
            <w:pPr>
              <w:spacing w:after="0" w:line="276"/>
            </w:pPr>
            <w:r>
              <w:rPr>
                <w:color w:val="15181F"/>
                <w:sz w:val="17"/>
                <w:szCs w:val="17"/>
              </w:rPr>
              <w:t xml:space="preserve">A National Cancer Database analysis of 8,127 resections places the inflection point at 20, but it is cited here from its abstract only and the derivation of the threshold could not be checked; PERIPAN defers to the pancreatic minimum, where proposals run from 11 to 17; the largest pathology series had a median of 11 with only 48% of specimens reaching 12. That series also showed the N0 and N1 survival curves converging once 12 or more nodes were examined, which is an argument that adequate sampling changes the meaning of the N category rather than only its precision. A number that is not written down is not audited.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post-papillectomy surveillance, and when does it stop?</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ESGE says at least 5 years and sets no endpoint, and its 3-, 6- and 12-month schedule has no stated derivation. Recurrence after a histological R0 was still 13% at 5 years in 798 patients, which is the honest reason to continue. The ten-year argument rests on one patient recurring at 9.75 years in a cohort whose mean follow-up was shorter than its own mean time to recurrence. There are no stopping-rule data and no competing-risk analysis in this population.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In polyposis, does the programme adopt the ESGE and BSG ampullary-appearance intervals alongside the Spigelman stage, and which guideline column does it follow for the Spigelman intervals themselves?</w:t>
            </w:r>
          </w:p>
        </w:tc>
        <w:tc>
          <w:tcPr>
            <w:tcW w:type="dxa" w:w="4740"/>
            <w:tcMar>
              <w:top w:type="dxa" w:w="70"/>
              <w:left w:type="dxa" w:w="110"/>
              <w:bottom w:type="dxa" w:w="70"/>
              <w:right w:type="dxa" w:w="110"/>
            </w:tcMar>
            <w:vAlign w:val="top"/>
          </w:tcPr>
          <w:p>
            <w:pPr>
              <w:spacing w:after="0" w:line="276"/>
            </w:pPr>
            <w:r>
              <w:rPr>
                <w:color w:val="15181F"/>
                <w:sz w:val="17"/>
                <w:szCs w:val="17"/>
              </w:rPr>
              <w:t xml:space="preserve">ACG, ASGE, BSG and ESGE differ at every Spigelman stage, most sharply at stages III and IV, and only ESGE and BSG set an interval on the ampulla. About 50% of duodenal cancers in these patients are periampullary and the Spigelman stage does not predict them. Both halves are weak: the score has never been formally validated and two of its four components require histology that the same guidelines discourage obtaining, while the ampullary intervals of 5, 3 and 1 year appear in the guideline text as proposed intervals that seem safe, with no citation and no modelling.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NCCN, ESGE and PERIPAN update checks, on what cycle, and who resolves the ESPAC-3 discrepancy in the extracted NCCN text before this page goes live?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page was built from a machine-converted guideline extraction that carries no version string and that misstates ESPAC-3 on one page while stating it correctly on another. The full-text read of ESPAC-3 confirms the discrepancy from the trial side: there is no significant ampullary disease-free or overall survival result in that trial to report, because the subgroup was never tested. No version of this page should be published without that reconciled against the published guideline.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count argon plasma coagulation or radiofrequency ablation at the index papillectomy as part of an R0 resection, or as evidence of residual disease?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largest European series reports both answers: R0 for adenoma after papillectomy was 80.2%, and 65.9% once the 14.4% of cases that had index-session ablation are counted as probable R2 resections. Which convention the programme adopts determines its own reported R0 rate, its surveillance intensity for those patients, and whether its figures can be compared with anyone else's.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does the programme do with an indeterminate (Rx) resection margin after papillectomy?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An Rx margin accounted for 206 of 798 specimens (25.8%) in the Japanese national cohort, carried a hazard ratio of 2.38 for recurrence against R0, and by 5 years had the same cumulative recurrence as a frankly positive margin (34% each). It is the commonest ambiguous result in this pathway and ESGE offers no recommendation for it. Treating it as positive for surveillance purposes is this page's convention, not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definition of recurrence does the programme's papillectomy dashboard use — counting residual disease found at the first surveillance endoscopy, or only events after a documented negative examination?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large cohorts in the literature differ on exactly this, which is why their recurrence rates (18.3% and 16.1%) are not comparable, and the choice determines whether the programme's own figure measures initial resection quality or genuine recurrence. One cohort's internal data show the consequence: more recurrence after en bloc than piecemeal resection, because piecemeal patients had their residual disease reclassified.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use the ESPAC-4 and PRODIGE-24 regimens in ampullary cancer at all, and if so what is said at consent?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Both trials excluded nonductal tumours by protocol and neither reports a single ampullary patient. PRODIGE-24 produced grade 3 or 4 toxicity in 75.9% of a population restricted to performance status 0–1 and age under 80, with no disease-free survival benefit in those aged 70 or over; ESPAC-4 gained 2.5 months of median survival, reported early, with the benefit confined to R0 patients. Ampullary carcinoma has roughly double the resected median survival of pancreatic cancer and no randomised evidence that any adjuvant chemotherapy helps. Offering these regimens is a defensible choice about risk tolerance; it should be made once, in writing, rather than case by case.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measure its own preoperative biopsy false-negative rate for invasive carcinoma, and at what rate does it change the gate 1 threshold?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published range is 20% to 40% and every supporting figure is shifted by selection — the 8.9% major-discrepancy rate was computed on the 36% of patients who had follow-up pathology, and the 32% occult-carcinoma rate came after 44.3% of papillectomies had been excluded for a malignant biopsy or suspicious appearance. A local rate is the only one that can be acted on, and the roughly one-in-three wrong-indication rate in the European series suggests that most programmes do not know theirs.</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This is a second draft, revised on 7 October 2026 after a full-text read of the paper depot behind it. There is still no ratified Memorial Hermann roadmap for ampullary tumours, no alignment worksheet behind it, and no institutional position has been taken on any of the fifteen items in the approvals list — the page is a proposal for a multidisciplinary group to argue with, not a statement of practice. </w:t>
      </w:r>
      <w:r>
        <w:rPr>
          <w:b/>
          <w:bCs/>
          <w:color w:val="15181F"/>
          <w:sz w:val="20"/>
          <w:szCs w:val="20"/>
        </w:rPr>
        <w:t xml:space="preserve">What the full-text read changed.</w:t>
      </w:r>
      <w:r>
        <w:rPr>
          <w:color w:val="15181F"/>
          <w:sz w:val="20"/>
          <w:szCs w:val="20"/>
        </w:rPr>
        <w:t xml:space="preserve"> Twenty-eight of the thirty-five cited papers were read in full and abstracted with their authors' stated limitations and an independent critique, and the revision moved the page in three material ways. First, ESPAC-3 can no longer be cited as establishing adjuvant benefit in ampullary cancer: the trial was never powered for its ampullary subgroup, reports no hypothesis test for ampullary-only survival anywhere, and the ampullary medians of 40.6, 57.8 and 70.8 months appear without a P value; its primary analysis was negative (hazard ratio 0.86, 95% CI 0.66–1.11, P=0.25), its adjusted analysis (0.75, 0.57–0.98, P=0.03) adjusted for four variables on two of which the observation arm was prognostically worse at baseline, and in its 96 intrapancreatic bile duct patients chemotherapy was numerically worse than observation. Adjuvant chemotherapy remains on the page and is now graded C and offered as a reasonable choice rather than a demonstrated benefit. Second, the subtype question has been rewritten as an asymmetric dispute rather than a tie: the reproducibility study is the ceiling on all of it (κ 0.39, all five observers agreeing in 23% of 232 cases, 40% of tumours mixed, pure intestinal only 6%, survival differing only after the mixed cases were force-assigned, and the subtype failing multivariable analysis at P=0.39), and of the two adjuvant cohorts the positive one allocated treatment at tumour board by prognosis with no adjustment of any kind and reports a whole-cohort result running the other way (hazard ratio 1.124, P=0.608) while the negative one propensity-matched on the actual selection drivers and handled immortal time bias — so the divergence is explained by cohort and method rather than by chance, although the negative result is still underpowered to exclude a modest benefit. Third, the European comparison of papillectomy with surgical ampullectomy is now read for its indication finding first: final histology was neither adenoma nor adenocarcinoma in 24.2% of papillectomies and 14.8% of surgical ampullectomies while advanced disease was found in 10.9% and 36.6%, so roughly a third of the procedures in both arms were done for the wrong indication; papillectomy R0 for adenoma falls from 80.2% to 65.9% once index-session ablation is counted as a probable R2 resection; and papillectomy failed in roughly two-thirds of T1 cancers. </w:t>
      </w:r>
      <w:r>
        <w:rPr>
          <w:b/>
          <w:bCs/>
          <w:color w:val="15181F"/>
          <w:sz w:val="20"/>
          <w:szCs w:val="20"/>
        </w:rPr>
        <w:t xml:space="preserve">Borrowed evidence.</w:t>
      </w:r>
      <w:r>
        <w:rPr>
          <w:color w:val="15181F"/>
          <w:sz w:val="20"/>
          <w:szCs w:val="20"/>
        </w:rPr>
        <w:t xml:space="preserve"> ESPAC-4 and PRODIGE-24 are trials of resected pancreatic </w:t>
      </w:r>
      <w:r>
        <w:rPr>
          <w:i/>
          <w:iCs/>
          <w:color w:val="15181F"/>
          <w:sz w:val="20"/>
          <w:szCs w:val="20"/>
        </w:rPr>
        <w:t xml:space="preserve">ductal</w:t>
      </w:r>
      <w:r>
        <w:rPr>
          <w:color w:val="15181F"/>
          <w:sz w:val="20"/>
          <w:szCs w:val="20"/>
        </w:rPr>
        <w:t xml:space="preserve"> adenocarcinoma that excluded nonductal tumours by design and report no ampullary patients; the page now says so wherever it uses them, as it does for the preoperative biliary drainage trial (cancer of the pancreatic head, plastic stents, no ampullary subgroup), BILCAP (biliary tract), ABC-02 (advanced biliary tract, ampullary patients included but not counted), X-ACT (colon) and the randomised evidence against extended lymphadenectomy (pancreatic). </w:t>
      </w:r>
      <w:r>
        <w:rPr>
          <w:b/>
          <w:bCs/>
          <w:color w:val="15181F"/>
          <w:sz w:val="20"/>
          <w:szCs w:val="20"/>
        </w:rPr>
        <w:t xml:space="preserve">Cited from abstract only.</w:t>
      </w:r>
      <w:r>
        <w:rPr>
          <w:color w:val="15181F"/>
          <w:sz w:val="20"/>
          <w:szCs w:val="20"/>
        </w:rPr>
        <w:t xml:space="preserve"> Five papers were sought and not obtained for this revision. Three of them — the 91-patient malignancy prediction cohort (23442830), the EUS preoperative evaluation series (30834717) and the 14-patient ampullary neuroendocrine tumour series (27457864) — have since been read in full; the other two, the National Cancer Database node-yield analysis (PMID 38353072) and the intraductal ultrasound and transpapillary biopsy series (22319960), are still cited from abstract only, and every string that uses them says so. BILCAP (30922733) and ABC-02 (20375404) were also not part of the full-text read and are quoted from their abstracts and from guideline text. </w:t>
      </w:r>
      <w:r>
        <w:rPr>
          <w:b/>
          <w:bCs/>
          <w:color w:val="15181F"/>
          <w:sz w:val="20"/>
          <w:szCs w:val="20"/>
        </w:rPr>
        <w:t xml:space="preserve">Guideline sources, unchanged from the first draft.</w:t>
      </w:r>
      <w:r>
        <w:rPr>
          <w:color w:val="15181F"/>
          <w:sz w:val="20"/>
          <w:szCs w:val="20"/>
        </w:rPr>
        <w:t xml:space="preserve"> The programme-supplied machine-converted extraction of the NCCN Ampullary Adenocarcinoma guideline, which carries no version string and which misstates ESPAC-3 on its adjuvant systemic-therapy page while stating it correctly in its discussion (see nonpm, and approvals item 10) — the full-text read confirms that discrepancy from the trial side; the NCCN Pancreatic Adenocarcinoma extraction for the margin, specimen and lymphadenectomy questions the two diseases share; the Brescia PERIPAN international multidisciplinary consensus guidelines of 29 July 2025 for the anatomic definitions, the subtype definitions, the biopsy and specimen-handling recommendations and the reflex mismatch-repair position; the ESGE guideline on endoscopic management of ampullary tumours of 2021 and the ESGE polyposis guideline of 2019 for the endoscopic and familial gates; and AJCC 8th edition staging as reproduced in NCCN. Every PMID in refs was verified against PubMed on 6 October 2026 to confirm it resolves to the paper cited. Readers should know that nine of eleven main ESGE ampullary recommendations are strong on low-quality evidence, that almost every PERIPAN recommendation is low evidence or expert opinion with its promised AGREE II quality score and audience vote never reported, and that PERIPAN's 30% threshold for the mixed subtype has no stated derivation. </w:t>
      </w:r>
      <w:r>
        <w:rPr>
          <w:b/>
          <w:bCs/>
          <w:color w:val="15181F"/>
          <w:sz w:val="20"/>
          <w:szCs w:val="20"/>
        </w:rPr>
        <w:t xml:space="preserve">Where the sources disagree</w:t>
      </w:r>
      <w:r>
        <w:rPr>
          <w:color w:val="15181F"/>
          <w:sz w:val="20"/>
          <w:szCs w:val="20"/>
        </w:rPr>
        <w:t xml:space="preserve"> — on whether subtype should direct adjuvant therapy, on surveillance intervals by Spigelman stage, on whether mismatch-repair and molecular testing is reflex, indication-driven or discouraged, on the minimum node yield, and on what to do with an invasive carcinoma found in a margin-negative papillectomy specimen — the page shows the disagreement and places the choice in a flagnote and in approvals rather than resolving it. Evidence strings carry both halves of every result. Grades fell in eleven places on this revision and rose nowhere, and each downgrade is explained in the note on the string it belongs to; no recommendation was removed, because the roadmap's positions stand and the page's job is to say how well supported they are. Grades are deliberately low across the benign end of the pathway: most of what is done there rests on retrospective series and expert consensus, and grade D is used where that is the truth. This page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AMP_R1"/>
      <w:r>
        <w:t xml:space="preserve">AMP-R1 — Local treatment after metastatic disease responds</w:t>
      </w:r>
      <w:bookmarkEnd w:id="16010"/>
    </w:p>
    <w:p>
      <w:pPr>
        <w:pStyle w:val="Normal"/>
        <w:widowControl/>
        <w:spacing w:after="120"/>
      </w:pPr>
      <w:r>
        <w:t xml:space="preserve">Status: Proposed; case by case. OPEN proposal for multidisciplinary review; not activated.</w:t>
      </w:r>
    </w:p>
    <w:p>
      <w:pPr>
        <w:pStyle w:val="Normal"/>
        <w:widowControl/>
        <w:spacing w:after="120"/>
      </w:pPr>
      <w:r>
        <w:t xml:space="preserve">Question: When metastatic ampullary adenocarcinoma responds to systemic therapy, should limited liver or lung metastases be treated locally?</w:t>
      </w:r>
    </w:p>
    <w:p>
      <w:pPr>
        <w:pStyle w:val="Normal"/>
        <w:widowControl/>
        <w:spacing w:after="120"/>
      </w:pPr>
      <w:r>
        <w:t xml:space="preserve">Proposed position (OPEN): Systemic therapy is the default for metastatic ampullary adenocarcinoma. Local therapy or surgery for limited liver or lung metastases that respond durably is a case-by-case MDT decision, extrapolated from PDAC and biliary data; there is no ampullary-specific evidence after response.</w:t>
      </w:r>
    </w:p>
    <w:p>
      <w:pPr>
        <w:pStyle w:val="Heading3"/>
        <w:widowControl/>
        <w:keepNext/>
      </w:pPr>
      <w:r>
        <w:t xml:space="preserve">Proposed rules</w:t>
      </w:r>
    </w:p>
    <w:p>
      <w:pPr>
        <w:pStyle w:val="Normal"/>
        <w:widowControl/>
        <w:spacing w:after="120"/>
        <w:numPr>
          <w:ilvl w:val="0"/>
          <w:numId w:val="3"/>
        </w:numPr>
      </w:pPr>
      <w:r>
        <w:t xml:space="preserve">Apply the PDAC-R1 selection rules by analogy (limited sites, no progression, marker fall, complete resectability).</w:t>
      </w:r>
    </w:p>
    <w:p>
      <w:pPr>
        <w:pStyle w:val="Normal"/>
        <w:widowControl/>
        <w:spacing w:after="120"/>
        <w:numPr>
          <w:ilvl w:val="0"/>
          <w:numId w:val="3"/>
        </w:numPr>
      </w:pPr>
      <w:r>
        <w:t xml:space="preserve">Isolated late lung recurrence has a better prognosis than synchronous or liver metastases.</w:t>
      </w:r>
    </w:p>
    <w:p>
      <w:pPr>
        <w:pStyle w:val="Normal"/>
        <w:widowControl/>
        <w:spacing w:after="120"/>
        <w:numPr>
          <w:ilvl w:val="0"/>
          <w:numId w:val="3"/>
        </w:numPr>
      </w:pPr>
      <w:r>
        <w:t xml:space="preserve">Station 16b1 involvement found at upfront surgery is prognostically poor but is not by itself a reason to abort resection.</w:t>
      </w:r>
    </w:p>
    <w:p>
      <w:pPr>
        <w:pStyle w:val="Normal"/>
        <w:widowControl/>
        <w:spacing w:after="120"/>
      </w:pPr>
      <w:r>
        <w:t xml:space="preserve">Why: The only registry analysis measured resection of the primary, not metastasectomy after response.</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Wang 2018 · SEER metastatic ampullary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SEER, 346 metastatic ampullary cancers. Primary-tumor resection; no metastatic-site or response data.</w:t>
            </w:r>
          </w:p>
        </w:tc>
        <w:tc>
          <w:tcPr>
            <w:tcW w:w="4180" w:type="dxa"/>
            <w:vAlign w:val="top"/>
            <w:shd w:fill="F1F5F8"/>
          </w:tcPr>
          <w:p>
            <w:pPr>
              <w:pStyle w:val="Normal"/>
              <w:widowControl/>
              <w:spacing w:after="55" w:line="240" w:lineRule="auto"/>
              <w:keepNext w:val="0"/>
              <w:keepLines/>
            </w:pPr>
            <w:r>
              <w:rPr>
                <w:sz w:val="21"/>
                <w:szCs w:val="21"/>
              </w:rPr>
              <w:t xml:space="preserve">Results: Matched median survival 16 vs 8 months; association strongest without chemotherapy (selection).</w:t>
            </w:r>
          </w:p>
          <w:p>
            <w:pPr>
              <w:pStyle w:val="Normal"/>
              <w:widowControl/>
              <w:spacing w:after="55" w:line="240" w:lineRule="auto"/>
              <w:keepNext w:val="0"/>
              <w:keepLines/>
            </w:pPr>
            <w:r>
              <w:rPr>
                <w:sz w:val="21"/>
                <w:szCs w:val="21"/>
              </w:rPr>
              <w:t xml:space="preserve">Limits: Cannot support metastasectomy after response.</w:t>
            </w:r>
          </w:p>
          <w:p>
            <w:pPr>
              <w:pStyle w:val="Normal"/>
              <w:widowControl/>
              <w:spacing w:after="55" w:line="240" w:lineRule="auto"/>
              <w:keepNext w:val="0"/>
              <w:keepLines/>
            </w:pPr>
            <w:r>
              <w:rPr>
                <w:sz w:val="21"/>
                <w:szCs w:val="21"/>
              </w:rPr>
              <w:t xml:space="preserve">Cancer Manag Res 2018.</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YW5nPC9BdXRob3I+PFllYXI+MjAxODwvWWVhcj48UmVjTnVtPjE8L1JlY051bT48RGlzcGxheVRleHQ+W1YxNi0xXTwvRGlzcGxheVRleHQ+PHJlY29yZD48cmVjLW51bWJlcj4xPC9yZWMtbnVtYmVyPjxmb3JlaWduLWtleXM+PGtleSBhcHA9IkVOIiBkYi1pZD0iODdkZTRmMzYtNjliZi01NDk4LWEwZGQtM2FlYTNhNWY4MDBkIiB0aW1lc3RhbXA9IjE3OTMyODM2OTEiPjE8L2tleT48L2ZvcmVpZ24ta2V5cz48cmVmLXR5cGUgbmFtZT0iSm91cm5hbCBBcnRpY2xlIj4xNzwvcmVmLXR5cGU+PGNvbnRyaWJ1dG9ycz48YXV0aG9ycz48YXV0aG9yPldhbmcsIEppZTwvYXV0aG9yPjxhdXRob3I+Qm8sIFhpYW9ibzwvYXV0aG9yPjxhdXRob3I+THUsIFBpbnhpYW5nPC9hdXRob3I+PGF1dGhvcj5TdW8sIFRhbzwvYXV0aG9yPjxhdXRob3I+TmksIFhpYW9saW5nPC9hdXRob3I+PGF1dGhvcj5MaXUsIEhhbjwvYXV0aG9yPjxhdXRob3I+UGFuLCBIb25ndGFvPC9hdXRob3I+PGF1dGhvcj5TaGVuLCBTaGVuZzwvYXV0aG9yPjxhdXRob3I+TGksIE1pbjwvYXV0aG9yPjxhdXRob3I+WmhhbmcsIERleGlhbmc8L2F1dGhvcj48YXV0aG9yPldhbmcsIFl1ZXFpPC9hdXRob3I+PGF1dGhvcj5MaXUsIEhvdWJhbzwvYXV0aG9yPjwvYXV0aG9ycz48L2NvbnRyaWJ1dG9ycz48dGl0bGVzPjx0aXRsZT5Qb3RlbnRpYWwgdGhlcmFwZXV0aWMgdmFsdWUgb2YgcHJpbWFyeSB0dW1vciByZXNlY3Rpb24gaW4gYW1wdWxsYXJ5IGNhbmNlciBwYXRpZW50cyB3aXRoIGRpc3RhbnQgbWV0YXN0YXNlcyBhdCBpbml0aWFsIGRpYWdub3NpczogYSBwb3B1bGF0aW9uLWJhc2VkIHN0dWR5PC90aXRsZT48c2Vjb25kYXJ5LXRpdGxlPkNhbmNlciBtYW5hZ2VtZW50IGFuZCByZXNlYXJjaDwvc2Vjb25kYXJ5LXRpdGxlPjwvdGl0bGVzPjxwZXJpb2RpY2FsPjxmdWxsLXRpdGxlPkNhbmNlciBtYW5hZ2VtZW50IGFuZCByZXNlYXJjaDwvZnVsbC10aXRsZT48L3BlcmlvZGljYWw+PGRhdGVzPjx5ZWFyPjIwMTg8L3llYXI+PC9kYXRlcz48dm9sdW1lPjExPC92b2x1bWU+PHBhZ2VzPjIxNy0yMjg8L3BhZ2VzPjxlbGVjdHJvbmljLXJlc291cmNlLW51bT4xMC4yMTQ3L0NNQVIuUzE4MjMx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IxNDcvQ01BUi5TMTgyMzEyPC91cmw+PC9yZWxhdGVkLXVybHM+PC91cmxzPjwvcmVjb3JkPjwvQ2l0ZT48L0VuZE5vdGU+</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PANODE 2026 · station 16b1 and 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PANODE, 212 ampullary resections. Upfront surgery; adjuvant therapy in 4%.</w:t>
            </w:r>
          </w:p>
        </w:tc>
        <w:tc>
          <w:tcPr>
            <w:tcW w:w="4180" w:type="dxa"/>
            <w:vAlign w:val="top"/>
            <w:shd w:fill="FFFFFF"/>
          </w:tcPr>
          <w:p>
            <w:pPr>
              <w:pStyle w:val="Normal"/>
              <w:widowControl/>
              <w:spacing w:after="55" w:line="240" w:lineRule="auto"/>
              <w:keepNext w:val="0"/>
              <w:keepLines/>
            </w:pPr>
            <w:r>
              <w:rPr>
                <w:sz w:val="21"/>
                <w:szCs w:val="21"/>
              </w:rPr>
              <w:t xml:space="preserve">Results: 16b1-positive (n=7): median survival 9 vs 62 months (aHR 4.35).</w:t>
            </w:r>
          </w:p>
          <w:p>
            <w:pPr>
              <w:pStyle w:val="Normal"/>
              <w:widowControl/>
              <w:spacing w:after="55" w:line="240" w:lineRule="auto"/>
              <w:keepNext w:val="0"/>
              <w:keepLines/>
            </w:pPr>
            <w:r>
              <w:rPr>
                <w:sz w:val="21"/>
                <w:szCs w:val="21"/>
              </w:rPr>
              <w:t xml:space="preserve">Limits: Very small subgroup.</w:t>
            </w:r>
          </w:p>
          <w:p>
            <w:pPr>
              <w:pStyle w:val="Normal"/>
              <w:widowControl/>
              <w:spacing w:after="55" w:line="240" w:lineRule="auto"/>
              <w:keepNext w:val="0"/>
              <w:keepLines/>
            </w:pPr>
            <w:r>
              <w:rPr>
                <w:sz w:val="21"/>
                <w:szCs w:val="21"/>
              </w:rPr>
              <w:t xml:space="preserve">BJS Open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XVybWVpamVyPC9BdXRob3I+PFllYXI+MjAyNjwvWWVhcj48UmVjTnVtPjI8L1JlY051bT48RGlzcGxheVRleHQ+W1YxNi0yXTwvRGlzcGxheVRleHQ+PHJlY29yZD48cmVjLW51bWJlcj4yPC9yZWMtbnVtYmVyPjxmb3JlaWduLWtleXM+PGtleSBhcHA9IkVOIiBkYi1pZD0iODdkZTRmMzYtNjliZi01NDk4LWEwZGQtM2FlYTNhNWY4MDBkIiB0aW1lc3RhbXA9IjE3OTMyODM2OTEiPjI8L2tleT48L2ZvcmVpZ24ta2V5cz48cmVmLXR5cGUgbmFtZT0iSm91cm5hbCBBcnRpY2xlIj4xNzwvcmVmLXR5cGU+PGNvbnRyaWJ1dG9ycz48YXV0aG9ycz48YXV0aG9yPlN1dXJtZWlqZXIsIEogQW5uZWxpZTwvYXV0aG9yPjxhdXRob3I+UHJhbmdlciwgQm9iYnkgSzwvYXV0aG9yPjxhdXRob3I+U2VlbGVuLCBMZW9uYXJkIFcgRjwvYXV0aG9yPjxhdXRob3I+QWxpLCBNYWhzb2VtPC9hdXRob3I+PGF1dGhvcj52YW4gUmlqc3NlbiwgTCBCZW5ndDwvYXV0aG9yPjxhdXRob3I+VHNlbmcsIERvcmluZSBTPC9hdXRob3I+PGF1dGhvcj5NYWNrYXksIFRhcmEgTTwvYXV0aG9yPjxhdXRob3I+dmFuIERhbSwgSmFjb2IgTDwvYXV0aG9yPjxhdXRob3I+dmFuIFNhbnR2b29ydCwgSGphbG1hciBDPC9hdXRob3I+PGF1dGhvcj5Hcm9vdCBLb2Vya2FtcCwgQmFzPC9hdXRob3I+PGF1dGhvcj5TYXJhc3F1ZXRhLCBBcmFudHphIEZhcmluYTwvYXV0aG9yPjxhdXRob3I+dmFuIEVpamNrLCBDYXNwZXIgSDwvYXV0aG9yPjxhdXRob3I+TGllbSwgTWlrZSBTIEw8L2F1dGhvcj48YXV0aG9yPkthemVtaWVyLCBHZWVydDwvYXV0aG9yPjxhdXRob3I+TmlldXdlbmh1aWpzLCBWaW5jZW50IEI8L2F1dGhvcj48YXV0aG9yPmRlIEhpbmdoLCBJZ25hY2UgSDwvYXV0aG9yPjxhdXRob3I+S2xhYXNlLCBKb29zdCBNPC9hdXRob3I+PGF1dGhvcj5FcmRtYW5uLCBKb3JpcyBJPC9hdXRob3I+PGF1dGhvcj5CdXNjaCwgT2xpdmllciBSPC9hdXRob3I+PGF1dGhvcj5Nb2xlbmFhciwgSSBRdWludHVzPC9hdXRob3I+PGF1dGhvcj5kZSBNZWlqZXIsIFZpbmNlbnQgRTwvYXV0aG9yPjxhdXRob3I+QmVzc2VsaW5rLCBNYXJjIEc8L2F1dGhvcj48L2F1dGhvcnM+PC9jb250cmlidXRvcnM+PHRpdGxlcz48dGl0bGU+U3Vydml2YWwgaW1wYWN0IG9mIGludm9sdmVtZW50IG9mIGx5bXBoIG5vZGUgc3RhdGlvbnMgMTZiMSwgOSwgYW5kIDhhIGR1cmluZyBwYW5jcmVhdG9kdW9kZW5lY3RvbXkgZm9yIHBhbmNyZWF0aWMgYW5kIHBlcmlhbXB1bGxhcnkgY2FuY2VycyAoUEFOT0RFKTogcHJvc3BlY3RpdmUgbXVsdGljZW50cmUgc3R1ZHk8L3RpdGxlPjxzZWNvbmRhcnktdGl0bGU+QkpTIG9wZW48L3NlY29uZGFyeS10aXRsZT48L3RpdGxlcz48cGVyaW9kaWNhbD48ZnVsbC10aXRsZT5CSlMgb3BlbjwvZnVsbC10aXRsZT48L3BlcmlvZGljYWw+PGRhdGVzPjx5ZWFyPjIwMjY8L3llYXI+PC9kYXRlcz48dm9sdW1lPjEwPC92b2x1bWU+PG51bWJlcj41PC9udW1iZXI+PGVsZWN0cm9uaWMtcmVzb3VyY2UtbnVtPjEwLjEwOTMvYmpzb3Blbi96cmFnMTU3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My9ianNvcGVuL3pyYWcxNTc8L3VybD48L3JlbGF0ZWQtdXJsc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10">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Saedon 2018 · metastasectomy review</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Systematic review, 16 studies. Metastasectomy of pancreatic and periampullary cancer.</w:t>
            </w:r>
          </w:p>
        </w:tc>
        <w:tc>
          <w:tcPr>
            <w:tcW w:w="4180" w:type="dxa"/>
            <w:vAlign w:val="top"/>
            <w:shd w:fill="F1F5F8"/>
          </w:tcPr>
          <w:p>
            <w:pPr>
              <w:pStyle w:val="Normal"/>
              <w:widowControl/>
              <w:spacing w:after="55" w:line="240" w:lineRule="auto"/>
              <w:keepNext w:val="0"/>
              <w:keepLines/>
            </w:pPr>
            <w:r>
              <w:rPr>
                <w:sz w:val="21"/>
                <w:szCs w:val="21"/>
              </w:rPr>
              <w:t xml:space="preserve">Results: Ampullary primaries and isolated pulmonary recurrence had better prognosis.</w:t>
            </w:r>
          </w:p>
          <w:p>
            <w:pPr>
              <w:pStyle w:val="Normal"/>
              <w:widowControl/>
              <w:spacing w:after="55" w:line="240" w:lineRule="auto"/>
              <w:keepNext w:val="0"/>
              <w:keepLines/>
            </w:pPr>
            <w:r>
              <w:rPr>
                <w:sz w:val="21"/>
                <w:szCs w:val="21"/>
              </w:rPr>
              <w:t xml:space="preserve">Limits: Low-quality inputs.</w:t>
            </w:r>
          </w:p>
          <w:p>
            <w:pPr>
              <w:pStyle w:val="Normal"/>
              <w:widowControl/>
              <w:spacing w:after="55" w:line="240" w:lineRule="auto"/>
              <w:keepNext w:val="0"/>
              <w:keepLines/>
            </w:pPr>
            <w:r>
              <w:rPr>
                <w:sz w:val="21"/>
                <w:szCs w:val="21"/>
              </w:rPr>
              <w:t xml:space="preserve">J BUON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WVkb248L0F1dGhvcj48WWVhcj4yMDE4PC9ZZWFyPjxSZWNOdW0+MzwvUmVjTnVtPjxEaXNwbGF5VGV4dD5bVjE2LTNdPC9EaXNwbGF5VGV4dD48cmVjb3JkPjxyZWMtbnVtYmVyPjM8L3JlYy1udW1iZXI+PGZvcmVpZ24ta2V5cz48a2V5IGFwcD0iRU4iIGRiLWlkPSI4N2RlNGYzNi02OWJmLTU0OTgtYTBkZC0zYWVhM2E1ZjgwMGQiIHRpbWVzdGFtcD0iMTc5MzI4MzY5MSI+Mzwva2V5PjwvZm9yZWlnbi1rZXlzPjxyZWYtdHlwZSBuYW1lPSJSZXBvcnQiPjI3PC9yZWYtdHlwZT48Y29udHJpYnV0b3JzPjxhdXRob3JzPjxhdXRob3I+U2FlZG9uLCBNYWhtdWQ8L2F1dGhvcj48YXV0aG9yPk1hcm91bGlzLCBJb2FubmlzPC9hdXRob3I+PGF1dGhvcj5Ccm9va3MsIEFkYW08L2F1dGhvcj48YXV0aG9yPkFsZXhpb3UsIEV2YW5nZWxvczwvYXV0aG9yPjxhdXRob3I+Qm91bGlhcmlzLCBLb25zdGFudGlub3M8L2F1dGhvcj48YXV0aG9yPkFtYW5hdGlkaXMsIFRoZW9maWxvczwvYXV0aG9yPjxhdXRob3I+R2VybWFub3MsIFN0eWxpYW5vczwvYXV0aG9yPjwvYXV0aG9ycz48L2NvbnRyaWJ1dG9ycz48dGl0bGVzPjx0aXRsZT5NZXRhc3Rhc2VjdG9teSBvZiBwYW5jcmVhdGljIGFuZCBwZXJpYW1wdWxsYXJ5IGFkZW5vY2FyY2lub21hIHRvIHNvbGlkIG9yZ2FuOiBUaGUgY3VycmVudCBldmlkZW5jZTwvdGl0bGU+PHNlY29uZGFyeS10aXRsZT5Kb3VybmFsIG9mIEIuVS5PTi4gOiBvZmZpY2lhbCBqb3VybmFsIG9mIHRoZSBCYWxrYW4gVW5pb24gb2YgT25jb2xvZ3k8L3NlY29uZGFyeS10aXRsZT48L3RpdGxlcz48cGVyaW9kaWNhbD48ZnVsbC10aXRsZT5Kb3VybmFsIG9mIEIuVS5PTi4gOiBvZmZpY2lhbCBqb3VybmFsIG9mIHRoZSBCYWxrYW4gVW5pb24gb2YgT25jb2xvZ3k8L2Z1bGwtdGl0bGU+PC9wZXJpb2RpY2FsPjxkYXRlcz48eWVhcj4yMDE4PC95ZWFyPjwvZGF0ZXM+PHZvbHVtZT4yMzwvdm9sdW1lPjxudW1iZXI+NjwvbnVtYmVyPjxwYWdlcz4xNjQ4LTE2NTQ8L3BhZ2VzPjxub3Rlcz5Kb3VybmFsIGFydGljbGUgUHViTWVkIGFic3RyYWN0IHZlcmlmaWVkOyBmdWxsIHRleHQgcGVuZGluZyBUTUMgZG93bmxvYWQuIE5vdCByZXByZXNlbnRlZCBhcyBhIGZ1bGwtdGV4dCByZXZpZXcuPC9ub3Rlcz48dXJscz48cmVsYXRlZC11cmxzPjx1cmw+aHR0cHM6Ly9wdWJtZWQubmNiaS5ubG0ubmloLmdvdi8zMDYxMDc4OS88L3VybD48L3JlbGF0ZWQtdXJscz48L3VybHM+PC9yZWNvcmQ+PC9DaXRlPjwvRW5kTm90ZT4=</w:fldData>
              </w:fldChar>
            </w:r>
            <w:r>
              <w:instrText xml:space="preserve"> ADDIN EN.CITE.DATA </w:instrText>
            </w:r>
            <w:r>
              <w:fldChar w:fldCharType="end"/>
            </w:r>
            <w:r>
              <w:fldChar w:fldCharType="separate"/>
            </w:r>
            <w:r>
              <w:t xml:space="preserve">[V16-3]</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NCCN Ampullary 1.2023</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NCCN ampullary guideline. Systemic therapy in all stages.</w:t>
            </w:r>
          </w:p>
        </w:tc>
        <w:tc>
          <w:tcPr>
            <w:tcW w:w="4180" w:type="dxa"/>
            <w:vAlign w:val="top"/>
            <w:shd w:fill="FFFFFF"/>
          </w:tcPr>
          <w:p>
            <w:pPr>
              <w:pStyle w:val="Normal"/>
              <w:widowControl/>
              <w:spacing w:after="55" w:line="240" w:lineRule="auto"/>
              <w:keepNext w:val="0"/>
              <w:keepLines/>
            </w:pPr>
            <w:r>
              <w:rPr>
                <w:sz w:val="21"/>
                <w:szCs w:val="21"/>
              </w:rPr>
              <w:t xml:space="preserve">Results: “Select tumors may be treated surgically.”</w:t>
            </w:r>
          </w:p>
          <w:p>
            <w:pPr>
              <w:pStyle w:val="Normal"/>
              <w:widowControl/>
              <w:spacing w:after="55" w:line="240" w:lineRule="auto"/>
              <w:keepNext w:val="0"/>
              <w:keepLines/>
            </w:pPr>
            <w:r>
              <w:rPr>
                <w:sz w:val="21"/>
                <w:szCs w:val="21"/>
              </w:rPr>
              <w:t xml:space="preserve">Limits: Guideline summary.</w:t>
            </w:r>
          </w:p>
          <w:p>
            <w:pPr>
              <w:pStyle w:val="Normal"/>
              <w:widowControl/>
              <w:spacing w:after="55" w:line="240" w:lineRule="auto"/>
              <w:keepNext w:val="0"/>
              <w:keepLines/>
            </w:pPr>
            <w:r>
              <w:rPr>
                <w:sz w:val="21"/>
                <w:szCs w:val="21"/>
              </w:rPr>
              <w:t xml:space="preserve">JNCCN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lvcmVhbjwvQXV0aG9yPjxZZWFyPjIwMjM8L1llYXI+PFJlY051bT40PC9SZWNOdW0+PERpc3BsYXlUZXh0PltWMTYtNF08L0Rpc3BsYXlUZXh0PjxyZWNvcmQ+PHJlYy1udW1iZXI+NDwvcmVjLW51bWJlcj48Zm9yZWlnbi1rZXlzPjxrZXkgYXBwPSJFTiIgZGItaWQ9Ijg3ZGU0ZjM2LTY5YmYtNTQ5OC1hMGRkLTNhZWEzYTVmODAwZCIgdGltZXN0YW1wPSIxNzkzMjgzNjkxIj40PC9rZXk+PC9mb3JlaWduLWtleXM+PHJlZi10eXBlIG5hbWU9IkpvdXJuYWwgQXJ0aWNsZSI+MTc8L3JlZi10eXBlPjxjb250cmlidXRvcnM+PGF1dGhvcnM+PGF1dGhvcj5DaGlvcmVhbiwgRSBHYWJyaWVsYTwvYXV0aG9yPjxhdXRob3I+Q2hpYXJvLCBNYXJjbyBEZWw8L2F1dGhvcj48YXV0aG9yPlRlbXBlcm8sIE1hcmdhcmV0IEE8L2F1dGhvcj48YXV0aG9yPk1hbGFmYSwgTW9rZW5nZSBQPC9hdXRob3I+PGF1dGhvcj5CZW5zb24sIEFsIEI8L2F1dGhvcj48YXV0aG9yPkNhcmRpbiwgRGFuYSBCPC9hdXRob3I+PGF1dGhvcj5DaHJpc3RlbnNlbiwgSmFyZWQgQTwvYXV0aG9yPjxhdXRob3I+Q2h1bmcsIFZpbmNlbnQ8L2F1dGhvcj48YXV0aG9yPkN6aXRvLCBCcmlhbjwvYXV0aG9yPjxhdXRob3I+RGlsbGhvZmYsIE1hcnk8L2F1dGhvcj48YXV0aG9yPkRvbmFodWUsIFRpbW90aHkgUjwvYXV0aG9yPjxhdXRob3I+RG90YW4sIEVmcmF0PC9hdXRob3I+PGF1dGhvcj5Gb3VudHppbGFzLCBDaHJpc3RvczwvYXV0aG9yPjxhdXRob3I+R2xhemVyLCBFdmFuIFM8L2F1dGhvcj48YXV0aG9yPkhhcmRhY3JlLCBKZWZmcmV5PC9hdXRob3I+PGF1dGhvcj5IYXdraW5zLCBXaWxsaWFtIEc8L2F1dGhvcj48YXV0aG9yPktsdXRlLCBLZWxzZXk8L2F1dGhvcj48YXV0aG9yPktvLCBBbmRyZXcgSDwvYXV0aG9yPjxhdXRob3I+S3Vuc3RtYW4sIEpvaG4gVzwvYXV0aG9yPjxhdXRob3I+TG9Db250ZSwgTm9lbGxlPC9hdXRob3I+PGF1dGhvcj5Mb3d5LCBBbmRyZXcgTTwvYXV0aG9yPjxhdXRob3I+TWFzb29kLCBBc2hpcTwvYXV0aG9yPjxhdXRob3I+TW9yYXZlaywgQ2Fzc2FkaWU8L2F1dGhvcj48YXV0aG9yPk5ha2FrdXJhLCBFcmljIEs8L2F1dGhvcj48YXV0aG9yPk5hcmFuZywgQW1vbCBLPC9hdXRob3I+PGF1dGhvcj5OYXJkbywgTG9yZW56bzwvYXV0aG9yPjxhdXRob3I+T2JhbmRvLCBKb3JnZTwvYXV0aG9yPjxhdXRob3I+UG9sYW5jbywgUGF0cmljaW8gTTwvYXV0aG9yPjxhdXRob3I+UmVkZHksIFN1c2hhbnRoPC9hdXRob3I+PGF1dGhvcj5SZXluZ29sZCwgTWFyc2hhPC9hdXRob3I+PGF1dGhvcj5TY2FpZmUsIENvdXJ0bmV5PC9hdXRob3I+PGF1dGhvcj5TaGVuLCBKZWFubmU8L2F1dGhvcj48YXV0aG9yPlRydXR5LCBNYXJrIEo8L2F1dGhvcj48YXV0aG9yPlZvbGxtZXIsIENoYXJsZXM8L2F1dGhvcj48YXV0aG9yPldvbGZmLCBSb2JlcnQgQTwvYXV0aG9yPjxhdXRob3I+V29scGluLCBCcmlhbiBNPC9hdXRob3I+PGF1dGhvcj5SbiwgQmV0aCBNY0N1bGxvdWdoPC9hdXRob3I+PGF1dGhvcj5MdWJpbiwgU2VuZW08L2F1dGhvcj48YXV0aG9yPkRhcmxvdywgU3VzYW4gRDwvYXV0aG9yPjwvYXV0aG9ycz48L2NvbnRyaWJ1dG9ycz48dGl0bGVzPjx0aXRsZT5BbXB1bGxhcnkgQWRlbm9jYXJjaW5vbWEsIFZlcnNpb24gMS4yMDIzLCBOQ0NOIENsaW5pY2FsIFByYWN0aWNlIEd1aWRlbGluZXMgaW4gT25jb2xvZ3k8L3RpdGxlPjxzZWNvbmRhcnktdGl0bGU+Sm91cm5hbCBvZiB0aGUgTmF0aW9uYWwgQ29tcHJlaGVuc2l2ZSBDYW5jZXIgTmV0d29yayA6IEpOQ0NOPC9zZWNvbmRhcnktdGl0bGU+PC90aXRsZXM+PHBlcmlvZGljYWw+PGZ1bGwtdGl0bGU+Sm91cm5hbCBvZiB0aGUgTmF0aW9uYWwgQ29tcHJlaGVuc2l2ZSBDYW5jZXIgTmV0d29yayA6IEpOQ0NOPC9mdWxsLXRpdGxlPjwvcGVyaW9kaWNhbD48ZGF0ZXM+PHllYXI+MjAyMzwveWVhcj48L2RhdGVzPjx2b2x1bWU+MjE8L3ZvbHVtZT48bnVtYmVyPjc8L251bWJlcj48cGFnZXM+NzUzLTc4MjwvcGFnZXM+PGVsZWN0cm9uaWMtcmVzb3VyY2UtbnVtPjEwLjYwMDQvam5jY24uMjAyMy4wMDM0PC9lbGVjdHJvbmljLXJlc291cmNlLW51bT48bm90ZXM+Sm91cm5hbCBhcnRpY2xlIFB1Yk1lZCBhYnN0cmFjdCB2ZXJpZmllZDsgZnVsbCB0ZXh0IHBlbmRpbmcgVE1DIGRvd25sb2FkLiBOb3QgcmVwcmVzZW50ZWQgYXMgYSBmdWxsLXRleHQgcmV2aWV3Ljwvbm90ZXM+PHVybHM+PHJlbGF0ZWQtdXJscz48dXJsPmh0dHBzOi8vZG9pLm9yZy8xMC42MDA0L2puY2NuLjIwMjMuMDAzNDwvdXJsPjwvcmVsYXRlZC11cmxz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Evidence cannot distinguish surgery from systemic therapy alone.</w:t>
      </w:r>
    </w:p>
    <w:p>
      <w:pPr>
        <w:pStyle w:val="Normal"/>
        <w:widowControl/>
        <w:spacing w:after="120"/>
      </w:pPr>
      <w:r>
        <w:t xml:space="preserve">Certainty: Very low.</w:t>
      </w:r>
    </w:p>
    <w:p>
      <w:pPr>
        <w:pStyle w:val="Normal"/>
        <w:widowControl/>
        <w:spacing w:after="120"/>
      </w:pPr>
      <w:r>
        <w:t xml:space="preserve">What would change the answer: Any ampullary series of surgery after response.</w:t>
      </w:r>
    </w:p>
    <w:p>
      <w:pPr>
        <w:pStyle w:val="Heading3"/>
        <w:widowControl/>
        <w:keepNext/>
      </w:pPr>
      <w:r>
        <w:t xml:space="preserve">AMP-R1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41 sources. Every one is held as a PDF in Ref_Depot_Ampullary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AJCC 8th edition. </w:t>
      </w:r>
      <w:r>
        <w:rPr>
          <w:sz w:val="17"/>
          <w:szCs w:val="17"/>
        </w:rPr>
        <w:t xml:space="preserve">Amin MB, Edge SB, Greene FL, et al., editors. AJCC Cancer Staging Manual. 8th edition. Springer International Publishing, 2017. Ampulla of Vater T, N, M definitions, prognostic groups and histologic grade, as reproduced with permission in the NCCN ampullary adenocarcinoma guideline (Tables 1 to 3).</w:t>
      </w:r>
    </w:p>
    <w:p>
      <w:pPr>
        <w:spacing w:after="70"/>
        <w:ind w:left="360" w:hanging="360"/>
      </w:pPr>
      <w:r>
        <w:rPr>
          <w:b/>
          <w:bCs/>
          <w:color w:val="17365D"/>
          <w:sz w:val="17"/>
          <w:szCs w:val="17"/>
        </w:rPr>
        <w:t xml:space="preserve">ESGE ampullary 2021. </w:t>
      </w:r>
      <w:r>
        <w:rPr>
          <w:sz w:val="17"/>
          <w:szCs w:val="17"/>
        </w:rPr>
        <w:t xml:space="preserve">Vanbiervliet G, Strijker M, Arvanitakis M, et al. Endoscopic management of ampullary tumors: European Society of Gastrointestinal Endoscopy (ESGE) Guideline. Endoscopy. 2021;53(4):429-448. doi:10.1055/a-1397-3198. PMID:33728632.</w:t>
      </w:r>
    </w:p>
    <w:p>
      <w:pPr>
        <w:spacing w:after="70"/>
        <w:ind w:left="360" w:hanging="360"/>
      </w:pPr>
      <w:r>
        <w:rPr>
          <w:b/>
          <w:bCs/>
          <w:color w:val="17365D"/>
          <w:sz w:val="17"/>
          <w:szCs w:val="17"/>
        </w:rPr>
        <w:t xml:space="preserve">ESGE polyposis 2019. </w:t>
      </w:r>
      <w:r>
        <w:rPr>
          <w:sz w:val="17"/>
          <w:szCs w:val="17"/>
        </w:rPr>
        <w:t xml:space="preserve">van Leerdam ME, Roos VH, van Hooft JE, et al. Endoscopic management of polyposis syndromes: European Society of Gastrointestinal Endoscopy (ESGE) Guideline. Endoscopy. 2019;51(9):877-895. doi:10.1055/a-0965-0605. PMID:31342472.</w:t>
      </w:r>
    </w:p>
    <w:p>
      <w:pPr>
        <w:spacing w:after="70"/>
        <w:ind w:left="360" w:hanging="360"/>
      </w:pPr>
      <w:r>
        <w:rPr>
          <w:b/>
          <w:bCs/>
          <w:color w:val="17365D"/>
          <w:sz w:val="17"/>
          <w:szCs w:val="17"/>
        </w:rPr>
        <w:t xml:space="preserve">NCCN Ampullary Adenocarcinoma. </w:t>
      </w:r>
      <w:r>
        <w:rPr>
          <w:sz w:val="17"/>
          <w:szCs w:val="17"/>
        </w:rPr>
        <w:t xml:space="preserve">National Comprehensive Cancer Network. Ampullary Adenocarcinoma. NCCN Clinical Practice Guidelines in Oncology. Programme-supplied machine-converted extraction, consulted 6 October 2026; the extraction carries no version string on any page, so the edition in force must be confirmed before this page is published. Pages used: clinical presentation, workup and treatment algorithms for ampullary adenoma and adenocarcinoma; postoperative adjuvant treatment and surveillance; Principles of Stent Management; Principles of Surgical Technique; Pathologic Analysis including Histologic Subtyping; Principles of Systemic Therapy (neoadjuvant, adjuvant, metastatic); Principles of Radiation Therapy; AJCC tables; and the Discussion. </w:t>
      </w:r>
      <w:r>
        <w:rPr>
          <w:b/>
          <w:bCs/>
          <w:sz w:val="17"/>
          <w:szCs w:val="17"/>
        </w:rPr>
        <w:t xml:space="preserve">Known defect:</w:t>
      </w:r>
      <w:r>
        <w:rPr>
          <w:sz w:val="17"/>
          <w:szCs w:val="17"/>
        </w:rPr>
        <w:t xml:space="preserve"> the Principles of Systemic Therapy adjuvant page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 neither claim matches the published periampullary trial (PMID 22782416), and those medians correspond to the ESPAC-3 pancreatic cohort. The guideline's own Discussion states the position correctly. Confirm against the published PDF before quoting. The full-text read of ESPAC-3 on 7 October 2026 confirms the discrepancy from the trial side: the published periampullary trial reports no significant disease-free or overall survival result for ampullary adenocarcinoma, adjusted or otherwise, because the ampullary subgroup was never powered and no hypothesis test for it was performed.</w:t>
      </w:r>
    </w:p>
    <w:p>
      <w:pPr>
        <w:spacing w:after="70"/>
        <w:ind w:left="360" w:hanging="360"/>
      </w:pPr>
      <w:r>
        <w:rPr>
          <w:b/>
          <w:bCs/>
          <w:color w:val="17365D"/>
          <w:sz w:val="17"/>
          <w:szCs w:val="17"/>
        </w:rPr>
        <w:t xml:space="preserve">NCCN Pancreatic Adenocarcinoma. </w:t>
      </w:r>
      <w:r>
        <w:rPr>
          <w:sz w:val="17"/>
          <w:szCs w:val="17"/>
        </w:rPr>
        <w:t xml:space="preserve">National Comprehensive Cancer Network. Pancreatic Adenocarcinoma. NCCN Clinical Practice Guidelines in Oncology. Programme-supplied machine-converted extraction, consulted 6 October 2026; no version string in the extraction. Used for the operative and specimen questions ampullary disease shares with pancreatic cancer: the 1 mm margin convention and its acknowledged extrapolation from rectal cancer data, the SMA (retroperitoneal, uncinate) margin and specimen inking, the randomised and meta-analytic evidence against extended lymphadenectomy, and the minimum-lymph-node-yield proposals of 11 to 17.</w:t>
      </w:r>
    </w:p>
    <w:p>
      <w:pPr>
        <w:spacing w:after="70"/>
        <w:ind w:left="360" w:hanging="360"/>
      </w:pPr>
      <w:r>
        <w:rPr>
          <w:b/>
          <w:bCs/>
          <w:color w:val="17365D"/>
          <w:sz w:val="17"/>
          <w:szCs w:val="17"/>
        </w:rPr>
        <w:t xml:space="preserve">PERIPAN 2025. </w:t>
      </w:r>
      <w:r>
        <w:rPr>
          <w:sz w:val="17"/>
          <w:szCs w:val="17"/>
        </w:rPr>
        <w:t xml:space="preserve">Abu Hilal M, Uijterwijk BA, Lemmers DHL, et al. The Brescia international multidisciplinary consensus guidelines on the optimal pathology assessment and multidisciplinary pathways of non-pancreatic neoplasms in and around the ampulla of Vater (PERIPAN). United European Gastroenterol J. 2025;13(7):1048-1068. doi:10.1002/ueg2.70074. PMID:40729532.</w:t>
      </w:r>
    </w:p>
    <w:p>
      <w:pPr>
        <w:spacing w:after="70"/>
        <w:ind w:left="360" w:hanging="360"/>
      </w:pPr>
      <w:r>
        <w:rPr>
          <w:b/>
          <w:bCs/>
          <w:color w:val="17365D"/>
          <w:sz w:val="17"/>
          <w:szCs w:val="17"/>
        </w:rPr>
        <w:t xml:space="preserve">PERIPAN supplementary material. </w:t>
      </w:r>
      <w:r>
        <w:rPr>
          <w:sz w:val="17"/>
          <w:szCs w:val="17"/>
        </w:rPr>
        <w:t xml:space="preserve">PERIPAN Consensus Guidelines, full document with all 38 consensus questions, 51 recommendations, evidence grading, comments and proposed actions, plus the PERIPAN pathology report template, published as supporting information to United European Gastroenterol J. 2025;13(7):1048-1068. The summary tables were used for this draft; the full supplement should be read before the page is ratified. Two process items promised in the PERIPAN methods are not reported anywhere in the published paper and should be looked for in the supplement: the independent Jury Committee's AGREE II quality score across 23 items and six domains, and the audience agreement percentages from the public vote at the Brescia meeting. Note also that 33 of 57 draft recommendations reached 80% agreement in the first Delphi round and the remainder were revised and re-voted until they passed, so the final figure of 50 of 51 measures iteration rather than first-pass agreement.</w:t>
      </w:r>
    </w:p>
    <w:p>
      <w:pPr>
        <w:pStyle w:val="Heading3"/>
        <w:keepNext/>
        <w:spacing w:after="110" w:before="240"/>
      </w:pPr>
      <w:r>
        <w:rPr>
          <w:rFonts w:ascii="Cambria" w:cs="Cambria" w:eastAsia="Cambria" w:hAnsi="Cambria"/>
          <w:b/>
          <w:bCs/>
          <w:color w:val="17365D"/>
          <w:sz w:val="22"/>
          <w:szCs w:val="22"/>
        </w:rPr>
        <w:t xml:space="preserve">Endoscopic resection</w:t>
      </w:r>
    </w:p>
    <w:p>
      <w:pPr>
        <w:spacing w:after="70"/>
        <w:ind w:left="360" w:hanging="360"/>
      </w:pPr>
      <w:r>
        <w:rPr>
          <w:b/>
          <w:bCs/>
          <w:color w:val="17365D"/>
          <w:sz w:val="17"/>
          <w:szCs w:val="17"/>
        </w:rPr>
        <w:t xml:space="preserve">Attila 2018. </w:t>
      </w:r>
      <w:r>
        <w:rPr>
          <w:sz w:val="17"/>
          <w:szCs w:val="17"/>
        </w:rPr>
        <w:t xml:space="preserve">Attila T, Parlak E, Alper E, Dişibeyaz S, Çiçek B, Ödemiş B. Endoscopic papillectomy of benign ampullary lesions: outcomes from a multicenter study. Turk J Gastroenterol. 2018;29(3):325-334. doi:10.5152/tjg.2018.17378. PMID:29755017.</w:t>
      </w:r>
    </w:p>
    <w:p>
      <w:pPr>
        <w:spacing w:after="70"/>
        <w:ind w:left="360" w:hanging="360"/>
      </w:pPr>
      <w:r>
        <w:rPr>
          <w:b/>
          <w:bCs/>
          <w:color w:val="17365D"/>
          <w:sz w:val="17"/>
          <w:szCs w:val="17"/>
        </w:rPr>
        <w:t xml:space="preserve">Choi 2022. </w:t>
      </w:r>
      <w:r>
        <w:rPr>
          <w:sz w:val="17"/>
          <w:szCs w:val="17"/>
        </w:rPr>
        <w:t xml:space="preserve">Choi SJ, Lee HS, Kim J, et al. Clinical outcomes of endoscopic papillectomy of ampullary adenoma: a multi-center study. World J Gastroenterol. 2022;28(17):1845-1859. doi:10.3748/wjg.v28.i17.1845. PMID:35633905.</w:t>
      </w:r>
    </w:p>
    <w:p>
      <w:pPr>
        <w:spacing w:after="70"/>
        <w:ind w:left="360" w:hanging="360"/>
      </w:pPr>
      <w:r>
        <w:rPr>
          <w:b/>
          <w:bCs/>
          <w:color w:val="17365D"/>
          <w:sz w:val="17"/>
          <w:szCs w:val="17"/>
        </w:rPr>
        <w:t xml:space="preserve">Harewood 2005. </w:t>
      </w:r>
      <w:r>
        <w:rPr>
          <w:sz w:val="17"/>
          <w:szCs w:val="17"/>
        </w:rPr>
        <w:t xml:space="preserve">Harewood GC, Pochron NL, Gostout CJ. Prospective, randomized, controlled trial of prophylactic pancreatic stent placement for endoscopic snare excision of the duodenal ampulla. Gastrointest Endosc. 2005;62(3):367-70. doi:10.1016/j.gie.2005.04.020. PMID:16111953.</w:t>
      </w:r>
    </w:p>
    <w:p>
      <w:pPr>
        <w:spacing w:after="70"/>
        <w:ind w:left="360" w:hanging="360"/>
      </w:pPr>
      <w:r>
        <w:rPr>
          <w:b/>
          <w:bCs/>
          <w:color w:val="17365D"/>
          <w:sz w:val="17"/>
          <w:szCs w:val="17"/>
        </w:rPr>
        <w:t xml:space="preserve">Japanese 22-centre papillectomy. </w:t>
      </w:r>
      <w:r>
        <w:rPr>
          <w:sz w:val="17"/>
          <w:szCs w:val="17"/>
        </w:rPr>
        <w:t xml:space="preserve">Iwasaki E, Kawashima H, Takada Y, et al. Clinical outcomes of endoscopic papillectomy for ampullary adenoma and adenocarcinoma: a multicenter retrospective study in Japan. Gastrointest Endosc. 2025;103(5):1016-1027.e5. doi:10.1016/j.gie.2025.10.037. PMID:41192607.</w:t>
      </w:r>
    </w:p>
    <w:p>
      <w:pPr>
        <w:spacing w:after="70"/>
        <w:ind w:left="360" w:hanging="360"/>
      </w:pPr>
      <w:r>
        <w:rPr>
          <w:b/>
          <w:bCs/>
          <w:color w:val="17365D"/>
          <w:sz w:val="17"/>
          <w:szCs w:val="17"/>
        </w:rPr>
        <w:t xml:space="preserve">Wire-guided papillectomy RCT. </w:t>
      </w:r>
      <w:r>
        <w:rPr>
          <w:sz w:val="17"/>
          <w:szCs w:val="17"/>
        </w:rPr>
        <w:t xml:space="preserve">Lee TY, Cheon YK, Shim CS, Choi HJ, Moon JH, Choi JS, Oh HC. Endoscopic wire-guided papillectomy versus conventional papillectomy for ampullary tumors: a prospective comparative pilot study. J Gastroenterol Hepatol. 2016;31(4):897-902. doi:10.1111/jgh.13205. PMID:26479271.</w:t>
      </w:r>
    </w:p>
    <w:p>
      <w:pPr>
        <w:spacing w:after="70"/>
        <w:ind w:left="360" w:hanging="360"/>
      </w:pPr>
      <w:r>
        <w:rPr>
          <w:b/>
          <w:bCs/>
          <w:color w:val="17365D"/>
          <w:sz w:val="17"/>
          <w:szCs w:val="17"/>
        </w:rPr>
        <w:t xml:space="preserve">Yoon 2022. </w:t>
      </w:r>
      <w:r>
        <w:rPr>
          <w:sz w:val="17"/>
          <w:szCs w:val="17"/>
        </w:rPr>
        <w:t xml:space="preserve">Yoon SB, Jung MK, Lee YS, et al. Long-term outcomes of endoscopic papillectomy for ampullary adenoma with high-grade dysplasia or adenocarcinoma: a propensity score-matched analysis. Surg Endosc. 2023;37(5):3522-3530. doi:10.1007/s00464-022-09856-w. PMID:36587061.</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IDUS plus transpapillary biopsy. </w:t>
      </w:r>
      <w:r>
        <w:rPr>
          <w:sz w:val="17"/>
          <w:szCs w:val="17"/>
        </w:rPr>
        <w:t xml:space="preserve">Heinzow HS, Lenz P, Lallier S, Lenze F, Domagk D, Domschke W, Meister T. Ampulla of Vater tumors: impact of intraductal ultrasound and transpapillary endoscopic biopsies on diagnostic accuracy and therapy. Acta Gastroenterol Belg. 2011;74(4):509-15. PMID:22319960.</w:t>
      </w:r>
    </w:p>
    <w:p>
      <w:pPr>
        <w:spacing w:after="70"/>
        <w:ind w:left="360" w:hanging="360"/>
      </w:pPr>
      <w:r>
        <w:rPr>
          <w:b/>
          <w:bCs/>
          <w:color w:val="17365D"/>
          <w:sz w:val="17"/>
          <w:szCs w:val="17"/>
        </w:rPr>
        <w:t xml:space="preserve">Peng 2019. </w:t>
      </w:r>
      <w:r>
        <w:rPr>
          <w:sz w:val="17"/>
          <w:szCs w:val="17"/>
        </w:rPr>
        <w:t xml:space="preserve">Peng CY, Lv Y, Shen SS, Wang L, Ding XW, Zou XP. The impact of endoscopic ultrasound in preoperative evaluation for ampullary adenomas. J Dig Dis. 2019;20(5):248-255. doi:10.1111/1751-2980.12719. PMID:30834717.</w:t>
      </w:r>
    </w:p>
    <w:p>
      <w:pPr>
        <w:spacing w:after="70"/>
        <w:ind w:left="360" w:hanging="360"/>
      </w:pPr>
      <w:r>
        <w:rPr>
          <w:b/>
          <w:bCs/>
          <w:color w:val="17365D"/>
          <w:sz w:val="17"/>
          <w:szCs w:val="17"/>
        </w:rPr>
        <w:t xml:space="preserve">Ridtitid 2014. </w:t>
      </w:r>
      <w:r>
        <w:rPr>
          <w:sz w:val="17"/>
          <w:szCs w:val="17"/>
        </w:rPr>
        <w:t xml:space="preserve">Ridtitid W, Schmidt SE, Al-Haddad MA, et al. Performance characteristics of EUS for locoregional evaluation of ampullary lesions. Gastrointest Endosc. 2015;81(2):380-8. doi:10.1016/j.gie.2014.08.005. PMID:25293823.</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Adsay 2012 four subsets. </w:t>
      </w:r>
      <w:r>
        <w:rPr>
          <w:sz w:val="17"/>
          <w:szCs w:val="17"/>
        </w:rPr>
        <w:t xml:space="preserve">Adsay V, Ohike N, Tajiri T, et al. Ampullary region carcinomas: definition and site specific classification with delineation of four clinicopathologically and prognostically distinct subsets in an analysis of 249 cases. Am J Surg Pathol. 2012;36(11):1592-608. doi:10.1097/PAS.0b013e31826399d8. PMID:23026934.</w:t>
      </w:r>
    </w:p>
    <w:p>
      <w:pPr>
        <w:spacing w:after="70"/>
        <w:ind w:left="360" w:hanging="360"/>
      </w:pPr>
      <w:r>
        <w:rPr>
          <w:b/>
          <w:bCs/>
          <w:color w:val="17365D"/>
          <w:sz w:val="17"/>
          <w:szCs w:val="17"/>
        </w:rPr>
        <w:t xml:space="preserve">Balci 2015 nodal substaging. </w:t>
      </w:r>
      <w:r>
        <w:rPr>
          <w:sz w:val="17"/>
          <w:szCs w:val="17"/>
        </w:rPr>
        <w:t xml:space="preserve">Balci S, Basturk O, Saka B, et al. Substaging nodal status in ampullary carcinomas has significant prognostic value: proposed revised staging based on an analysis of 313 well-characterized cases. Ann Surg Oncol. 2015;22(13):4392-401. doi:10.1245/s10434-015-4499-y. PMID:25783680.</w:t>
      </w:r>
    </w:p>
    <w:p>
      <w:pPr>
        <w:spacing w:after="70"/>
        <w:ind w:left="360" w:hanging="360"/>
      </w:pPr>
      <w:r>
        <w:rPr>
          <w:b/>
          <w:bCs/>
          <w:color w:val="17365D"/>
          <w:sz w:val="17"/>
          <w:szCs w:val="17"/>
        </w:rPr>
        <w:t xml:space="preserve">CAP ampulla protocol. </w:t>
      </w:r>
      <w:r>
        <w:rPr>
          <w:sz w:val="17"/>
          <w:szCs w:val="17"/>
        </w:rPr>
        <w:t xml:space="preserve">College of American Pathologists. Cancer Protocol Template for carcinoma of the Ampulla of Vater. The source of the 1 mm positive-margin definition and of the minimum data set that NCCN abbreviates; PERIPAN recommends either the CAP protocol or its own expanded PERIPAN pathology report template.</w:t>
      </w:r>
    </w:p>
    <w:p>
      <w:pPr>
        <w:spacing w:after="70"/>
        <w:ind w:left="360" w:hanging="360"/>
      </w:pPr>
      <w:r>
        <w:rPr>
          <w:b/>
          <w:bCs/>
          <w:color w:val="17365D"/>
          <w:sz w:val="17"/>
          <w:szCs w:val="17"/>
        </w:rPr>
        <w:t xml:space="preserve">Gamble 2023. </w:t>
      </w:r>
      <w:r>
        <w:rPr>
          <w:sz w:val="17"/>
          <w:szCs w:val="17"/>
        </w:rPr>
        <w:t xml:space="preserve">Gamble D, Frankel WL, Yearsley MM, Chen W. Ampulla of Vater biopsies: a retrospective 10-year, single-institution study. Ann Diagn Pathol. 2023;67:152189. doi:10.1016/j.anndiagpath.2023.152189. PMID:37595391.</w:t>
      </w:r>
    </w:p>
    <w:p>
      <w:pPr>
        <w:spacing w:after="70"/>
        <w:ind w:left="360" w:hanging="360"/>
      </w:pPr>
      <w:r>
        <w:rPr>
          <w:b/>
          <w:bCs/>
          <w:color w:val="17365D"/>
          <w:sz w:val="17"/>
          <w:szCs w:val="17"/>
        </w:rPr>
        <w:t xml:space="preserve">Kryklyva 2021. </w:t>
      </w:r>
      <w:r>
        <w:rPr>
          <w:sz w:val="17"/>
          <w:szCs w:val="17"/>
        </w:rPr>
        <w:t xml:space="preserve">Kryklyva V, Brosens LAA, Marijnissen-van Zanten MAJ, Ligtenberg MJL, Nagtegaal ID. Mismatch repair deficiency in early-onset duodenal, ampullary, and pancreatic carcinomas is a strong indicator for a hereditary defect. J Pathol Clin Res. 2022;8(2):181-190. doi:10.1002/cjp2.252. PMID:34873870.</w:t>
      </w:r>
    </w:p>
    <w:p>
      <w:pPr>
        <w:spacing w:after="70"/>
        <w:ind w:left="360" w:hanging="360"/>
      </w:pPr>
      <w:r>
        <w:rPr>
          <w:b/>
          <w:bCs/>
          <w:color w:val="17365D"/>
          <w:sz w:val="17"/>
          <w:szCs w:val="17"/>
        </w:rPr>
        <w:t xml:space="preserve">Medullary ampullary carcinoma. </w:t>
      </w:r>
      <w:r>
        <w:rPr>
          <w:sz w:val="17"/>
          <w:szCs w:val="17"/>
        </w:rPr>
        <w:t xml:space="preserve">Xue Y, Balci S, Pehlivanoglu B, et al. Medullary carcinoma of the ampulla has distinct clinicopathologic characteristics including common association with microsatellite instability and PD-L1 expression. Hum Pathol. 2023;131:38-46. doi:10.1016/j.humpath.2022.12.004. PMID:36502926.</w:t>
      </w:r>
    </w:p>
    <w:p>
      <w:pPr>
        <w:spacing w:after="70"/>
        <w:ind w:left="360" w:hanging="360"/>
      </w:pPr>
      <w:r>
        <w:rPr>
          <w:b/>
          <w:bCs/>
          <w:color w:val="17365D"/>
          <w:sz w:val="17"/>
          <w:szCs w:val="17"/>
        </w:rPr>
        <w:t xml:space="preserve">Reid 2016 subtype reproducibility. </w:t>
      </w:r>
      <w:r>
        <w:rPr>
          <w:sz w:val="17"/>
          <w:szCs w:val="17"/>
        </w:rPr>
        <w:t xml:space="preserve">Reid MD, Balci S, Ohike N, et al. Ampullary carcinoma is often of mixed or hybrid histologic type: an analysis of reproducibility and clinical relevance of classification as pancreatobiliary versus intestinal in 232 cases. Mod Pathol. 2016;29(12):1575-1585. doi:10.1038/modpathol.2016.124. PMID:27586202.</w:t>
      </w:r>
    </w:p>
    <w:p>
      <w:pPr>
        <w:spacing w:after="70"/>
        <w:ind w:left="360" w:hanging="360"/>
      </w:pPr>
      <w:r>
        <w:rPr>
          <w:b/>
          <w:bCs/>
          <w:color w:val="17365D"/>
          <w:sz w:val="17"/>
          <w:szCs w:val="17"/>
        </w:rPr>
        <w:t xml:space="preserve">WHO 5th edition. </w:t>
      </w:r>
      <w:r>
        <w:rPr>
          <w:sz w:val="17"/>
          <w:szCs w:val="17"/>
        </w:rPr>
        <w:t xml:space="preserve">WHO Classification of Tumours Editorial Board. Digestive System Tumours. WHO Classification of Tumours, 5th edition. IARC, 2019. The classification that PERIPAN refines and extends — PERIPAN adds medullary, micropapillary, gastric-type, rhabdoid and osteoclastic carcinomas as entities to report separately from tubular adenocarcinomas of intestinal, pancreatobiliary, mixed and NOS subtype. Consulted indirectly through PERIPAN rather than read directly for this draft.</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Kim 2013. </w:t>
      </w:r>
      <w:r>
        <w:rPr>
          <w:sz w:val="17"/>
          <w:szCs w:val="17"/>
        </w:rPr>
        <w:t xml:space="preserve">Kim HN, Kim KM, Shin JU, et al. Prediction of carcinoma after resection in subjects with ampullary adenomas on endoscopic biopsy. J Clin Gastroenterol. 2013;47(4):346-51. doi:10.1097/MCG.0b013e318272f2ef. PMID:23442830.</w:t>
      </w:r>
    </w:p>
    <w:p>
      <w:pPr>
        <w:spacing w:after="70"/>
        <w:ind w:left="360" w:hanging="360"/>
      </w:pPr>
      <w:r>
        <w:rPr>
          <w:b/>
          <w:bCs/>
          <w:color w:val="17365D"/>
          <w:sz w:val="17"/>
          <w:szCs w:val="17"/>
        </w:rPr>
        <w:t xml:space="preserve">Malignancy risk score. </w:t>
      </w:r>
      <w:r>
        <w:rPr>
          <w:sz w:val="17"/>
          <w:szCs w:val="17"/>
        </w:rPr>
        <w:t xml:space="preserve">Mavani PT, Sok C, Eng N, et al. Multi-institutional analysis of pancreaticoduodenectomy for nonfamilial periampullary adenoma: a novel risk score to guide shared decision-making. J Am Coll Surg. 2025;240(4):392-402. doi:10.1097/XCS.0000000000001289. PMID:39831703.</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Ampullary NET operation. </w:t>
      </w:r>
      <w:r>
        <w:rPr>
          <w:sz w:val="17"/>
          <w:szCs w:val="17"/>
        </w:rPr>
        <w:t xml:space="preserve">Baptiste GG, Postlewait LM, Ethun CG, et al. Is there an optimal surgical approach to neuroendocrine tumors of the ampulla? A single institution experience over 15 years. Am Surg. 2016;82(7):637-43. PMID:27457864.</w:t>
      </w:r>
    </w:p>
    <w:p>
      <w:pPr>
        <w:spacing w:after="70"/>
        <w:ind w:left="360" w:hanging="360"/>
      </w:pPr>
      <w:r>
        <w:rPr>
          <w:b/>
          <w:bCs/>
          <w:color w:val="17365D"/>
          <w:sz w:val="17"/>
          <w:szCs w:val="17"/>
        </w:rPr>
        <w:t xml:space="preserve">Node yield, NCDB. </w:t>
      </w:r>
      <w:r>
        <w:rPr>
          <w:sz w:val="17"/>
          <w:szCs w:val="17"/>
        </w:rPr>
        <w:t xml:space="preserve">Resende V, Endo Y, Munir MM, et al. Prognostic value of nodal staging classification and number of examined lymph nodes among patients with ampullary cancer. J Gastrointest Surg. 2024;28(1):33-39. doi:10.1016/j.gassur.2023.11.008. PMID:38353072.</w:t>
      </w:r>
    </w:p>
    <w:p>
      <w:pPr>
        <w:spacing w:after="70"/>
        <w:ind w:left="360" w:hanging="360"/>
      </w:pPr>
      <w:r>
        <w:rPr>
          <w:b/>
          <w:bCs/>
          <w:color w:val="17365D"/>
          <w:sz w:val="17"/>
          <w:szCs w:val="17"/>
        </w:rPr>
        <w:t xml:space="preserve">Pancreas2000 EP vs TSA. </w:t>
      </w:r>
      <w:r>
        <w:rPr>
          <w:sz w:val="17"/>
          <w:szCs w:val="17"/>
        </w:rPr>
        <w:t xml:space="preserve">Hollenbach M, Heise C, Abou-Ali E, et al. Endoscopic papillectomy versus surgical ampullectomy for adenomas and early cancers of the papilla: a retrospective Pancreas2000/European Pancreatic Club analysis. Gut. 2025;74(3):397-409. doi:10.1136/gutjnl-2022-327996. PMID:39642968.</w:t>
      </w:r>
    </w:p>
    <w:p>
      <w:pPr>
        <w:spacing w:after="70"/>
        <w:ind w:left="360" w:hanging="360"/>
      </w:pPr>
      <w:r>
        <w:rPr>
          <w:b/>
          <w:bCs/>
          <w:color w:val="17365D"/>
          <w:sz w:val="17"/>
          <w:szCs w:val="17"/>
        </w:rPr>
        <w:t xml:space="preserve">Preoperative biliary drainage RCT. </w:t>
      </w:r>
      <w:r>
        <w:rPr>
          <w:sz w:val="17"/>
          <w:szCs w:val="17"/>
        </w:rPr>
        <w:t xml:space="preserve">van der Gaag NA, Rauws EAJ, van Eijck CHJ, et al. Preoperative biliary drainage for cancer of the head of the pancreas. N Engl J Med. 2010;362(2):129-37. doi:10.1056/NEJMoa0903230. PMID:20071702.</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Han 2023 recurrence timing. </w:t>
      </w:r>
      <w:r>
        <w:rPr>
          <w:sz w:val="17"/>
          <w:szCs w:val="17"/>
        </w:rPr>
        <w:t xml:space="preserve">Han S, Turkeltaub JA, Jonas D, et al. The timing of recurrence after endoscopic papillectomy. Surg Endosc. 2024;38(2):688-696. doi:10.1007/s00464-023-10567-z. PMID:38015261.</w:t>
      </w:r>
    </w:p>
    <w:p>
      <w:pPr>
        <w:spacing w:after="70"/>
        <w:ind w:left="360" w:hanging="360"/>
      </w:pPr>
      <w:r>
        <w:rPr>
          <w:b/>
          <w:bCs/>
          <w:color w:val="17365D"/>
          <w:sz w:val="17"/>
          <w:szCs w:val="17"/>
        </w:rPr>
        <w:t xml:space="preserve">Soons 2021 FAP duodenum. </w:t>
      </w:r>
      <w:r>
        <w:rPr>
          <w:sz w:val="17"/>
          <w:szCs w:val="17"/>
        </w:rPr>
        <w:t xml:space="preserve">Soons E, Bisseling TM, van Kouwen MCA, Möslein G, Siersema PD. Endoscopic management of duodenal adenomatosis in familial adenomatous polyposis - a case-based review. United European Gastroenterol J. 2021;9(4):461-468. doi:10.1002/ueg2.12071. PMID:34529357.</w:t>
      </w:r>
    </w:p>
    <w:p>
      <w:pPr>
        <w:spacing w:after="70"/>
        <w:ind w:left="360" w:hanging="360"/>
      </w:pPr>
      <w:r>
        <w:rPr>
          <w:b/>
          <w:bCs/>
          <w:color w:val="17365D"/>
          <w:sz w:val="17"/>
          <w:szCs w:val="17"/>
        </w:rPr>
        <w:t xml:space="preserve">Spigelman 1989. </w:t>
      </w:r>
      <w:r>
        <w:rPr>
          <w:sz w:val="17"/>
          <w:szCs w:val="17"/>
        </w:rPr>
        <w:t xml:space="preserve">Spigelman AD, Williams CB, Talbot IC, Domizio P, Phillips RK. Upper gastrointestinal cancer in patients with familial adenomatous polyposis. Lancet. 1989;2(8666):783-5. doi:10.1016/s0140-6736(89)90840-4. PMID:2571019.</w:t>
      </w:r>
    </w:p>
    <w:p>
      <w:pPr>
        <w:spacing w:after="70"/>
        <w:ind w:left="360" w:hanging="360"/>
      </w:pPr>
      <w:r>
        <w:rPr>
          <w:b/>
          <w:bCs/>
          <w:color w:val="17365D"/>
          <w:sz w:val="17"/>
          <w:szCs w:val="17"/>
        </w:rPr>
        <w:t xml:space="preserve">Yachida 2017. </w:t>
      </w:r>
      <w:r>
        <w:rPr>
          <w:sz w:val="17"/>
          <w:szCs w:val="17"/>
        </w:rPr>
        <w:t xml:space="preserve">Yachida T, Nakajima T, Nonaka S, et al. Characteristics and clinical outcomes of duodenal neoplasia in Japanese patients with familial adenomatous polyposis. J Clin Gastroenterol. 2017;51(5):407-411. doi:10.1097/MCG.0000000000000555. PMID:27306941.</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Bolm 2020. </w:t>
      </w:r>
      <w:r>
        <w:rPr>
          <w:sz w:val="17"/>
          <w:szCs w:val="17"/>
        </w:rPr>
        <w:t xml:space="preserve">Bolm L, Ohrner K, Nappo G, et al. Adjuvant therapy is associated with improved overall survival in patients with pancreatobiliary or mixed subtype ampullary cancer after pancreatoduodenectomy - a multicenter cohort study. Pancreatology. 2020;20(3):433-441. doi:10.1016/j.pan.2020.01.009. PMID:31987649.</w:t>
      </w:r>
    </w:p>
    <w:p>
      <w:pPr>
        <w:spacing w:after="70"/>
        <w:ind w:left="360" w:hanging="360"/>
      </w:pPr>
      <w:r>
        <w:rPr>
          <w:b/>
          <w:bCs/>
          <w:color w:val="17365D"/>
          <w:sz w:val="17"/>
          <w:szCs w:val="17"/>
        </w:rPr>
        <w:t xml:space="preserve">Ecker 2019. </w:t>
      </w:r>
      <w:r>
        <w:rPr>
          <w:sz w:val="17"/>
          <w:szCs w:val="17"/>
        </w:rPr>
        <w:t xml:space="preserve">Ecker BL, Vollmer CM, Behrman SW, et al. Role of adjuvant multimodality therapy after curative-intent resection of ampullary carcinoma. JAMA Surg. 2019;154(8):706-714. doi:10.1001/jamasurg.2019.1170. PMID:31141112.</w:t>
      </w:r>
    </w:p>
    <w:p>
      <w:pPr>
        <w:spacing w:after="70"/>
        <w:ind w:left="360" w:hanging="360"/>
      </w:pPr>
      <w:r>
        <w:rPr>
          <w:b/>
          <w:bCs/>
          <w:color w:val="17365D"/>
          <w:sz w:val="17"/>
          <w:szCs w:val="17"/>
        </w:rPr>
        <w:t xml:space="preserve">ESPAC-3 periampullary. </w:t>
      </w:r>
      <w:r>
        <w:rPr>
          <w:sz w:val="17"/>
          <w:szCs w:val="17"/>
        </w:rPr>
        <w:t xml:space="preserve">Neoptolemos JP, Moore MJ, Cox TF, et al. Effect of adjuvant chemotherapy with fluorouracil plus folinic acid or gemcitabine vs observation on survival in patients with resected periampullary adenocarcinoma: the ESPAC-3 periampullary cancer randomized trial. JAMA. 2012;308(2):147-56. doi:10.1001/jama.2012.7352. Correction in JAMA. 2012;308:1861. PMID:22782416.</w:t>
      </w:r>
    </w:p>
    <w:p>
      <w:pPr>
        <w:spacing w:after="70"/>
        <w:ind w:left="360" w:hanging="360"/>
      </w:pPr>
      <w:r>
        <w:rPr>
          <w:b/>
          <w:bCs/>
          <w:color w:val="17365D"/>
          <w:sz w:val="17"/>
          <w:szCs w:val="17"/>
        </w:rPr>
        <w:t xml:space="preserve">ESPAC-4. </w:t>
      </w:r>
      <w:r>
        <w:rPr>
          <w:sz w:val="17"/>
          <w:szCs w:val="17"/>
        </w:rPr>
        <w:t xml:space="preserve">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p>
    <w:p>
      <w:pPr>
        <w:spacing w:after="70"/>
        <w:ind w:left="360" w:hanging="360"/>
      </w:pPr>
      <w:r>
        <w:rPr>
          <w:b/>
          <w:bCs/>
          <w:color w:val="17365D"/>
          <w:sz w:val="17"/>
          <w:szCs w:val="17"/>
        </w:rPr>
        <w:t xml:space="preserve">PRODIGE-24. </w:t>
      </w:r>
      <w:r>
        <w:rPr>
          <w:sz w:val="17"/>
          <w:szCs w:val="17"/>
        </w:rPr>
        <w:t xml:space="preserve">Conroy T, Hammel P, Hebbar M, et al. FOLFIRINOX or gemcitabine as adjuvant therapy for pancreatic cancer. N Engl J Med. 2018;379(25):2395-2406. doi:10.1056/NEJMoa1809775. PMID:30575490.</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28 of this pathway's 41 sources were read in full and abstracted this way. 13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Adsay 2012 four subsets</w:t>
      </w:r>
      <w:r>
        <w:rPr>
          <w:b/>
          <w:bCs/>
          <w:color w:val="176A87"/>
          <w:sz w:val="15"/>
          <w:szCs w:val="15"/>
        </w:rPr>
        <w:t xml:space="preserve">   Retrospective cohort</w:t>
      </w:r>
      <w:r>
        <w:rPr>
          <w:color w:val="5A6069"/>
          <w:sz w:val="15"/>
          <w:szCs w:val="15"/>
        </w:rPr>
        <w:t xml:space="preserve">   PMID 23026934</w:t>
      </w:r>
    </w:p>
    <w:p>
      <w:pPr>
        <w:spacing w:after="50" w:line="276"/>
      </w:pPr>
      <w:r>
        <w:rPr>
          <w:color w:val="5A6069"/>
          <w:sz w:val="17"/>
          <w:szCs w:val="17"/>
        </w:rPr>
        <w:t xml:space="preserve">Ampullary region carcinomas: definition and site specific classification with delineation of four clinicopathologically and prognostically distinct subsets in an analysis of 249 cases.</w:t>
      </w:r>
    </w:p>
    <w:p>
      <w:pPr>
        <w:spacing w:after="50"/>
      </w:pPr>
      <w:r>
        <w:rPr>
          <w:b/>
          <w:bCs/>
          <w:color w:val="176A87"/>
          <w:sz w:val="16"/>
          <w:szCs w:val="16"/>
        </w:rPr>
        <w:t xml:space="preserve">Population. </w:t>
      </w:r>
      <w:r>
        <w:rPr>
          <w:sz w:val="16"/>
          <w:szCs w:val="16"/>
        </w:rPr>
        <w:t xml:space="preserve">249 strictly defined ampullary carcinomas culled from 1469 malignant pancreatoduodenectomy specimens, compared with 113 pancreatic ductal adenocarcinomas and 55 non-ampullary duodenal carcinomas</w:t>
      </w:r>
    </w:p>
    <w:p>
      <w:pPr>
        <w:spacing w:after="70"/>
      </w:pPr>
      <w:r>
        <w:rPr>
          <w:b/>
          <w:bCs/>
          <w:color w:val="17365D"/>
          <w:sz w:val="16"/>
          <w:szCs w:val="16"/>
        </w:rPr>
        <w:t xml:space="preserve">Bottom line. </w:t>
      </w:r>
      <w:r>
        <w:rPr>
          <w:sz w:val="16"/>
          <w:szCs w:val="16"/>
        </w:rPr>
        <w:t xml:space="preserve">Establishes a reproducible-in-principle anatomic definition of ampullary carcinoma and shows that four gross/microscopic site-specific subsets differ markedly in stage and outcome, but the prognostic separation rests on small, unadjusted, single-reader subgroups and does not establish the classification's reproducibility or independence from stage.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ampullary-NOS category doubles as a waste-basket for cases that cannot be confidently assigned, and that whether the intra-ampullary group's survival advantage reflects small invasion size or a genuinely different biology is unknown</w:t>
            </w:r>
          </w:p>
          <w:p>
            <w:pPr>
              <w:pStyle w:val="ListParagraph"/>
              <w:numPr>
                <w:ilvl w:val="0"/>
                <w:numId w:val="2"/>
              </w:numPr>
              <w:spacing w:after="45"/>
            </w:pPr>
            <w:r>
              <w:rPr>
                <w:sz w:val="15"/>
                <w:szCs w:val="15"/>
              </w:rPr>
              <w:t xml:space="preserve">They acknowledge the periampullary-duodenal versus duodenal carcinoma survival comparison failed to reach significance because of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four categories were assigned retrospectively from archived gross descriptions and slides by the same authors who devised the scheme - no blinded or independent reassignment, and no interobserver agreement statistic, so the reproducibility of the gross algorithm that the whole classification rests on is untested here</w:t>
            </w:r>
          </w:p>
          <w:p>
            <w:pPr>
              <w:pStyle w:val="ListParagraph"/>
              <w:numPr>
                <w:ilvl w:val="0"/>
                <w:numId w:val="2"/>
              </w:numPr>
              <w:spacing w:after="45"/>
            </w:pPr>
            <w:r>
              <w:rPr>
                <w:sz w:val="15"/>
                <w:szCs w:val="15"/>
              </w:rPr>
              <w:t xml:space="preserve">The periampullary-duodenal group that anchors the favourable-prognosis claim has only 12 patients, 6 of them node positive; the survival estimates carry no confidence intervals anywhere in the paper and no multivariable model adjusting for T stage, node status or invasion size is reported despite a Cox model being described in the methods</w:t>
            </w:r>
          </w:p>
          <w:p>
            <w:pPr>
              <w:pStyle w:val="ListParagraph"/>
              <w:numPr>
                <w:ilvl w:val="0"/>
                <w:numId w:val="2"/>
              </w:numPr>
              <w:spacing w:after="45"/>
            </w:pPr>
            <w:r>
              <w:rPr>
                <w:sz w:val="15"/>
                <w:szCs w:val="15"/>
              </w:rPr>
              <w:t xml:space="preserve">Invasion size - the variable that drives the survival ordering - was in part estimated by applying an invasive/non-invasive ratio read off slides to the gross size, i.e. derived rather than measured, which biases exactly the comparison between the preinvasive-rich (intra-ampullary) and preinvasive-poor (ampullary-ductal) groups</w:t>
            </w:r>
          </w:p>
          <w:p>
            <w:pPr>
              <w:pStyle w:val="ListParagraph"/>
              <w:numPr>
                <w:ilvl w:val="0"/>
                <w:numId w:val="2"/>
              </w:numPr>
              <w:spacing w:after="45"/>
            </w:pPr>
            <w:r>
              <w:rPr>
                <w:sz w:val="15"/>
                <w:szCs w:val="15"/>
              </w:rPr>
              <w:t xml:space="preserve">Comparators are convenience cohorts from the same archives (113 PDAC, 55 duodenal) with no matching for stage, size, node status or treatment, and adjuvant therapy is not recorded at all, so the headline 'ampullary carcinoma is distinct from PDAC' survival gap conflates stage migration and resectability with biology</w:t>
            </w:r>
          </w:p>
          <w:p>
            <w:pPr>
              <w:pStyle w:val="ListParagraph"/>
              <w:numPr>
                <w:ilvl w:val="0"/>
                <w:numId w:val="2"/>
              </w:numPr>
              <w:spacing w:after="45"/>
            </w:pPr>
            <w:r>
              <w:rPr>
                <w:sz w:val="15"/>
                <w:szCs w:val="15"/>
              </w:rPr>
              <w:t xml:space="preserve">Follow-up was partly obtained from SEER and by telephoning treating physicians, with cases carrying missing values excluded variable by variable, so denominators shift between tables without being stated</w:t>
            </w:r>
          </w:p>
          <w:p>
            <w:pPr>
              <w:pStyle w:val="ListParagraph"/>
              <w:numPr>
                <w:ilvl w:val="0"/>
                <w:numId w:val="2"/>
              </w:numPr>
              <w:spacing w:after="45"/>
            </w:pPr>
            <w:r>
              <w:rPr>
                <w:sz w:val="15"/>
                <w:szCs w:val="15"/>
              </w:rPr>
              <w:t xml:space="preserve">Reclassifying 21% of cases out of the ampullary category inevitably removes the worst-prognosis tumours (mostly pancreatic) from the ampullary group, which mechanically improves ampullary survival relative to the historical literature - a definitional effect the paper presents as a biological finding</w:t>
            </w:r>
          </w:p>
        </w:tc>
      </w:tr>
    </w:tbl>
    <w:p>
      <w:pPr>
        <w:spacing w:after="0" w:line="276"/>
      </w:pPr>
      <w:r>
        <w:rPr>
          <w:color w:val="5A6069"/>
          <w:sz w:val="14"/>
          <w:szCs w:val="14"/>
        </w:rPr>
        <w:t xml:space="preserve">Funding: Supported in part by the Georgia Cancer Coalition Distinguished Cancer Clinicians and Scientists Program; authors declare no financial interest in any commercial company pertaining to the article</w:t>
      </w:r>
    </w:p>
    <w:p>
      <w:pPr>
        <w:keepNext/>
        <w:spacing w:after="50" w:before="260"/>
      </w:pPr>
      <w:r>
        <w:rPr>
          <w:rFonts w:ascii="Cambria" w:cs="Cambria" w:eastAsia="Cambria" w:hAnsi="Cambria"/>
          <w:b/>
          <w:bCs/>
          <w:color w:val="17365D"/>
          <w:sz w:val="20"/>
          <w:szCs w:val="20"/>
        </w:rPr>
        <w:t xml:space="preserve">Attila 2018</w:t>
      </w:r>
      <w:r>
        <w:rPr>
          <w:b/>
          <w:bCs/>
          <w:color w:val="176A87"/>
          <w:sz w:val="15"/>
          <w:szCs w:val="15"/>
        </w:rPr>
        <w:t xml:space="preserve">   Retrospective cohort</w:t>
      </w:r>
      <w:r>
        <w:rPr>
          <w:color w:val="5A6069"/>
          <w:sz w:val="15"/>
          <w:szCs w:val="15"/>
        </w:rPr>
        <w:t xml:space="preserve">   PMID 29755017</w:t>
      </w:r>
    </w:p>
    <w:p>
      <w:pPr>
        <w:spacing w:after="50" w:line="276"/>
      </w:pPr>
      <w:r>
        <w:rPr>
          <w:color w:val="5A6069"/>
          <w:sz w:val="17"/>
          <w:szCs w:val="17"/>
        </w:rPr>
        <w:t xml:space="preserve">Endoscopic papillectomy of benign ampullary lesions: outcomes from a multicenter study.</w:t>
      </w:r>
    </w:p>
    <w:p>
      <w:pPr>
        <w:spacing w:after="50"/>
      </w:pPr>
      <w:r>
        <w:rPr>
          <w:b/>
          <w:bCs/>
          <w:color w:val="176A87"/>
          <w:sz w:val="16"/>
          <w:szCs w:val="16"/>
        </w:rPr>
        <w:t xml:space="preserve">Population. </w:t>
      </w:r>
      <w:r>
        <w:rPr>
          <w:sz w:val="16"/>
          <w:szCs w:val="16"/>
        </w:rPr>
        <w:t xml:space="preserve">44 of 79 patients (55.7%) who underwent endoscopic papillectomy for presumptively benign ampullary lesions; 38 procedures (86.3%) at high-volume and 6 (12.7%) at low-volume centres; 29 women and 15 men, median age 64 years (33-84); median follow-up 24 months (6-84)</w:t>
      </w:r>
    </w:p>
    <w:p>
      <w:pPr>
        <w:spacing w:after="70"/>
      </w:pPr>
      <w:r>
        <w:rPr>
          <w:b/>
          <w:bCs/>
          <w:color w:val="17365D"/>
          <w:sz w:val="16"/>
          <w:szCs w:val="16"/>
        </w:rPr>
        <w:t xml:space="preserve">Bottom line. </w:t>
      </w:r>
      <w:r>
        <w:rPr>
          <w:sz w:val="16"/>
          <w:szCs w:val="16"/>
        </w:rPr>
        <w:t xml:space="preserve">Shows that endoscopic papillectomy achieves complete resection in about 90% with modest morbidity and no mortality in expert hands, and - more importantly - that even after excluding lesions that looked or biopsied malignant, a third of the specimens contained adenocarcinoma; but with 44 patients, a 24-month median follow-up and 44% of papillectomies excluded, it cannot define recurrence risk or its predictors.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 predefined algorithm, relying on data not collected for the study</w:t>
            </w:r>
          </w:p>
          <w:p>
            <w:pPr>
              <w:pStyle w:val="ListParagraph"/>
              <w:numPr>
                <w:ilvl w:val="0"/>
                <w:numId w:val="2"/>
              </w:numPr>
              <w:spacing w:after="45"/>
            </w:pPr>
            <w:r>
              <w:rPr>
                <w:sz w:val="15"/>
                <w:szCs w:val="15"/>
              </w:rPr>
              <w:t xml:space="preserve">Unequal contribution of patients by each institution and a relatively small sample size</w:t>
            </w:r>
          </w:p>
          <w:p>
            <w:pPr>
              <w:pStyle w:val="ListParagraph"/>
              <w:numPr>
                <w:ilvl w:val="0"/>
                <w:numId w:val="2"/>
              </w:numPr>
              <w:spacing w:after="45"/>
            </w:pPr>
            <w:r>
              <w:rPr>
                <w:sz w:val="15"/>
                <w:szCs w:val="15"/>
              </w:rPr>
              <w:t xml:space="preserve">Reliance on histopathology of biopsies obtained before papillectomy without confirming the biopsy slides at the institution where papillectomy was performed</w:t>
            </w:r>
          </w:p>
          <w:p>
            <w:pPr>
              <w:pStyle w:val="ListParagraph"/>
              <w:numPr>
                <w:ilvl w:val="0"/>
                <w:numId w:val="2"/>
              </w:numPr>
              <w:spacing w:after="45"/>
            </w:pPr>
            <w:r>
              <w:rPr>
                <w:sz w:val="15"/>
                <w:szCs w:val="15"/>
              </w:rPr>
              <w:t xml:space="preserve">Given the retrospective design and the limited number of recurrences, no conclusion is possible about predictive parameters for recurrence (resection method, underlying histopathology, submucosal invasion)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paper's framing is the opposite of its own data: it is titled and presented as outcomes for benign ampullary lesions, yet 32% of the resected 'benign' lesions were adenocarcinoma. The 91% complete resection rate is therefore a mixed-histology figure, and the authors' own analysis shows margin positivity was confined to the cancers</w:t>
            </w:r>
          </w:p>
          <w:p>
            <w:pPr>
              <w:pStyle w:val="ListParagraph"/>
              <w:numPr>
                <w:ilvl w:val="0"/>
                <w:numId w:val="2"/>
              </w:numPr>
              <w:spacing w:after="45"/>
            </w:pPr>
            <w:r>
              <w:rPr>
                <w:sz w:val="15"/>
                <w:szCs w:val="15"/>
              </w:rPr>
              <w:t xml:space="preserve">Excluding 44.3% of papillectomies before analysis - those with malignant biopsy or suspicious appearance - is acknowledged as the reason for the low 6.8% surgical referral rate, but the same selection also removes the hardest resections, so the 91% completeness and 15.9% complication rates are not transferable to an unselected papillectomy practice</w:t>
            </w:r>
          </w:p>
          <w:p>
            <w:pPr>
              <w:pStyle w:val="ListParagraph"/>
              <w:numPr>
                <w:ilvl w:val="0"/>
                <w:numId w:val="2"/>
              </w:numPr>
              <w:spacing w:after="45"/>
            </w:pPr>
            <w:r>
              <w:rPr>
                <w:sz w:val="15"/>
                <w:szCs w:val="15"/>
              </w:rPr>
              <w:t xml:space="preserve">44 patients gives no power for any of the comparisons made: the high- versus low-volume complication comparison rests on 2 events in 6 procedures, and the single reported risk factor for incomplete resection comes from 4 incomplete resections</w:t>
            </w:r>
          </w:p>
          <w:p>
            <w:pPr>
              <w:pStyle w:val="ListParagraph"/>
              <w:numPr>
                <w:ilvl w:val="0"/>
                <w:numId w:val="2"/>
              </w:numPr>
              <w:spacing w:after="45"/>
            </w:pPr>
            <w:r>
              <w:rPr>
                <w:sz w:val="15"/>
                <w:szCs w:val="15"/>
              </w:rPr>
              <w:t xml:space="preserve">Recurrence is reported as 7 of 41 (17%) while the cohort is 44 - the denominator shift is unexplained - and median follow-up was 24 months with a floor of 6 months, so with a surveillance protocol stopping at annual intervals the figure is a minimum and cannot be compared with series reporting out to 5-10 years</w:t>
            </w:r>
          </w:p>
          <w:p>
            <w:pPr>
              <w:pStyle w:val="ListParagraph"/>
              <w:numPr>
                <w:ilvl w:val="0"/>
                <w:numId w:val="2"/>
              </w:numPr>
              <w:spacing w:after="45"/>
            </w:pPr>
            <w:r>
              <w:rPr>
                <w:sz w:val="15"/>
                <w:szCs w:val="15"/>
              </w:rPr>
              <w:t xml:space="preserve">6 of 7 recurrences were detected within 6 months, which by the definitions used in most of this literature would be residual rather than recurrent disease; conflating the two inflates 'recurrence' while hiding incomplete initial resection</w:t>
            </w:r>
          </w:p>
          <w:p>
            <w:pPr>
              <w:pStyle w:val="ListParagraph"/>
              <w:numPr>
                <w:ilvl w:val="0"/>
                <w:numId w:val="2"/>
              </w:numPr>
              <w:spacing w:after="45"/>
            </w:pPr>
            <w:r>
              <w:rPr>
                <w:sz w:val="15"/>
                <w:szCs w:val="15"/>
              </w:rPr>
              <w:t xml:space="preserve">The 24-study pooled table of 1121 patients against which this cohort is benchmarked is an informal narrative compilation with no systematic search, no quality assessment and no weighting - the stated 81.8% pooled success and 23.4% pooled complication rates should not be read as meta-analytic estimates</w:t>
            </w:r>
          </w:p>
          <w:p>
            <w:pPr>
              <w:pStyle w:val="ListParagraph"/>
              <w:numPr>
                <w:ilvl w:val="0"/>
                <w:numId w:val="2"/>
              </w:numPr>
              <w:spacing w:after="45"/>
            </w:pPr>
            <w:r>
              <w:rPr>
                <w:sz w:val="15"/>
                <w:szCs w:val="15"/>
              </w:rPr>
              <w:t xml:space="preserve">The claim that pre-papillectomy EUS was '100% accurate in ruling out greater than T1' rests on 16 patients in whom EUS reported T1N0 and none proved worse than T1 - a result with no discriminative information at all, since there were no positives to detect</w:t>
            </w:r>
          </w:p>
          <w:p>
            <w:pPr>
              <w:pStyle w:val="ListParagraph"/>
              <w:numPr>
                <w:ilvl w:val="0"/>
                <w:numId w:val="2"/>
              </w:numPr>
              <w:spacing w:after="45"/>
            </w:pPr>
            <w:r>
              <w:rPr>
                <w:sz w:val="15"/>
                <w:szCs w:val="15"/>
              </w:rPr>
              <w:t xml:space="preserve">EUS was done at the endoscopist's discretion and depended on institutional availability, so the EUS and no-EUS groups differ systematically; the fact that 3 of 3 patients with positive margins who were not operative candidates came from the no-EUS group is presented without acknowledging that comorbidity drove both decisions</w:t>
            </w:r>
          </w:p>
          <w:p>
            <w:pPr>
              <w:pStyle w:val="ListParagraph"/>
              <w:numPr>
                <w:ilvl w:val="0"/>
                <w:numId w:val="2"/>
              </w:numPr>
              <w:spacing w:after="45"/>
            </w:pPr>
            <w:r>
              <w:rPr>
                <w:sz w:val="15"/>
                <w:szCs w:val="15"/>
              </w:rPr>
              <w:t xml:space="preserve">Pancreatitis was 4.5%, lower than the 10.3% pooled figure, but the authors concede enzymes were measured only in patients with typical pain, so milder events were not ascertained - a point that applies equally to their favourable comparison with the literature</w:t>
            </w:r>
          </w:p>
          <w:p>
            <w:pPr>
              <w:pStyle w:val="ListParagraph"/>
              <w:numPr>
                <w:ilvl w:val="0"/>
                <w:numId w:val="2"/>
              </w:numPr>
              <w:spacing w:after="45"/>
            </w:pPr>
            <w:r>
              <w:rPr>
                <w:sz w:val="15"/>
                <w:szCs w:val="15"/>
              </w:rPr>
              <w:t xml:space="preserve">An 11-year accrual at the two large centres versus 2 years at the small ones means era and centre volume are completely confounded, yet the comparison between them is presented as informative</w:t>
            </w:r>
          </w:p>
        </w:tc>
      </w:tr>
    </w:tbl>
    <w:p>
      <w:pPr>
        <w:spacing w:after="0" w:line="276"/>
      </w:pPr>
      <w:r>
        <w:rPr>
          <w:color w:val="5A6069"/>
          <w:sz w:val="14"/>
          <w:szCs w:val="14"/>
        </w:rPr>
        <w:t xml:space="preserve">Funding: The authors declared that this study received no financial support</w:t>
      </w:r>
    </w:p>
    <w:p>
      <w:pPr>
        <w:keepNext/>
        <w:spacing w:after="50" w:before="260"/>
      </w:pPr>
      <w:r>
        <w:rPr>
          <w:rFonts w:ascii="Cambria" w:cs="Cambria" w:eastAsia="Cambria" w:hAnsi="Cambria"/>
          <w:b/>
          <w:bCs/>
          <w:color w:val="17365D"/>
          <w:sz w:val="20"/>
          <w:szCs w:val="20"/>
        </w:rPr>
        <w:t xml:space="preserve">Balci 2015 nodal substaging</w:t>
      </w:r>
      <w:r>
        <w:rPr>
          <w:b/>
          <w:bCs/>
          <w:color w:val="176A87"/>
          <w:sz w:val="15"/>
          <w:szCs w:val="15"/>
        </w:rPr>
        <w:t xml:space="preserve">   Retrospective cohort</w:t>
      </w:r>
      <w:r>
        <w:rPr>
          <w:color w:val="5A6069"/>
          <w:sz w:val="15"/>
          <w:szCs w:val="15"/>
        </w:rPr>
        <w:t xml:space="preserve">   PMID 25783680</w:t>
      </w:r>
    </w:p>
    <w:p>
      <w:pPr>
        <w:spacing w:after="50" w:line="276"/>
      </w:pPr>
      <w:r>
        <w:rPr>
          <w:color w:val="5A6069"/>
          <w:sz w:val="17"/>
          <w:szCs w:val="17"/>
        </w:rPr>
        <w:t xml:space="preserve">Substaging nodal status in ampullary carcinomas has significant prognostic value: proposed revised staging based on an analysis of 313 well-characterized cases.</w:t>
      </w:r>
    </w:p>
    <w:p>
      <w:pPr>
        <w:spacing w:after="50"/>
      </w:pPr>
      <w:r>
        <w:rPr>
          <w:b/>
          <w:bCs/>
          <w:color w:val="176A87"/>
          <w:sz w:val="16"/>
          <w:szCs w:val="16"/>
        </w:rPr>
        <w:t xml:space="preserve">Population. </w:t>
      </w:r>
      <w:r>
        <w:rPr>
          <w:sz w:val="16"/>
          <w:szCs w:val="16"/>
        </w:rPr>
        <w:t xml:space="preserve">313 invasive ampullary carcinomas; 142 (45%) node positive; median 11 nodes examined (range 1-61); 150 (48%) had 12 or more nodes examined</w:t>
      </w:r>
    </w:p>
    <w:p>
      <w:pPr>
        <w:spacing w:after="70"/>
      </w:pPr>
      <w:r>
        <w:rPr>
          <w:b/>
          <w:bCs/>
          <w:color w:val="17365D"/>
          <w:sz w:val="16"/>
          <w:szCs w:val="16"/>
        </w:rPr>
        <w:t xml:space="preserve">Bottom line. </w:t>
      </w:r>
      <w:r>
        <w:rPr>
          <w:sz w:val="16"/>
          <w:szCs w:val="16"/>
        </w:rPr>
        <w:t xml:space="preserve">Shows in a pathologically verified cohort that the number of metastatic nodes stratifies survival in ampullary carcinoma and supports adding an N1/N2 split to TNM, but the effect is modest, unadjusted for adjuvant therapy, and the N0-versus-N1 distinction largely disappears once at least 12 nodes are examined.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multi-institutional, so the gross dissection and node-sampling method was not standardised across centres</w:t>
            </w:r>
          </w:p>
          <w:p>
            <w:pPr>
              <w:pStyle w:val="ListParagraph"/>
              <w:numPr>
                <w:ilvl w:val="0"/>
                <w:numId w:val="2"/>
              </w:numPr>
              <w:spacing w:after="45"/>
            </w:pPr>
            <w:r>
              <w:rPr>
                <w:sz w:val="15"/>
                <w:szCs w:val="15"/>
              </w:rPr>
              <w:t xml:space="preserve">Data on adjuvant therapy were not available</w:t>
            </w:r>
          </w:p>
          <w:p>
            <w:pPr>
              <w:pStyle w:val="ListParagraph"/>
              <w:numPr>
                <w:ilvl w:val="0"/>
                <w:numId w:val="2"/>
              </w:numPr>
              <w:spacing w:after="45"/>
            </w:pPr>
            <w:r>
              <w:rPr>
                <w:sz w:val="15"/>
                <w:szCs w:val="15"/>
              </w:rPr>
              <w:t xml:space="preserve">Retrospective design can establish association only, not causation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missing adjuvant-therapy data are not a minor gap: node-positive patients are precisely the ones most likely to have received chemotherapy, so the N1/N2 hazard ratios are confounded by treatment in an unknown direction</w:t>
            </w:r>
          </w:p>
          <w:p>
            <w:pPr>
              <w:pStyle w:val="ListParagraph"/>
              <w:numPr>
                <w:ilvl w:val="0"/>
                <w:numId w:val="2"/>
              </w:numPr>
              <w:spacing w:after="45"/>
            </w:pPr>
            <w:r>
              <w:rPr>
                <w:sz w:val="15"/>
                <w:szCs w:val="15"/>
              </w:rPr>
              <w:t xml:space="preserve">The cut-points were not derived here - they were imported from Kang's SEER analysis - yet no attempt is made to test alternative thresholds (the paper's own Table 3 lists published cut-offs of 2, 3 and 4 nodes), so this is a single-threshold confirmation rather than a validation of the optimal threshold</w:t>
            </w:r>
          </w:p>
          <w:p>
            <w:pPr>
              <w:pStyle w:val="ListParagraph"/>
              <w:numPr>
                <w:ilvl w:val="0"/>
                <w:numId w:val="2"/>
              </w:numPr>
              <w:spacing w:after="45"/>
            </w:pPr>
            <w:r>
              <w:rPr>
                <w:sz w:val="15"/>
                <w:szCs w:val="15"/>
              </w:rPr>
              <w:t xml:space="preserve">Node yield varied from 1 to 61, and 52% of cases had fewer than 12 nodes; understaging in that half inflates the apparent N0 survival, which is the comparison that makes substaging look useful. The authors note the N0 and N1 curves overlap once sampling is adequate but still recommend the scheme, and the implication - that N1 may carry little prognostic weight over N0 when staging is done properly - is left unresolved rather than treated as a finding against the proposal</w:t>
            </w:r>
          </w:p>
          <w:p>
            <w:pPr>
              <w:pStyle w:val="ListParagraph"/>
              <w:numPr>
                <w:ilvl w:val="0"/>
                <w:numId w:val="2"/>
              </w:numPr>
              <w:spacing w:after="45"/>
            </w:pPr>
            <w:r>
              <w:rPr>
                <w:sz w:val="15"/>
                <w:szCs w:val="15"/>
              </w:rPr>
              <w:t xml:space="preserve">N2 cases were markedly over-represented at the one institution using the orange-peeling dissection method (26% vs 13.5% elsewhere), so the N1/N2 split is partly a marker of which pathology lab handled the specimen</w:t>
            </w:r>
          </w:p>
          <w:p>
            <w:pPr>
              <w:pStyle w:val="ListParagraph"/>
              <w:numPr>
                <w:ilvl w:val="0"/>
                <w:numId w:val="2"/>
              </w:numPr>
              <w:spacing w:after="45"/>
            </w:pPr>
            <w:r>
              <w:rPr>
                <w:sz w:val="15"/>
                <w:szCs w:val="15"/>
              </w:rPr>
              <w:t xml:space="preserve">Half the cohort was alive at analysis (155/308) with median follow-up only 56 months, so the 5-year estimates for N1 and N2 (31.5% and 30%, essentially identical) rest on few events and offer no separation at the time point clinicians use</w:t>
            </w:r>
          </w:p>
          <w:p>
            <w:pPr>
              <w:pStyle w:val="ListParagraph"/>
              <w:numPr>
                <w:ilvl w:val="0"/>
                <w:numId w:val="2"/>
              </w:numPr>
              <w:spacing w:after="45"/>
            </w:pPr>
            <w:r>
              <w:rPr>
                <w:sz w:val="15"/>
                <w:szCs w:val="15"/>
              </w:rPr>
              <w:t xml:space="preserve">No competing-risk analysis in a cohort with mean age 64 and median survival approaching 9 years in the N0 group, where non-cancer death is a substantial competing event</w:t>
            </w:r>
          </w:p>
          <w:p>
            <w:pPr>
              <w:pStyle w:val="ListParagraph"/>
              <w:numPr>
                <w:ilvl w:val="0"/>
                <w:numId w:val="2"/>
              </w:numPr>
              <w:spacing w:after="45"/>
            </w:pPr>
            <w:r>
              <w:rPr>
                <w:sz w:val="15"/>
                <w:szCs w:val="15"/>
              </w:rPr>
              <w:t xml:space="preserve">Interobserver agreement on the ampullary-origin determination by the five reviewers is not reported, although the same group showed elsewhere that related ampullary classifications are only fairly reproducible</w:t>
            </w:r>
          </w:p>
        </w:tc>
      </w:tr>
    </w:tbl>
    <w:p>
      <w:pPr>
        <w:spacing w:after="0" w:line="276"/>
      </w:pPr>
      <w:r>
        <w:rPr>
          <w:color w:val="5A6069"/>
          <w:sz w:val="14"/>
          <w:szCs w:val="14"/>
        </w:rPr>
        <w:t xml:space="preserve">Funding: None stated; authors declare no affiliation with or financial involvement in any organisation with a financial interest in the subject matter</w:t>
      </w:r>
    </w:p>
    <w:p>
      <w:pPr>
        <w:keepNext/>
        <w:spacing w:after="50" w:before="260"/>
      </w:pPr>
      <w:r>
        <w:rPr>
          <w:rFonts w:ascii="Cambria" w:cs="Cambria" w:eastAsia="Cambria" w:hAnsi="Cambria"/>
          <w:b/>
          <w:bCs/>
          <w:color w:val="17365D"/>
          <w:sz w:val="20"/>
          <w:szCs w:val="20"/>
        </w:rPr>
        <w:t xml:space="preserve">Bolm 2020</w:t>
      </w:r>
      <w:r>
        <w:rPr>
          <w:b/>
          <w:bCs/>
          <w:color w:val="176A87"/>
          <w:sz w:val="15"/>
          <w:szCs w:val="15"/>
        </w:rPr>
        <w:t xml:space="preserve">   Retrospective cohort</w:t>
      </w:r>
      <w:r>
        <w:rPr>
          <w:color w:val="5A6069"/>
          <w:sz w:val="15"/>
          <w:szCs w:val="15"/>
        </w:rPr>
        <w:t xml:space="preserve">   PMID 31987649</w:t>
      </w:r>
    </w:p>
    <w:p>
      <w:pPr>
        <w:spacing w:after="50" w:line="276"/>
      </w:pPr>
      <w:r>
        <w:rPr>
          <w:color w:val="5A6069"/>
          <w:sz w:val="17"/>
          <w:szCs w:val="17"/>
        </w:rPr>
        <w:t xml:space="preserve">Adjuvant therapy is associated with improved overall survival in patients with pancreatobiliary or mixed subtype ampullary cancer after pancreatoduodenectomy - a multicenter cohort study.</w:t>
      </w:r>
    </w:p>
    <w:p>
      <w:pPr>
        <w:spacing w:after="50"/>
      </w:pPr>
      <w:r>
        <w:rPr>
          <w:b/>
          <w:bCs/>
          <w:color w:val="176A87"/>
          <w:sz w:val="16"/>
          <w:szCs w:val="16"/>
        </w:rPr>
        <w:t xml:space="preserve">Population. </w:t>
      </w:r>
      <w:r>
        <w:rPr>
          <w:sz w:val="16"/>
          <w:szCs w:val="16"/>
        </w:rPr>
        <w:t xml:space="preserve">214 patients undergoing pancreatoduodenectomy for ampullary cancer; 74 (34.6%) intestinal, 124 (57.9%) pancreatobiliary, 16 (7.5%) mixed (analysed as 140 pancreatobiliary/mixed); 75 (35.1%) received adjuvant therapy; median follow-up 80 months</w:t>
      </w:r>
    </w:p>
    <w:p>
      <w:pPr>
        <w:spacing w:after="70"/>
      </w:pPr>
      <w:r>
        <w:rPr>
          <w:b/>
          <w:bCs/>
          <w:color w:val="17365D"/>
          <w:sz w:val="16"/>
          <w:szCs w:val="16"/>
        </w:rPr>
        <w:t xml:space="preserve">Bottom line. </w:t>
      </w:r>
      <w:r>
        <w:rPr>
          <w:sz w:val="16"/>
          <w:szCs w:val="16"/>
        </w:rPr>
        <w:t xml:space="preserve">Reports that gemcitabine-based adjuvant therapy is associated with longer survival in pancreatobiliary/mixed but not intestinal ampullary cancer, and proposes stratifying adjuvant treatment by subtype; but adjuvant therapy was allocated by prognostic stage at the treating centres with no attempt at adjustment for that selection, the whole-cohort effect runs the opposite way, no interaction was tested, and several of the reported hazard ratios are inconsistent with their own confidence intervals - so this is a hypothesis, not evidence for subtype-directed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defended on the grounds that no randomised trial in ampullary cancer exists and that well-defined multicentre cohorts from prospective databases are currently the best available option</w:t>
            </w:r>
          </w:p>
          <w:p>
            <w:pPr>
              <w:pStyle w:val="ListParagraph"/>
              <w:numPr>
                <w:ilvl w:val="0"/>
                <w:numId w:val="2"/>
              </w:numPr>
              <w:spacing w:after="45"/>
            </w:pPr>
            <w:r>
              <w:rPr>
                <w:sz w:val="15"/>
                <w:szCs w:val="15"/>
              </w:rPr>
              <w:t xml:space="preserve">Adjuvant regimens were heterogeneous, with no clear recommendations available for patient selection or agents, and this heterogeneity limits interpretation of the results</w:t>
            </w:r>
          </w:p>
          <w:p>
            <w:pPr>
              <w:pStyle w:val="ListParagraph"/>
              <w:numPr>
                <w:ilvl w:val="0"/>
                <w:numId w:val="2"/>
              </w:numPr>
              <w:spacing w:after="45"/>
            </w:pPr>
            <w:r>
              <w:rPr>
                <w:sz w:val="15"/>
                <w:szCs w:val="15"/>
              </w:rPr>
              <w:t xml:space="preserve">Newer multi-agent regimens such as FOLFIRINOX or gemcitabine with nab-paclitaxel could not be evaluated</w:t>
            </w:r>
          </w:p>
          <w:p>
            <w:pPr>
              <w:pStyle w:val="ListParagraph"/>
              <w:numPr>
                <w:ilvl w:val="0"/>
                <w:numId w:val="2"/>
              </w:numPr>
              <w:spacing w:after="45"/>
            </w:pPr>
            <w:r>
              <w:rPr>
                <w:sz w:val="15"/>
                <w:szCs w:val="15"/>
              </w:rPr>
              <w:t xml:space="preserve">The subgroup of patients receiving fluorouracil-based combinations was too small to assess that regimen in the intestinal subtype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decisive confounder is stated plainly in the paper and then not handled: at the participating centres the decision to give adjuvant therapy was based on T3/4 stage, node positivity and raised CA19-9 after multidisciplinary discussion. Treatment was therefore allocated by prognosis, and no propensity matching, inverse-probability weighting or landmark analysis was performed anywhere in the study</w:t>
            </w:r>
          </w:p>
          <w:p>
            <w:pPr>
              <w:pStyle w:val="ListParagraph"/>
              <w:numPr>
                <w:ilvl w:val="0"/>
                <w:numId w:val="2"/>
              </w:numPr>
              <w:spacing w:after="45"/>
            </w:pPr>
            <w:r>
              <w:rPr>
                <w:sz w:val="15"/>
                <w:szCs w:val="15"/>
              </w:rPr>
              <w:t xml:space="preserve">That confounding by indication is visible in the whole-cohort result, where crude survival was 55 months LONGER without adjuvant therapy (168 vs 113 months, p = 0.608). A protective HR of 0.351 appearing only after the cohort is cut by subtype, from a dataset whose unstratified signal runs the other way, is the pattern of a subgroup artefact rather than of a real interaction</w:t>
            </w:r>
          </w:p>
          <w:p>
            <w:pPr>
              <w:pStyle w:val="ListParagraph"/>
              <w:numPr>
                <w:ilvl w:val="0"/>
                <w:numId w:val="2"/>
              </w:numPr>
              <w:spacing w:after="45"/>
            </w:pPr>
            <w:r>
              <w:rPr>
                <w:sz w:val="15"/>
                <w:szCs w:val="15"/>
              </w:rPr>
              <w:t xml:space="preserve">Several reported statistics are internally inconsistent, which undermines the central estimate: the whole-cohort multivariable ASA HR is 1.784 with CI 0.997-3.193 yet p = 0.050, N stage HR 1.831 with CI 0.904-3.707 yet p = 0.033, and in the subgroup the univariate adjuvant HR is given as 0.301 with CI 0.211-0.715 and T stage as 3.189 with CI 1.223-4.363 - point estimates lying outside or implausibly placed within their own confidence limits. A reader cannot take the 0.351 (0.151-0.851) at face value when neighbouring rows in the same table are arithmetically impossible</w:t>
            </w:r>
          </w:p>
          <w:p>
            <w:pPr>
              <w:pStyle w:val="ListParagraph"/>
              <w:numPr>
                <w:ilvl w:val="0"/>
                <w:numId w:val="2"/>
              </w:numPr>
              <w:spacing w:after="45"/>
            </w:pPr>
            <w:r>
              <w:rPr>
                <w:sz w:val="15"/>
                <w:szCs w:val="15"/>
              </w:rPr>
              <w:t xml:space="preserve">A median overall survival of 136.5 months (over 11 years) for resected ampullary cancer is far outside every other series in this literature (Ecker 57 months, Balci 56 months, ESPAC-3 ampullary 53 months). With median follow-up 80 months and medians exceeding it, these are extrapolations from heavily censored curves, and the whole survival scale of the paper is suspect - possibly reflecting loss to follow-up being treated as survival</w:t>
            </w:r>
          </w:p>
          <w:p>
            <w:pPr>
              <w:pStyle w:val="ListParagraph"/>
              <w:numPr>
                <w:ilvl w:val="0"/>
                <w:numId w:val="2"/>
              </w:numPr>
              <w:spacing w:after="45"/>
            </w:pPr>
            <w:r>
              <w:rPr>
                <w:sz w:val="15"/>
                <w:szCs w:val="15"/>
              </w:rPr>
              <w:t xml:space="preserve">No interaction test between subtype and adjuvant therapy is reported. Comparing a significant p value in one subgroup with a non-significant one in the other is not evidence of effect modification, and the intestinal subgroup had only 22 treated patients - a point estimate of HR 0.443 that is numerically in the same direction as the pancreatobiliary result but simply imprecise (CI 0.099-1.984)</w:t>
            </w:r>
          </w:p>
          <w:p>
            <w:pPr>
              <w:pStyle w:val="ListParagraph"/>
              <w:numPr>
                <w:ilvl w:val="0"/>
                <w:numId w:val="2"/>
              </w:numPr>
              <w:spacing w:after="45"/>
            </w:pPr>
            <w:r>
              <w:rPr>
                <w:sz w:val="15"/>
                <w:szCs w:val="15"/>
              </w:rPr>
              <w:t xml:space="preserve">Subtype was assigned locally at five centres across 21 years using the Albores-Saavedra criteria with no central review, no immunohistochemistry and no interobserver data. Mixed tumours (16 cases) were pooled with pancreatobiliary on the strength of two cited papers, a decision taken after seeing the data and one that directly shapes the subgroup in which the effect is claimed</w:t>
            </w:r>
          </w:p>
          <w:p>
            <w:pPr>
              <w:pStyle w:val="ListParagraph"/>
              <w:numPr>
                <w:ilvl w:val="0"/>
                <w:numId w:val="2"/>
              </w:numPr>
              <w:spacing w:after="45"/>
            </w:pPr>
            <w:r>
              <w:rPr>
                <w:sz w:val="15"/>
                <w:szCs w:val="15"/>
              </w:rPr>
              <w:t xml:space="preserve">A cohort assembled from 1996 to 2017 straddles the introduction of adjuvant gemcitabine itself, so untreated patients are enriched for the earlier era while treated patients are concentrated later; no adjustment for year of surgery appears in any model, and era is confounded with both treatment and supportive care</w:t>
            </w:r>
          </w:p>
          <w:p>
            <w:pPr>
              <w:pStyle w:val="ListParagraph"/>
              <w:numPr>
                <w:ilvl w:val="0"/>
                <w:numId w:val="2"/>
              </w:numPr>
              <w:spacing w:after="45"/>
            </w:pPr>
            <w:r>
              <w:rPr>
                <w:sz w:val="15"/>
                <w:szCs w:val="15"/>
              </w:rPr>
              <w:t xml:space="preserve">20% of treated patients had an unknown regimen and treatment completion, dose intensity and toxicity were not captured at all, so the exposure variable is 'any adjuvant therapy ever started' rather than a defined treatment</w:t>
            </w:r>
          </w:p>
          <w:p>
            <w:pPr>
              <w:pStyle w:val="ListParagraph"/>
              <w:numPr>
                <w:ilvl w:val="0"/>
                <w:numId w:val="2"/>
              </w:numPr>
              <w:spacing w:after="45"/>
            </w:pPr>
            <w:r>
              <w:rPr>
                <w:sz w:val="15"/>
                <w:szCs w:val="15"/>
              </w:rPr>
              <w:t xml:space="preserve">Only 35% of the cohort received adjuvant therapy, giving 53 treated pancreatobiliary/mixed patients to support a multivariable model that also contains ASA, CEA, T, N, grade and margin - far too few events per variable, which is the standard route to inflated hazard ratios</w:t>
            </w:r>
          </w:p>
          <w:p>
            <w:pPr>
              <w:pStyle w:val="ListParagraph"/>
              <w:numPr>
                <w:ilvl w:val="0"/>
                <w:numId w:val="2"/>
              </w:numPr>
              <w:spacing w:after="45"/>
            </w:pPr>
            <w:r>
              <w:rPr>
                <w:sz w:val="15"/>
                <w:szCs w:val="15"/>
              </w:rPr>
              <w:t xml:space="preserve">The in vitro observation that gemcitabine was active only in pancreatobiliary-type ampullary cell lines is offered as mechanistic support, but it comes from a paper co-authored by this group and cannot corroborate a clinical subgroup finding</w:t>
            </w:r>
          </w:p>
          <w:p>
            <w:pPr>
              <w:pStyle w:val="ListParagraph"/>
              <w:numPr>
                <w:ilvl w:val="0"/>
                <w:numId w:val="2"/>
              </w:numPr>
              <w:spacing w:after="45"/>
            </w:pPr>
            <w:r>
              <w:rPr>
                <w:sz w:val="15"/>
                <w:szCs w:val="15"/>
              </w:rPr>
              <w:t xml:space="preserve">Follow-up and recurrence surveillance protocols are not described, so differential detection between treated (closely followed) and untreated patients cannot be excluded</w:t>
            </w:r>
          </w:p>
        </w:tc>
      </w:tr>
    </w:tbl>
    <w:p>
      <w:pPr>
        <w:spacing w:after="0" w:line="276"/>
      </w:pPr>
      <w:r>
        <w:rPr>
          <w:color w:val="5A6069"/>
          <w:sz w:val="14"/>
          <w:szCs w:val="14"/>
        </w:rPr>
        <w:t xml:space="preserve">Funding: No funding was received for the design of the study, collection, analysis and interpretation of data, or writing of the manuscript; all authors declare no conflict of interest</w:t>
      </w:r>
    </w:p>
    <w:p>
      <w:pPr>
        <w:keepNext/>
        <w:spacing w:after="50" w:before="260"/>
      </w:pPr>
      <w:r>
        <w:rPr>
          <w:rFonts w:ascii="Cambria" w:cs="Cambria" w:eastAsia="Cambria" w:hAnsi="Cambria"/>
          <w:b/>
          <w:bCs/>
          <w:color w:val="17365D"/>
          <w:sz w:val="20"/>
          <w:szCs w:val="20"/>
        </w:rPr>
        <w:t xml:space="preserve">Choi 2022</w:t>
      </w:r>
      <w:r>
        <w:rPr>
          <w:b/>
          <w:bCs/>
          <w:color w:val="176A87"/>
          <w:sz w:val="15"/>
          <w:szCs w:val="15"/>
        </w:rPr>
        <w:t xml:space="preserve">   Retrospective cohort</w:t>
      </w:r>
      <w:r>
        <w:rPr>
          <w:color w:val="5A6069"/>
          <w:sz w:val="15"/>
          <w:szCs w:val="15"/>
        </w:rPr>
        <w:t xml:space="preserve">   PMID 35633905</w:t>
      </w:r>
    </w:p>
    <w:p>
      <w:pPr>
        <w:spacing w:after="50" w:line="276"/>
      </w:pPr>
      <w:r>
        <w:rPr>
          <w:color w:val="5A6069"/>
          <w:sz w:val="17"/>
          <w:szCs w:val="17"/>
        </w:rPr>
        <w:t xml:space="preserve">Clinical outcomes of endoscopic papillectomy of ampullary adenoma: a multi-center study.</w:t>
      </w:r>
    </w:p>
    <w:p>
      <w:pPr>
        <w:spacing w:after="50"/>
      </w:pPr>
      <w:r>
        <w:rPr>
          <w:b/>
          <w:bCs/>
          <w:color w:val="176A87"/>
          <w:sz w:val="16"/>
          <w:szCs w:val="16"/>
        </w:rPr>
        <w:t xml:space="preserve">Population. </w:t>
      </w:r>
      <w:r>
        <w:rPr>
          <w:sz w:val="16"/>
          <w:szCs w:val="16"/>
        </w:rPr>
        <w:t xml:space="preserve">106 patients (from 119 collected) after excluding 7 with inadequate follow-up and 6 with non-adenomatous lesions; mean age 61.4 years, 62 men; mean follow-up 36.2 months (SD 18.3); seven endoscopists with more than 5 years of ERCP experience at centres performing over 500 ERCPs/year</w:t>
      </w:r>
    </w:p>
    <w:p>
      <w:pPr>
        <w:spacing w:after="70"/>
      </w:pPr>
      <w:r>
        <w:rPr>
          <w:b/>
          <w:bCs/>
          <w:color w:val="17365D"/>
          <w:sz w:val="16"/>
          <w:szCs w:val="16"/>
        </w:rPr>
        <w:t xml:space="preserve">Bottom line. </w:t>
      </w:r>
      <w:r>
        <w:rPr>
          <w:sz w:val="16"/>
          <w:szCs w:val="16"/>
        </w:rPr>
        <w:t xml:space="preserve">In 106 patients from five Korean tertiary centres, endoscopic papillectomy achieved curative resection in 76% and avoided surgery in 93%, with a positive/uncertain margin predicting early recurrence and piecemeal resection predicting late recurrence and non-curative resection - a useful distinction, but one drawn from 11-13 events with very wide confidence intervals, inconsistent reported denominators, and a recurrence classification that depends on surveillance timing rather than biology.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Selection bias could not be avoided because indications for endoscopic papillectomy are not established</w:t>
            </w:r>
          </w:p>
          <w:p>
            <w:pPr>
              <w:pStyle w:val="ListParagraph"/>
              <w:numPr>
                <w:ilvl w:val="0"/>
                <w:numId w:val="2"/>
              </w:numPr>
              <w:spacing w:after="45"/>
            </w:pPr>
            <w:r>
              <w:rPr>
                <w:sz w:val="15"/>
                <w:szCs w:val="15"/>
              </w:rPr>
              <w:t xml:space="preserve">No guidelines exist on optimal technique, so many intra-procedural decisions were at the endoscopist's discretion</w:t>
            </w:r>
          </w:p>
          <w:p>
            <w:pPr>
              <w:pStyle w:val="ListParagraph"/>
              <w:numPr>
                <w:ilvl w:val="0"/>
                <w:numId w:val="2"/>
              </w:numPr>
              <w:spacing w:after="45"/>
            </w:pPr>
            <w:r>
              <w:rPr>
                <w:sz w:val="15"/>
                <w:szCs w:val="15"/>
              </w:rPr>
              <w:t xml:space="preserve">Not all hospitals distinguished margin positivity as vertical or lateral, so margins had to be simplified to positive/uncertain versus negative</w:t>
            </w:r>
          </w:p>
          <w:p>
            <w:pPr>
              <w:pStyle w:val="ListParagraph"/>
              <w:numPr>
                <w:ilvl w:val="0"/>
                <w:numId w:val="2"/>
              </w:numPr>
              <w:spacing w:after="45"/>
            </w:pPr>
            <w:r>
              <w:rPr>
                <w:sz w:val="15"/>
                <w:szCs w:val="15"/>
              </w:rPr>
              <w:t xml:space="preserve">Retrospective design meant procedural and follow-up factors could not be controlled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internally inconsistent on its own numbers: the abstract states 11 patients (16.1%) had early recurrence and 13 (10.4%) late recurrence, while the results and tables give early 11 (10.4%) and late 13 (12.3%); the article-highlights section gives re-recurrence as 6 patients (12.3%) against 5.7% elsewhere. A reader cannot tell which denominators were used</w:t>
            </w:r>
          </w:p>
          <w:p>
            <w:pPr>
              <w:pStyle w:val="ListParagraph"/>
              <w:numPr>
                <w:ilvl w:val="0"/>
                <w:numId w:val="2"/>
              </w:numPr>
              <w:spacing w:after="45"/>
            </w:pPr>
            <w:r>
              <w:rPr>
                <w:sz w:val="15"/>
                <w:szCs w:val="15"/>
              </w:rPr>
              <w:t xml:space="preserve">The early/late recurrence split is the paper's novelty but it is defined by the timing of the first surveillance endoscopy, which was itself at the endoscopist's discretion within 3 months - so a patient's classification depends on when they happened to be scoped, not on biology, and the authors concede that delayed detection of a remnant leads to underestimating residual and overestimating recurrence</w:t>
            </w:r>
          </w:p>
          <w:p>
            <w:pPr>
              <w:pStyle w:val="ListParagraph"/>
              <w:numPr>
                <w:ilvl w:val="0"/>
                <w:numId w:val="2"/>
              </w:numPr>
              <w:spacing w:after="45"/>
            </w:pPr>
            <w:r>
              <w:rPr>
                <w:sz w:val="15"/>
                <w:szCs w:val="15"/>
              </w:rPr>
              <w:t xml:space="preserve">Every multivariate odds ratio rests on 11-13 events against 5-6 covariates, producing confidence intervals spanning an order of magnitude (1.088-16.387; 1.760-24.820; 1.005-17.128; 1.599-28.057). These are unstable estimates from overfitted models, and the margin result (p = 0.048) and the thermal ablation result (p = 0.048, lower CI limit 1.005) sit exactly at the significance boundary</w:t>
            </w:r>
          </w:p>
          <w:p>
            <w:pPr>
              <w:pStyle w:val="ListParagraph"/>
              <w:numPr>
                <w:ilvl w:val="0"/>
                <w:numId w:val="2"/>
              </w:numPr>
              <w:spacing w:after="45"/>
            </w:pPr>
            <w:r>
              <w:rPr>
                <w:sz w:val="15"/>
                <w:szCs w:val="15"/>
              </w:rPr>
              <w:t xml:space="preserve">Variables entering the multivariate models were preselected on univariate significance in a 106-patient dataset, which inflates the apparent effect of whichever variable survives and is why the two recurrence models produce opposite risk factors with no interaction or formal comparison between them</w:t>
            </w:r>
          </w:p>
          <w:p>
            <w:pPr>
              <w:pStyle w:val="ListParagraph"/>
              <w:numPr>
                <w:ilvl w:val="0"/>
                <w:numId w:val="2"/>
              </w:numPr>
              <w:spacing w:after="45"/>
            </w:pPr>
            <w:r>
              <w:rPr>
                <w:sz w:val="15"/>
                <w:szCs w:val="15"/>
              </w:rPr>
              <w:t xml:space="preserve">The protective effect attributed to pancreatic stenting is confounded by indication in the reverse direction: stents were placed in 73.6% at the endoscopist's discretion, and the cases where stenting was omitted are plausibly those with difficult anatomy or bleeding - the same conditions that predispose to pancreatitis</w:t>
            </w:r>
          </w:p>
          <w:p>
            <w:pPr>
              <w:pStyle w:val="ListParagraph"/>
              <w:numPr>
                <w:ilvl w:val="0"/>
                <w:numId w:val="2"/>
              </w:numPr>
              <w:spacing w:after="45"/>
            </w:pPr>
            <w:r>
              <w:rPr>
                <w:sz w:val="15"/>
                <w:szCs w:val="15"/>
              </w:rPr>
              <w:t xml:space="preserve">Only 1 of 106 index resections was judged incomplete endoscopically (99.1% complete) while 20.8% had positive or uncertain margins and 10.4% had adenoma at the first surveillance - so endoscopic assessment of completeness was essentially uninformative, which undercuts 'curative resection' and 'endoscopic success' as defined (both rest partly on a negative visual margin)</w:t>
            </w:r>
          </w:p>
          <w:p>
            <w:pPr>
              <w:pStyle w:val="ListParagraph"/>
              <w:numPr>
                <w:ilvl w:val="0"/>
                <w:numId w:val="2"/>
              </w:numPr>
              <w:spacing w:after="45"/>
            </w:pPr>
            <w:r>
              <w:rPr>
                <w:sz w:val="15"/>
                <w:szCs w:val="15"/>
              </w:rPr>
              <w:t xml:space="preserve">Margins were simplified to positive-or-uncertain versus negative because centres did not record vertical and lateral separately; that pools 19 genuinely positive with 3 uncertain margins and loses exactly the distinction that the companion Korean study (Yoon 2023) found to carry prognostic weight</w:t>
            </w:r>
          </w:p>
          <w:p>
            <w:pPr>
              <w:pStyle w:val="ListParagraph"/>
              <w:numPr>
                <w:ilvl w:val="0"/>
                <w:numId w:val="2"/>
              </w:numPr>
              <w:spacing w:after="45"/>
            </w:pPr>
            <w:r>
              <w:rPr>
                <w:sz w:val="15"/>
                <w:szCs w:val="15"/>
              </w:rPr>
              <w:t xml:space="preserve">The statement that hospital setting and endoscopist experience did not affect outcomes is presented as a finding, but all five centres performed over 500 ERCPs/year with operators of more than 5 years' experience - the range tested is too narrow to detect a volume effect, so this is a null comparison between similar practices rather than evidence that volume is irrelevant</w:t>
            </w:r>
          </w:p>
          <w:p>
            <w:pPr>
              <w:pStyle w:val="ListParagraph"/>
              <w:numPr>
                <w:ilvl w:val="0"/>
                <w:numId w:val="2"/>
              </w:numPr>
              <w:spacing w:after="45"/>
            </w:pPr>
            <w:r>
              <w:rPr>
                <w:sz w:val="15"/>
                <w:szCs w:val="15"/>
              </w:rPr>
              <w:t xml:space="preserve">Mean follow-up 36.2 months with a 1-year minimum means late recurrence beyond 3 years is largely unobserved; the paper notes the longest adenoma-free interval before recurrence was 27 months, which is less than the 9.75 years reported in a companion series, so the 12.3% late recurrence is a floor</w:t>
            </w:r>
          </w:p>
          <w:p>
            <w:pPr>
              <w:pStyle w:val="ListParagraph"/>
              <w:numPr>
                <w:ilvl w:val="0"/>
                <w:numId w:val="2"/>
              </w:numPr>
              <w:spacing w:after="45"/>
            </w:pPr>
            <w:r>
              <w:rPr>
                <w:sz w:val="15"/>
                <w:szCs w:val="15"/>
              </w:rPr>
              <w:t xml:space="preserve">Adenocarcinoma was found in 4 final specimens and these patients remain in the denominator for curative resection and recurrence, mixing a different disease into an adenoma outcome series</w:t>
            </w:r>
          </w:p>
          <w:p>
            <w:pPr>
              <w:pStyle w:val="ListParagraph"/>
              <w:numPr>
                <w:ilvl w:val="0"/>
                <w:numId w:val="2"/>
              </w:numPr>
              <w:spacing w:after="45"/>
            </w:pPr>
            <w:r>
              <w:rPr>
                <w:sz w:val="15"/>
                <w:szCs w:val="15"/>
              </w:rPr>
              <w:t xml:space="preserve">Inferring that EUS cannot predict persistence because both re-recurrence-to-surgery patients had EUS is an argument from 2 patients in a cohort where EUS was performed in only a third, at the operator's discretion</w:t>
            </w:r>
          </w:p>
        </w:tc>
      </w:tr>
    </w:tbl>
    <w:p>
      <w:pPr>
        <w:spacing w:after="0" w:line="276"/>
      </w:pPr>
      <w:r>
        <w:rPr>
          <w:color w:val="5A6069"/>
          <w:sz w:val="14"/>
          <w:szCs w:val="14"/>
        </w:rPr>
        <w:t xml:space="preserve">Funding: National Research Foundation of Korea grants NRF-2021M3E5D1A01015177 (Korean Government) and NRF-2018R1D1A1B07048202 (Ministry of Education); authors declare no conflict of interest</w:t>
      </w:r>
    </w:p>
    <w:p>
      <w:pPr>
        <w:keepNext/>
        <w:spacing w:after="50" w:before="260"/>
      </w:pPr>
      <w:r>
        <w:rPr>
          <w:rFonts w:ascii="Cambria" w:cs="Cambria" w:eastAsia="Cambria" w:hAnsi="Cambria"/>
          <w:b/>
          <w:bCs/>
          <w:color w:val="17365D"/>
          <w:sz w:val="20"/>
          <w:szCs w:val="20"/>
        </w:rPr>
        <w:t xml:space="preserve">Ecker 2019</w:t>
      </w:r>
      <w:r>
        <w:rPr>
          <w:b/>
          <w:bCs/>
          <w:color w:val="176A87"/>
          <w:sz w:val="15"/>
          <w:szCs w:val="15"/>
        </w:rPr>
        <w:t xml:space="preserve">   Retrospective cohort</w:t>
      </w:r>
      <w:r>
        <w:rPr>
          <w:color w:val="5A6069"/>
          <w:sz w:val="15"/>
          <w:szCs w:val="15"/>
        </w:rPr>
        <w:t xml:space="preserve">   PMID 31141112</w:t>
      </w:r>
    </w:p>
    <w:p>
      <w:pPr>
        <w:spacing w:after="50" w:line="276"/>
      </w:pPr>
      <w:r>
        <w:rPr>
          <w:color w:val="5A6069"/>
          <w:sz w:val="17"/>
          <w:szCs w:val="17"/>
        </w:rPr>
        <w:t xml:space="preserve">Role of adjuvant multimodality therapy after curative-intent resection of ampullary carcinoma.</w:t>
      </w:r>
    </w:p>
    <w:p>
      <w:pPr>
        <w:spacing w:after="50"/>
      </w:pPr>
      <w:r>
        <w:rPr>
          <w:b/>
          <w:bCs/>
          <w:color w:val="176A87"/>
          <w:sz w:val="16"/>
          <w:szCs w:val="16"/>
        </w:rPr>
        <w:t xml:space="preserve">Population. </w:t>
      </w:r>
      <w:r>
        <w:rPr>
          <w:sz w:val="16"/>
          <w:szCs w:val="16"/>
        </w:rPr>
        <w:t xml:space="preserve">357 patients from 756 resections after serial exclusion (196 intestinal, 138 pancreatobiliary, 16 mixed, 7 other); 200 (56.0%) received adjuvant therapy; propensity-matched cohort 162 (81 surgery alone, 81 adjuvant therapy)</w:t>
      </w:r>
    </w:p>
    <w:p>
      <w:pPr>
        <w:spacing w:after="70"/>
      </w:pPr>
      <w:r>
        <w:rPr>
          <w:b/>
          <w:bCs/>
          <w:color w:val="17365D"/>
          <w:sz w:val="16"/>
          <w:szCs w:val="16"/>
        </w:rPr>
        <w:t xml:space="preserve">Bottom line. </w:t>
      </w:r>
      <w:r>
        <w:rPr>
          <w:sz w:val="16"/>
          <w:szCs w:val="16"/>
        </w:rPr>
        <w:t xml:space="preserve">The largest multi-institutional series with complete histologic and adjuvant-therapy detail found no survival benefit from adjuvant chemotherapy, chemoradiotherapy, or subtype-matched regimens after resection of ampullary adenocarcinoma, with adjuvant therapy instead being given selectively to node-positive, perineural-invasion-positive disease; but half the screened patients were excluded for unknown subtype, subtype was assigned locally without central review, and only 81 matched pairs underpin the null result, so this excludes a large benefit rather than a modest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nonrandomised, so the associations cannot be interpreted as causal</w:t>
            </w:r>
          </w:p>
          <w:p>
            <w:pPr>
              <w:pStyle w:val="ListParagraph"/>
              <w:numPr>
                <w:ilvl w:val="0"/>
                <w:numId w:val="2"/>
              </w:numPr>
              <w:spacing w:after="45"/>
            </w:pPr>
            <w:r>
              <w:rPr>
                <w:sz w:val="15"/>
                <w:szCs w:val="15"/>
              </w:rPr>
              <w:t xml:space="preserve">Regression modelling and propensity-score matching adjust for unbalanced measured covariates but remain vulnerable to unmeasured confounders</w:t>
            </w:r>
          </w:p>
          <w:p>
            <w:pPr>
              <w:pStyle w:val="ListParagraph"/>
              <w:numPr>
                <w:ilvl w:val="0"/>
                <w:numId w:val="2"/>
              </w:numPr>
              <w:spacing w:after="45"/>
            </w:pPr>
            <w:r>
              <w:rPr>
                <w:sz w:val="15"/>
                <w:szCs w:val="15"/>
              </w:rPr>
              <w:t xml:space="preserve">Treatment completion and treatment-related toxicity were not captured, although they matter for the decision to use adjuvant therapy</w:t>
            </w:r>
          </w:p>
          <w:p>
            <w:pPr>
              <w:pStyle w:val="ListParagraph"/>
              <w:numPr>
                <w:ilvl w:val="0"/>
                <w:numId w:val="2"/>
              </w:numPr>
              <w:spacing w:after="45"/>
            </w:pPr>
            <w:r>
              <w:rPr>
                <w:sz w:val="15"/>
                <w:szCs w:val="15"/>
              </w:rPr>
              <w:t xml:space="preserve">Disease rarity may have limited power for some analyses; in particular the 2-by-2 substratification of agent against subtype was probably underpowered and the multiagent subgroup analyses were limited because gemcitabine monotherapy was the most common regimen, although there were no trends in any such comparison</w:t>
            </w:r>
          </w:p>
          <w:p>
            <w:pPr>
              <w:pStyle w:val="ListParagraph"/>
              <w:numPr>
                <w:ilvl w:val="0"/>
                <w:numId w:val="2"/>
              </w:numPr>
              <w:spacing w:after="45"/>
            </w:pPr>
            <w:r>
              <w:rPr>
                <w:sz w:val="15"/>
                <w:szCs w:val="15"/>
              </w:rPr>
              <w:t xml:space="preserve">The findings do not apply to neoadjuvant therapy, which was not used in this series</w:t>
            </w:r>
          </w:p>
          <w:p>
            <w:pPr>
              <w:pStyle w:val="ListParagraph"/>
              <w:numPr>
                <w:ilvl w:val="0"/>
                <w:numId w:val="2"/>
              </w:numPr>
              <w:spacing w:after="45"/>
            </w:pPr>
            <w:r>
              <w:rPr>
                <w:sz w:val="15"/>
                <w:szCs w:val="15"/>
              </w:rPr>
              <w:t xml:space="preserve">The authors note that exclusion of patients who died within 90 days was deliberately done to minimise immortal time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369 of 756 patients (49%) were excluded for unknown histologic subtype - a larger group than the one analysed. Since subtype is recorded more often when a specialist pathologist reviewed the case or when the tumour was morphologically unambiguous, the analysed cohort is systematically the clearer, probably more specialist-managed half, and the paper gives no comparison of excluded versus included patients</w:t>
            </w:r>
          </w:p>
          <w:p>
            <w:pPr>
              <w:pStyle w:val="ListParagraph"/>
              <w:numPr>
                <w:ilvl w:val="0"/>
                <w:numId w:val="2"/>
              </w:numPr>
              <w:spacing w:after="45"/>
            </w:pPr>
            <w:r>
              <w:rPr>
                <w:sz w:val="15"/>
                <w:szCs w:val="15"/>
              </w:rPr>
              <w:t xml:space="preserve">Subtype was determined by institutional pathology review across 12 centres with no central re-review and no immunohistochemistry, justified by a 2004 paper on cytokeratin/histology correlation. Given that blinded multi-observer studies put morphological subtyping at kappa 0.39 with 40% of tumours mixed, substantial misclassification is certain, and misclassification would bias any subtype-by-agent interaction towards null - exactly the result reported</w:t>
            </w:r>
          </w:p>
          <w:p>
            <w:pPr>
              <w:pStyle w:val="ListParagraph"/>
              <w:numPr>
                <w:ilvl w:val="0"/>
                <w:numId w:val="2"/>
              </w:numPr>
              <w:spacing w:after="45"/>
            </w:pPr>
            <w:r>
              <w:rPr>
                <w:sz w:val="15"/>
                <w:szCs w:val="15"/>
              </w:rPr>
              <w:t xml:space="preserve">Propensity matching discarded 195 of 357 patients and then used only 81 pairs, which gives the central negative result wide confidence intervals (intestinal 0.67-2.16, pancreatobiliary 0.66-2.76). These intervals do not exclude a clinically important benefit of 25-35% relative risk reduction, so 'no benefit' is better stated as 'no benefit detectable with this power'</w:t>
            </w:r>
          </w:p>
          <w:p>
            <w:pPr>
              <w:pStyle w:val="ListParagraph"/>
              <w:numPr>
                <w:ilvl w:val="0"/>
                <w:numId w:val="2"/>
              </w:numPr>
              <w:spacing w:after="45"/>
            </w:pPr>
            <w:r>
              <w:rPr>
                <w:sz w:val="15"/>
                <w:szCs w:val="15"/>
              </w:rPr>
              <w:t xml:space="preserve">The agent-by-subtype cells are tiny: 31 pancreatobiliary and 34 intestinal patients had a classifiable regimen, and the Kaplan-Meier risk tables show as few as 9 patients in the pancreatobiliary fluorouracil arm. The paper's own concession that this 2-by-2 matrix was underpowered should be read as meaning the primary hypothesis was not actually testable in this dataset</w:t>
            </w:r>
          </w:p>
          <w:p>
            <w:pPr>
              <w:pStyle w:val="ListParagraph"/>
              <w:numPr>
                <w:ilvl w:val="0"/>
                <w:numId w:val="2"/>
              </w:numPr>
              <w:spacing w:after="45"/>
            </w:pPr>
            <w:r>
              <w:rPr>
                <w:sz w:val="15"/>
                <w:szCs w:val="15"/>
              </w:rPr>
              <w:t xml:space="preserve">Matching was on age, race/ethnicity, pT, nodal status and perineural invasion but not on grade, lymphovascular invasion, margin status, CA19-9 or year of surgery, despite grade, LVI and margin all differing between the treated and untreated groups on univariate analysis; residual confounding by indication therefore persists in the matched cohort and runs against adjuvant therapy</w:t>
            </w:r>
          </w:p>
          <w:p>
            <w:pPr>
              <w:pStyle w:val="ListParagraph"/>
              <w:numPr>
                <w:ilvl w:val="0"/>
                <w:numId w:val="2"/>
              </w:numPr>
              <w:spacing w:after="45"/>
            </w:pPr>
            <w:r>
              <w:rPr>
                <w:sz w:val="15"/>
                <w:szCs w:val="15"/>
              </w:rPr>
              <w:t xml:space="preserve">Excluding deaths within 90 days protects against immortal time bias in one direction but introduces survivor selection in the other, since patients fit enough to survive 90 days and then start chemotherapy are being compared with patients who survived 90 days without it; a time-varying or landmark analysis at the actual start of chemotherapy is not performed</w:t>
            </w:r>
          </w:p>
          <w:p>
            <w:pPr>
              <w:pStyle w:val="ListParagraph"/>
              <w:numPr>
                <w:ilvl w:val="0"/>
                <w:numId w:val="2"/>
              </w:numPr>
              <w:spacing w:after="45"/>
            </w:pPr>
            <w:r>
              <w:rPr>
                <w:sz w:val="15"/>
                <w:szCs w:val="15"/>
              </w:rPr>
              <w:t xml:space="preserve">Race appears as one of the strongest predictors of death (Black race HR 3.93) and of treatment omission (OR 0.26), which signals unmeasured access, comorbidity and socioeconomic confounding that no propensity model built on tumour variables can absorb - and which the paper does not discuss</w:t>
            </w:r>
          </w:p>
          <w:p>
            <w:pPr>
              <w:pStyle w:val="ListParagraph"/>
              <w:numPr>
                <w:ilvl w:val="0"/>
                <w:numId w:val="2"/>
              </w:numPr>
              <w:spacing w:after="45"/>
            </w:pPr>
            <w:r>
              <w:rPr>
                <w:sz w:val="15"/>
                <w:szCs w:val="15"/>
              </w:rPr>
              <w:t xml:space="preserve">Median follow-up in the matched cohort is only 34 months against a median survival of 57 months, so more than half the survival curve is driven by censoring; 5-year actuarial estimates from such immature data are unstable</w:t>
            </w:r>
          </w:p>
          <w:p>
            <w:pPr>
              <w:pStyle w:val="ListParagraph"/>
              <w:numPr>
                <w:ilvl w:val="0"/>
                <w:numId w:val="2"/>
              </w:numPr>
              <w:spacing w:after="45"/>
            </w:pPr>
            <w:r>
              <w:rPr>
                <w:sz w:val="15"/>
                <w:szCs w:val="15"/>
              </w:rPr>
              <w:t xml:space="preserve">A 17-year accrual spans the introduction of modern multiagent regimens; gemcitabine monotherapy predominated, so the trial tests the agents of the 2000s and cannot speak to FOLFIRINOX-era therapy - a point the authors make for multiagent therapy but not for the headline conclusion</w:t>
            </w:r>
          </w:p>
          <w:p>
            <w:pPr>
              <w:pStyle w:val="ListParagraph"/>
              <w:numPr>
                <w:ilvl w:val="0"/>
                <w:numId w:val="2"/>
              </w:numPr>
              <w:spacing w:after="45"/>
            </w:pPr>
            <w:r>
              <w:rPr>
                <w:sz w:val="15"/>
                <w:szCs w:val="15"/>
              </w:rPr>
              <w:t xml:space="preserve">In the multivariable Cox table most hazard ratios are reported as 'NA' with only a p value, including the adjuvant therapy row, so the magnitude and precision of the central negative finding in the unmatched analysis cannot be inspected</w:t>
            </w:r>
          </w:p>
          <w:p>
            <w:pPr>
              <w:pStyle w:val="ListParagraph"/>
              <w:numPr>
                <w:ilvl w:val="0"/>
                <w:numId w:val="2"/>
              </w:numPr>
              <w:spacing w:after="45"/>
            </w:pPr>
            <w:r>
              <w:rPr>
                <w:sz w:val="15"/>
                <w:szCs w:val="15"/>
              </w:rPr>
              <w:t xml:space="preserve">The pancreatic fistula analysis compares this cohort against an entirely separate Pancreas Fistula Study Group dataset of 4722 non-ampullary resections with no matching for era, centre or surgeon, so the 2.7-fold fistula odds are a cross-dataset comparison rather than a within-cohort finding</w:t>
            </w:r>
          </w:p>
        </w:tc>
      </w:tr>
    </w:tbl>
    <w:p>
      <w:pPr>
        <w:spacing w:after="0" w:line="276"/>
      </w:pPr>
      <w:r>
        <w:rPr>
          <w:color w:val="5A6069"/>
          <w:sz w:val="14"/>
          <w:szCs w:val="14"/>
        </w:rPr>
        <w:t xml:space="preserve">Funding: None stated; conflict of interest disclosures reported as none</w:t>
      </w:r>
    </w:p>
    <w:p>
      <w:pPr>
        <w:keepNext/>
        <w:spacing w:after="50" w:before="260"/>
      </w:pPr>
      <w:r>
        <w:rPr>
          <w:rFonts w:ascii="Cambria" w:cs="Cambria" w:eastAsia="Cambria" w:hAnsi="Cambria"/>
          <w:b/>
          <w:bCs/>
          <w:color w:val="17365D"/>
          <w:sz w:val="20"/>
          <w:szCs w:val="20"/>
        </w:rPr>
        <w:t xml:space="preserve">ESGE ampullary 2021</w:t>
      </w:r>
      <w:r>
        <w:rPr>
          <w:b/>
          <w:bCs/>
          <w:color w:val="176A87"/>
          <w:sz w:val="15"/>
          <w:szCs w:val="15"/>
        </w:rPr>
        <w:t xml:space="preserve">   Guideline</w:t>
      </w:r>
      <w:r>
        <w:rPr>
          <w:color w:val="5A6069"/>
          <w:sz w:val="15"/>
          <w:szCs w:val="15"/>
        </w:rPr>
        <w:t xml:space="preserve">   PMID 33728632</w:t>
      </w:r>
    </w:p>
    <w:p>
      <w:pPr>
        <w:spacing w:after="50" w:line="276"/>
      </w:pPr>
      <w:r>
        <w:rPr>
          <w:color w:val="5A6069"/>
          <w:sz w:val="17"/>
          <w:szCs w:val="17"/>
        </w:rPr>
        <w:t xml:space="preserve">Endoscopic management of ampullary tumors: European Society of Gastrointestinal Endoscopy (ESGE) Guideline.</w:t>
      </w:r>
    </w:p>
    <w:p>
      <w:pPr>
        <w:spacing w:after="70"/>
      </w:pPr>
      <w:r>
        <w:rPr>
          <w:b/>
          <w:bCs/>
          <w:color w:val="17365D"/>
          <w:sz w:val="16"/>
          <w:szCs w:val="16"/>
        </w:rPr>
        <w:t xml:space="preserve">Bottom line. </w:t>
      </w:r>
      <w:r>
        <w:rPr>
          <w:sz w:val="16"/>
          <w:szCs w:val="16"/>
        </w:rPr>
        <w:t xml:space="preserve">The reference guideline for ampullary tumours: endoscopic papillectomy first-line for adenoma without intraductal extension, en bloc up to 20-30 mm without submucosal injection, prophylactic pancreatic stenting, surgery for intraductal extension over 20 mm or size over 4 cm, pancreatoduodenectomy for T1 or above including incidental post-papillectomy T1, and duodenoscopy with scar biopsies at 3, 6 and 12 months then yearly for 5 years; but nine of eleven main recommendations are strong on low-quality evidence, its advice against molecular testing has since been reversed by the pathology consensus, and it gives no guidance on indeterminate margins.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9 of its 11 main recommendations as low quality evidence, with only 3 statements (endoscopic papillectomy for adenoma without intraductal extension, direct snare resection without submucosal injection, and prophylactic pancreatic stenting) reaching moderate quality</w:t>
            </w:r>
          </w:p>
          <w:p>
            <w:pPr>
              <w:pStyle w:val="ListParagraph"/>
              <w:numPr>
                <w:ilvl w:val="0"/>
                <w:numId w:val="2"/>
              </w:numPr>
              <w:spacing w:after="45"/>
            </w:pPr>
            <w:r>
              <w:rPr>
                <w:sz w:val="15"/>
                <w:szCs w:val="15"/>
              </w:rPr>
              <w:t xml:space="preserve">It states that the literature search prioritised meta-analyses and prospective studies but that retrospective analyses and pilot studies had to be included where prospective data did not exist</w:t>
            </w:r>
          </w:p>
          <w:p>
            <w:pPr>
              <w:pStyle w:val="ListParagraph"/>
              <w:numPr>
                <w:ilvl w:val="0"/>
                <w:numId w:val="2"/>
              </w:numPr>
              <w:spacing w:after="45"/>
            </w:pPr>
            <w:r>
              <w:rPr>
                <w:sz w:val="15"/>
                <w:szCs w:val="15"/>
              </w:rPr>
              <w:t xml:space="preserve">It notes the 8th edition T subcategories are insufficiently precise, with no significant recurrence-free survival difference between T1b and T2 or between T2 and T3a</w:t>
            </w:r>
          </w:p>
          <w:p>
            <w:pPr>
              <w:pStyle w:val="ListParagraph"/>
              <w:numPr>
                <w:ilvl w:val="0"/>
                <w:numId w:val="2"/>
              </w:numPr>
              <w:spacing w:after="45"/>
            </w:pPr>
            <w:r>
              <w:rPr>
                <w:sz w:val="15"/>
                <w:szCs w:val="15"/>
              </w:rPr>
              <w:t xml:space="preserve">It acknowledges that the EUS-guided versus ERCP-guided drainage meta-analyses rest on small series from high-volume expert centres and are difficult to generalise</w:t>
            </w:r>
          </w:p>
          <w:p>
            <w:pPr>
              <w:pStyle w:val="ListParagraph"/>
              <w:numPr>
                <w:ilvl w:val="0"/>
                <w:numId w:val="2"/>
              </w:numPr>
              <w:spacing w:after="45"/>
            </w:pPr>
            <w:r>
              <w:rPr>
                <w:sz w:val="15"/>
                <w:szCs w:val="15"/>
              </w:rPr>
              <w:t xml:space="preserve">No additional high-quality evidence on preoperative and palliative biliary drainage had appeared since the 2017 ESGE stenting guideline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Nine of eleven main recommendations are strong on low-quality evidence. The most consequential of these - pancreatoduodenectomy for any T1 or greater adenocarcinoma, including when found incidentally after papillectomy - is a major operation mandated on low-quality evidence, and the Korean propensity-matched study in this depot (Yoon 2023) subsequently found no overall survival difference between surveillance and completion surgery in exactly that situation</w:t>
            </w:r>
          </w:p>
          <w:p>
            <w:pPr>
              <w:pStyle w:val="ListParagraph"/>
              <w:numPr>
                <w:ilvl w:val="0"/>
                <w:numId w:val="2"/>
              </w:numPr>
              <w:spacing w:after="45"/>
            </w:pPr>
            <w:r>
              <w:rPr>
                <w:sz w:val="15"/>
                <w:szCs w:val="15"/>
              </w:rPr>
              <w:t xml:space="preserve">The size threshold for en bloc resection is given as '20-30 mm' in the recommendation but discussed elsewhere as 30 mm and as 4 cm for surgical referral, with intraductal involvement thresholds of 10 mm (resectable), 20 mm (surgery suggested) and 20 mm with ablation (possibly acceptable) appearing in different places. The practical cut-points a clinician needs are not stated consistently</w:t>
            </w:r>
          </w:p>
          <w:p>
            <w:pPr>
              <w:pStyle w:val="ListParagraph"/>
              <w:numPr>
                <w:ilvl w:val="0"/>
                <w:numId w:val="2"/>
              </w:numPr>
              <w:spacing w:after="45"/>
            </w:pPr>
            <w:r>
              <w:rPr>
                <w:sz w:val="15"/>
                <w:szCs w:val="15"/>
              </w:rPr>
              <w:t xml:space="preserve">The recommendation against routine molecular and immunohistochemical testing of ampullary biopsies was already at odds with the pathology literature when issued and is now clearly superseded: the PERIPAN consensus in this depot recommends reflex mismatch repair testing on every ampullary carcinoma, and the medullary-carcinoma data show 64% MMR deficiency with near-universal PD-L1 expression. A weak recommendation on low-quality evidence has nonetheless had the effect of discouraging testing that identifies Lynch syndrome and immunotherapy candidates</w:t>
            </w:r>
          </w:p>
          <w:p>
            <w:pPr>
              <w:pStyle w:val="ListParagraph"/>
              <w:numPr>
                <w:ilvl w:val="0"/>
                <w:numId w:val="2"/>
              </w:numPr>
              <w:spacing w:after="45"/>
            </w:pPr>
            <w:r>
              <w:rPr>
                <w:sz w:val="15"/>
                <w:szCs w:val="15"/>
              </w:rPr>
              <w:t xml:space="preserve">Prophylactic pancreatic stenting is graded moderate quality, but the randomised evidence in this depot amounts to Harewood's 19-patient trial that lost significance on intention-to-treat and Lee's 45-patient pilot in which guaranteed stenting did not reduce pancreatitis (18% vs 13%); grading that body of evidence as moderate overstates it</w:t>
            </w:r>
          </w:p>
          <w:p>
            <w:pPr>
              <w:pStyle w:val="ListParagraph"/>
              <w:numPr>
                <w:ilvl w:val="0"/>
                <w:numId w:val="2"/>
              </w:numPr>
              <w:spacing w:after="45"/>
            </w:pPr>
            <w:r>
              <w:rPr>
                <w:sz w:val="15"/>
                <w:szCs w:val="15"/>
              </w:rPr>
              <w:t xml:space="preserve">'Direct snare resection without submucosal injection' is also graded moderate quality and issued as a strong recommendation, yet the ESAP analysis published four years later notes the evidence remains contradictory and that submucosal injection was still used in a quarter of recent European papillectomies - an indication the panel's confidence exceeded the literature</w:t>
            </w:r>
          </w:p>
          <w:p>
            <w:pPr>
              <w:pStyle w:val="ListParagraph"/>
              <w:numPr>
                <w:ilvl w:val="0"/>
                <w:numId w:val="2"/>
              </w:numPr>
              <w:spacing w:after="45"/>
            </w:pPr>
            <w:r>
              <w:rPr>
                <w:sz w:val="15"/>
                <w:szCs w:val="15"/>
              </w:rPr>
              <w:t xml:space="preserve">The follow-up schedule - duodenoscopy with scar biopsies at 3, 6 and 12 months then yearly for at least 5 years - is specified to the month on low-quality evidence with no derivation, no interval-cancer analysis and no cost or burden assessment. Subsequent data in this depot show recurrences out to 9.75 years, so 5 years may be too short, while the 3-month examination largely detects residual rather than recurrent disease</w:t>
            </w:r>
          </w:p>
          <w:p>
            <w:pPr>
              <w:pStyle w:val="ListParagraph"/>
              <w:numPr>
                <w:ilvl w:val="0"/>
                <w:numId w:val="2"/>
              </w:numPr>
              <w:spacing w:after="45"/>
            </w:pPr>
            <w:r>
              <w:rPr>
                <w:sz w:val="15"/>
                <w:szCs w:val="15"/>
              </w:rPr>
              <w:t xml:space="preserve">There is no recommendation on what to do with an Rx or indeterminate margin, which the Japanese national cohort later showed accounts for a quarter of papillectomies and carries almost the same recurrence risk as frank R1 - a gap that leaves the commonest ambiguous pathology result unaddressed</w:t>
            </w:r>
          </w:p>
          <w:p>
            <w:pPr>
              <w:pStyle w:val="ListParagraph"/>
              <w:numPr>
                <w:ilvl w:val="0"/>
                <w:numId w:val="2"/>
              </w:numPr>
              <w:spacing w:after="45"/>
            </w:pPr>
            <w:r>
              <w:rPr>
                <w:sz w:val="15"/>
                <w:szCs w:val="15"/>
              </w:rPr>
              <w:t xml:space="preserve">The guideline recommends against papillectomy when adenoma has not been proven, but the literature it reviews shows pre-procedure biopsy is wrong in 20-47% of cases in both directions; requiring proof of adenoma from a test that unreliable, while discouraging the biopsy repetition that might establish it, sets a standard that cannot be met in practice</w:t>
            </w:r>
          </w:p>
          <w:p>
            <w:pPr>
              <w:pStyle w:val="ListParagraph"/>
              <w:numPr>
                <w:ilvl w:val="0"/>
                <w:numId w:val="2"/>
              </w:numPr>
              <w:spacing w:after="45"/>
            </w:pPr>
            <w:r>
              <w:rPr>
                <w:sz w:val="15"/>
                <w:szCs w:val="15"/>
              </w:rPr>
              <w:t xml:space="preserve">Nothing in the guideline addresses the histologic subtype question or adjuvant therapy, so a clinician whose papillectomy specimen shows pancreatobiliary-subtype T1 adenocarcinoma is directed to pancreatoduodenectomy with no guidance on what, if anything, should follow</w:t>
            </w:r>
          </w:p>
          <w:p>
            <w:pPr>
              <w:pStyle w:val="ListParagraph"/>
              <w:numPr>
                <w:ilvl w:val="0"/>
                <w:numId w:val="2"/>
              </w:numPr>
              <w:spacing w:after="45"/>
            </w:pPr>
            <w:r>
              <w:rPr>
                <w:sz w:val="15"/>
                <w:szCs w:val="15"/>
              </w:rPr>
              <w:t xml:space="preserve">No funding statement appears. Four panel members including the lead author and the guideline committee chair declare consultancies, lecture fees or departmental research grants from Boston Scientific, Cook Medical, Olympus and Medtronic, in a guideline recommending specific endoscopic devices, stents and techniques</w:t>
            </w:r>
          </w:p>
          <w:p>
            <w:pPr>
              <w:pStyle w:val="ListParagraph"/>
              <w:numPr>
                <w:ilvl w:val="0"/>
                <w:numId w:val="2"/>
              </w:numPr>
              <w:spacing w:after="45"/>
            </w:pPr>
            <w:r>
              <w:rPr>
                <w:sz w:val="15"/>
                <w:szCs w:val="15"/>
              </w:rPr>
              <w:t xml:space="preserve">The panel is composed almost entirely of endoscopists; the surgical and pathological recommendations (pancreatoduodenectomy for T1, frozen-section policy during ampullectomy, what constitutes adequate histopathology) are made without evident surgical or pathology representation among the listed authors</w:t>
            </w:r>
          </w:p>
        </w:tc>
      </w:tr>
    </w:tbl>
    <w:p>
      <w:pPr>
        <w:keepNext/>
        <w:spacing w:after="50" w:before="260"/>
      </w:pPr>
      <w:r>
        <w:rPr>
          <w:rFonts w:ascii="Cambria" w:cs="Cambria" w:eastAsia="Cambria" w:hAnsi="Cambria"/>
          <w:b/>
          <w:bCs/>
          <w:color w:val="17365D"/>
          <w:sz w:val="20"/>
          <w:szCs w:val="20"/>
        </w:rPr>
        <w:t xml:space="preserve">ESGE polyposis 2019</w:t>
      </w:r>
      <w:r>
        <w:rPr>
          <w:b/>
          <w:bCs/>
          <w:color w:val="176A87"/>
          <w:sz w:val="15"/>
          <w:szCs w:val="15"/>
        </w:rPr>
        <w:t xml:space="preserve">   Guideline</w:t>
      </w:r>
      <w:r>
        <w:rPr>
          <w:color w:val="5A6069"/>
          <w:sz w:val="15"/>
          <w:szCs w:val="15"/>
        </w:rPr>
        <w:t xml:space="preserve">   PMID 31342472</w:t>
      </w:r>
    </w:p>
    <w:p>
      <w:pPr>
        <w:spacing w:after="50" w:line="276"/>
      </w:pPr>
      <w:r>
        <w:rPr>
          <w:color w:val="5A6069"/>
          <w:sz w:val="17"/>
          <w:szCs w:val="17"/>
        </w:rPr>
        <w:t xml:space="preserve">Endoscopic management of polyposis syndromes: European Society of Gastrointestinal Endoscopy (ESGE) Guideline.</w:t>
      </w:r>
    </w:p>
    <w:p>
      <w:pPr>
        <w:spacing w:after="70"/>
      </w:pPr>
      <w:r>
        <w:rPr>
          <w:b/>
          <w:bCs/>
          <w:color w:val="17365D"/>
          <w:sz w:val="16"/>
          <w:szCs w:val="16"/>
        </w:rPr>
        <w:t xml:space="preserve">Bottom line. </w:t>
      </w:r>
      <w:r>
        <w:rPr>
          <w:sz w:val="16"/>
          <w:szCs w:val="16"/>
        </w:rPr>
        <w:t xml:space="preserve">The guideline that first separated ampullary from Spigelman-based surveillance in polyposis syndromes - 5, 3 or 1 year by ampullary appearance and size, with the shorter interval taking precedence, and biopsy discouraged - which is a sensible correction to a score that ignores where half the cancers arise; but the ampullary intervals are uncited panel judgement, every relevant recommendation rests on low-quality evidence, and the guideline recommends endoscopic resection despite its own summary showing 22-100% recurrence and no cancer-prevention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almost every duodenal and ampullary recommendation as low quality evidence, including all those that are nonetheless issued as strong recommendations</w:t>
            </w:r>
          </w:p>
          <w:p>
            <w:pPr>
              <w:pStyle w:val="ListParagraph"/>
              <w:numPr>
                <w:ilvl w:val="0"/>
                <w:numId w:val="2"/>
              </w:numPr>
              <w:spacing w:after="45"/>
            </w:pPr>
            <w:r>
              <w:rPr>
                <w:sz w:val="15"/>
                <w:szCs w:val="15"/>
              </w:rPr>
              <w:t xml:space="preserve">It states explicitly that there is a lack of data and a need to better understand the biology of duodenal and ampullary adenomas in order to develop a new risk-stratification system</w:t>
            </w:r>
          </w:p>
          <w:p>
            <w:pPr>
              <w:pStyle w:val="ListParagraph"/>
              <w:numPr>
                <w:ilvl w:val="0"/>
                <w:numId w:val="2"/>
              </w:numPr>
              <w:spacing w:after="45"/>
            </w:pPr>
            <w:r>
              <w:rPr>
                <w:sz w:val="15"/>
                <w:szCs w:val="15"/>
              </w:rPr>
              <w:t xml:space="preserve">It notes that obtaining all components of the Spigelman score requires pathology, which conflicts with its own recommendation against routine biopsy, and resolves this by allowing the stage to be determined from previous pathology or optical diagnosis</w:t>
            </w:r>
          </w:p>
          <w:p>
            <w:pPr>
              <w:pStyle w:val="ListParagraph"/>
              <w:numPr>
                <w:ilvl w:val="0"/>
                <w:numId w:val="2"/>
              </w:numPr>
              <w:spacing w:after="45"/>
            </w:pPr>
            <w:r>
              <w:rPr>
                <w:sz w:val="15"/>
                <w:szCs w:val="15"/>
              </w:rPr>
              <w:t xml:space="preserve">It acknowledges that long-term data on cancer risk in MAP patients with apparently less severe disease are hardly available, yet surveillance intervals follow the FAP recommendations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new recommendation - separate ampullary intervals of 5, 3 and 1 year - carries no citation, no modelling and no stated derivation. The text says these intervals 'seem safe' and are 'proposed'; the only supporting evidence offered is that half of duodenal cancers are periampullary and that an abnormal ampulla predicted high-grade dysplasia in one study. A size threshold of 10 mm and three interval lengths have been generated by panel judgement and are now embedded in practice</w:t>
            </w:r>
          </w:p>
          <w:p>
            <w:pPr>
              <w:pStyle w:val="ListParagraph"/>
              <w:numPr>
                <w:ilvl w:val="0"/>
                <w:numId w:val="2"/>
              </w:numPr>
              <w:spacing w:after="45"/>
            </w:pPr>
            <w:r>
              <w:rPr>
                <w:sz w:val="15"/>
                <w:szCs w:val="15"/>
              </w:rPr>
              <w:t xml:space="preserve">Strong recommendations are repeatedly issued on low-quality evidence (duodenal surveillance from age 25, thorough ampullary inspection at every endoscopy, MAP surveillance from 35), which GRADE permits only under specific conditions that are not articulated here; the accompanying agreement percentages (89-100%) measure panel consensus, not evidence, and risk being read as a quality metric</w:t>
            </w:r>
          </w:p>
          <w:p>
            <w:pPr>
              <w:pStyle w:val="ListParagraph"/>
              <w:numPr>
                <w:ilvl w:val="0"/>
                <w:numId w:val="2"/>
              </w:numPr>
              <w:spacing w:after="45"/>
            </w:pPr>
            <w:r>
              <w:rPr>
                <w:sz w:val="15"/>
                <w:szCs w:val="15"/>
              </w:rPr>
              <w:t xml:space="preserve">The guideline keeps the Spigelman score as the primary determinant of interval while simultaneously discouraging the biopsies that generate two of its four components, and resolves the contradiction by permitting stage to be calculated from historical pathology or optical diagnosis. That makes the score a different quantity from the one described in 1989, and no accuracy data for optically assigned histology or dysplasia are provided</w:t>
            </w:r>
          </w:p>
          <w:p>
            <w:pPr>
              <w:pStyle w:val="ListParagraph"/>
              <w:numPr>
                <w:ilvl w:val="0"/>
                <w:numId w:val="2"/>
              </w:numPr>
              <w:spacing w:after="45"/>
            </w:pPr>
            <w:r>
              <w:rPr>
                <w:sz w:val="15"/>
                <w:szCs w:val="15"/>
              </w:rPr>
              <w:t xml:space="preserve">Recommending against routine ampullary biopsy on the basis of pancreatitis risk is reasonable but the cited evidence is four case reports and asymptomatic amylase elevation in a 35-patient study; the trade-off against losing histological risk stratification at the highest-risk site in FAP is not analysed</w:t>
            </w:r>
          </w:p>
          <w:p>
            <w:pPr>
              <w:pStyle w:val="ListParagraph"/>
              <w:numPr>
                <w:ilvl w:val="0"/>
                <w:numId w:val="2"/>
              </w:numPr>
              <w:spacing w:after="45"/>
            </w:pPr>
            <w:r>
              <w:rPr>
                <w:sz w:val="15"/>
                <w:szCs w:val="15"/>
              </w:rPr>
              <w:t xml:space="preserve">The guideline's own evidence summary shows recurrence after duodenal endoscopic resection of 22-100% across nine studies of 6-35 patients, one cited study showing that downstaging stage IV disease was followed by faster subsequent progression, and no demonstration that endoscopic therapy prevents cancer - yet it still suggests considering EMR for adenomas 10 mm or larger. The recommendation outruns the evidence the guideline itself presents</w:t>
            </w:r>
          </w:p>
          <w:p>
            <w:pPr>
              <w:pStyle w:val="ListParagraph"/>
              <w:numPr>
                <w:ilvl w:val="0"/>
                <w:numId w:val="2"/>
              </w:numPr>
              <w:spacing w:after="45"/>
            </w:pPr>
            <w:r>
              <w:rPr>
                <w:sz w:val="15"/>
                <w:szCs w:val="15"/>
              </w:rPr>
              <w:t xml:space="preserve">Interval recommendations diverge sharply from the American College of Gastroenterology for the same stage (3-6 months with surgical evaluation for stage IV versus 6 months here), and the guideline neither reconciles this nor explains the basis for the difference, leaving clinicians to choose between guidelines rather than between evidence</w:t>
            </w:r>
          </w:p>
          <w:p>
            <w:pPr>
              <w:pStyle w:val="ListParagraph"/>
              <w:numPr>
                <w:ilvl w:val="0"/>
                <w:numId w:val="2"/>
              </w:numPr>
              <w:spacing w:after="45"/>
            </w:pPr>
            <w:r>
              <w:rPr>
                <w:sz w:val="15"/>
                <w:szCs w:val="15"/>
              </w:rPr>
              <w:t xml:space="preserve">The cancer-risk figures that justify the whole programme (4-10% cumulative duodenal cancer risk by 60) are drawn from cohorts spanning decades in which endoscopic technology and Spigelman scoring both changed, a confounder the companion review in this depot flags explicitly but this guideline does not</w:t>
            </w:r>
          </w:p>
          <w:p>
            <w:pPr>
              <w:pStyle w:val="ListParagraph"/>
              <w:numPr>
                <w:ilvl w:val="0"/>
                <w:numId w:val="2"/>
              </w:numPr>
              <w:spacing w:after="45"/>
            </w:pPr>
            <w:r>
              <w:rPr>
                <w:sz w:val="15"/>
                <w:szCs w:val="15"/>
              </w:rPr>
              <w:t xml:space="preserve">The ampullary recommendation in the summary table - 'consider discussing endoscopic treatment in a multidisciplinary setting for adenomas 10 mm or larger, showing excessive growth, or with suspicion of invasive growth' - is a recommendation to hold a discussion rather than a decision rule, and gives no guidance on what the discussion should conclude</w:t>
            </w:r>
          </w:p>
          <w:p>
            <w:pPr>
              <w:pStyle w:val="ListParagraph"/>
              <w:numPr>
                <w:ilvl w:val="0"/>
                <w:numId w:val="2"/>
              </w:numPr>
              <w:spacing w:after="45"/>
            </w:pPr>
            <w:r>
              <w:rPr>
                <w:sz w:val="15"/>
                <w:szCs w:val="15"/>
              </w:rPr>
              <w:t xml:space="preserve">Interobserver reproducibility of the two optical judgements the guideline now relies on - ampullary appearance and polyp size - is never addressed, although ongoing trials of exactly this variability were registered at the time</w:t>
            </w:r>
          </w:p>
          <w:p>
            <w:pPr>
              <w:pStyle w:val="ListParagraph"/>
              <w:numPr>
                <w:ilvl w:val="0"/>
                <w:numId w:val="2"/>
              </w:numPr>
              <w:spacing w:after="45"/>
            </w:pPr>
            <w:r>
              <w:rPr>
                <w:sz w:val="15"/>
                <w:szCs w:val="15"/>
              </w:rPr>
              <w:t xml:space="preserve">No funding statement appears, and several panel members declare equipment loans, research donations, consultancies and speaker fees from endoscope manufacturers (Fujifilm, Olympus, Pentax, Cook Medical, Boston Scientific, Medtronic) in a guideline that intensifies endoscopic surveillance and recommends cap-assisted and side-viewing endoscopy; two panel members are co-editors of the publishing journal</w:t>
            </w:r>
          </w:p>
        </w:tc>
      </w:tr>
    </w:tbl>
    <w:p>
      <w:pPr>
        <w:keepNext/>
        <w:spacing w:after="50" w:before="260"/>
      </w:pPr>
      <w:r>
        <w:rPr>
          <w:rFonts w:ascii="Cambria" w:cs="Cambria" w:eastAsia="Cambria" w:hAnsi="Cambria"/>
          <w:b/>
          <w:bCs/>
          <w:color w:val="17365D"/>
          <w:sz w:val="20"/>
          <w:szCs w:val="20"/>
        </w:rPr>
        <w:t xml:space="preserve">ESPAC-3 periampullary</w:t>
      </w:r>
      <w:r>
        <w:rPr>
          <w:b/>
          <w:bCs/>
          <w:color w:val="176A87"/>
          <w:sz w:val="15"/>
          <w:szCs w:val="15"/>
        </w:rPr>
        <w:t xml:space="preserve">   Randomised trial</w:t>
      </w:r>
      <w:r>
        <w:rPr>
          <w:color w:val="5A6069"/>
          <w:sz w:val="15"/>
          <w:szCs w:val="15"/>
        </w:rPr>
        <w:t xml:space="preserve">   PMID 22782416</w:t>
      </w:r>
    </w:p>
    <w:p>
      <w:pPr>
        <w:spacing w:after="50" w:line="276"/>
      </w:pPr>
      <w:r>
        <w:rPr>
          <w:color w:val="5A6069"/>
          <w:sz w:val="17"/>
          <w:szCs w:val="17"/>
        </w:rPr>
        <w:t xml:space="preserve">Effect of adjuvant chemotherapy with fluorouracil plus folinic acid or gemcitabine vs observation on survival in patients with resected periampullary adenocarcinoma: the ESPAC-3 periampullary cancer randomized trial.</w:t>
      </w:r>
    </w:p>
    <w:p>
      <w:pPr>
        <w:spacing w:after="50"/>
      </w:pPr>
      <w:r>
        <w:rPr>
          <w:b/>
          <w:bCs/>
          <w:color w:val="176A87"/>
          <w:sz w:val="16"/>
          <w:szCs w:val="16"/>
        </w:rPr>
        <w:t xml:space="preserve">Population. </w:t>
      </w:r>
      <w:r>
        <w:rPr>
          <w:sz w:val="16"/>
          <w:szCs w:val="16"/>
        </w:rPr>
        <w:t xml:space="preserve">434 randomised, 428 in the primary analysis (144 observation, 143 fluorouracil plus folinic acid, 141 gemcitabine); 297 ampullary, 96 intrapancreatic bile duct, 35 other (10 duodenal, 25 nondescript); 244 deaths (57%) at analysis</w:t>
      </w:r>
    </w:p>
    <w:p>
      <w:pPr>
        <w:spacing w:after="70"/>
      </w:pPr>
      <w:r>
        <w:rPr>
          <w:b/>
          <w:bCs/>
          <w:color w:val="17365D"/>
          <w:sz w:val="16"/>
          <w:szCs w:val="16"/>
        </w:rPr>
        <w:t xml:space="preserve">Bottom line. </w:t>
      </w:r>
      <w:r>
        <w:rPr>
          <w:sz w:val="16"/>
          <w:szCs w:val="16"/>
        </w:rPr>
        <w:t xml:space="preserve">The only randomised trial of adjuvant chemotherapy in resected periampullary cancer was negative on its primary endpoint (HR 0.86, p = 0.25) and became positive only in a prespecified multivariable analysis adjusting for age, bile duct histology, grade and nodal status (HR 0.75, p = 0.03) that the authors themselves call hypothesis generating; it establishes neither a benefit specific to ampullary cancer - the ampullary subgroup was never powered or formally tested - nor that intestinal and pancreatobiliary subtypes respond differently, since only 135 of 297 ampullary tumours could be subtyped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unadjusted primary analysis did not show a significant benefit for adjuvant chemotherapy, and the authors state explicitly that the positive multivariable result and the gemcitabine-specific result should be considered hypothesis generating</w:t>
            </w:r>
          </w:p>
          <w:p>
            <w:pPr>
              <w:pStyle w:val="ListParagraph"/>
              <w:numPr>
                <w:ilvl w:val="0"/>
                <w:numId w:val="2"/>
              </w:numPr>
              <w:spacing w:after="45"/>
            </w:pPr>
            <w:r>
              <w:rPr>
                <w:sz w:val="15"/>
                <w:szCs w:val="15"/>
              </w:rPr>
              <w:t xml:space="preserve">A separate survival analysis for each tumour type could not be built into the trial design because the low incidence of each would have required an unattainably large sample and timeline; the different types were combined pragmatically because presentation and surgery are the same</w:t>
            </w:r>
          </w:p>
          <w:p>
            <w:pPr>
              <w:pStyle w:val="ListParagraph"/>
              <w:numPr>
                <w:ilvl w:val="0"/>
                <w:numId w:val="2"/>
              </w:numPr>
              <w:spacing w:after="45"/>
            </w:pPr>
            <w:r>
              <w:rPr>
                <w:sz w:val="15"/>
                <w:szCs w:val="15"/>
              </w:rPr>
              <w:t xml:space="preserve">Intrapancreatic bile duct cancer may need to be treated as a completely separate entity, and grouping should perhaps be avoided not only for ampullary but also for more proximal bile duct cancers</w:t>
            </w:r>
          </w:p>
          <w:p>
            <w:pPr>
              <w:pStyle w:val="ListParagraph"/>
              <w:numPr>
                <w:ilvl w:val="0"/>
                <w:numId w:val="2"/>
              </w:numPr>
              <w:spacing w:after="45"/>
            </w:pPr>
            <w:r>
              <w:rPr>
                <w:sz w:val="15"/>
                <w:szCs w:val="15"/>
              </w:rPr>
              <w:t xml:space="preserve">There was no single central review of histological sections - only central review of pathology reports by several experienced pathologists, which the authors argue makes systematic error unlikely</w:t>
            </w:r>
          </w:p>
          <w:p>
            <w:pPr>
              <w:pStyle w:val="ListParagraph"/>
              <w:numPr>
                <w:ilvl w:val="0"/>
                <w:numId w:val="2"/>
              </w:numPr>
              <w:spacing w:after="45"/>
            </w:pPr>
            <w:r>
              <w:rPr>
                <w:sz w:val="15"/>
                <w:szCs w:val="15"/>
              </w:rPr>
              <w:t xml:space="preserve">The dichotomised intestinal/pancreatobiliary classification was not widely applied when the trial started</w:t>
            </w:r>
          </w:p>
          <w:p>
            <w:pPr>
              <w:pStyle w:val="ListParagraph"/>
              <w:numPr>
                <w:ilvl w:val="0"/>
                <w:numId w:val="2"/>
              </w:numPr>
              <w:spacing w:after="45"/>
            </w:pPr>
            <w:r>
              <w:rPr>
                <w:sz w:val="15"/>
                <w:szCs w:val="15"/>
              </w:rPr>
              <w:t xml:space="preserve">Postoperative CA19-9 had too many missing values to be retained in the final models</w:t>
            </w:r>
          </w:p>
          <w:p>
            <w:pPr>
              <w:pStyle w:val="ListParagraph"/>
              <w:numPr>
                <w:ilvl w:val="0"/>
                <w:numId w:val="2"/>
              </w:numPr>
              <w:spacing w:after="45"/>
            </w:pPr>
            <w:r>
              <w:rPr>
                <w:sz w:val="15"/>
                <w:szCs w:val="15"/>
              </w:rPr>
              <w:t xml:space="preserve">The survival effect of chemotherapy was modest, indicating a need for further improvement and for testing combination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adjustment that converts the result from negative to positive was for age, bile duct histology, poor differentiation and node positivity - and the observation arm was prognostically the worst on two of those at baseline (poorly differentiated 33% vs 22% and 19%; node positive 62% vs 60% and 54%), so the shift from HR 0.86 to 0.75 is partly correcting a randomisation imbalance. That cuts both ways, but it means the 0.75 is not an independent confirmation of the primary analysis; it is the same data with the imbalance removed, and its CI (0.57-0.98) only just excludes 1</w:t>
            </w:r>
          </w:p>
          <w:p>
            <w:pPr>
              <w:pStyle w:val="ListParagraph"/>
              <w:numPr>
                <w:ilvl w:val="0"/>
                <w:numId w:val="2"/>
              </w:numPr>
              <w:spacing w:after="45"/>
            </w:pPr>
            <w:r>
              <w:rPr>
                <w:sz w:val="15"/>
                <w:szCs w:val="15"/>
              </w:rPr>
              <w:t xml:space="preserve">The trial was powered on 243 deaths and 430 patients to detect a 12% absolute 5-year gain (HR 0.68) across the pooled periampullary population. It was never powered for the ampullary subgroup, and it is the ampullary subgroup that pathway documents cite. With 297 ampullary patients, 151 deaths and three arms, no hypothesis test for ampullary-only survival is reported at all - the ampullary medians of 40.6/57.8/70.8 months appear without a p value</w:t>
            </w:r>
          </w:p>
          <w:p>
            <w:pPr>
              <w:pStyle w:val="ListParagraph"/>
              <w:numPr>
                <w:ilvl w:val="0"/>
                <w:numId w:val="2"/>
              </w:numPr>
              <w:spacing w:after="45"/>
            </w:pPr>
            <w:r>
              <w:rPr>
                <w:sz w:val="15"/>
                <w:szCs w:val="15"/>
              </w:rPr>
              <w:t xml:space="preserve">Pooling created a group in which chemotherapy appeared harmful: in the 96 bile duct patients both regimens had numerically shorter median survival than observation. Any pooled 'benefit' is therefore driven entirely by the ampullary and other patients, and the trial's own discussion concedes bile duct cancer may be a separate entity - which is an argument that the pooled primary analysis answered the wrong question</w:t>
            </w:r>
          </w:p>
          <w:p>
            <w:pPr>
              <w:pStyle w:val="ListParagraph"/>
              <w:numPr>
                <w:ilvl w:val="0"/>
                <w:numId w:val="2"/>
              </w:numPr>
              <w:spacing w:after="45"/>
            </w:pPr>
            <w:r>
              <w:rPr>
                <w:sz w:val="15"/>
                <w:szCs w:val="15"/>
              </w:rPr>
              <w:t xml:space="preserve">The subtype analysis that the field quotes as evidence that subtype does not predict chemotherapy response is grossly underpowered: 162 of 297 ampullary tumours (55%) were indeterminate, leaving 80 intestinal and 46 pancreatobiliary split across three treatment arms - roughly 15-27 patients per subtype-by-arm cell. No interaction test, no numbers per cell and no power calculation are given, and 'tests of heterogeneity within pathological subgroups did not reveal any significant findings' is an absence of evidence, not evidence of absence</w:t>
            </w:r>
          </w:p>
          <w:p>
            <w:pPr>
              <w:pStyle w:val="ListParagraph"/>
              <w:numPr>
                <w:ilvl w:val="0"/>
                <w:numId w:val="2"/>
              </w:numPr>
              <w:spacing w:after="45"/>
            </w:pPr>
            <w:r>
              <w:rPr>
                <w:sz w:val="15"/>
                <w:szCs w:val="15"/>
              </w:rPr>
              <w:t xml:space="preserve">Subtype was assigned from central review of pathology reports, not of slides; the same institutional tradition that produced these categories has since shown that slide-based subtyping has only fair reproducibility and that 40% of ampullary carcinomas are mixed, so 55% indeterminate is unsurprising and the 135 classified cases are a non-random, more clear-cut subset</w:t>
            </w:r>
          </w:p>
          <w:p>
            <w:pPr>
              <w:pStyle w:val="ListParagraph"/>
              <w:numPr>
                <w:ilvl w:val="0"/>
                <w:numId w:val="2"/>
              </w:numPr>
              <w:spacing w:after="45"/>
            </w:pPr>
            <w:r>
              <w:rPr>
                <w:sz w:val="15"/>
                <w:szCs w:val="15"/>
              </w:rPr>
              <w:t xml:space="preserve">Overall survival and disease-free survival point in opposite directions by subtype (pancreatobiliary numerically longer OS but significantly shorter DFS), which is biologically incoherent and suggests differential post-recurrence treatment or informative censoring rather than a true subtype effect in either direction</w:t>
            </w:r>
          </w:p>
          <w:p>
            <w:pPr>
              <w:pStyle w:val="ListParagraph"/>
              <w:numPr>
                <w:ilvl w:val="0"/>
                <w:numId w:val="2"/>
              </w:numPr>
              <w:spacing w:after="45"/>
            </w:pPr>
            <w:r>
              <w:rPr>
                <w:sz w:val="15"/>
                <w:szCs w:val="15"/>
              </w:rPr>
              <w:t xml:space="preserve">Disease-free survival is positive for both regimens on adjusted Cox analysis (HR 0.69 and 0.68, both p = 0.02) while unadjusted DFS is flatly negative (p = 0.48), the same adjusted/unadjusted divergence as the primary endpoint - consistent with the adjustment carrying the result throughout</w:t>
            </w:r>
          </w:p>
          <w:p>
            <w:pPr>
              <w:pStyle w:val="ListParagraph"/>
              <w:numPr>
                <w:ilvl w:val="0"/>
                <w:numId w:val="2"/>
              </w:numPr>
              <w:spacing w:after="45"/>
            </w:pPr>
            <w:r>
              <w:rPr>
                <w:sz w:val="15"/>
                <w:szCs w:val="15"/>
              </w:rPr>
              <w:t xml:space="preserve">Delivery was poor: a fifth of the fluorouracil arm never received a dose, half of each chemotherapy arm did not complete six cycles, and median dose intensity was 78% and 88% of protocol. An intention-to-treat null result under that much non-receipt is uninformative about efficacy, and the authors do not report a per-protocol or dose-intensity sensitivity analysis</w:t>
            </w:r>
          </w:p>
          <w:p>
            <w:pPr>
              <w:pStyle w:val="ListParagraph"/>
              <w:numPr>
                <w:ilvl w:val="0"/>
                <w:numId w:val="2"/>
              </w:numPr>
              <w:spacing w:after="45"/>
            </w:pPr>
            <w:r>
              <w:rPr>
                <w:sz w:val="15"/>
                <w:szCs w:val="15"/>
              </w:rPr>
              <w:t xml:space="preserve">Screening data on how many patients were excluded and why were not collected routinely, so the degree of selection into the trial is unknown</w:t>
            </w:r>
          </w:p>
          <w:p>
            <w:pPr>
              <w:pStyle w:val="ListParagraph"/>
              <w:numPr>
                <w:ilvl w:val="0"/>
                <w:numId w:val="2"/>
              </w:numPr>
              <w:spacing w:after="45"/>
            </w:pPr>
            <w:r>
              <w:rPr>
                <w:sz w:val="15"/>
                <w:szCs w:val="15"/>
              </w:rPr>
              <w:t xml:space="preserve">Median survival of 35 months in the untreated observation arm is far better than the ampullary literature of the era, implying a fit, early-stage, highly selected population; the absolute benefit of adjuvant therapy in a frailer, node-positive clinic population cannot be read off this trial</w:t>
            </w:r>
          </w:p>
          <w:p>
            <w:pPr>
              <w:pStyle w:val="ListParagraph"/>
              <w:numPr>
                <w:ilvl w:val="0"/>
                <w:numId w:val="2"/>
              </w:numPr>
              <w:spacing w:after="45"/>
            </w:pPr>
            <w:r>
              <w:rPr>
                <w:sz w:val="15"/>
                <w:szCs w:val="15"/>
              </w:rPr>
              <w:t xml:space="preserve">Five patients randomised to gemcitabine were excluded post-randomisation as ineligible (3 metastatic, 2 pancreatic ductal adenocarcinoma) along with 1 in observation, a small departure from strict intention-to-treat that moves in the direction of the treatment arms</w:t>
            </w:r>
          </w:p>
        </w:tc>
      </w:tr>
    </w:tbl>
    <w:p>
      <w:pPr>
        <w:spacing w:after="0" w:line="276"/>
      </w:pPr>
      <w:r>
        <w:rPr>
          <w:color w:val="5A6069"/>
          <w:sz w:val="14"/>
          <w:szCs w:val="14"/>
        </w:rPr>
        <w:t xml:space="preserve">Funding: Cancer Research United Kingdom; National Cancer Institute of Canada and Canadian Cancer Society; Fonds de Recherche de la Societe Nationale Francaise de Gastroenterologie; Fondazione Italiana Malattie del Pancreas; Health and Medical Research Council of Australia and state Cancer Councils; Australasian Gastro-Intestinal Trials Group. JPN part funded by the Liverpool NIHR Pancreas Biomedical Research Unit; MM part funded by the Oxford NIHR Biomedical Research Centre. Sponsors stated to have had no role in design, conduct, analysis or manuscript. No author conflicts of interest reported.</w:t>
      </w:r>
    </w:p>
    <w:p>
      <w:pPr>
        <w:keepNext/>
        <w:spacing w:after="50" w:before="260"/>
      </w:pPr>
      <w:r>
        <w:rPr>
          <w:rFonts w:ascii="Cambria" w:cs="Cambria" w:eastAsia="Cambria" w:hAnsi="Cambria"/>
          <w:b/>
          <w:bCs/>
          <w:color w:val="17365D"/>
          <w:sz w:val="20"/>
          <w:szCs w:val="20"/>
        </w:rPr>
        <w:t xml:space="preserve">ESPAC-4</w:t>
      </w:r>
      <w:r>
        <w:rPr>
          <w:b/>
          <w:bCs/>
          <w:color w:val="176A87"/>
          <w:sz w:val="15"/>
          <w:szCs w:val="15"/>
        </w:rPr>
        <w:t xml:space="preserve">   Randomised trial</w:t>
      </w:r>
      <w:r>
        <w:rPr>
          <w:color w:val="5A6069"/>
          <w:sz w:val="15"/>
          <w:szCs w:val="15"/>
        </w:rPr>
        <w:t xml:space="preserve">   PMID 28129987</w:t>
      </w:r>
    </w:p>
    <w:p>
      <w:pPr>
        <w:spacing w:after="50" w:line="276"/>
      </w:pPr>
      <w:r>
        <w:rPr>
          <w:color w:val="5A6069"/>
          <w:sz w:val="17"/>
          <w:szCs w:val="17"/>
        </w:rPr>
        <w:t xml:space="preserve">Comparison of adjuvant gemcitabine and capecitabine with gemcitabine monotherapy in patients with resected pancreatic cancer (ESPAC-4): a multicentre, open-label, randomised, phase 3 trial.</w:t>
      </w:r>
    </w:p>
    <w:p>
      <w:pPr>
        <w:spacing w:after="50"/>
      </w:pPr>
      <w:r>
        <w:rPr>
          <w:b/>
          <w:bCs/>
          <w:color w:val="176A87"/>
          <w:sz w:val="16"/>
          <w:szCs w:val="16"/>
        </w:rPr>
        <w:t xml:space="preserve">Population. </w:t>
      </w:r>
      <w:r>
        <w:rPr>
          <w:sz w:val="16"/>
          <w:szCs w:val="16"/>
        </w:rPr>
        <w:t xml:space="preserve">732 randomised, 730 in the final analysis (366 gemcitabine, 364 gemcitabine plus capecitabine); reported after 458 of a target 480 deaths (95%); median follow-up 43.2 months</w:t>
      </w:r>
    </w:p>
    <w:p>
      <w:pPr>
        <w:spacing w:after="70"/>
      </w:pPr>
      <w:r>
        <w:rPr>
          <w:b/>
          <w:bCs/>
          <w:color w:val="17365D"/>
          <w:sz w:val="16"/>
          <w:szCs w:val="16"/>
        </w:rPr>
        <w:t xml:space="preserve">Bottom line. </w:t>
      </w:r>
      <w:r>
        <w:rPr>
          <w:sz w:val="16"/>
          <w:szCs w:val="16"/>
        </w:rPr>
        <w:t xml:space="preserve">In resected pancreatic ductal adenocarcinoma, adjuvant gemcitabine plus capecitabine extended median overall survival by 2.5 months over gemcitabine alone (HR 0.82, p = 0.032) at no significant cost in overall toxicity, and became a standard of care - but the trial was reported early on a borderline signal, the benefit sits in R0 patients, and it says nothing directly about ampullary cancer, which was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authors frame the trial as pragmatic and present the result as establishing a new standard of care</w:t>
            </w:r>
          </w:p>
          <w:p>
            <w:pPr>
              <w:pStyle w:val="ListParagraph"/>
              <w:numPr>
                <w:ilvl w:val="0"/>
                <w:numId w:val="2"/>
              </w:numPr>
              <w:spacing w:after="45"/>
            </w:pPr>
            <w:r>
              <w:rPr>
                <w:sz w:val="15"/>
                <w:szCs w:val="15"/>
              </w:rPr>
              <w:t xml:space="preserve">They acknowledge that comparisons with CONKO-001 and JASPAC-1 are confounded by differing inclusion criteria, particularly CONKO-001's exclusion of postoperative CA19-9 above 92.5 KU/L, by differing rates of R1 resection (17% vs 60% between studies) and by differences in grade and nodal positivity</w:t>
            </w:r>
          </w:p>
          <w:p>
            <w:pPr>
              <w:pStyle w:val="ListParagraph"/>
              <w:numPr>
                <w:ilvl w:val="0"/>
                <w:numId w:val="2"/>
              </w:numPr>
              <w:spacing w:after="45"/>
            </w:pPr>
            <w:r>
              <w:rPr>
                <w:sz w:val="15"/>
                <w:szCs w:val="15"/>
              </w:rPr>
              <w:t xml:space="preserve">They note that numerous factors - distribution of adverse prognostic factors, dose intensity of per-protocol therapy, cumulative toxicity and fatigue, and ability to deliver second-line salvage therapy - should be considered when comparing across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and reported early on the DSMC's recommendation at 458 of 480 planned deaths with a p value of 0.032; early reporting on a nominally positive interim signal systematically overestimates effect size, and no alpha-spending adjustment for the early look is presented</w:t>
            </w:r>
          </w:p>
          <w:p>
            <w:pPr>
              <w:pStyle w:val="ListParagraph"/>
              <w:numPr>
                <w:ilvl w:val="0"/>
                <w:numId w:val="2"/>
              </w:numPr>
              <w:spacing w:after="45"/>
            </w:pPr>
            <w:r>
              <w:rPr>
                <w:sz w:val="15"/>
                <w:szCs w:val="15"/>
              </w:rPr>
              <w:t xml:space="preserve">A 2.5-month median gain with HR 0.82 (0.68-0.98) is a borderline result presented as a 'step change'; the 5-year survival figures (28.8% vs 16.3%) that carry the rhetorical weight come from the tail of curves with 43 months median follow-up, where few patients remain at risk and the confidence intervals overlap</w:t>
            </w:r>
          </w:p>
          <w:p>
            <w:pPr>
              <w:pStyle w:val="ListParagraph"/>
              <w:numPr>
                <w:ilvl w:val="0"/>
                <w:numId w:val="2"/>
              </w:numPr>
              <w:spacing w:after="45"/>
            </w:pPr>
            <w:r>
              <w:rPr>
                <w:sz w:val="15"/>
                <w:szCs w:val="15"/>
              </w:rPr>
              <w:t xml:space="preserve">Open-label design with no placebo means the control arm received no oral agent at all, so differential follow-up intensity, supportive care and second-line treatment are unblinded; post-recurrence therapy is not reported by arm</w:t>
            </w:r>
          </w:p>
          <w:p>
            <w:pPr>
              <w:pStyle w:val="ListParagraph"/>
              <w:numPr>
                <w:ilvl w:val="0"/>
                <w:numId w:val="2"/>
              </w:numPr>
              <w:spacing w:after="45"/>
            </w:pPr>
            <w:r>
              <w:rPr>
                <w:sz w:val="15"/>
                <w:szCs w:val="15"/>
              </w:rPr>
              <w:t xml:space="preserve">The benefit is confined to R0 patients in the margin-stratified analysis, with R1 medians of 23.7 versus 23.0 months - yet the abstract and the Research in Context box state that survival favoured the combination 'in most clinical subgroups, including patients with R1 resection margins', which the trial's own figure does not support</w:t>
            </w:r>
          </w:p>
          <w:p>
            <w:pPr>
              <w:pStyle w:val="ListParagraph"/>
              <w:numPr>
                <w:ilvl w:val="0"/>
                <w:numId w:val="2"/>
              </w:numPr>
              <w:spacing w:after="45"/>
            </w:pPr>
            <w:r>
              <w:rPr>
                <w:sz w:val="15"/>
                <w:szCs w:val="15"/>
              </w:rPr>
              <w:t xml:space="preserve">Nearly half the combination group (46%) discontinued before completing six cycles, so the regimen as delivered differs from the regimen as designed, and no dose-intensity or per-protocol analysis of the primary endpoint is reported beyond a statement that sensitivity analyses did not differ</w:t>
            </w:r>
          </w:p>
          <w:p>
            <w:pPr>
              <w:pStyle w:val="ListParagraph"/>
              <w:numPr>
                <w:ilvl w:val="0"/>
                <w:numId w:val="2"/>
              </w:numPr>
              <w:spacing w:after="45"/>
            </w:pPr>
            <w:r>
              <w:rPr>
                <w:sz w:val="15"/>
                <w:szCs w:val="15"/>
              </w:rPr>
              <w:t xml:space="preserve">Eight patients with stage IV tumours who 'were anxious to join the trial' were enrolled despite the protocol excluding distant metastasis, a protocol deviation that is reported without any sensitivity analysis excluding them</w:t>
            </w:r>
          </w:p>
          <w:p>
            <w:pPr>
              <w:pStyle w:val="ListParagraph"/>
              <w:numPr>
                <w:ilvl w:val="0"/>
                <w:numId w:val="2"/>
              </w:numPr>
              <w:spacing w:after="45"/>
            </w:pPr>
            <w:r>
              <w:rPr>
                <w:sz w:val="15"/>
                <w:szCs w:val="15"/>
              </w:rPr>
              <w:t xml:space="preserve">68 of 730 patients (9%) had postoperative CA19-9 imputed by multiple imputation, and CA19-9 is the strongest prognostic variable in the model that generates the adjusted HR of 0.79; the adjusted estimate therefore depends materially on imputed values in the covariate doing most of the work</w:t>
            </w:r>
          </w:p>
          <w:p>
            <w:pPr>
              <w:pStyle w:val="ListParagraph"/>
              <w:numPr>
                <w:ilvl w:val="0"/>
                <w:numId w:val="2"/>
              </w:numPr>
              <w:spacing w:after="45"/>
            </w:pPr>
            <w:r>
              <w:rPr>
                <w:sz w:val="15"/>
                <w:szCs w:val="15"/>
              </w:rPr>
              <w:t xml:space="preserve">This is pancreatic ductal adenocarcinoma with nonductal tumours explicitly excluded. Nothing in ESPAC-4 speaks to ampullary cancer, and its applicability to pancreatobiliary-subtype ampullary carcinoma - the usual justification offered - is an untested extrapolation across an entity whose resected median survival is roughly twice as long</w:t>
            </w:r>
          </w:p>
          <w:p>
            <w:pPr>
              <w:pStyle w:val="ListParagraph"/>
              <w:numPr>
                <w:ilvl w:val="0"/>
                <w:numId w:val="2"/>
              </w:numPr>
              <w:spacing w:after="45"/>
            </w:pPr>
            <w:r>
              <w:rPr>
                <w:sz w:val="15"/>
                <w:szCs w:val="15"/>
              </w:rPr>
              <w:t xml:space="preserve">The senior author reports grants, lecture fees and paid consultancy from numerous pharmaceutical companies including the manufacturers of relevant agents, in a trial whose practice-changing conclusion favours adding a proprietary oral agent; the funder itself (Cancer Research UK) is independent, but the comparator choice - gemcitabine monotherapy rather than fluorouracil plus folinic acid, which ESPAC-3 had shown to be equivalent - narrows the question in a way that favours a positive result</w:t>
            </w:r>
          </w:p>
        </w:tc>
      </w:tr>
    </w:tbl>
    <w:p>
      <w:pPr>
        <w:spacing w:after="0" w:line="276"/>
      </w:pPr>
      <w:r>
        <w:rPr>
          <w:color w:val="5A6069"/>
          <w:sz w:val="14"/>
          <w:szCs w:val="14"/>
        </w:rPr>
        <w:t xml:space="preserve">Funding: Cancer Research UK; the funder had no role in design, data collection, analysis, interpretation or writing. Extensive author financial relationships declared, including grants, lecture fees and paid consultancies from multiple pharmaceutical companies (declared as outside the submitted work).</w:t>
      </w:r>
    </w:p>
    <w:p>
      <w:pPr>
        <w:keepNext/>
        <w:spacing w:after="50" w:before="260"/>
      </w:pPr>
      <w:r>
        <w:rPr>
          <w:rFonts w:ascii="Cambria" w:cs="Cambria" w:eastAsia="Cambria" w:hAnsi="Cambria"/>
          <w:b/>
          <w:bCs/>
          <w:color w:val="17365D"/>
          <w:sz w:val="20"/>
          <w:szCs w:val="20"/>
        </w:rPr>
        <w:t xml:space="preserve">Gamble 2023</w:t>
      </w:r>
      <w:r>
        <w:rPr>
          <w:b/>
          <w:bCs/>
          <w:color w:val="176A87"/>
          <w:sz w:val="15"/>
          <w:szCs w:val="15"/>
        </w:rPr>
        <w:t xml:space="preserve">   Retrospective cohort</w:t>
      </w:r>
      <w:r>
        <w:rPr>
          <w:color w:val="5A6069"/>
          <w:sz w:val="15"/>
          <w:szCs w:val="15"/>
        </w:rPr>
        <w:t xml:space="preserve">   PMID 37595391</w:t>
      </w:r>
    </w:p>
    <w:p>
      <w:pPr>
        <w:spacing w:after="50" w:line="276"/>
      </w:pPr>
      <w:r>
        <w:rPr>
          <w:color w:val="5A6069"/>
          <w:sz w:val="17"/>
          <w:szCs w:val="17"/>
        </w:rPr>
        <w:t xml:space="preserve">Ampulla of Vater biopsies: a retrospective 10-year, single-institution study.</w:t>
      </w:r>
    </w:p>
    <w:p>
      <w:pPr>
        <w:spacing w:after="50"/>
      </w:pPr>
      <w:r>
        <w:rPr>
          <w:b/>
          <w:bCs/>
          <w:color w:val="176A87"/>
          <w:sz w:val="16"/>
          <w:szCs w:val="16"/>
        </w:rPr>
        <w:t xml:space="preserve">Population. </w:t>
      </w:r>
      <w:r>
        <w:rPr>
          <w:sz w:val="16"/>
          <w:szCs w:val="16"/>
        </w:rPr>
        <w:t xml:space="preserve">318 ampullary biopsy specimens from 252 patients, with 169 follow-up biopsy/resection specimens available for 90 patients; 21 resected cases analysed clinicopathologically</w:t>
      </w:r>
    </w:p>
    <w:p>
      <w:pPr>
        <w:spacing w:after="70"/>
      </w:pPr>
      <w:r>
        <w:rPr>
          <w:b/>
          <w:bCs/>
          <w:color w:val="17365D"/>
          <w:sz w:val="16"/>
          <w:szCs w:val="16"/>
        </w:rPr>
        <w:t xml:space="preserve">Bottom line. </w:t>
      </w:r>
      <w:r>
        <w:rPr>
          <w:sz w:val="16"/>
          <w:szCs w:val="16"/>
        </w:rPr>
        <w:t xml:space="preserve">Confirms with institutional data that a benign ampullary biopsy does not exclude malignancy - almost 9% of biopsies with follow-up were benign where the resection showed cancer, nearly all from sampling limitation - and suggests combining biopsy with cytology, but the estimates come from the third of patients who had follow-up pathology and the cytology comparison is confounded by indication.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single-institution design may introduce selection bias despite the 10-year window at a tertiary academic centre</w:t>
            </w:r>
          </w:p>
          <w:p>
            <w:pPr>
              <w:pStyle w:val="ListParagraph"/>
              <w:numPr>
                <w:ilvl w:val="0"/>
                <w:numId w:val="2"/>
              </w:numPr>
              <w:spacing w:after="45"/>
            </w:pPr>
            <w:r>
              <w:rPr>
                <w:sz w:val="15"/>
                <w:szCs w:val="15"/>
              </w:rPr>
              <w:t xml:space="preserve">Many cases lack follow-up biopsy or resection pathology, so the concordance and discordance rates reflect only the cases that had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problem the authors mention is fatal to the headline numbers: concordance is computed on 90 of 252 patients (36%), and the patients who went on to resection are precisely those whose biopsy or clinical picture raised concern, so the 8.9% major discrepancy rate is a lower bound on the false-negative rate that could be far higher in the unresected 64%</w:t>
            </w:r>
          </w:p>
          <w:p>
            <w:pPr>
              <w:pStyle w:val="ListParagraph"/>
              <w:numPr>
                <w:ilvl w:val="0"/>
                <w:numId w:val="2"/>
              </w:numPr>
              <w:spacing w:after="45"/>
            </w:pPr>
            <w:r>
              <w:rPr>
                <w:sz w:val="15"/>
                <w:szCs w:val="15"/>
              </w:rPr>
              <w:t xml:space="preserve">Sensitivity of 60% for biopsy and 89% for combined biopsy plus cytology is calculated on 20 and 9 cases respectively; no confidence intervals are given, and with 9 cases the combined estimate could as easily be 50% as 99%</w:t>
            </w:r>
          </w:p>
          <w:p>
            <w:pPr>
              <w:pStyle w:val="ListParagraph"/>
              <w:numPr>
                <w:ilvl w:val="0"/>
                <w:numId w:val="2"/>
              </w:numPr>
              <w:spacing w:after="45"/>
            </w:pPr>
            <w:r>
              <w:rPr>
                <w:sz w:val="15"/>
                <w:szCs w:val="15"/>
              </w:rPr>
              <w:t xml:space="preserve">The 'combined biopsy and cytology improves sensitivity' recommendation is confounded by indication: cytology was ordered in 88% of periampullary but 17% of ampullary tumours, i.e. precisely for deep-seated lesions where biopsy was expected to fail, so the incremental yield of cytology is not estimable from these data</w:t>
            </w:r>
          </w:p>
          <w:p>
            <w:pPr>
              <w:pStyle w:val="ListParagraph"/>
              <w:numPr>
                <w:ilvl w:val="0"/>
                <w:numId w:val="2"/>
              </w:numPr>
              <w:spacing w:after="45"/>
            </w:pPr>
            <w:r>
              <w:rPr>
                <w:sz w:val="15"/>
                <w:szCs w:val="15"/>
              </w:rPr>
              <w:t xml:space="preserve">Three of five pathologists knew the malignant cytology result before signing out the biopsy, so the biopsy diagnoses are not independent of the comparator used to judge them</w:t>
            </w:r>
          </w:p>
          <w:p>
            <w:pPr>
              <w:pStyle w:val="ListParagraph"/>
              <w:numPr>
                <w:ilvl w:val="0"/>
                <w:numId w:val="2"/>
              </w:numPr>
              <w:spacing w:after="45"/>
            </w:pPr>
            <w:r>
              <w:rPr>
                <w:sz w:val="15"/>
                <w:szCs w:val="15"/>
              </w:rPr>
              <w:t xml:space="preserve">Assigning 7 of 8 false negatives to 'sampling limitation' rather than interpretive error is a retrospective judgement by the same authors who signed out some of the cases, with no blinded re-review or second-reader adjudication; the one error they did identify was found only because DOG-1 was run retrospectively, which suggests the method would not detect interpretive misses in glandular lesions</w:t>
            </w:r>
          </w:p>
          <w:p>
            <w:pPr>
              <w:pStyle w:val="ListParagraph"/>
              <w:numPr>
                <w:ilvl w:val="0"/>
                <w:numId w:val="2"/>
              </w:numPr>
              <w:spacing w:after="45"/>
            </w:pPr>
            <w:r>
              <w:rPr>
                <w:sz w:val="15"/>
                <w:szCs w:val="15"/>
              </w:rPr>
              <w:t xml:space="preserve">The resected series collapses true ampullary (12), distal bile duct (6), pancreatic (1) and GIST (1) tumours into one narrative, so stage and nodal statements mix entities the companion literature insists must be kept apart</w:t>
            </w:r>
          </w:p>
          <w:p>
            <w:pPr>
              <w:pStyle w:val="ListParagraph"/>
              <w:numPr>
                <w:ilvl w:val="0"/>
                <w:numId w:val="2"/>
              </w:numPr>
              <w:spacing w:after="45"/>
            </w:pPr>
            <w:r>
              <w:rPr>
                <w:sz w:val="15"/>
                <w:szCs w:val="15"/>
              </w:rPr>
              <w:t xml:space="preserve">No interobserver reproducibility data for the dysplasia grading that generates 27 of the 35 discordances, although the paper cites published intraobserver and interobserver variability in exactly this setting</w:t>
            </w:r>
          </w:p>
          <w:p>
            <w:pPr>
              <w:pStyle w:val="ListParagraph"/>
              <w:numPr>
                <w:ilvl w:val="0"/>
                <w:numId w:val="2"/>
              </w:numPr>
              <w:spacing w:after="45"/>
            </w:pPr>
            <w:r>
              <w:rPr>
                <w:sz w:val="15"/>
                <w:szCs w:val="15"/>
              </w:rPr>
              <w:t xml:space="preserve">The p53 immunostain recommended as a practical aid is described from local practice with no accuracy data from this cohort</w:t>
            </w:r>
          </w:p>
        </w:tc>
      </w:tr>
    </w:tbl>
    <w:p>
      <w:pPr>
        <w:spacing w:after="0" w:line="276"/>
      </w:pPr>
      <w:r>
        <w:rPr>
          <w:color w:val="5A6069"/>
          <w:sz w:val="14"/>
          <w:szCs w:val="14"/>
        </w:rPr>
        <w:t xml:space="preserve">Funding: Not applicable (no funding)</w:t>
      </w:r>
    </w:p>
    <w:p>
      <w:pPr>
        <w:keepNext/>
        <w:spacing w:after="50" w:before="260"/>
      </w:pPr>
      <w:r>
        <w:rPr>
          <w:rFonts w:ascii="Cambria" w:cs="Cambria" w:eastAsia="Cambria" w:hAnsi="Cambria"/>
          <w:b/>
          <w:bCs/>
          <w:color w:val="17365D"/>
          <w:sz w:val="20"/>
          <w:szCs w:val="20"/>
        </w:rPr>
        <w:t xml:space="preserve">Han 2023 recurrence timing</w:t>
      </w:r>
      <w:r>
        <w:rPr>
          <w:b/>
          <w:bCs/>
          <w:color w:val="176A87"/>
          <w:sz w:val="15"/>
          <w:szCs w:val="15"/>
        </w:rPr>
        <w:t xml:space="preserve">   Retrospective cohort</w:t>
      </w:r>
      <w:r>
        <w:rPr>
          <w:color w:val="5A6069"/>
          <w:sz w:val="15"/>
          <w:szCs w:val="15"/>
        </w:rPr>
        <w:t xml:space="preserve">   PMID 38015261</w:t>
      </w:r>
    </w:p>
    <w:p>
      <w:pPr>
        <w:spacing w:after="50" w:line="276"/>
      </w:pPr>
      <w:r>
        <w:rPr>
          <w:color w:val="5A6069"/>
          <w:sz w:val="17"/>
          <w:szCs w:val="17"/>
        </w:rPr>
        <w:t xml:space="preserve">The timing of recurrence after endoscopic papillectomy.</w:t>
      </w:r>
    </w:p>
    <w:p>
      <w:pPr>
        <w:spacing w:after="50"/>
      </w:pPr>
      <w:r>
        <w:rPr>
          <w:b/>
          <w:bCs/>
          <w:color w:val="176A87"/>
          <w:sz w:val="16"/>
          <w:szCs w:val="16"/>
        </w:rPr>
        <w:t xml:space="preserve">Population. </w:t>
      </w:r>
      <w:r>
        <w:rPr>
          <w:sz w:val="16"/>
          <w:szCs w:val="16"/>
        </w:rPr>
        <w:t xml:space="preserve">165 papillectomies screened, 136 patients with adenomatous pathology analysed (mean age 61.9, SD 15; 70 women, 51.5%; mean lesion size 21.2 mm, SD 12); 124 (91.2%) achieved complete eradication and entered the recurrence analysis with 345.8 person-years of follow-up (mean 2.8 years per patient, SD 3.3)</w:t>
      </w:r>
    </w:p>
    <w:p>
      <w:pPr>
        <w:spacing w:after="70"/>
      </w:pPr>
      <w:r>
        <w:rPr>
          <w:b/>
          <w:bCs/>
          <w:color w:val="17365D"/>
          <w:sz w:val="16"/>
          <w:szCs w:val="16"/>
        </w:rPr>
        <w:t xml:space="preserve">Bottom line. </w:t>
      </w:r>
      <w:r>
        <w:rPr>
          <w:sz w:val="16"/>
          <w:szCs w:val="16"/>
        </w:rPr>
        <w:t xml:space="preserve">Reports a 16.1% recurrence rate (5.8 per 100 person-years) after endoscopic papillectomy with recurrences occurring as late as 9.75 years and roughly half after the recommended 2-year surveillance window, which supports longer follow-up; but the event counts are internally inconsistent, the mean follow-up (2.8 years) is shorter than the mean time to recurrence (3.2 years), and the counter-intuitive finding of more recurrence after en bloc and after initially complete resection points to detection bias in how residual disease was classified.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tertiary care experience, limiting generalisability</w:t>
            </w:r>
          </w:p>
          <w:p>
            <w:pPr>
              <w:pStyle w:val="ListParagraph"/>
              <w:numPr>
                <w:ilvl w:val="0"/>
                <w:numId w:val="2"/>
              </w:numPr>
              <w:spacing w:after="45"/>
            </w:pPr>
            <w:r>
              <w:rPr>
                <w:sz w:val="15"/>
                <w:szCs w:val="15"/>
              </w:rPr>
              <w:t xml:space="preserve">Identifying recurrence remains technically challenging even with narrow band imaging and high-definition white light, particularly intraductal recurrence</w:t>
            </w:r>
          </w:p>
          <w:p>
            <w:pPr>
              <w:pStyle w:val="ListParagraph"/>
              <w:numPr>
                <w:ilvl w:val="0"/>
                <w:numId w:val="2"/>
              </w:numPr>
              <w:spacing w:after="45"/>
            </w:pPr>
            <w:r>
              <w:rPr>
                <w:sz w:val="15"/>
                <w:szCs w:val="15"/>
              </w:rPr>
              <w:t xml:space="preserve">Follow-up was not uniform and the mean duration was only 2.8 years; because an uptick in recurrence may occur after 4 years and not all patients were followed that long, the results may underestimate the true recurrence rate</w:t>
            </w:r>
          </w:p>
          <w:p>
            <w:pPr>
              <w:pStyle w:val="ListParagraph"/>
              <w:numPr>
                <w:ilvl w:val="0"/>
                <w:numId w:val="2"/>
              </w:numPr>
              <w:spacing w:after="45"/>
            </w:pPr>
            <w:r>
              <w:rPr>
                <w:sz w:val="15"/>
                <w:szCs w:val="15"/>
              </w:rPr>
              <w:t xml:space="preserve">Given the low number of recurrences, identification of risk factors was underpowered</w:t>
            </w:r>
          </w:p>
          <w:p>
            <w:pPr>
              <w:pStyle w:val="ListParagraph"/>
              <w:numPr>
                <w:ilvl w:val="0"/>
                <w:numId w:val="2"/>
              </w:numPr>
              <w:spacing w:after="45"/>
            </w:pPr>
            <w:r>
              <w:rPr>
                <w:sz w:val="15"/>
                <w:szCs w:val="15"/>
              </w:rPr>
              <w:t xml:space="preserve">All procedures were performed by endoscopists with substantial ERCP experience, and papillectomy carries an ASGE level 4 complexity rating, further limiting generalisability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internal arithmetic does not add up: the abstract reports 20 recurrences, but the en bloc versus piecemeal breakdown gives 13 plus 4 (17), and the complete versus residual breakdown gives 15 plus 2 (17). Three recurrences are unaccounted for in both stratifications, so the denominators behind the comparisons cannot be verified</w:t>
            </w:r>
          </w:p>
          <w:p>
            <w:pPr>
              <w:pStyle w:val="ListParagraph"/>
              <w:numPr>
                <w:ilvl w:val="0"/>
                <w:numId w:val="2"/>
              </w:numPr>
              <w:spacing w:after="45"/>
            </w:pPr>
            <w:r>
              <w:rPr>
                <w:sz w:val="15"/>
                <w:szCs w:val="15"/>
              </w:rPr>
              <w:t xml:space="preserve">The paper's central claim about timing is stated two different ways: the abstract says 9 of 20 recurrences (45%) occurred after the first 2 years of surveillance, while the discussion says 'nearly half the recurrences occurred after 3 years of surveillance' and that the probability of recurrence 'experienced a leap 4 years after papillectomy'. The Kaplan-Meier table shows no events in year 4 at all, so the narrative does not match the data</w:t>
            </w:r>
          </w:p>
          <w:p>
            <w:pPr>
              <w:pStyle w:val="ListParagraph"/>
              <w:numPr>
                <w:ilvl w:val="0"/>
                <w:numId w:val="2"/>
              </w:numPr>
              <w:spacing w:after="45"/>
            </w:pPr>
            <w:r>
              <w:rPr>
                <w:sz w:val="15"/>
                <w:szCs w:val="15"/>
              </w:rPr>
              <w:t xml:space="preserve">Recurrence counts by resection type run counter to every other series and to the paper's own framing: 19.4% after en bloc versus 7.0% after piecemeal resection, and 16.5% after initially complete versus 6.1% after residual-tissue resection. These are reported without comment, but they are the signature of detection bias - patients with piecemeal or residual disease were scoped more intensively early, had their lesions re-treated, and so were classified as residual rather than recurrent</w:t>
            </w:r>
          </w:p>
          <w:p>
            <w:pPr>
              <w:pStyle w:val="ListParagraph"/>
              <w:numPr>
                <w:ilvl w:val="0"/>
                <w:numId w:val="2"/>
              </w:numPr>
              <w:spacing w:after="45"/>
            </w:pPr>
            <w:r>
              <w:rPr>
                <w:sz w:val="15"/>
                <w:szCs w:val="15"/>
              </w:rPr>
              <w:t xml:space="preserve">That classification is the deeper problem: by requiring one negative surveillance endoscopy before an event counts as recurrence, and by allowing multiple treatment sessions within 'complete eradication', the study converts early incomplete resection into non-events and shifts the apparent recurrence curve rightwards - which is precisely the direction needed to argue for longer surveillance</w:t>
            </w:r>
          </w:p>
          <w:p>
            <w:pPr>
              <w:pStyle w:val="ListParagraph"/>
              <w:numPr>
                <w:ilvl w:val="0"/>
                <w:numId w:val="2"/>
              </w:numPr>
              <w:spacing w:after="45"/>
            </w:pPr>
            <w:r>
              <w:rPr>
                <w:sz w:val="15"/>
                <w:szCs w:val="15"/>
              </w:rPr>
              <w:t xml:space="preserve">With 20 events and 13 candidate variables, the Cox model is severely overfitted; every adjusted hazard ratio is below 1.4 with intervals spanning 0.1 to 7.7, so the finding that 'no variables predicted recurrence' is uninformative rather than reassuring, as the authors concede</w:t>
            </w:r>
          </w:p>
          <w:p>
            <w:pPr>
              <w:pStyle w:val="ListParagraph"/>
              <w:numPr>
                <w:ilvl w:val="0"/>
                <w:numId w:val="2"/>
              </w:numPr>
              <w:spacing w:after="45"/>
            </w:pPr>
            <w:r>
              <w:rPr>
                <w:sz w:val="15"/>
                <w:szCs w:val="15"/>
              </w:rPr>
              <w:t xml:space="preserve">Mean follow-up of 2.8 years against a mean time to recurrence of 3.2 years means more than half the person-time needed to observe the events being described was never accumulated; the 5-year cumulative estimate of 14.5% rests on a thin tail, and the recommendation to extend surveillance to 10 years is driven by a single outlier recurrence at 9.75 years</w:t>
            </w:r>
          </w:p>
          <w:p>
            <w:pPr>
              <w:pStyle w:val="ListParagraph"/>
              <w:numPr>
                <w:ilvl w:val="0"/>
                <w:numId w:val="2"/>
              </w:numPr>
              <w:spacing w:after="45"/>
            </w:pPr>
            <w:r>
              <w:rPr>
                <w:sz w:val="15"/>
                <w:szCs w:val="15"/>
              </w:rPr>
              <w:t xml:space="preserve">The 18-year accrual window spans the introduction of high-definition endoscopy, narrow band imaging, radiofrequency ablation and routine rectal NSAIDs (given to only 26.5% of this cohort), so technique, detection sensitivity and complication risk all changed within the cohort, and no era analysis is presented</w:t>
            </w:r>
          </w:p>
          <w:p>
            <w:pPr>
              <w:pStyle w:val="ListParagraph"/>
              <w:numPr>
                <w:ilvl w:val="0"/>
                <w:numId w:val="2"/>
              </w:numPr>
              <w:spacing w:after="45"/>
            </w:pPr>
            <w:r>
              <w:rPr>
                <w:sz w:val="15"/>
                <w:szCs w:val="15"/>
              </w:rPr>
              <w:t xml:space="preserve">21 patients with adenocarcinoma are pooled into an adenoma recurrence series; only 12 of them entered the recurrence analysis, and 2 recurred with adenocarcinoma - events with entirely different clinical meaning from an adenoma recurrence, counted in the same rate</w:t>
            </w:r>
          </w:p>
          <w:p>
            <w:pPr>
              <w:pStyle w:val="ListParagraph"/>
              <w:numPr>
                <w:ilvl w:val="0"/>
                <w:numId w:val="2"/>
              </w:numPr>
              <w:spacing w:after="45"/>
            </w:pPr>
            <w:r>
              <w:rPr>
                <w:sz w:val="15"/>
                <w:szCs w:val="15"/>
              </w:rPr>
              <w:t xml:space="preserve">The FAP comparison that contradicts the much-cited 58% recurrence figure from Ma et al. is based on 35 FAP patients with a shorter follow-up than that study, and the authors acknowledge this, yet the abstract-level message ('recurrence rate did not differ by baseline pathology') invites readers to drop FAP-specific surveillance</w:t>
            </w:r>
          </w:p>
          <w:p>
            <w:pPr>
              <w:pStyle w:val="ListParagraph"/>
              <w:numPr>
                <w:ilvl w:val="0"/>
                <w:numId w:val="2"/>
              </w:numPr>
              <w:spacing w:after="45"/>
            </w:pPr>
            <w:r>
              <w:rPr>
                <w:sz w:val="15"/>
                <w:szCs w:val="15"/>
              </w:rPr>
              <w:t xml:space="preserve">Adverse events of 27.2% including 4.8% perforation and 2.2% severe pancreatitis are higher than in most comparator series in this depot, but are reported without any analysis of predictors or era, and are not weighed against the recurrence findings in the conclusion</w:t>
            </w:r>
          </w:p>
          <w:p>
            <w:pPr>
              <w:pStyle w:val="ListParagraph"/>
              <w:numPr>
                <w:ilvl w:val="0"/>
                <w:numId w:val="2"/>
              </w:numPr>
              <w:spacing w:after="45"/>
            </w:pPr>
            <w:r>
              <w:rPr>
                <w:sz w:val="15"/>
                <w:szCs w:val="15"/>
              </w:rPr>
              <w:t xml:space="preserve">Follow-up data were supplemented by telephone calls to patients, an ascertainment method that cannot confirm histological recurrence and introduces differential completeness between patients still attending the centre and those lost to it</w:t>
            </w:r>
          </w:p>
          <w:p>
            <w:pPr>
              <w:pStyle w:val="ListParagraph"/>
              <w:numPr>
                <w:ilvl w:val="0"/>
                <w:numId w:val="2"/>
              </w:numPr>
              <w:spacing w:after="45"/>
            </w:pPr>
            <w:r>
              <w:rPr>
                <w:sz w:val="15"/>
                <w:szCs w:val="15"/>
              </w:rPr>
              <w:t xml:space="preserve">Several authors declare consultancies with endoscope and device manufacturers (Boston Scientific, Olympus, Cook, Medtronic) in a paper whose conclusion is to extend endoscopic surveillance to 10 years</w:t>
            </w:r>
          </w:p>
        </w:tc>
      </w:tr>
    </w:tbl>
    <w:p>
      <w:pPr>
        <w:spacing w:after="0" w:line="276"/>
      </w:pPr>
      <w:r>
        <w:rPr>
          <w:color w:val="5A6069"/>
          <w:sz w:val="14"/>
          <w:szCs w:val="14"/>
        </w:rPr>
        <w:t xml:space="preserve">Funding: NIH T32DK007038 (SH). Multiple author disclosures: advisory board membership and consultancies with Boston Scientific, Olympus, Cook Medical, Medtronic, Cernostics, Exact Sciences and Interpace, and research funding from Lucid, Ambu and CDx.</w:t>
      </w:r>
    </w:p>
    <w:p>
      <w:pPr>
        <w:keepNext/>
        <w:spacing w:after="50" w:before="260"/>
      </w:pPr>
      <w:r>
        <w:rPr>
          <w:rFonts w:ascii="Cambria" w:cs="Cambria" w:eastAsia="Cambria" w:hAnsi="Cambria"/>
          <w:b/>
          <w:bCs/>
          <w:color w:val="17365D"/>
          <w:sz w:val="20"/>
          <w:szCs w:val="20"/>
        </w:rPr>
        <w:t xml:space="preserve">Harewood 2005</w:t>
      </w:r>
      <w:r>
        <w:rPr>
          <w:b/>
          <w:bCs/>
          <w:color w:val="176A87"/>
          <w:sz w:val="15"/>
          <w:szCs w:val="15"/>
        </w:rPr>
        <w:t xml:space="preserve">   Randomised trial</w:t>
      </w:r>
      <w:r>
        <w:rPr>
          <w:color w:val="5A6069"/>
          <w:sz w:val="15"/>
          <w:szCs w:val="15"/>
        </w:rPr>
        <w:t xml:space="preserve">   PMID 16111953</w:t>
      </w:r>
    </w:p>
    <w:p>
      <w:pPr>
        <w:spacing w:after="50" w:line="276"/>
      </w:pPr>
      <w:r>
        <w:rPr>
          <w:color w:val="5A6069"/>
          <w:sz w:val="17"/>
          <w:szCs w:val="17"/>
        </w:rPr>
        <w:t xml:space="preserve">Prospective, randomized, controlled trial of prophylactic pancreatic stent placement for endoscopic snare excision of the duodenal ampulla.</w:t>
      </w:r>
    </w:p>
    <w:p>
      <w:pPr>
        <w:spacing w:after="50"/>
      </w:pPr>
      <w:r>
        <w:rPr>
          <w:b/>
          <w:bCs/>
          <w:color w:val="176A87"/>
          <w:sz w:val="16"/>
          <w:szCs w:val="16"/>
        </w:rPr>
        <w:t xml:space="preserve">Population. </w:t>
      </w:r>
      <w:r>
        <w:rPr>
          <w:sz w:val="16"/>
          <w:szCs w:val="16"/>
        </w:rPr>
        <w:t xml:space="preserve">19 patients enrolled and randomised (11 assigned to stent, 8 to no stent); final stent placement achieved in 10, so analysis compared 10 stented with 9 unstented patients</w:t>
      </w:r>
    </w:p>
    <w:p>
      <w:pPr>
        <w:spacing w:after="70"/>
      </w:pPr>
      <w:r>
        <w:rPr>
          <w:b/>
          <w:bCs/>
          <w:color w:val="17365D"/>
          <w:sz w:val="16"/>
          <w:szCs w:val="16"/>
        </w:rPr>
        <w:t xml:space="preserve">Bottom line. </w:t>
      </w:r>
      <w:r>
        <w:rPr>
          <w:sz w:val="16"/>
          <w:szCs w:val="16"/>
        </w:rPr>
        <w:t xml:space="preserve">The first and still most-cited randomised trial of prophylactic pancreatic stenting after snare ampullectomy, reporting 33% versus 0% pancreatitis, but it enrolled only 19 patients, was stopped early at an interim look, and lost statistical significance on its own intention-to-treat analysis - it is a signal consistent with a protective effect rather than proof of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only that the findings 'suggest' a protective effect and that future large-scale studies are required to confirm the benefit</w:t>
            </w:r>
          </w:p>
          <w:p>
            <w:pPr>
              <w:pStyle w:val="ListParagraph"/>
              <w:numPr>
                <w:ilvl w:val="0"/>
                <w:numId w:val="2"/>
              </w:numPr>
              <w:spacing w:after="45"/>
            </w:pPr>
            <w:r>
              <w:rPr>
                <w:sz w:val="15"/>
                <w:szCs w:val="15"/>
              </w:rPr>
              <w:t xml:space="preserve">They note there are no data on how long the duct should be stented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Nineteen patients and three events cannot establish an effect. The nominally significant p = 0.02 comes from a 3-versus-0 comparison, and the intention-to-treat analysis the authors themselves perform is frankly negative (p = 0.3) - a result that should have been the headline rather than a mid-paper aside</w:t>
            </w:r>
          </w:p>
          <w:p>
            <w:pPr>
              <w:pStyle w:val="ListParagraph"/>
              <w:numPr>
                <w:ilvl w:val="0"/>
                <w:numId w:val="2"/>
              </w:numPr>
              <w:spacing w:after="45"/>
            </w:pPr>
            <w:r>
              <w:rPr>
                <w:sz w:val="15"/>
                <w:szCs w:val="15"/>
              </w:rPr>
              <w:t xml:space="preserve">Stopping early at an interim look triggered by a high event rate in the control arm is the classic route to an overestimated treatment effect; no alpha adjustment is applied, and the trial has roughly a fifth of its planned sample</w:t>
            </w:r>
          </w:p>
          <w:p>
            <w:pPr>
              <w:pStyle w:val="ListParagraph"/>
              <w:numPr>
                <w:ilvl w:val="0"/>
                <w:numId w:val="2"/>
              </w:numPr>
              <w:spacing w:after="45"/>
            </w:pPr>
            <w:r>
              <w:rPr>
                <w:sz w:val="15"/>
                <w:szCs w:val="15"/>
              </w:rPr>
              <w:t xml:space="preserve">The three analyses presented (per protocol excluding the failed placement, as-treated, intention-to-treat) give p = 0.05, 0.02 and 0.3 from 19 patients; reporting the most favourable as the result is selective</w:t>
            </w:r>
          </w:p>
          <w:p>
            <w:pPr>
              <w:pStyle w:val="ListParagraph"/>
              <w:numPr>
                <w:ilvl w:val="0"/>
                <w:numId w:val="2"/>
              </w:numPr>
              <w:spacing w:after="45"/>
            </w:pPr>
            <w:r>
              <w:rPr>
                <w:sz w:val="15"/>
                <w:szCs w:val="15"/>
              </w:rPr>
              <w:t xml:space="preserve">Single endoscopist, single centre, single operator technique - specifically en bloc snare without a submucosal cushion so as to include the sphincteric musculature - which the authors argue reduces later cannulation-related pancreatitis. The result therefore cannot be separated from one operator's method, and no learning-curve or centre-effect data exist</w:t>
            </w:r>
          </w:p>
          <w:p>
            <w:pPr>
              <w:pStyle w:val="ListParagraph"/>
              <w:numPr>
                <w:ilvl w:val="0"/>
                <w:numId w:val="2"/>
              </w:numPr>
              <w:spacing w:after="45"/>
            </w:pPr>
            <w:r>
              <w:rPr>
                <w:sz w:val="15"/>
                <w:szCs w:val="15"/>
              </w:rPr>
              <w:t xml:space="preserve">Patients were blinded but outcome ascertainment depended on patients reporting pain and then having enzymes checked; the endoscopist was necessarily unblinded, and whether the 24-hour telephone assessor's blinding was maintained for the stented patients who returned for fluoroscopy and stent removal is doubtful</w:t>
            </w:r>
          </w:p>
          <w:p>
            <w:pPr>
              <w:pStyle w:val="ListParagraph"/>
              <w:numPr>
                <w:ilvl w:val="0"/>
                <w:numId w:val="2"/>
              </w:numPr>
              <w:spacing w:after="45"/>
            </w:pPr>
            <w:r>
              <w:rPr>
                <w:sz w:val="15"/>
                <w:szCs w:val="15"/>
              </w:rPr>
              <w:t xml:space="preserve">Allocation by card from a sealed envelope without blocking or stratification produced unequal arms (11 vs 8) and a 9-year age difference between groups in a 19-patient trial; concealment by opaque envelope is weaker than central randomisation</w:t>
            </w:r>
          </w:p>
          <w:p>
            <w:pPr>
              <w:pStyle w:val="ListParagraph"/>
              <w:numPr>
                <w:ilvl w:val="0"/>
                <w:numId w:val="2"/>
              </w:numPr>
              <w:spacing w:after="45"/>
            </w:pPr>
            <w:r>
              <w:rPr>
                <w:sz w:val="15"/>
                <w:szCs w:val="15"/>
              </w:rPr>
              <w:t xml:space="preserve">The outcome window was only 24 hours, so delayed pancreatitis, bleeding, perforation, papillary stenosis and recurrence - the complications that matter over the longer term - were not captured at all</w:t>
            </w:r>
          </w:p>
          <w:p>
            <w:pPr>
              <w:pStyle w:val="ListParagraph"/>
              <w:numPr>
                <w:ilvl w:val="0"/>
                <w:numId w:val="2"/>
              </w:numPr>
              <w:spacing w:after="45"/>
            </w:pPr>
            <w:r>
              <w:rPr>
                <w:sz w:val="15"/>
                <w:szCs w:val="15"/>
              </w:rPr>
              <w:t xml:space="preserve">Electrosurgical generator changed during the study (Meditron to ERBE) and all three pancreatitis cases occurred with the ERBE device; generator is therefore confounded with time and potentially with allocation, and is not adjusted for</w:t>
            </w:r>
          </w:p>
          <w:p>
            <w:pPr>
              <w:pStyle w:val="ListParagraph"/>
              <w:numPr>
                <w:ilvl w:val="0"/>
                <w:numId w:val="2"/>
              </w:numPr>
              <w:spacing w:after="45"/>
            </w:pPr>
            <w:r>
              <w:rPr>
                <w:sz w:val="15"/>
                <w:szCs w:val="15"/>
              </w:rPr>
              <w:t xml:space="preserve">Pancreatitis was defined as threefold enzyme elevation with pain but enzymes were measured only in symptomatic patients, so asymptomatic hyperamylasaemia and milder events were differentially unascertained</w:t>
            </w:r>
          </w:p>
          <w:p>
            <w:pPr>
              <w:pStyle w:val="ListParagraph"/>
              <w:numPr>
                <w:ilvl w:val="0"/>
                <w:numId w:val="2"/>
              </w:numPr>
              <w:spacing w:after="45"/>
            </w:pPr>
            <w:r>
              <w:rPr>
                <w:sz w:val="15"/>
                <w:szCs w:val="15"/>
              </w:rPr>
              <w:t xml:space="preserve">The companion randomised trial in this depot (Lee 2016) found 18% versus 13% pancreatitis with wire-guided versus conventional papillectomy despite 100% stent success in the wire-guided arm, and the later ESGE guideline rates prophylactic stenting as moderate-quality evidence drawing on larger series - so this trial's 0% stented pancreatitis rate is almost certainly an artefact of its size</w:t>
            </w:r>
          </w:p>
        </w:tc>
      </w:tr>
    </w:tbl>
    <w:p>
      <w:pPr>
        <w:spacing w:after="0" w:line="276"/>
      </w:pPr>
      <w:r>
        <w:rPr>
          <w:color w:val="5A6069"/>
          <w:sz w:val="14"/>
          <w:szCs w:val="14"/>
        </w:rPr>
        <w:t xml:space="preserve">Funding: Not stated</w:t>
      </w:r>
    </w:p>
    <w:p>
      <w:pPr>
        <w:keepNext/>
        <w:spacing w:after="50" w:before="260"/>
      </w:pPr>
      <w:r>
        <w:rPr>
          <w:rFonts w:ascii="Cambria" w:cs="Cambria" w:eastAsia="Cambria" w:hAnsi="Cambria"/>
          <w:b/>
          <w:bCs/>
          <w:color w:val="17365D"/>
          <w:sz w:val="20"/>
          <w:szCs w:val="20"/>
        </w:rPr>
        <w:t xml:space="preserve">Japanese 22-centre papillectomy</w:t>
      </w:r>
      <w:r>
        <w:rPr>
          <w:b/>
          <w:bCs/>
          <w:color w:val="176A87"/>
          <w:sz w:val="15"/>
          <w:szCs w:val="15"/>
        </w:rPr>
        <w:t xml:space="preserve">   Retrospective cohort</w:t>
      </w:r>
      <w:r>
        <w:rPr>
          <w:color w:val="5A6069"/>
          <w:sz w:val="15"/>
          <w:szCs w:val="15"/>
        </w:rPr>
        <w:t xml:space="preserve">   PMID 41192607</w:t>
      </w:r>
    </w:p>
    <w:p>
      <w:pPr>
        <w:spacing w:after="50" w:line="276"/>
      </w:pPr>
      <w:r>
        <w:rPr>
          <w:color w:val="5A6069"/>
          <w:sz w:val="17"/>
          <w:szCs w:val="17"/>
        </w:rPr>
        <w:t xml:space="preserve">Clinical outcomes of endoscopic papillectomy for ampullary adenoma and adenocarcinoma: a multicenter retrospective study in Japan.</w:t>
      </w:r>
    </w:p>
    <w:p>
      <w:pPr>
        <w:spacing w:after="50"/>
      </w:pPr>
      <w:r>
        <w:rPr>
          <w:b/>
          <w:bCs/>
          <w:color w:val="176A87"/>
          <w:sz w:val="16"/>
          <w:szCs w:val="16"/>
        </w:rPr>
        <w:t xml:space="preserve">Population. </w:t>
      </w:r>
      <w:r>
        <w:rPr>
          <w:sz w:val="16"/>
          <w:szCs w:val="16"/>
        </w:rPr>
        <w:t xml:space="preserve">875 cases enrolled, 798 with pathologically confirmed ampullary adenoma or adenocarcinoma, 776 in the long-term recurrence analysis (21 excluded for surgery for confirmed or suspected residual adenocarcinoma, 1 for procedure-related death); median age 67 years, 320 women (40.1%), 53 with genetically confirmed FAP (6.6%); median follow-up 33 months (IQR 6.75-60)</w:t>
      </w:r>
    </w:p>
    <w:p>
      <w:pPr>
        <w:spacing w:after="70"/>
      </w:pPr>
      <w:r>
        <w:rPr>
          <w:b/>
          <w:bCs/>
          <w:color w:val="17365D"/>
          <w:sz w:val="16"/>
          <w:szCs w:val="16"/>
        </w:rPr>
        <w:t xml:space="preserve">Bottom line. </w:t>
      </w:r>
      <w:r>
        <w:rPr>
          <w:sz w:val="16"/>
          <w:szCs w:val="16"/>
        </w:rPr>
        <w:t xml:space="preserve">The largest papillectomy cohort to date (798 patients, 22 Japanese centres) shows that histologic R0 is achieved in only half of cases even when en bloc resection looks technically successful, and that recurrence reaches 20% at 3 years overall and still 11% after R0 - so surveillance is needed regardless of margin status; but recurrence here includes early residual disease, the adenocarcinoma category follows Japanese rather than Western criteria, and the R0-subgroup risk factors come from too few events to act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over a 10-year period across 22 institutions, which may introduce missing data and selection bias</w:t>
            </w:r>
          </w:p>
          <w:p>
            <w:pPr>
              <w:pStyle w:val="ListParagraph"/>
              <w:numPr>
                <w:ilvl w:val="0"/>
                <w:numId w:val="2"/>
              </w:numPr>
              <w:spacing w:after="45"/>
            </w:pPr>
            <w:r>
              <w:rPr>
                <w:sz w:val="15"/>
                <w:szCs w:val="15"/>
              </w:rPr>
              <w:t xml:space="preserve">Treatment strategies - papillectomy technique, surveillance intervals and argon plasma coagulation use - varied by institution and over time because standardised guidelines were not consistently available; the authors stratified analysis by treatment period to address this</w:t>
            </w:r>
          </w:p>
          <w:p>
            <w:pPr>
              <w:pStyle w:val="ListParagraph"/>
              <w:numPr>
                <w:ilvl w:val="0"/>
                <w:numId w:val="2"/>
              </w:numPr>
              <w:spacing w:after="45"/>
            </w:pPr>
            <w:r>
              <w:rPr>
                <w:sz w:val="15"/>
                <w:szCs w:val="15"/>
              </w:rPr>
              <w:t xml:space="preserve">Only high-volume centres with expert teams were included, limiting generalisability</w:t>
            </w:r>
          </w:p>
          <w:p>
            <w:pPr>
              <w:pStyle w:val="ListParagraph"/>
              <w:numPr>
                <w:ilvl w:val="0"/>
                <w:numId w:val="2"/>
              </w:numPr>
              <w:spacing w:after="45"/>
            </w:pPr>
            <w:r>
              <w:rPr>
                <w:sz w:val="15"/>
                <w:szCs w:val="15"/>
              </w:rPr>
              <w:t xml:space="preserve">R0 margin status was assessed locally at each institution rather than centrally, which may introduce variability, although recurrence rates after R0 were comparable to other large studies</w:t>
            </w:r>
          </w:p>
          <w:p>
            <w:pPr>
              <w:pStyle w:val="ListParagraph"/>
              <w:numPr>
                <w:ilvl w:val="0"/>
                <w:numId w:val="2"/>
              </w:numPr>
              <w:spacing w:after="45"/>
            </w:pPr>
            <w:r>
              <w:rPr>
                <w:sz w:val="15"/>
                <w:szCs w:val="15"/>
              </w:rPr>
              <w:t xml:space="preserve">T1a and T1b adenocarcinomas were not differentiated, so prognosis by tumour stage could not be examined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hazard ratios differ between the abstract/discussion and Table 2 for the same comparisons (Rx 2.30 [1.44-3.68] versus 2.38 [1.49-3.81]; R1 2.95 [1.85-4.71] versus 2.95 [1.87-4.66]). The discrepancy is small but it means two different models or datasets were in play and neither is identified</w:t>
            </w:r>
          </w:p>
          <w:p>
            <w:pPr>
              <w:pStyle w:val="ListParagraph"/>
              <w:numPr>
                <w:ilvl w:val="0"/>
                <w:numId w:val="2"/>
              </w:numPr>
              <w:spacing w:after="45"/>
            </w:pPr>
            <w:r>
              <w:rPr>
                <w:sz w:val="15"/>
                <w:szCs w:val="15"/>
              </w:rPr>
              <w:t xml:space="preserve">The central finding - recurrence after R0 - is partly a definitional artefact of Japanese pathological practice, which the paper itself flags: non-invasive intraepithelial neoplasia is diagnosed as carcinoma in Japan but as high-grade dysplasia in the West, so 'adenocarcinoma' in the 92 cases here is not equivalent to adenocarcinoma in the Western series alongside it, and the adenocarcinoma hazard ratio cannot be transferred</w:t>
            </w:r>
          </w:p>
          <w:p>
            <w:pPr>
              <w:pStyle w:val="ListParagraph"/>
              <w:numPr>
                <w:ilvl w:val="0"/>
                <w:numId w:val="2"/>
              </w:numPr>
              <w:spacing w:after="45"/>
            </w:pPr>
            <w:r>
              <w:rPr>
                <w:sz w:val="15"/>
                <w:szCs w:val="15"/>
              </w:rPr>
              <w:t xml:space="preserve">Recurrence is defined as histologic confirmation of neoplastic tissue with no requirement for a prior negative surveillance endoscopy, and the median time to recurrence was 6 months (3 months after R1). That makes a large fraction of 'recurrences' residual disease, as the pattern by margin status shows - which is consistent but means the 18.3% figure is not comparable with series that excluded residual disease, including Han 2024 in this same depot</w:t>
            </w:r>
          </w:p>
          <w:p>
            <w:pPr>
              <w:pStyle w:val="ListParagraph"/>
              <w:numPr>
                <w:ilvl w:val="0"/>
                <w:numId w:val="2"/>
              </w:numPr>
              <w:spacing w:after="45"/>
            </w:pPr>
            <w:r>
              <w:rPr>
                <w:sz w:val="15"/>
                <w:szCs w:val="15"/>
              </w:rPr>
              <w:t xml:space="preserve">The later treatment era (2015-2020) independently predicted recurrence (HR 1.57), which the authors attribute to more procedures by operators with fewer than 20 prior cases (26.4% rising to 44.0%). Since operator experience was not itself significant, this is an unexplained period effect that could equally reflect intensified surveillance in later years - a detection artefact that would inflate the headline recurrence rate</w:t>
            </w:r>
          </w:p>
          <w:p>
            <w:pPr>
              <w:pStyle w:val="ListParagraph"/>
              <w:numPr>
                <w:ilvl w:val="0"/>
                <w:numId w:val="2"/>
              </w:numPr>
              <w:spacing w:after="45"/>
            </w:pPr>
            <w:r>
              <w:rPr>
                <w:sz w:val="15"/>
                <w:szCs w:val="15"/>
              </w:rPr>
              <w:t xml:space="preserve">Margin assessment was local across 22 centres with no central pathology review and no interobserver data, yet R0/R1/Rx is the paper's principal exposure; a quarter of the cohort was Rx precisely because margins could not be read, and Rx behaved almost identically to R1 at 5 years (34% each), suggesting Rx is largely undetected R1</w:t>
            </w:r>
          </w:p>
          <w:p>
            <w:pPr>
              <w:pStyle w:val="ListParagraph"/>
              <w:numPr>
                <w:ilvl w:val="0"/>
                <w:numId w:val="2"/>
              </w:numPr>
              <w:spacing w:after="45"/>
            </w:pPr>
            <w:r>
              <w:rPr>
                <w:sz w:val="15"/>
                <w:szCs w:val="15"/>
              </w:rPr>
              <w:t xml:space="preserve">The R0 subgroup analysis generates the paper's most quotable new risk factors from very few events, with wildly unstable estimates: argon plasma coagulation HR 6.26 (1.44-27.1) rests on 69 of 396 R0 patients having received APC, and bile duct invasion HR 4.86 (1.08-21.8) on a handful of cases. The authors correctly reinterpret APC as a marker of endoscopically suspected residual disease rather than a cause, but the abstract-level framing does not carry that caveat</w:t>
            </w:r>
          </w:p>
          <w:p>
            <w:pPr>
              <w:pStyle w:val="ListParagraph"/>
              <w:numPr>
                <w:ilvl w:val="0"/>
                <w:numId w:val="2"/>
              </w:numPr>
              <w:spacing w:after="45"/>
            </w:pPr>
            <w:r>
              <w:rPr>
                <w:sz w:val="15"/>
                <w:szCs w:val="15"/>
              </w:rPr>
              <w:t xml:space="preserve">The pancreatic duct invasion estimate is reported as 0.00 (0.00-infinity) - a non-estimate from a zero cell - and is then used to argue that bile duct but not pancreatic duct invasion matters, an inference the data cannot support</w:t>
            </w:r>
          </w:p>
          <w:p>
            <w:pPr>
              <w:pStyle w:val="ListParagraph"/>
              <w:numPr>
                <w:ilvl w:val="0"/>
                <w:numId w:val="2"/>
              </w:numPr>
              <w:spacing w:after="45"/>
            </w:pPr>
            <w:r>
              <w:rPr>
                <w:sz w:val="15"/>
                <w:szCs w:val="15"/>
              </w:rPr>
              <w:t xml:space="preserve">Patients censored at 5 years and 21 patients removed for post-papillectomy surgery for residual cancer are exactly the group at highest risk of a bad outcome; removing them from the recurrence denominator while keeping them in the 798-patient resection-status analysis means the two headline numbers (52.1% R0, 18.3% recurrence) have different populations behind them</w:t>
            </w:r>
          </w:p>
          <w:p>
            <w:pPr>
              <w:pStyle w:val="ListParagraph"/>
              <w:numPr>
                <w:ilvl w:val="0"/>
                <w:numId w:val="2"/>
              </w:numPr>
              <w:spacing w:after="45"/>
            </w:pPr>
            <w:r>
              <w:rPr>
                <w:sz w:val="15"/>
                <w:szCs w:val="15"/>
              </w:rPr>
              <w:t xml:space="preserve">Female sex emerged as an independent predictor in both models (HR 1.48 and 2.09) with no mechanism offered beyond one prior report; in a model with 13 covariates and 142 events this is as likely to be noise or a proxy for an unmeasured anatomical variable</w:t>
            </w:r>
          </w:p>
          <w:p>
            <w:pPr>
              <w:pStyle w:val="ListParagraph"/>
              <w:numPr>
                <w:ilvl w:val="0"/>
                <w:numId w:val="2"/>
              </w:numPr>
              <w:spacing w:after="45"/>
            </w:pPr>
            <w:r>
              <w:rPr>
                <w:sz w:val="15"/>
                <w:szCs w:val="15"/>
              </w:rPr>
              <w:t xml:space="preserve">Follow-up protocols 'varied by center and clinical context' with only a typical interval of 6-12 months stated, so recurrence ascertainment is non-uniform across 22 centres and 12 years - the single most important determinant of a cumulative recurrence estimate is left undocumented</w:t>
            </w:r>
          </w:p>
          <w:p>
            <w:pPr>
              <w:pStyle w:val="ListParagraph"/>
              <w:numPr>
                <w:ilvl w:val="0"/>
                <w:numId w:val="2"/>
              </w:numPr>
              <w:spacing w:after="45"/>
            </w:pPr>
            <w:r>
              <w:rPr>
                <w:sz w:val="15"/>
                <w:szCs w:val="15"/>
              </w:rPr>
              <w:t xml:space="preserve">The 32.5% adverse event rate with 19.4% bleeding is substantially higher than most Western series and reflects a Japanese practice of inpatient papillectomy with a 13-day median stay; the paper does not discuss whether this reflects more complete ascertainment or a different complication profile, which matters for anyone comparing the two approaches</w:t>
            </w:r>
          </w:p>
          <w:p>
            <w:pPr>
              <w:pStyle w:val="ListParagraph"/>
              <w:numPr>
                <w:ilvl w:val="0"/>
                <w:numId w:val="2"/>
              </w:numPr>
              <w:spacing w:after="45"/>
            </w:pPr>
            <w:r>
              <w:rPr>
                <w:sz w:val="15"/>
                <w:szCs w:val="15"/>
              </w:rPr>
              <w:t xml:space="preserve">Several authors declare lecture fees and research support from endoscope and device manufacturers, and the study was run with the national endoscopy society's guideline committee, in a paper whose conclusions support continued endoscopic surveillance and a redefinition of R0</w:t>
            </w:r>
          </w:p>
        </w:tc>
      </w:tr>
    </w:tbl>
    <w:p>
      <w:pPr>
        <w:spacing w:after="0" w:line="276"/>
      </w:pPr>
      <w:r>
        <w:rPr>
          <w:color w:val="5A6069"/>
          <w:sz w:val="14"/>
          <w:szCs w:val="14"/>
        </w:rPr>
        <w:t xml:space="preserve">Funding: Not stated; study registered UMIN000040288 and approved by the Keio University Hospital ethics committee. Multiple author financial relationships declared, including lecture fees and research support from Boston Scientific Japan, Fujifilm, Olympus Marketing, Gadelius Medical and others.</w:t>
      </w:r>
    </w:p>
    <w:p>
      <w:pPr>
        <w:keepNext/>
        <w:spacing w:after="50" w:before="260"/>
      </w:pPr>
      <w:r>
        <w:rPr>
          <w:rFonts w:ascii="Cambria" w:cs="Cambria" w:eastAsia="Cambria" w:hAnsi="Cambria"/>
          <w:b/>
          <w:bCs/>
          <w:color w:val="17365D"/>
          <w:sz w:val="20"/>
          <w:szCs w:val="20"/>
        </w:rPr>
        <w:t xml:space="preserve">Kryklyva 2021</w:t>
      </w:r>
      <w:r>
        <w:rPr>
          <w:b/>
          <w:bCs/>
          <w:color w:val="176A87"/>
          <w:sz w:val="15"/>
          <w:szCs w:val="15"/>
        </w:rPr>
        <w:t xml:space="preserve">   Retrospective cohort</w:t>
      </w:r>
      <w:r>
        <w:rPr>
          <w:color w:val="5A6069"/>
          <w:sz w:val="15"/>
          <w:szCs w:val="15"/>
        </w:rPr>
        <w:t xml:space="preserve">   PMID 34873870</w:t>
      </w:r>
    </w:p>
    <w:p>
      <w:pPr>
        <w:spacing w:after="50" w:line="276"/>
      </w:pPr>
      <w:r>
        <w:rPr>
          <w:color w:val="5A6069"/>
          <w:sz w:val="17"/>
          <w:szCs w:val="17"/>
        </w:rPr>
        <w:t xml:space="preserve">Mismatch repair deficiency in early-onset duodenal, ampullary, and pancreatic carcinomas is a strong indicator for a hereditary defect.</w:t>
      </w:r>
    </w:p>
    <w:p>
      <w:pPr>
        <w:spacing w:after="50"/>
      </w:pPr>
      <w:r>
        <w:rPr>
          <w:b/>
          <w:bCs/>
          <w:color w:val="176A87"/>
          <w:sz w:val="16"/>
          <w:szCs w:val="16"/>
        </w:rPr>
        <w:t xml:space="preserve">Population. </w:t>
      </w:r>
      <w:r>
        <w:rPr>
          <w:sz w:val="16"/>
          <w:szCs w:val="16"/>
        </w:rPr>
        <w:t xml:space="preserve">90 early-onset carcinomas of 162 identified patients: 23 duodenal, 23 ampullary and 44 pancreatic, all under age 50 (median 43, range 17-49); comparator 18 late-onset (age 50 or over) duodenal carcinomas (median 70, range 57-77)</w:t>
      </w:r>
    </w:p>
    <w:p>
      <w:pPr>
        <w:spacing w:after="70"/>
      </w:pPr>
      <w:r>
        <w:rPr>
          <w:b/>
          <w:bCs/>
          <w:color w:val="17365D"/>
          <w:sz w:val="16"/>
          <w:szCs w:val="16"/>
        </w:rPr>
        <w:t xml:space="preserve">Bottom line. </w:t>
      </w:r>
      <w:r>
        <w:rPr>
          <w:sz w:val="16"/>
          <w:szCs w:val="16"/>
        </w:rPr>
        <w:t xml:space="preserve">In a nationwide Dutch series of resected carcinomas diagnosed before age 50, mismatch repair deficiency was common in duodenal cancer (47.8%) and more than half of those cases were Lynch or CMMRD, so dMMR testing is clearly justified there; but only 1 of 23 early-onset ampullary and 2 of 44 pancreatic carcinomas were deficient, and the paper's recommendation to test all early-onset ampullary cancers rests on that single case - routine MMR testing in ampullary carcinoma is better justified by the unselected prevalence reported elsewhere than by age-based selection.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note that the high dMMR yield in their duodenal cohort could be explained by preselection on young age, which enriches for hereditary predisposition</w:t>
            </w:r>
          </w:p>
          <w:p>
            <w:pPr>
              <w:pStyle w:val="ListParagraph"/>
              <w:numPr>
                <w:ilvl w:val="0"/>
                <w:numId w:val="2"/>
              </w:numPr>
              <w:spacing w:after="45"/>
            </w:pPr>
            <w:r>
              <w:rPr>
                <w:sz w:val="15"/>
                <w:szCs w:val="15"/>
              </w:rPr>
              <w:t xml:space="preserve">They acknowledge that large studies on duodenal carcinoma are either missing or include duodenal cases within mixed periampullary or small bowel cohorts</w:t>
            </w:r>
          </w:p>
          <w:p>
            <w:pPr>
              <w:pStyle w:val="ListParagraph"/>
              <w:numPr>
                <w:ilvl w:val="0"/>
                <w:numId w:val="2"/>
              </w:numPr>
              <w:spacing w:after="45"/>
            </w:pPr>
            <w:r>
              <w:rPr>
                <w:sz w:val="15"/>
                <w:szCs w:val="15"/>
              </w:rPr>
              <w:t xml:space="preserve">They state that false-negative immunohistochemistry can occur when an antigenically intact but catalytically inactive protein is present, which would show MSI but not protein loss</w:t>
            </w:r>
          </w:p>
          <w:p>
            <w:pPr>
              <w:pStyle w:val="ListParagraph"/>
              <w:numPr>
                <w:ilvl w:val="0"/>
                <w:numId w:val="2"/>
              </w:numPr>
              <w:spacing w:after="45"/>
            </w:pPr>
            <w:r>
              <w:rPr>
                <w:sz w:val="15"/>
                <w:szCs w:val="15"/>
              </w:rPr>
              <w:t xml:space="preserve">Because patient data were anonymised before collection, the results of germline analyses could not be shared with patients, their families or physicians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AMPULLARY FINDING IS A NEGATIVE ONE BUILT ON A SINGLE CASE. Only 1 of 23 early-onset ampullary carcinomas was dMMR. The abstract's claim that 'all dMMR AC and PC were due to LS' and the conclusion that concordance 'warrants ubiquitous dMMR testing in all early-onset DC, AC, and PC' rest on 1 ampullary and 2 pancreatic patients; 1 of 1 and 2 of 2 are not estimates of concordance, and no confidence intervals appear anywhere in the paper</w:t>
            </w:r>
          </w:p>
          <w:p>
            <w:pPr>
              <w:pStyle w:val="ListParagraph"/>
              <w:numPr>
                <w:ilvl w:val="0"/>
                <w:numId w:val="2"/>
              </w:numPr>
              <w:spacing w:after="45"/>
            </w:pPr>
            <w:r>
              <w:rPr>
                <w:sz w:val="15"/>
                <w:szCs w:val="15"/>
              </w:rPr>
              <w:t xml:space="preserve">The recommendation for universal testing in ampullary cancer is therefore not supported by this dataset. Testing 23 patients to find 1 dMMR case yields a 4.3% prevalence indistinguishable from pancreatic cancer and lower than the roughly 10% the authors themselves cite for unselected ampullary carcinoma - which would mean selecting by young age performs worse than testing everyone, the opposite of the paper's framing. The companion paper in this depot (Xue 2023) found 15% dMMR in unselected non-medullary ampullary carcinoma</w:t>
            </w:r>
          </w:p>
          <w:p>
            <w:pPr>
              <w:pStyle w:val="ListParagraph"/>
              <w:numPr>
                <w:ilvl w:val="0"/>
                <w:numId w:val="2"/>
              </w:numPr>
              <w:spacing w:after="45"/>
            </w:pPr>
            <w:r>
              <w:rPr>
                <w:sz w:val="15"/>
                <w:szCs w:val="15"/>
              </w:rPr>
              <w:t xml:space="preserve">72 of 162 eligible patients (44%) were not included because their laboratories did not supply material, and no comparison of included with excluded patients on age, site, stage or centre is offered. In a nationwide registry study, non-random availability of archived blocks from 23 of an unstated number of laboratories is a serious selection problem for a prevalence estimate</w:t>
            </w:r>
          </w:p>
          <w:p>
            <w:pPr>
              <w:pStyle w:val="ListParagraph"/>
              <w:numPr>
                <w:ilvl w:val="0"/>
                <w:numId w:val="2"/>
              </w:numPr>
              <w:spacing w:after="45"/>
            </w:pPr>
            <w:r>
              <w:rPr>
                <w:sz w:val="15"/>
                <w:szCs w:val="15"/>
              </w:rPr>
              <w:t xml:space="preserve">Resection specimens only. Early-onset duodenal, ampullary and pancreatic cancers that were unresectable - the majority for pancreatic cancer - are absent by design, so the cohort is skewed towards earlier-stage, fitter patients and the prevalence figures cannot be read as population estimates for the cancers as diagnosed</w:t>
            </w:r>
          </w:p>
          <w:p>
            <w:pPr>
              <w:pStyle w:val="ListParagraph"/>
              <w:numPr>
                <w:ilvl w:val="0"/>
                <w:numId w:val="2"/>
              </w:numPr>
              <w:spacing w:after="45"/>
            </w:pPr>
            <w:r>
              <w:rPr>
                <w:sz w:val="15"/>
                <w:szCs w:val="15"/>
              </w:rPr>
              <w:t xml:space="preserve">A substantial number of registry-coded pancreatic cancers turned out to be ampullary on review, which is reported as a reclassification but never quantified against the original coding, and the review was by a single pathologist with no second reader or interobserver data. Since the whole point of the ampullary group is that it differs from pancreas, the reliability of the reassignment is central and untested</w:t>
            </w:r>
          </w:p>
          <w:p>
            <w:pPr>
              <w:pStyle w:val="ListParagraph"/>
              <w:numPr>
                <w:ilvl w:val="0"/>
                <w:numId w:val="2"/>
              </w:numPr>
              <w:spacing w:after="45"/>
            </w:pPr>
            <w:r>
              <w:rPr>
                <w:sz w:val="15"/>
                <w:szCs w:val="15"/>
              </w:rPr>
              <w:t xml:space="preserve">'Unclassified' is doing real work in the headline: 2 of 14 dMMR cases could not have germline testing because of material limitations, so the statement that dMMR indicates a hereditary defect is based on 10 of 12 assessable cases, and 2 of the Lynch assignments could not be confirmed by a second somatic hit because tumour sequencing failed (patients DC19 and PC13) or tumour cell percentage was too low (PC46)</w:t>
            </w:r>
          </w:p>
          <w:p>
            <w:pPr>
              <w:pStyle w:val="ListParagraph"/>
              <w:numPr>
                <w:ilvl w:val="0"/>
                <w:numId w:val="2"/>
              </w:numPr>
              <w:spacing w:after="45"/>
            </w:pPr>
            <w:r>
              <w:rPr>
                <w:sz w:val="15"/>
                <w:szCs w:val="15"/>
              </w:rPr>
              <w:t xml:space="preserve">The late-onset comparator is an internal Radboud cohort of 18 duodenal carcinomas with no stated selection criteria, no date range and a median age 27 years higher; it is a convenience group, and the p = 0.005 for early- versus late-onset dMMR rests on 1 event in that arm</w:t>
            </w:r>
          </w:p>
          <w:p>
            <w:pPr>
              <w:pStyle w:val="ListParagraph"/>
              <w:numPr>
                <w:ilvl w:val="0"/>
                <w:numId w:val="2"/>
              </w:numPr>
              <w:spacing w:after="45"/>
            </w:pPr>
            <w:r>
              <w:rPr>
                <w:sz w:val="15"/>
                <w:szCs w:val="15"/>
              </w:rPr>
              <w:t xml:space="preserve">No survival or treatment data are reported, so the clinical consequences the discussion invokes - better prognosis of dMMR tumours and eligibility for pembrolizumab - are imported from colorectal and small bowel literature rather than demonstrated here</w:t>
            </w:r>
          </w:p>
          <w:p>
            <w:pPr>
              <w:pStyle w:val="ListParagraph"/>
              <w:numPr>
                <w:ilvl w:val="0"/>
                <w:numId w:val="2"/>
              </w:numPr>
              <w:spacing w:after="45"/>
            </w:pPr>
            <w:r>
              <w:rPr>
                <w:sz w:val="15"/>
                <w:szCs w:val="15"/>
              </w:rPr>
              <w:t xml:space="preserve">Anonymisation before collection meant germline results could not be returned to patients or families. Identifying 8 Lynch and 2 CMMRD patients, whose relatives carry actionable risk, and being structurally unable to tell anyone is an ethical cost of the design that the paper records in a single sentence without discussion</w:t>
            </w:r>
          </w:p>
          <w:p>
            <w:pPr>
              <w:pStyle w:val="ListParagraph"/>
              <w:numPr>
                <w:ilvl w:val="0"/>
                <w:numId w:val="2"/>
              </w:numPr>
              <w:spacing w:after="45"/>
            </w:pPr>
            <w:r>
              <w:rPr>
                <w:sz w:val="15"/>
                <w:szCs w:val="15"/>
              </w:rPr>
              <w:t xml:space="preserve">The two CMMRD cases are presented as an additional incentive to test duodenal cancer, but both were already clinically obvious by their teens from multiple childhood malignancies and polyps; universal tumour testing is not what would identify such patients</w:t>
            </w:r>
          </w:p>
          <w:p>
            <w:pPr>
              <w:pStyle w:val="ListParagraph"/>
              <w:numPr>
                <w:ilvl w:val="0"/>
                <w:numId w:val="2"/>
              </w:numPr>
              <w:spacing w:after="45"/>
            </w:pPr>
            <w:r>
              <w:rPr>
                <w:sz w:val="15"/>
                <w:szCs w:val="15"/>
              </w:rPr>
              <w:t xml:space="preserve">dMMR tumours were larger across the whole series (p = 0.031) but not within any site, and the paper reports this as a finding without noting that an overall association driven by the duodenal group - which had both the largest tumours and nearly all the dMMR cases - is confounded by site</w:t>
            </w:r>
          </w:p>
          <w:p>
            <w:pPr>
              <w:pStyle w:val="ListParagraph"/>
              <w:numPr>
                <w:ilvl w:val="0"/>
                <w:numId w:val="2"/>
              </w:numPr>
              <w:spacing w:after="45"/>
            </w:pPr>
            <w:r>
              <w:rPr>
                <w:sz w:val="15"/>
                <w:szCs w:val="15"/>
              </w:rPr>
              <w:t xml:space="preserve">MSI was assessed by five mononucleotide markers or by a 55-marker NGS panel depending on tumour cellularity, two methods with different thresholds pooled into one 'MSI' variable</w:t>
            </w:r>
          </w:p>
        </w:tc>
      </w:tr>
    </w:tbl>
    <w:p>
      <w:pPr>
        <w:spacing w:after="0" w:line="276"/>
      </w:pPr>
      <w:r>
        <w:rPr>
          <w:color w:val="5A6069"/>
          <w:sz w:val="14"/>
          <w:szCs w:val="14"/>
        </w:rPr>
        <w:t xml:space="preserve">Funding: A grant from the Dutch Cancer Society (KWF Kankerbestrijding) 2016 10289; no conflicts of interest were declared. Approved by the Radboud University Medical Center ethics committee (CMO-2017-3780) with PALGA Privacy Commission and Scientific Council approval.</w:t>
      </w:r>
    </w:p>
    <w:p>
      <w:pPr>
        <w:keepNext/>
        <w:spacing w:after="50" w:before="260"/>
      </w:pPr>
      <w:r>
        <w:rPr>
          <w:rFonts w:ascii="Cambria" w:cs="Cambria" w:eastAsia="Cambria" w:hAnsi="Cambria"/>
          <w:b/>
          <w:bCs/>
          <w:color w:val="17365D"/>
          <w:sz w:val="20"/>
          <w:szCs w:val="20"/>
        </w:rPr>
        <w:t xml:space="preserve">Malignancy risk score</w:t>
      </w:r>
      <w:r>
        <w:rPr>
          <w:b/>
          <w:bCs/>
          <w:color w:val="176A87"/>
          <w:sz w:val="15"/>
          <w:szCs w:val="15"/>
        </w:rPr>
        <w:t xml:space="preserve">   Retrospective cohort</w:t>
      </w:r>
      <w:r>
        <w:rPr>
          <w:color w:val="5A6069"/>
          <w:sz w:val="15"/>
          <w:szCs w:val="15"/>
        </w:rPr>
        <w:t xml:space="preserve">   PMID 39831703</w:t>
      </w:r>
    </w:p>
    <w:p>
      <w:pPr>
        <w:spacing w:after="50" w:line="276"/>
      </w:pPr>
      <w:r>
        <w:rPr>
          <w:color w:val="5A6069"/>
          <w:sz w:val="17"/>
          <w:szCs w:val="17"/>
        </w:rPr>
        <w:t xml:space="preserve">Multi-institutional analysis of pancreaticoduodenectomy for nonfamilial periampullary adenoma: a novel risk score to guide shared decision-making.</w:t>
      </w:r>
    </w:p>
    <w:p>
      <w:pPr>
        <w:spacing w:after="50"/>
      </w:pPr>
      <w:r>
        <w:rPr>
          <w:b/>
          <w:bCs/>
          <w:color w:val="176A87"/>
          <w:sz w:val="16"/>
          <w:szCs w:val="16"/>
        </w:rPr>
        <w:t xml:space="preserve">Population. </w:t>
      </w:r>
      <w:r>
        <w:rPr>
          <w:sz w:val="16"/>
          <w:szCs w:val="16"/>
        </w:rPr>
        <w:t xml:space="preserve">127 patients of 189 reviewed; median age 65 years (34-89), 57 men (44.9%); 82 (64.6%) preoperative duodenal adenoma and 45 (35.4%) ampullary adenoma, with ampullary involvement in 84 of 119 (70.6%); 59 (46.4%) had malignancy on final pathology</w:t>
      </w:r>
    </w:p>
    <w:p>
      <w:pPr>
        <w:spacing w:after="70"/>
      </w:pPr>
      <w:r>
        <w:rPr>
          <w:b/>
          <w:bCs/>
          <w:color w:val="17365D"/>
          <w:sz w:val="16"/>
          <w:szCs w:val="16"/>
        </w:rPr>
        <w:t xml:space="preserve">Bottom line. </w:t>
      </w:r>
      <w:r>
        <w:rPr>
          <w:sz w:val="16"/>
          <w:szCs w:val="16"/>
        </w:rPr>
        <w:t xml:space="preserve">Confirms in the largest surgical series that nearly half of sporadic periampullary adenomas taken to pancreatoduodenectomy harbour cancer and that patients with benign final pathology paradoxically suffer threefold more major complications, and proposes a 0-6 malignancy risk score from age, bile duct diameter, symptoms and high-grade dysplasia; but the score is derived and tested in the same 127 already-resected patients with no validation, its published strata carry three inconsistent sets of numbers, and two of its four components are proxies for biliary obstruction.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multi-institutional data with the usual biases; overall statistical power remained low because of disease rarity despite multiple centres</w:t>
            </w:r>
          </w:p>
          <w:p>
            <w:pPr>
              <w:pStyle w:val="ListParagraph"/>
              <w:numPr>
                <w:ilvl w:val="0"/>
                <w:numId w:val="2"/>
              </w:numPr>
              <w:spacing w:after="45"/>
            </w:pPr>
            <w:r>
              <w:rPr>
                <w:sz w:val="15"/>
                <w:szCs w:val="15"/>
              </w:rPr>
              <w:t xml:space="preserve">The small sample prevented splitting into derivation and validation cohorts, so the proposed score has not undergone formal validation</w:t>
            </w:r>
          </w:p>
          <w:p>
            <w:pPr>
              <w:pStyle w:val="ListParagraph"/>
              <w:numPr>
                <w:ilvl w:val="0"/>
                <w:numId w:val="2"/>
              </w:numPr>
              <w:spacing w:after="45"/>
            </w:pPr>
            <w:r>
              <w:rPr>
                <w:sz w:val="15"/>
                <w:szCs w:val="15"/>
              </w:rPr>
              <w:t xml:space="preserve">Ampullary lesions were not separated from duodenal lesions involving the periampullary region, although no outcome difference was found between them</w:t>
            </w:r>
          </w:p>
          <w:p>
            <w:pPr>
              <w:pStyle w:val="ListParagraph"/>
              <w:numPr>
                <w:ilvl w:val="0"/>
                <w:numId w:val="2"/>
              </w:numPr>
              <w:spacing w:after="45"/>
            </w:pPr>
            <w:r>
              <w:rPr>
                <w:sz w:val="15"/>
                <w:szCs w:val="15"/>
              </w:rPr>
              <w:t xml:space="preserve">Not every patient was tested genetically for FAP, MUTYH-associated polyposis or other mutations, though all underwent colonoscopy and family history assessment</w:t>
            </w:r>
          </w:p>
          <w:p>
            <w:pPr>
              <w:pStyle w:val="ListParagraph"/>
              <w:numPr>
                <w:ilvl w:val="0"/>
                <w:numId w:val="2"/>
              </w:numPr>
              <w:spacing w:after="45"/>
            </w:pPr>
            <w:r>
              <w:rPr>
                <w:sz w:val="15"/>
                <w:szCs w:val="15"/>
              </w:rPr>
              <w:t xml:space="preserve">Sampling bias is acknowledged because the cohort consists only of non-FAP periampullary adenomas that went on to pancreatoduodenectomy; the high malignancy rate reflects selection of high-risk cases by tumour size and location, and the true denominator - including patients managed by endoscopic mucosal resection or transduodenal resection - is unclear</w:t>
            </w:r>
          </w:p>
          <w:p>
            <w:pPr>
              <w:pStyle w:val="ListParagraph"/>
              <w:numPr>
                <w:ilvl w:val="0"/>
                <w:numId w:val="2"/>
              </w:numPr>
              <w:spacing w:after="45"/>
            </w:pPr>
            <w:r>
              <w:rPr>
                <w:sz w:val="15"/>
                <w:szCs w:val="15"/>
              </w:rPr>
              <w:t xml:space="preserve">A prospective study to identify the true denominator may not be feasible given the low incidence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risk strata are reported with mutually inconsistent numbers: the abstract gives low risk n = 26, intermediate n = 59, high n = 26 with rates 10.3%, 44.1% and 88.2%; the results text gives 11.5%, 41.7% and 84.6%; Table 4 gives 3/29, 26/59 and 30/34. Three different sets of denominators for the paper's central output means the score's calibration cannot be verified from the published data</w:t>
            </w:r>
          </w:p>
          <w:p>
            <w:pPr>
              <w:pStyle w:val="ListParagraph"/>
              <w:numPr>
                <w:ilvl w:val="0"/>
                <w:numId w:val="2"/>
              </w:numPr>
              <w:spacing w:after="45"/>
            </w:pPr>
            <w:r>
              <w:rPr>
                <w:sz w:val="15"/>
                <w:szCs w:val="15"/>
              </w:rPr>
              <w:t xml:space="preserve">The score was derived and evaluated in the same 127 patients with no split-sample, bootstrap or cross-validation, no c-statistic, no calibration plot and no sensitivity or specificity at any threshold. An OR of 77.5 for the high-risk group (CI 15.9-375.9) is the signature of an in-sample fit, and the paper's own concession that validation was impossible should preclude clinical use</w:t>
            </w:r>
          </w:p>
          <w:p>
            <w:pPr>
              <w:pStyle w:val="ListParagraph"/>
              <w:numPr>
                <w:ilvl w:val="0"/>
                <w:numId w:val="2"/>
              </w:numPr>
              <w:spacing w:after="45"/>
            </w:pPr>
            <w:r>
              <w:rPr>
                <w:sz w:val="15"/>
                <w:szCs w:val="15"/>
              </w:rPr>
              <w:t xml:space="preserve">The denominator problem the authors acknowledge is fatal to the score's intended purpose: everyone in the cohort had a Whipple, so the score is calibrated on the subset already judged to need resection. A patient weighing resection against endoscopic surveillance is by definition outside this population, and applying a 46% baseline malignancy rate to them would badly overestimate risk - exactly the misuse the shared-decision framing invites</w:t>
            </w:r>
          </w:p>
          <w:p>
            <w:pPr>
              <w:pStyle w:val="ListParagraph"/>
              <w:numPr>
                <w:ilvl w:val="0"/>
                <w:numId w:val="2"/>
              </w:numPr>
              <w:spacing w:after="45"/>
            </w:pPr>
            <w:r>
              <w:rPr>
                <w:sz w:val="15"/>
                <w:szCs w:val="15"/>
              </w:rPr>
              <w:t xml:space="preserve">Two of the four score components are proxies for obstruction, not for neoplastic progression: 'any preoperative symptom' (worth 2 points) is a list including fatigue, nausea and dark urine, and common bile duct dilation of 9 mm or more. Jaundice and biliary stenting were dropped from the model as redundant with symptoms, which concedes the point - the score largely measures whether the lesion is obstructing, and the discussant at the meeting objected that a jaundiced patient with no other factor scores only 1-2</w:t>
            </w:r>
          </w:p>
          <w:p>
            <w:pPr>
              <w:pStyle w:val="ListParagraph"/>
              <w:numPr>
                <w:ilvl w:val="0"/>
                <w:numId w:val="2"/>
              </w:numPr>
              <w:spacing w:after="45"/>
            </w:pPr>
            <w:r>
              <w:rPr>
                <w:sz w:val="15"/>
                <w:szCs w:val="15"/>
              </w:rPr>
              <w:t xml:space="preserve">The inverse complication relationship is presented as a feature of the score but has a simpler explanation the paper does not address: patients with benign pathology had soft, non-atrophic glands and non-dilated ducts because they had no obstructing cancer, and fistula risk follows gland texture and duct size. Adjusting for duct size and texture in the final model does not remove this, because the same obstruction physiology that lowers fistula risk is what the score is detecting</w:t>
            </w:r>
          </w:p>
          <w:p>
            <w:pPr>
              <w:pStyle w:val="ListParagraph"/>
              <w:numPr>
                <w:ilvl w:val="0"/>
                <w:numId w:val="2"/>
              </w:numPr>
              <w:spacing w:after="45"/>
            </w:pPr>
            <w:r>
              <w:rPr>
                <w:sz w:val="15"/>
                <w:szCs w:val="15"/>
              </w:rPr>
              <w:t xml:space="preserve">The complication finding only becomes significant after the three prespecified strata are collapsed at score 3 - across the strata as defined it was non-significant (p = 0.11) with the intermediate and high groups indistinguishable (27.1% vs 29.4%). Choosing the dichotomy that yields p = 0.047 after the three-group comparison failed is a post hoc cut-point</w:t>
            </w:r>
          </w:p>
          <w:p>
            <w:pPr>
              <w:pStyle w:val="ListParagraph"/>
              <w:numPr>
                <w:ilvl w:val="0"/>
                <w:numId w:val="2"/>
              </w:numPr>
              <w:spacing w:after="45"/>
            </w:pPr>
            <w:r>
              <w:rPr>
                <w:sz w:val="15"/>
                <w:szCs w:val="15"/>
              </w:rPr>
              <w:t xml:space="preserve">Preoperative dysplasia grade carries 2 of the 6 points but was read by local pathologists at 8 centres over 12 years, with no central review and no interobserver data - and the invited discussants specifically questioned whether a pathologist seeing roughly one such case per year can reliably separate high- from low-grade dysplasia</w:t>
            </w:r>
          </w:p>
          <w:p>
            <w:pPr>
              <w:pStyle w:val="ListParagraph"/>
              <w:numPr>
                <w:ilvl w:val="0"/>
                <w:numId w:val="2"/>
              </w:numPr>
              <w:spacing w:after="45"/>
            </w:pPr>
            <w:r>
              <w:rPr>
                <w:sz w:val="15"/>
                <w:szCs w:val="15"/>
              </w:rPr>
              <w:t xml:space="preserve">Volume was extremely low: 127 patients across 8 institutions over 12 years, about 1.3 cases per centre per year, so biopsy technique, number of biopsies, prior attempted endoscopic resection and pathology interpretation almost certainly varied in ways that cannot be modelled - a point the discussants raised and the authors do not rebut with data</w:t>
            </w:r>
          </w:p>
          <w:p>
            <w:pPr>
              <w:pStyle w:val="ListParagraph"/>
              <w:numPr>
                <w:ilvl w:val="0"/>
                <w:numId w:val="2"/>
              </w:numPr>
              <w:spacing w:after="45"/>
            </w:pPr>
            <w:r>
              <w:rPr>
                <w:sz w:val="15"/>
                <w:szCs w:val="15"/>
              </w:rPr>
              <w:t xml:space="preserve">EUS findings are absent from the entire paper despite both discussants noting that these are major centres where EUS would be routine; omitting the modality that best assesses intraductal extension and depth from a preoperative risk score is a substantial gap, and no explanation is given</w:t>
            </w:r>
          </w:p>
          <w:p>
            <w:pPr>
              <w:pStyle w:val="ListParagraph"/>
              <w:numPr>
                <w:ilvl w:val="0"/>
                <w:numId w:val="2"/>
              </w:numPr>
              <w:spacing w:after="45"/>
            </w:pPr>
            <w:r>
              <w:rPr>
                <w:sz w:val="15"/>
                <w:szCs w:val="15"/>
              </w:rPr>
              <w:t xml:space="preserve">Lesion size was missing for 27 of 127 patients (21%) and was then excluded from the score on the grounds that it did not differ between groups - a conclusion drawn from data with a fifth missing and no imputation</w:t>
            </w:r>
          </w:p>
          <w:p>
            <w:pPr>
              <w:pStyle w:val="ListParagraph"/>
              <w:numPr>
                <w:ilvl w:val="0"/>
                <w:numId w:val="2"/>
              </w:numPr>
              <w:spacing w:after="45"/>
            </w:pPr>
            <w:r>
              <w:rPr>
                <w:sz w:val="15"/>
                <w:szCs w:val="15"/>
              </w:rPr>
              <w:t xml:space="preserve">Black race was associated with benign final pathology (26.5% vs 11.9%) and with a different risk profile, in a cohort where race also tracked with symptoms and stenting; no analysis addresses whether differential access to earlier endoscopic diagnosis is embedded in the score's components</w:t>
            </w:r>
          </w:p>
          <w:p>
            <w:pPr>
              <w:pStyle w:val="ListParagraph"/>
              <w:numPr>
                <w:ilvl w:val="0"/>
                <w:numId w:val="2"/>
              </w:numPr>
              <w:spacing w:after="45"/>
            </w:pPr>
            <w:r>
              <w:rPr>
                <w:sz w:val="15"/>
                <w:szCs w:val="15"/>
              </w:rPr>
              <w:t xml:space="preserve">The 46.4% malignancy rate is compared with the same group's earlier single-centre figure of 29%, with no explanation for the difference other than cohort composition - which again points to the selection the score cannot escape</w:t>
            </w:r>
          </w:p>
        </w:tc>
      </w:tr>
    </w:tbl>
    <w:p>
      <w:pPr>
        <w:spacing w:after="0" w:line="276"/>
      </w:pPr>
      <w:r>
        <w:rPr>
          <w:color w:val="5A6069"/>
          <w:sz w:val="14"/>
          <w:szCs w:val="14"/>
        </w:rPr>
        <w:t xml:space="preserve">Funding: National Cancer Institute of the NIH award K12 CA237806 (Emory K12 Clinical Oncology Training Program, Dr Shah); Contardi Research Fellowship; Georgia Clinical and Translational Science Awards UL1 TR002378. Nothing to disclose for the study; disclosures outside its scope include grant funding from Cantargia AB and consultancies with Intera Oncology, Stryker Medical and Intuitive Surgical.</w:t>
      </w:r>
    </w:p>
    <w:p>
      <w:pPr>
        <w:keepNext/>
        <w:spacing w:after="50" w:before="260"/>
      </w:pPr>
      <w:r>
        <w:rPr>
          <w:rFonts w:ascii="Cambria" w:cs="Cambria" w:eastAsia="Cambria" w:hAnsi="Cambria"/>
          <w:b/>
          <w:bCs/>
          <w:color w:val="17365D"/>
          <w:sz w:val="20"/>
          <w:szCs w:val="20"/>
        </w:rPr>
        <w:t xml:space="preserve">Medullary ampullary carcinoma</w:t>
      </w:r>
      <w:r>
        <w:rPr>
          <w:b/>
          <w:bCs/>
          <w:color w:val="176A87"/>
          <w:sz w:val="15"/>
          <w:szCs w:val="15"/>
        </w:rPr>
        <w:t xml:space="preserve">   Retrospective cohort</w:t>
      </w:r>
      <w:r>
        <w:rPr>
          <w:color w:val="5A6069"/>
          <w:sz w:val="15"/>
          <w:szCs w:val="15"/>
        </w:rPr>
        <w:t xml:space="preserve">   PMID 36502926</w:t>
      </w:r>
    </w:p>
    <w:p>
      <w:pPr>
        <w:spacing w:after="50" w:line="276"/>
      </w:pPr>
      <w:r>
        <w:rPr>
          <w:color w:val="5A6069"/>
          <w:sz w:val="17"/>
          <w:szCs w:val="17"/>
        </w:rPr>
        <w:t xml:space="preserve">Medullary carcinoma of the ampulla has distinct clinicopathologic characteristics including common association with microsatellite instability and PD-L1 expression.</w:t>
      </w:r>
    </w:p>
    <w:p>
      <w:pPr>
        <w:spacing w:after="50"/>
      </w:pPr>
      <w:r>
        <w:rPr>
          <w:b/>
          <w:bCs/>
          <w:color w:val="176A87"/>
          <w:sz w:val="16"/>
          <w:szCs w:val="16"/>
        </w:rPr>
        <w:t xml:space="preserve">Population. </w:t>
      </w:r>
      <w:r>
        <w:rPr>
          <w:sz w:val="16"/>
          <w:szCs w:val="16"/>
        </w:rPr>
        <w:t xml:space="preserve">11 medullary carcinomas (3%) among 359 invasive ampullary carcinomas; PD-L1 assessed in 8, INI1 in 8, EBV in 3; comparator group 348 non-medullary ampullary carcinomas (MMR tested in 119)</w:t>
      </w:r>
    </w:p>
    <w:p>
      <w:pPr>
        <w:spacing w:after="70"/>
      </w:pPr>
      <w:r>
        <w:rPr>
          <w:b/>
          <w:bCs/>
          <w:color w:val="17365D"/>
          <w:sz w:val="16"/>
          <w:szCs w:val="16"/>
        </w:rPr>
        <w:t xml:space="preserve">Bottom line. </w:t>
      </w:r>
      <w:r>
        <w:rPr>
          <w:sz w:val="16"/>
          <w:szCs w:val="16"/>
        </w:rPr>
        <w:t xml:space="preserve">Establishes medullary carcinoma as a recognisable 3% subset of ampullary cancer that is strongly MMR-deficient, BRAF wild-type and almost uniformly PD-L1 positive regardless of MMR status, which justifies routine MMR testing; it does not establish that these tumours behave less aggressively or that immunotherapy benefits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Case numbers are too small to identify statistically significant differences between the MMR-deficient and MMR-proficient subsets, or between TPS- and CPS-positive cases</w:t>
            </w:r>
          </w:p>
          <w:p>
            <w:pPr>
              <w:pStyle w:val="ListParagraph"/>
              <w:numPr>
                <w:ilvl w:val="0"/>
                <w:numId w:val="2"/>
              </w:numPr>
              <w:spacing w:after="45"/>
            </w:pPr>
            <w:r>
              <w:rPr>
                <w:sz w:val="15"/>
                <w:szCs w:val="15"/>
              </w:rPr>
              <w:t xml:space="preserve">PD-L1 cut-offs and scoring criteria had to be extrapolated from non-small cell lung and gastric cancer because none are established for ampullary carcinoma, and thresholds and antibodies remain in flux</w:t>
            </w:r>
          </w:p>
          <w:p>
            <w:pPr>
              <w:pStyle w:val="ListParagraph"/>
              <w:numPr>
                <w:ilvl w:val="0"/>
                <w:numId w:val="2"/>
              </w:numPr>
              <w:spacing w:after="45"/>
            </w:pPr>
            <w:r>
              <w:rPr>
                <w:sz w:val="15"/>
                <w:szCs w:val="15"/>
              </w:rPr>
              <w:t xml:space="preserve">MLH1 promoter methylation testing was performed in only one case, so the Lynch association can only be suggested; testing the remaining cases would be needed to confirm it</w:t>
            </w:r>
          </w:p>
          <w:p>
            <w:pPr>
              <w:pStyle w:val="ListParagraph"/>
              <w:numPr>
                <w:ilvl w:val="0"/>
                <w:numId w:val="2"/>
              </w:numPr>
              <w:spacing w:after="45"/>
            </w:pPr>
            <w:r>
              <w:rPr>
                <w:sz w:val="15"/>
                <w:szCs w:val="15"/>
              </w:rPr>
              <w:t xml:space="preserve">A clinical trial is needed before immunotherapy can be recommended on the basis of these findings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Eleven cases is not a cohort for survival comparison: with 3 deaths the reported 5-year survival of 53% has no meaningful precision, and the paper's suggestion that medullary carcinoma 'may be less aggressive' rests on a non-significant difference of 6 percentage points (p = 0.47) that the discussion nonetheless escalates to 'the prognosis of MC appears to be more favorable'</w:t>
            </w:r>
          </w:p>
          <w:p>
            <w:pPr>
              <w:pStyle w:val="ListParagraph"/>
              <w:numPr>
                <w:ilvl w:val="0"/>
                <w:numId w:val="2"/>
              </w:numPr>
              <w:spacing w:after="45"/>
            </w:pPr>
            <w:r>
              <w:rPr>
                <w:sz w:val="15"/>
                <w:szCs w:val="15"/>
              </w:rPr>
              <w:t xml:space="preserve">The MMR comparison is between all 11 medullary cases and only 119 of 348 non-medullary cases that happened to have been tested, a convenience denominator from a separate publication; if testing was ordered preferentially for suspicious morphology the 15% background rate is inflated and the odds ratio understated, or vice versa</w:t>
            </w:r>
          </w:p>
          <w:p>
            <w:pPr>
              <w:pStyle w:val="ListParagraph"/>
              <w:numPr>
                <w:ilvl w:val="0"/>
                <w:numId w:val="2"/>
              </w:numPr>
              <w:spacing w:after="45"/>
            </w:pPr>
            <w:r>
              <w:rPr>
                <w:sz w:val="15"/>
                <w:szCs w:val="15"/>
              </w:rPr>
              <w:t xml:space="preserve">Medullary morphology was assigned without any blinded review or interobserver agreement data, despite the authors' own citation of published interobserver variability in diagnosing colorectal medullary carcinoma and their group's demonstration that ampullary subtyping is only fairly reproducible</w:t>
            </w:r>
          </w:p>
          <w:p>
            <w:pPr>
              <w:pStyle w:val="ListParagraph"/>
              <w:numPr>
                <w:ilvl w:val="0"/>
                <w:numId w:val="2"/>
              </w:numPr>
              <w:spacing w:after="45"/>
            </w:pPr>
            <w:r>
              <w:rPr>
                <w:sz w:val="15"/>
                <w:szCs w:val="15"/>
              </w:rPr>
              <w:t xml:space="preserve">PD-L1 was assessed in 8 of 11 cases, EBV in 3, INI1 in 8 and methylation in 1, with no statement of why the others lacked tissue; selective availability of material for the markers that generate the therapeutic claim is a real risk of bias</w:t>
            </w:r>
          </w:p>
          <w:p>
            <w:pPr>
              <w:pStyle w:val="ListParagraph"/>
              <w:numPr>
                <w:ilvl w:val="0"/>
                <w:numId w:val="2"/>
              </w:numPr>
              <w:spacing w:after="45"/>
            </w:pPr>
            <w:r>
              <w:rPr>
                <w:sz w:val="15"/>
                <w:szCs w:val="15"/>
              </w:rPr>
              <w:t xml:space="preserve">The headline that PD-L1 positivity is independent of MMR status comes from 4 MMR-proficient tumours, of which 3 were CPS positive - a result fully compatible with chance</w:t>
            </w:r>
          </w:p>
          <w:p>
            <w:pPr>
              <w:pStyle w:val="ListParagraph"/>
              <w:numPr>
                <w:ilvl w:val="0"/>
                <w:numId w:val="2"/>
              </w:numPr>
              <w:spacing w:after="45"/>
            </w:pPr>
            <w:r>
              <w:rPr>
                <w:sz w:val="15"/>
                <w:szCs w:val="15"/>
              </w:rPr>
              <w:t xml:space="preserve">No adjuvant treatment data are reported for either group, so the survival comparison cannot be interpreted; 'MC should be considered for targeted therapy' is an inference from staining frequency with no outcome data behind it</w:t>
            </w:r>
          </w:p>
          <w:p>
            <w:pPr>
              <w:pStyle w:val="ListParagraph"/>
              <w:numPr>
                <w:ilvl w:val="0"/>
                <w:numId w:val="2"/>
              </w:numPr>
              <w:spacing w:after="45"/>
            </w:pPr>
            <w:r>
              <w:rPr>
                <w:sz w:val="15"/>
                <w:szCs w:val="15"/>
              </w:rPr>
              <w:t xml:space="preserve">Describing the 64% MMR-deficiency rate as grounds for stronger testing is reasonable, but the single Lynch case does not support the stated 'high potential for Lynch association' in the absence of germline testing in the other six deficient cases</w:t>
            </w:r>
          </w:p>
          <w:p>
            <w:pPr>
              <w:pStyle w:val="ListParagraph"/>
              <w:numPr>
                <w:ilvl w:val="0"/>
                <w:numId w:val="2"/>
              </w:numPr>
              <w:spacing w:after="45"/>
            </w:pPr>
            <w:r>
              <w:rPr>
                <w:sz w:val="15"/>
                <w:szCs w:val="15"/>
              </w:rPr>
              <w:t xml:space="preserve">A 24-year accrual window (1989-2013) with no stated change in pathology practice means the 3% frequency depends on retrospective re-reading of decades-old slides against a criterion (50% non-gland-forming) adopted from a 2021 CAP protocol</w:t>
            </w:r>
          </w:p>
        </w:tc>
      </w:tr>
    </w:tbl>
    <w:p>
      <w:pPr>
        <w:spacing w:after="0" w:line="276"/>
      </w:pPr>
      <w:r>
        <w:rPr>
          <w:color w:val="5A6069"/>
          <w:sz w:val="14"/>
          <w:szCs w:val="14"/>
        </w:rPr>
        <w:t xml:space="preserve">Funding: Not stated; disclosures declared as none</w:t>
      </w:r>
    </w:p>
    <w:p>
      <w:pPr>
        <w:keepNext/>
        <w:spacing w:after="50" w:before="260"/>
      </w:pPr>
      <w:r>
        <w:rPr>
          <w:rFonts w:ascii="Cambria" w:cs="Cambria" w:eastAsia="Cambria" w:hAnsi="Cambria"/>
          <w:b/>
          <w:bCs/>
          <w:color w:val="17365D"/>
          <w:sz w:val="20"/>
          <w:szCs w:val="20"/>
        </w:rPr>
        <w:t xml:space="preserve">Pancreas2000 EP vs TSA</w:t>
      </w:r>
      <w:r>
        <w:rPr>
          <w:b/>
          <w:bCs/>
          <w:color w:val="176A87"/>
          <w:sz w:val="15"/>
          <w:szCs w:val="15"/>
        </w:rPr>
        <w:t xml:space="preserve">   Retrospective cohort</w:t>
      </w:r>
      <w:r>
        <w:rPr>
          <w:color w:val="5A6069"/>
          <w:sz w:val="15"/>
          <w:szCs w:val="15"/>
        </w:rPr>
        <w:t xml:space="preserve">   PMID 39642968</w:t>
      </w:r>
    </w:p>
    <w:p>
      <w:pPr>
        <w:spacing w:after="50" w:line="276"/>
      </w:pPr>
      <w:r>
        <w:rPr>
          <w:color w:val="5A6069"/>
          <w:sz w:val="17"/>
          <w:szCs w:val="17"/>
        </w:rPr>
        <w:t xml:space="preserve">Endoscopic papillectomy versus surgical ampullectomy for adenomas and early cancers of the papilla: a retrospective Pancreas2000/European Pancreatic Club analysis.</w:t>
      </w:r>
    </w:p>
    <w:p>
      <w:pPr>
        <w:spacing w:after="50"/>
      </w:pPr>
      <w:r>
        <w:rPr>
          <w:b/>
          <w:bCs/>
          <w:color w:val="176A87"/>
          <w:sz w:val="16"/>
          <w:szCs w:val="16"/>
        </w:rPr>
        <w:t xml:space="preserve">Population. </w:t>
      </w:r>
      <w:r>
        <w:rPr>
          <w:sz w:val="16"/>
          <w:szCs w:val="16"/>
        </w:rPr>
        <w:t xml:space="preserve">From 2862 patients in the ESAP database (1189 pancreatoduodenectomies excluded first), 1673 remained (1422 papillectomy, 251 surgical ampullectomy); after exclusions 569 papillectomy (40.0% of database papillectomies) and 63 surgical ampullectomy (25.1%) were analysed, with 62 matched pairs; median follow-up 21 months (IQR 10-47)</w:t>
      </w:r>
    </w:p>
    <w:p>
      <w:pPr>
        <w:spacing w:after="70"/>
      </w:pPr>
      <w:r>
        <w:rPr>
          <w:b/>
          <w:bCs/>
          <w:color w:val="17365D"/>
          <w:sz w:val="16"/>
          <w:szCs w:val="16"/>
        </w:rPr>
        <w:t xml:space="preserve">Bottom line. </w:t>
      </w:r>
      <w:r>
        <w:rPr>
          <w:sz w:val="16"/>
          <w:szCs w:val="16"/>
        </w:rPr>
        <w:t xml:space="preserve">The largest comparison of endoscopic papillectomy with transduodenal surgical ampullectomy shows that a third of procedures in both arms were done for the wrong indication (non-neoplastic histology or advanced cancer), that surgery achieves higher initial R0 (90% vs 73%) with far lower recurrence after R0 (3.2% vs 16%) but at 7 times the procedure time and 11 extra hospital days, and that papillectomy fails in two-thirds of T1 cancers; but the matched analysis pairs the entire surgical population with a 1-in-9 selection of endoscopic patients, follow-up was twice as long in the surgical arm, and surveillance intensity differed, so the recurrence gap is inflated by design.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in which selection bias and missing data cannot be definitively excluded, mitigated by requiring consecutive inclusion and by the matched analysis</w:t>
            </w:r>
          </w:p>
          <w:p>
            <w:pPr>
              <w:pStyle w:val="ListParagraph"/>
              <w:numPr>
                <w:ilvl w:val="0"/>
                <w:numId w:val="2"/>
              </w:numPr>
              <w:spacing w:after="45"/>
            </w:pPr>
            <w:r>
              <w:rPr>
                <w:sz w:val="15"/>
                <w:szCs w:val="15"/>
              </w:rPr>
              <w:t xml:space="preserve">No formal study monitoring was possible because of limited resources, and monitoring of cases not included during the study period was not possible</w:t>
            </w:r>
          </w:p>
          <w:p>
            <w:pPr>
              <w:pStyle w:val="ListParagraph"/>
              <w:numPr>
                <w:ilvl w:val="0"/>
                <w:numId w:val="2"/>
              </w:numPr>
              <w:spacing w:after="45"/>
            </w:pPr>
            <w:r>
              <w:rPr>
                <w:sz w:val="15"/>
                <w:szCs w:val="15"/>
              </w:rPr>
              <w:t xml:space="preserve">Both low- and high-volume centres were included and centre volume was not analysed, which the authors defend as better reflecting daily practice</w:t>
            </w:r>
          </w:p>
          <w:p>
            <w:pPr>
              <w:pStyle w:val="ListParagraph"/>
              <w:numPr>
                <w:ilvl w:val="0"/>
                <w:numId w:val="2"/>
              </w:numPr>
              <w:spacing w:after="45"/>
            </w:pPr>
            <w:r>
              <w:rPr>
                <w:sz w:val="15"/>
                <w:szCs w:val="15"/>
              </w:rPr>
              <w:t xml:space="preserve">Excluding patients with missing data could itself introduce selection bias, although an exclusion analysis showed those patients were comparable on age, sex, comorbidities and lesion size</w:t>
            </w:r>
          </w:p>
          <w:p>
            <w:pPr>
              <w:pStyle w:val="ListParagraph"/>
              <w:numPr>
                <w:ilvl w:val="0"/>
                <w:numId w:val="2"/>
              </w:numPr>
              <w:spacing w:after="45"/>
            </w:pPr>
            <w:r>
              <w:rPr>
                <w:sz w:val="15"/>
                <w:szCs w:val="15"/>
              </w:rPr>
              <w:t xml:space="preserve">Recurrence can only be reliably excluded by careful endoscopy with routine biopsy even when macroscopy is normal, and such detailed data are not available in a large retrospective database, so later recurrences cannot be excluded</w:t>
            </w:r>
          </w:p>
          <w:p>
            <w:pPr>
              <w:pStyle w:val="ListParagraph"/>
              <w:numPr>
                <w:ilvl w:val="0"/>
                <w:numId w:val="2"/>
              </w:numPr>
              <w:spacing w:after="45"/>
            </w:pPr>
            <w:r>
              <w:rPr>
                <w:sz w:val="15"/>
                <w:szCs w:val="15"/>
              </w:rPr>
              <w:t xml:space="preserve">The reported 16% recurrence after histologic R0 means complete resection should be interpreted with caution</w:t>
            </w:r>
          </w:p>
          <w:p>
            <w:pPr>
              <w:pStyle w:val="ListParagraph"/>
              <w:numPr>
                <w:ilvl w:val="0"/>
                <w:numId w:val="2"/>
              </w:numPr>
              <w:spacing w:after="45"/>
            </w:pPr>
            <w:r>
              <w:rPr>
                <w:sz w:val="15"/>
                <w:szCs w:val="15"/>
              </w:rPr>
              <w:t xml:space="preserve">Submucosal injection, used in 24.2% of matched papillectomy patients, is no longer recommended by ESGE but was permitted by the original database criteria and could have influenced the endoscopic results</w:t>
            </w:r>
          </w:p>
          <w:p>
            <w:pPr>
              <w:pStyle w:val="ListParagraph"/>
              <w:numPr>
                <w:ilvl w:val="0"/>
                <w:numId w:val="2"/>
              </w:numPr>
              <w:spacing w:after="45"/>
            </w:pPr>
            <w:r>
              <w:rPr>
                <w:sz w:val="15"/>
                <w:szCs w:val="15"/>
              </w:rPr>
              <w:t xml:space="preserve">The study was not designed to analyse survival</w:t>
            </w:r>
          </w:p>
          <w:p>
            <w:pPr>
              <w:pStyle w:val="ListParagraph"/>
              <w:numPr>
                <w:ilvl w:val="0"/>
                <w:numId w:val="2"/>
              </w:numPr>
              <w:spacing w:after="45"/>
            </w:pPr>
            <w:r>
              <w:rPr>
                <w:sz w:val="15"/>
                <w:szCs w:val="15"/>
              </w:rPr>
              <w:t xml:space="preserve">Lesions beyond 30 mm could not be evaluated because too few were available in the matched cohorts</w:t>
            </w:r>
          </w:p>
          <w:p>
            <w:pPr>
              <w:pStyle w:val="ListParagraph"/>
              <w:numPr>
                <w:ilvl w:val="0"/>
                <w:numId w:val="2"/>
              </w:numPr>
              <w:spacing w:after="45"/>
            </w:pPr>
            <w:r>
              <w:rPr>
                <w:sz w:val="15"/>
                <w:szCs w:val="15"/>
              </w:rPr>
              <w:t xml:space="preserve">A randomised trial would give the highest level of evidence but is judged unrealistic: a two-armed trial would need 190 randomised patients (95 per group, alpha 0.05, power 0.95, effect size 0.5) and with an estimated 30% dropout a screening population of 315 patients with ampullary lesions, and surgical ampullectomy is not broadly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matched comparison is almost entirely one-sided in construction: the 62 matched pairs represent 98.4% of the eligible surgical patients but only 10.9% of the eligible papillectomy patients, so the surgical arm is its whole population while the endoscopic arm is a 1-in-9 selection chosen to resemble it. Any residual difference in the matched analysis reflects which papillectomy patients could be matched, not a balanced contrast</w:t>
            </w:r>
          </w:p>
          <w:p>
            <w:pPr>
              <w:pStyle w:val="ListParagraph"/>
              <w:numPr>
                <w:ilvl w:val="0"/>
                <w:numId w:val="2"/>
              </w:numPr>
              <w:spacing w:after="45"/>
            </w:pPr>
            <w:r>
              <w:rPr>
                <w:sz w:val="15"/>
                <w:szCs w:val="15"/>
              </w:rPr>
              <w:t xml:space="preserve">Matching omitted the variables that most obviously drove the choice of procedure and the chance of R0: intraductal extension, bile and pancreatic duct dilation, and the use of concomitant ablation (patients ablated at the index papillectomy were deliberately excluded from matching). Table 4 shows intrabiliary extension on imaging and duct dilation still differed significantly after matching (21% vs 8.1%, p = 0.01; 45.2% vs 30.6%, p = 0.001), so confounding by indication survives the propensity model</w:t>
            </w:r>
          </w:p>
          <w:p>
            <w:pPr>
              <w:pStyle w:val="ListParagraph"/>
              <w:numPr>
                <w:ilvl w:val="0"/>
                <w:numId w:val="2"/>
              </w:numPr>
              <w:spacing w:after="45"/>
            </w:pPr>
            <w:r>
              <w:rPr>
                <w:sz w:val="15"/>
                <w:szCs w:val="15"/>
              </w:rPr>
              <w:t xml:space="preserve">Follow-up was more than twice as long in the surgical arm in both cohorts (37.5 vs 15.5 months after matching), which biases the recurrence comparison - the paper's clearest finding - against the endoscopic arm's apparent advantage and in favour of the surgical arm's 3.2%; a recurrence rate cannot be compared between arms observed for different durations without a time-to-event analysis, and none is presented for recurrence</w:t>
            </w:r>
          </w:p>
          <w:p>
            <w:pPr>
              <w:pStyle w:val="ListParagraph"/>
              <w:numPr>
                <w:ilvl w:val="0"/>
                <w:numId w:val="2"/>
              </w:numPr>
              <w:spacing w:after="45"/>
            </w:pPr>
            <w:r>
              <w:rPr>
                <w:sz w:val="15"/>
                <w:szCs w:val="15"/>
              </w:rPr>
              <w:t xml:space="preserve">Conversely, surveillance intensity was asymmetric in the other direction: endoscopic patients were routinely scoped with biopsies of the scar while surgical patients were not systematically re-scoped, so the fivefold recurrence difference conflates true residual disease with differential ascertainment. The authors acknowledge recurrence 'much depends on the scrutiny of follow-up' but still attribute the difference to the deeper resection plane of ampullectomy</w:t>
            </w:r>
          </w:p>
          <w:p>
            <w:pPr>
              <w:pStyle w:val="ListParagraph"/>
              <w:numPr>
                <w:ilvl w:val="0"/>
                <w:numId w:val="2"/>
              </w:numPr>
              <w:spacing w:after="45"/>
            </w:pPr>
            <w:r>
              <w:rPr>
                <w:sz w:val="15"/>
                <w:szCs w:val="15"/>
              </w:rPr>
              <w:t xml:space="preserve">The surgical arm has 63 patients and 6 cancers. Every surgical subgroup statement - 66.6% R0 in cancer (4 of 6), 92.9% R0 in adenoma (53 of 57), 3.2% recurrence (2 of 63) - rests on single-digit numerators, and the only procedure-related death also sits in that arm, so the safety comparison (1.9% vs 3.2%, p = 0.38) has no power at all to detect the morbidity difference that drives the clinical choice</w:t>
            </w:r>
          </w:p>
          <w:p>
            <w:pPr>
              <w:pStyle w:val="ListParagraph"/>
              <w:numPr>
                <w:ilvl w:val="0"/>
                <w:numId w:val="2"/>
              </w:numPr>
              <w:spacing w:after="45"/>
            </w:pPr>
            <w:r>
              <w:rPr>
                <w:sz w:val="15"/>
                <w:szCs w:val="15"/>
              </w:rPr>
              <w:t xml:space="preserve">23.2% of the 1673 eligible datasets were excluded for missing or inconclusive data and a further 652 for clinical reasons, leaving 40% of papillectomies and 25% of ampullectomies. The exclusion analysis compares only age, sex, comorbidities and lesion size - not stage, margin or outcome - so it cannot rule out that outcome-related data were differentially missing</w:t>
            </w:r>
          </w:p>
          <w:p>
            <w:pPr>
              <w:pStyle w:val="ListParagraph"/>
              <w:numPr>
                <w:ilvl w:val="0"/>
                <w:numId w:val="2"/>
              </w:numPr>
              <w:spacing w:after="45"/>
            </w:pPr>
            <w:r>
              <w:rPr>
                <w:sz w:val="15"/>
                <w:szCs w:val="15"/>
              </w:rPr>
              <w:t xml:space="preserve">The R0 definition is applied to specimens handled by local pathologists at 58 centres over 14 years with no central review, no interobserver assessment and no standard protocol; given that the adjacent literature shows 26% of en bloc papillectomy specimens cannot even be margin-assessed, R0 is being compared between a fragmented endoscopic specimen and an intact surgical one, which structurally favours surgery independent of oncological completeness</w:t>
            </w:r>
          </w:p>
          <w:p>
            <w:pPr>
              <w:pStyle w:val="ListParagraph"/>
              <w:numPr>
                <w:ilvl w:val="0"/>
                <w:numId w:val="2"/>
              </w:numPr>
              <w:spacing w:after="45"/>
            </w:pPr>
            <w:r>
              <w:rPr>
                <w:sz w:val="15"/>
                <w:szCs w:val="15"/>
              </w:rPr>
              <w:t xml:space="preserve">Attributing additional ablation at the index procedure to presumed visible residual tissue and therefore reclassifying it as R2 is a reasonable assumption, but it is an assumption made retrospectively by the authors; the 65.9% figure that results is then used as the real papillectomy success rate, and both 80.2% and 65.9% appear in the paper without a single preferred estimate</w:t>
            </w:r>
          </w:p>
          <w:p>
            <w:pPr>
              <w:pStyle w:val="ListParagraph"/>
              <w:numPr>
                <w:ilvl w:val="0"/>
                <w:numId w:val="2"/>
              </w:numPr>
              <w:spacing w:after="45"/>
            </w:pPr>
            <w:r>
              <w:rPr>
                <w:sz w:val="15"/>
                <w:szCs w:val="15"/>
              </w:rPr>
              <w:t xml:space="preserve">T1a and T1b cancers are pooled in most analyses despite the authors noting these carry significantly different nodal metastasis risk, and the 13 T1b patients treated endoscopically are precisely the group in whom local resection is most questionable</w:t>
            </w:r>
          </w:p>
          <w:p>
            <w:pPr>
              <w:pStyle w:val="ListParagraph"/>
              <w:numPr>
                <w:ilvl w:val="0"/>
                <w:numId w:val="2"/>
              </w:numPr>
              <w:spacing w:after="45"/>
            </w:pPr>
            <w:r>
              <w:rPr>
                <w:sz w:val="15"/>
                <w:szCs w:val="15"/>
              </w:rPr>
              <w:t xml:space="preserve">The matched-cohort severe complication counts are 1 versus 2 events, yet the paper concludes 'both procedures were safe'; with these numbers a two- or threefold difference in serious morbidity would be undetectable</w:t>
            </w:r>
          </w:p>
          <w:p>
            <w:pPr>
              <w:pStyle w:val="ListParagraph"/>
              <w:numPr>
                <w:ilvl w:val="0"/>
                <w:numId w:val="2"/>
              </w:numPr>
              <w:spacing w:after="45"/>
            </w:pPr>
            <w:r>
              <w:rPr>
                <w:sz w:val="15"/>
                <w:szCs w:val="15"/>
              </w:rPr>
              <w:t xml:space="preserve">Overall survival is reported as comparable in a study the authors concede was not designed to analyse survival, with median follow-up 21 months in a disease whose resected median survival exceeds 4 years - the survival curves carry essentially no information and should not be used to support equivalence</w:t>
            </w:r>
          </w:p>
          <w:p>
            <w:pPr>
              <w:pStyle w:val="ListParagraph"/>
              <w:numPr>
                <w:ilvl w:val="0"/>
                <w:numId w:val="2"/>
              </w:numPr>
              <w:spacing w:after="45"/>
            </w:pPr>
            <w:r>
              <w:rPr>
                <w:sz w:val="15"/>
                <w:szCs w:val="15"/>
              </w:rPr>
              <w:t xml:space="preserve">Procedures spanning 2007-2020 include the pre-ESGE-guideline era, submucosal injection in a quarter of matched endoscopic cases, and the introduction of endobiliary radiofrequency ablation; no era stratification is performed despite technique having changed materially</w:t>
            </w:r>
          </w:p>
        </w:tc>
      </w:tr>
    </w:tbl>
    <w:p>
      <w:pPr>
        <w:spacing w:after="0" w:line="276"/>
      </w:pPr>
      <w:r>
        <w:rPr>
          <w:color w:val="5A6069"/>
          <w:sz w:val="14"/>
          <w:szCs w:val="14"/>
        </w:rPr>
        <w:t xml:space="preserve">Funding: The authors have not declared a specific grant for this research from any funding agency in the public, commercial or not-for-profit sectors. Multiple author disclosures including honoraria from FUJIFILM and Falk Foundation and institutional consultancies with Boston Scientific, Cook Medical and Pentax Medical. Ethics approval from the University of Leipzig (455/18-ek).</w:t>
      </w:r>
    </w:p>
    <w:p>
      <w:pPr>
        <w:keepNext/>
        <w:spacing w:after="50" w:before="260"/>
      </w:pPr>
      <w:r>
        <w:rPr>
          <w:rFonts w:ascii="Cambria" w:cs="Cambria" w:eastAsia="Cambria" w:hAnsi="Cambria"/>
          <w:b/>
          <w:bCs/>
          <w:color w:val="17365D"/>
          <w:sz w:val="20"/>
          <w:szCs w:val="20"/>
        </w:rPr>
        <w:t xml:space="preserve">PERIPAN 2025</w:t>
      </w:r>
      <w:r>
        <w:rPr>
          <w:b/>
          <w:bCs/>
          <w:color w:val="176A87"/>
          <w:sz w:val="15"/>
          <w:szCs w:val="15"/>
        </w:rPr>
        <w:t xml:space="preserve">   Consensus statement</w:t>
      </w:r>
      <w:r>
        <w:rPr>
          <w:color w:val="5A6069"/>
          <w:sz w:val="15"/>
          <w:szCs w:val="15"/>
        </w:rPr>
        <w:t xml:space="preserve">   PMID 40729532</w:t>
      </w:r>
    </w:p>
    <w:p>
      <w:pPr>
        <w:spacing w:after="50" w:line="276"/>
      </w:pPr>
      <w:r>
        <w:rPr>
          <w:color w:val="5A6069"/>
          <w:sz w:val="17"/>
          <w:szCs w:val="17"/>
        </w:rPr>
        <w:t xml:space="preserve">The Brescia International Multidisciplinary Consensus Guidelines on the optimal pathology assessment and multidisciplinary pathways of non-pancreatic neoplasms in and around the ampulla of Vater (PERIPAN).</w:t>
      </w:r>
    </w:p>
    <w:p>
      <w:pPr>
        <w:spacing w:after="70"/>
      </w:pPr>
      <w:r>
        <w:rPr>
          <w:b/>
          <w:bCs/>
          <w:color w:val="17365D"/>
          <w:sz w:val="16"/>
          <w:szCs w:val="16"/>
        </w:rPr>
        <w:t xml:space="preserve">Bottom line. </w:t>
      </w:r>
      <w:r>
        <w:rPr>
          <w:sz w:val="16"/>
          <w:szCs w:val="16"/>
        </w:rPr>
        <w:t xml:space="preserve">The first international consensus to define precisely what counts as ampullary carcinoma, to retire the term 'periampullary' as a diagnosis, to set a 30% threshold for the mixed subtype and rename the hybrid group 'tubular-NOS', to make mismatch repair testing reflex, and to state explicitly that the prognostic and predictive value of intestinal-versus-pancreatobiliary subtype remains unclear because the historical literature used inconsistent definitions - which is the key caveat for any pathway claiming subtype should guide adjuvant therapy; but almost every recommendation is low-evidence or expert opinion, the promised AGREE II quality score and audience vote are never reported, and no reproducibility study accompanies the new definitions.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Delphi methodology, while the best option for reaching consensus, carries the difficulty of capturing all key issues in the literature during questionnaire development, depends on panellists' ongoing willingness to participate, and risks skewed data because those less confident about a topic may not participate</w:t>
            </w:r>
          </w:p>
          <w:p>
            <w:pPr>
              <w:pStyle w:val="ListParagraph"/>
              <w:numPr>
                <w:ilvl w:val="0"/>
                <w:numId w:val="2"/>
              </w:numPr>
              <w:spacing w:after="45"/>
            </w:pPr>
            <w:r>
              <w:rPr>
                <w:sz w:val="15"/>
                <w:szCs w:val="15"/>
              </w:rPr>
              <w:t xml:space="preserve">Although the stated aim was to cover all non-pancreatic cancers of the periampullary region, more recommendations relate to ampullary cancer than to common bile duct or duodenal cancer; the authors accept this imbalance as reflecting greater uncertainty and need for guidance about ampullary cancer</w:t>
            </w:r>
          </w:p>
          <w:p>
            <w:pPr>
              <w:pStyle w:val="ListParagraph"/>
              <w:numPr>
                <w:ilvl w:val="0"/>
                <w:numId w:val="2"/>
              </w:numPr>
              <w:spacing w:after="45"/>
            </w:pPr>
            <w:r>
              <w:rPr>
                <w:sz w:val="15"/>
                <w:szCs w:val="15"/>
              </w:rPr>
              <w:t xml:space="preserve">For a considerable proportion of the consensus questions there are fairly limited published data, so most recommendations are supported only by a low level of evidence, which the authors say highlights the early stage of knowledge about periampullary cancer</w:t>
            </w:r>
          </w:p>
          <w:p>
            <w:pPr>
              <w:pStyle w:val="ListParagraph"/>
              <w:numPr>
                <w:ilvl w:val="0"/>
                <w:numId w:val="2"/>
              </w:numPr>
              <w:spacing w:after="45"/>
            </w:pPr>
            <w:r>
              <w:rPr>
                <w:sz w:val="15"/>
                <w:szCs w:val="15"/>
              </w:rPr>
              <w:t xml:space="preserve">The authors state that the lack of consensus definitions and standardisation, together with high interobserver variability, has hindered consistent conclusions across studies - particularly regarding patient management including the efficacy of adjuvant chemotherapy, which remains highly controversial because of these inconsistencies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is graded low level of evidence with a weak form of recommendation, or rests on expert opinion alone. This is honest, but it means a document that will be used to standardise reporting worldwide is in substance a codification of the opinions of 43 experts, most of them from the pathology study groups that initiated it</w:t>
            </w:r>
          </w:p>
          <w:p>
            <w:pPr>
              <w:pStyle w:val="ListParagraph"/>
              <w:numPr>
                <w:ilvl w:val="0"/>
                <w:numId w:val="2"/>
              </w:numPr>
              <w:spacing w:after="45"/>
            </w:pPr>
            <w:r>
              <w:rPr>
                <w:sz w:val="15"/>
                <w:szCs w:val="15"/>
              </w:rPr>
              <w:t xml:space="preserve">THE PROCESS METRICS PROMISED ARE NOT REPORTED. The methods describe an independent Jury Committee calculating a 'Quality Score' using the AGREE II tool across 23 items and six domains, and an audience vote on each recommendation at the Brescia meeting. Neither result appears anywhere in the paper - no AGREE II score, no domain breakdown, no audience agreement percentages. The quality-assurance apparatus is described but its findings are withheld</w:t>
            </w:r>
          </w:p>
          <w:p>
            <w:pPr>
              <w:pStyle w:val="ListParagraph"/>
              <w:numPr>
                <w:ilvl w:val="0"/>
                <w:numId w:val="2"/>
              </w:numPr>
              <w:spacing w:after="45"/>
            </w:pPr>
            <w:r>
              <w:rPr>
                <w:sz w:val="15"/>
                <w:szCs w:val="15"/>
              </w:rPr>
              <w:t xml:space="preserve">The Delphi convergence is itself a weak signal: 33 of 57 recommendations reached 80% agreement in round one and the rest were revised by the responsible expert team according to the dissenting comments and re-voted until they passed. Revising a statement until it achieves consensus guarantees consensus; the final 50 of 51 figure measures iteration, not agreement on the original propositions</w:t>
            </w:r>
          </w:p>
          <w:p>
            <w:pPr>
              <w:pStyle w:val="ListParagraph"/>
              <w:numPr>
                <w:ilvl w:val="0"/>
                <w:numId w:val="2"/>
              </w:numPr>
              <w:spacing w:after="45"/>
            </w:pPr>
            <w:r>
              <w:rPr>
                <w:sz w:val="15"/>
                <w:szCs w:val="15"/>
              </w:rPr>
              <w:t xml:space="preserve">The 30% threshold for calling a tumour 'mixed' subtype has no stated derivation. It is a cut-point that will determine subtype assignment in a large fraction of cases - and the consensus itself cites that about 40% of ampullary carcinomas are mixed - yet no data, reproducibility study or sensitivity analysis is offered for choosing 30% over 10% or 50%</w:t>
            </w:r>
          </w:p>
          <w:p>
            <w:pPr>
              <w:pStyle w:val="ListParagraph"/>
              <w:numPr>
                <w:ilvl w:val="0"/>
                <w:numId w:val="2"/>
              </w:numPr>
              <w:spacing w:after="45"/>
            </w:pPr>
            <w:r>
              <w:rPr>
                <w:sz w:val="15"/>
                <w:szCs w:val="15"/>
              </w:rPr>
              <w:t xml:space="preserve">Renaming the hybrid category 'tubular-NOS' is a nomenclature change, not a solution. The underlying problem documented in this depot - that five pathologists agree on morphological subtype at kappa 0.39 with full agreement in 23% of cases - is unaddressed: no interobserver reproducibility study of the new definitions is reported or planned, so the consensus standardises the words without demonstrating that the categories can be applied consistently</w:t>
            </w:r>
          </w:p>
          <w:p>
            <w:pPr>
              <w:pStyle w:val="ListParagraph"/>
              <w:numPr>
                <w:ilvl w:val="0"/>
                <w:numId w:val="2"/>
              </w:numPr>
              <w:spacing w:after="45"/>
            </w:pPr>
            <w:r>
              <w:rPr>
                <w:sz w:val="15"/>
                <w:szCs w:val="15"/>
              </w:rPr>
              <w:t xml:space="preserve">The consensus states plainly that the prognostic and predictive role of subtype is unclear because of inconsistent historical definitions, yet it simultaneously retains subtyping as a required element of the pathology report and advises subtyping on biopsy where subtype 'may affect treatment'. If subtype has no established treatment implication, there is no situation in which that condition is met</w:t>
            </w:r>
          </w:p>
          <w:p>
            <w:pPr>
              <w:pStyle w:val="ListParagraph"/>
              <w:numPr>
                <w:ilvl w:val="0"/>
                <w:numId w:val="2"/>
              </w:numPr>
              <w:spacing w:after="45"/>
            </w:pPr>
            <w:r>
              <w:rPr>
                <w:sz w:val="15"/>
                <w:szCs w:val="15"/>
              </w:rPr>
              <w:t xml:space="preserve">Reflex MMR testing is recommended on the grounds that prevalence is 'comparable to that of colorectal cancer and is also independent on the subtype', but the supporting evidence is graded low and the two papers in this depot give prevalences of 15% in unselected non-medullary ampullary carcinoma and 4.3% in early-onset ampullary cancer - neither of which is clearly comparable to colorectal, and neither of which is cited as a prevalence estimate in the recommendation</w:t>
            </w:r>
          </w:p>
          <w:p>
            <w:pPr>
              <w:pStyle w:val="ListParagraph"/>
              <w:numPr>
                <w:ilvl w:val="0"/>
                <w:numId w:val="2"/>
              </w:numPr>
              <w:spacing w:after="45"/>
            </w:pPr>
            <w:r>
              <w:rPr>
                <w:sz w:val="15"/>
                <w:szCs w:val="15"/>
              </w:rPr>
              <w:t xml:space="preserve">Tumour budding is recommended as prognostically stronger than T stage and nodal metastasis, a strong empirical claim resting largely on work from the same institutional tradition that produced the ampullary classifications, with no multi-institutional validation, no reproducibility data for the 3-foci-per-200x-field threshold, and the acknowledged problem that biopsies may not contain the invasive front where budding must be assessed</w:t>
            </w:r>
          </w:p>
          <w:p>
            <w:pPr>
              <w:pStyle w:val="ListParagraph"/>
              <w:numPr>
                <w:ilvl w:val="0"/>
                <w:numId w:val="2"/>
              </w:numPr>
              <w:spacing w:after="45"/>
            </w:pPr>
            <w:r>
              <w:rPr>
                <w:sz w:val="15"/>
                <w:szCs w:val="15"/>
              </w:rPr>
              <w:t xml:space="preserve">229 of 37061 screened articles (0.6%) were selected, with allocation of articles to anonymous expert teams but no stated inclusion criteria, no risk-of-bias appraisal of the 229, no PRISMA flow diagram in the main text and no evidence tables - so the SIGN framework is invoked without the apparatus that makes it auditable</w:t>
            </w:r>
          </w:p>
          <w:p>
            <w:pPr>
              <w:pStyle w:val="ListParagraph"/>
              <w:numPr>
                <w:ilvl w:val="0"/>
                <w:numId w:val="2"/>
              </w:numPr>
              <w:spacing w:after="45"/>
            </w:pPr>
            <w:r>
              <w:rPr>
                <w:sz w:val="15"/>
                <w:szCs w:val="15"/>
              </w:rPr>
              <w:t xml:space="preserve">The anatomic definitions, which are the document's most valuable contribution, are operationalised in terms of tumour 'epicentre' and 'minimal involvement' without quantitative thresholds except in the earlier Adsay scheme they derive from; given that this literature's own data show that 21% of cases labelled ampullary are reclassified on strict review, the definitions need a reproducibility study more than they need wider adoption</w:t>
            </w:r>
          </w:p>
          <w:p>
            <w:pPr>
              <w:pStyle w:val="ListParagraph"/>
              <w:numPr>
                <w:ilvl w:val="0"/>
                <w:numId w:val="2"/>
              </w:numPr>
              <w:spacing w:after="45"/>
            </w:pPr>
            <w:r>
              <w:rPr>
                <w:sz w:val="15"/>
                <w:szCs w:val="15"/>
              </w:rPr>
              <w:t xml:space="preserve">The panel is heavily weighted towards pathology (initiated by ISGACA with ISGPP as steering committee), and the multidisciplinary part generated only 17 of 51 recommendations; the oncological questions that clinicians most need settled - whether subtype should guide adjuvant therapy, what to do with a T1 cancer after papillectomy - are declared unresolved rather than addressed</w:t>
            </w:r>
          </w:p>
          <w:p>
            <w:pPr>
              <w:pStyle w:val="ListParagraph"/>
              <w:numPr>
                <w:ilvl w:val="0"/>
                <w:numId w:val="2"/>
              </w:numPr>
              <w:spacing w:after="45"/>
            </w:pPr>
            <w:r>
              <w:rPr>
                <w:sz w:val="15"/>
                <w:szCs w:val="15"/>
              </w:rPr>
              <w:t xml:space="preserve">The consensus correctly identifies that inconsistent definitions have made the adjuvant chemotherapy literature uninterpretable, which is the strongest argument in this depot against acting on the Bolm-versus-Ecker dispute; but it stops at saying standardised future studies are needed and offers no interim guidance</w:t>
            </w:r>
          </w:p>
        </w:tc>
      </w:tr>
    </w:tbl>
    <w:p>
      <w:pPr>
        <w:spacing w:after="0" w:line="276"/>
      </w:pPr>
      <w:r>
        <w:rPr>
          <w:color w:val="5A6069"/>
          <w:sz w:val="14"/>
          <w:szCs w:val="14"/>
        </w:rPr>
        <w:t xml:space="preserve">Funding: Amsterdam Gastroenterology Endocrinology Metabolism (AGEM), Amsterdam, The Netherlands; the authors declare no conflicts of interest</w:t>
      </w:r>
    </w:p>
    <w:p>
      <w:pPr>
        <w:keepNext/>
        <w:spacing w:after="50" w:before="260"/>
      </w:pPr>
      <w:r>
        <w:rPr>
          <w:rFonts w:ascii="Cambria" w:cs="Cambria" w:eastAsia="Cambria" w:hAnsi="Cambria"/>
          <w:b/>
          <w:bCs/>
          <w:color w:val="17365D"/>
          <w:sz w:val="20"/>
          <w:szCs w:val="20"/>
        </w:rPr>
        <w:t xml:space="preserve">Preoperative biliary drainage RCT</w:t>
      </w:r>
      <w:r>
        <w:rPr>
          <w:b/>
          <w:bCs/>
          <w:color w:val="176A87"/>
          <w:sz w:val="15"/>
          <w:szCs w:val="15"/>
        </w:rPr>
        <w:t xml:space="preserve">   Randomised trial</w:t>
      </w:r>
      <w:r>
        <w:rPr>
          <w:color w:val="5A6069"/>
          <w:sz w:val="15"/>
          <w:szCs w:val="15"/>
        </w:rPr>
        <w:t xml:space="preserve">   PMID 20071702</w:t>
      </w:r>
    </w:p>
    <w:p>
      <w:pPr>
        <w:spacing w:after="50" w:line="276"/>
      </w:pPr>
      <w:r>
        <w:rPr>
          <w:color w:val="5A6069"/>
          <w:sz w:val="17"/>
          <w:szCs w:val="17"/>
        </w:rPr>
        <w:t xml:space="preserve">Preoperative biliary drainage for cancer of the head of the pancreas.</w:t>
      </w:r>
    </w:p>
    <w:p>
      <w:pPr>
        <w:spacing w:after="50"/>
      </w:pPr>
      <w:r>
        <w:rPr>
          <w:b/>
          <w:bCs/>
          <w:color w:val="176A87"/>
          <w:sz w:val="16"/>
          <w:szCs w:val="16"/>
        </w:rPr>
        <w:t xml:space="preserve">Population. </w:t>
      </w:r>
      <w:r>
        <w:rPr>
          <w:sz w:val="16"/>
          <w:szCs w:val="16"/>
        </w:rPr>
        <w:t xml:space="preserve">202 randomised, 196 analysed (94 early surgery, 102 preoperative biliary drainage) after 6 exclusions (2 withdrew consent, 4 ineligible bilirubin); resection performed in 63 (67%) versus 57 (56%), p = 0.11</w:t>
      </w:r>
    </w:p>
    <w:p>
      <w:pPr>
        <w:spacing w:after="70"/>
      </w:pPr>
      <w:r>
        <w:rPr>
          <w:b/>
          <w:bCs/>
          <w:color w:val="17365D"/>
          <w:sz w:val="16"/>
          <w:szCs w:val="16"/>
        </w:rPr>
        <w:t xml:space="preserve">Bottom line. </w:t>
      </w:r>
      <w:r>
        <w:rPr>
          <w:sz w:val="16"/>
          <w:szCs w:val="16"/>
        </w:rPr>
        <w:t xml:space="preserve">Routine 4-6 week preoperative plastic-stent biliary drainage before resection for pancreatic head cancer roughly doubles overall serious complications (74% vs 39%) because of stent-related cholangitis and occlusion, without reducing surgery-related complications or mortality - so early surgery is preferred when it can be arranged; the trial says nothing specific about ampullary tumours, used only plastic stents, and its null secondary result on surgical complications is the finding most often overlooked.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authors note instead that the optimal duration of biliary drainage has never been established and that a shorter period may not allow recovery of metabolic abnormalities while a longer one risks stent occlusion and bile-duct inflammation</w:t>
            </w:r>
          </w:p>
          <w:p>
            <w:pPr>
              <w:pStyle w:val="ListParagraph"/>
              <w:numPr>
                <w:ilvl w:val="0"/>
                <w:numId w:val="2"/>
              </w:numPr>
              <w:spacing w:after="45"/>
            </w:pPr>
            <w:r>
              <w:rPr>
                <w:sz w:val="15"/>
                <w:szCs w:val="15"/>
              </w:rPr>
              <w:t xml:space="preserve">They point out that four of five earlier randomised trials used percutaneous rather than endoscopic drainage and included both proximal and distal obstruction, entities now considered different diseases needing different treatment</w:t>
            </w:r>
          </w:p>
          <w:p>
            <w:pPr>
              <w:pStyle w:val="ListParagraph"/>
              <w:numPr>
                <w:ilvl w:val="0"/>
                <w:numId w:val="2"/>
              </w:numPr>
              <w:spacing w:after="45"/>
            </w:pPr>
            <w:r>
              <w:rPr>
                <w:sz w:val="15"/>
                <w:szCs w:val="15"/>
              </w:rPr>
              <w:t xml:space="preserve">They concede that, given the poor results with plastic stents, drainage during neoadjuvant treatment might be better achieved with metal stents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composite primary outcome counts drainage complications and surgical complications in the same tally, so a trial of whether drainage makes surgery safer is decided mainly by whether drainage itself causes harm. On the question clinicians actually ask - does jaundice at operation increase surgical risk? - the trial is null (47% vs 37%, RR 0.79, 95% CI 0.57-1.11), and that is the result buried in the secondary analysis</w:t>
            </w:r>
          </w:p>
          <w:p>
            <w:pPr>
              <w:pStyle w:val="ListParagraph"/>
              <w:numPr>
                <w:ilvl w:val="0"/>
                <w:numId w:val="2"/>
              </w:numPr>
              <w:spacing w:after="45"/>
            </w:pPr>
            <w:r>
              <w:rPr>
                <w:sz w:val="15"/>
                <w:szCs w:val="15"/>
              </w:rPr>
              <w:t xml:space="preserve">Plastic stents only. A 26% cholangitis rate and 30% stent-exchange rate are features of 10 Fr plastic endoprostheses left for 4-6 weeks; the trial cannot be read as evidence against short-course drainage or against self-expanding metal stents, which the authors themselves recommend for the neoadjuvant setting</w:t>
            </w:r>
          </w:p>
          <w:p>
            <w:pPr>
              <w:pStyle w:val="ListParagraph"/>
              <w:numPr>
                <w:ilvl w:val="0"/>
                <w:numId w:val="2"/>
              </w:numPr>
              <w:spacing w:after="45"/>
            </w:pPr>
            <w:r>
              <w:rPr>
                <w:sz w:val="15"/>
                <w:szCs w:val="15"/>
              </w:rPr>
              <w:t xml:space="preserve">Early surgery required guaranteed theatre capacity within a week at 13 hospitals; 3 patients crossed over to drainage because surgery could not be arranged in time. Outside a trial that logistic constraint is the usual reason drainage happens, so the comparison tests an idealised pathway</w:t>
            </w:r>
          </w:p>
          <w:p>
            <w:pPr>
              <w:pStyle w:val="ListParagraph"/>
              <w:numPr>
                <w:ilvl w:val="0"/>
                <w:numId w:val="2"/>
              </w:numPr>
              <w:spacing w:after="45"/>
            </w:pPr>
            <w:r>
              <w:rPr>
                <w:sz w:val="15"/>
                <w:szCs w:val="15"/>
              </w:rPr>
              <w:t xml:space="preserve">Noninferiority was the prespecified frame with a 10 percentage-point margin and one-sided alpha 0.05, yet the trial is universally cited as showing drainage causes harm. Converting a noninferiority design into a superiority claim post hoc, even with a nominal superiority test appended, inflates confidence in the direction of effect</w:t>
            </w:r>
          </w:p>
          <w:p>
            <w:pPr>
              <w:pStyle w:val="ListParagraph"/>
              <w:numPr>
                <w:ilvl w:val="0"/>
                <w:numId w:val="2"/>
              </w:numPr>
              <w:spacing w:after="45"/>
            </w:pPr>
            <w:r>
              <w:rPr>
                <w:sz w:val="15"/>
                <w:szCs w:val="15"/>
              </w:rPr>
              <w:t xml:space="preserve">The trial is a pancreatic-head trial: 92% had adenocarcinoma and site was recorded only as 'pancreatic versus periampullary' as a covariate, with no subgroup result for ampullary tumours. Ampullary cancers are typically diagnosed at lower bilirubin, are more often endoscopically accessible and are far more often resectable, so the applicability of these complication rates to ampullary disease is assumed rather than shown</w:t>
            </w:r>
          </w:p>
          <w:p>
            <w:pPr>
              <w:pStyle w:val="ListParagraph"/>
              <w:numPr>
                <w:ilvl w:val="0"/>
                <w:numId w:val="2"/>
              </w:numPr>
              <w:spacing w:after="45"/>
            </w:pPr>
            <w:r>
              <w:rPr>
                <w:sz w:val="15"/>
                <w:szCs w:val="15"/>
              </w:rPr>
              <w:t xml:space="preserve">Only 61% of patients ultimately had a resection and 31% had palliative bypass; the palliative subgroup showed the largest difference (55% vs 18%, p = 0.003), so the headline result is partly driven by patients who were never going to benefit from resection and in whom stenting would now be definitive therapy rather than preoperative preparation</w:t>
            </w:r>
          </w:p>
          <w:p>
            <w:pPr>
              <w:pStyle w:val="ListParagraph"/>
              <w:numPr>
                <w:ilvl w:val="0"/>
                <w:numId w:val="2"/>
              </w:numPr>
              <w:spacing w:after="45"/>
            </w:pPr>
            <w:r>
              <w:rPr>
                <w:sz w:val="15"/>
                <w:szCs w:val="15"/>
              </w:rPr>
              <w:t xml:space="preserve">No blinding was possible for patients or surgeons, and the primary outcome - a complication 'that prompted an additional intervention resulting in extension of stay, readmission or death' - is partly a healthcare-utilisation endpoint sensitive to unblinded clinician behaviour, even though an adjudication committee classified events blind</w:t>
            </w:r>
          </w:p>
          <w:p>
            <w:pPr>
              <w:pStyle w:val="ListParagraph"/>
              <w:numPr>
                <w:ilvl w:val="0"/>
                <w:numId w:val="2"/>
              </w:numPr>
              <w:spacing w:after="45"/>
            </w:pPr>
            <w:r>
              <w:rPr>
                <w:sz w:val="15"/>
                <w:szCs w:val="15"/>
              </w:rPr>
              <w:t xml:space="preserve">Baseline imbalance in sex (70% vs 52% male, p = 0.01) and BMI (24.0 vs 25.2, p = 0.03) occurred despite randomisation and is handled only by covariate adjustment</w:t>
            </w:r>
          </w:p>
          <w:p>
            <w:pPr>
              <w:pStyle w:val="ListParagraph"/>
              <w:numPr>
                <w:ilvl w:val="0"/>
                <w:numId w:val="2"/>
              </w:numPr>
              <w:spacing w:after="45"/>
            </w:pPr>
            <w:r>
              <w:rPr>
                <w:sz w:val="15"/>
                <w:szCs w:val="15"/>
              </w:rPr>
              <w:t xml:space="preserve">Mortality was 7% overall and did not differ between arms, but the trial had no power for this: the relative risk for death from a protocol complication was 0.48 with an interval from 0.15 to 1.51</w:t>
            </w:r>
          </w:p>
          <w:p>
            <w:pPr>
              <w:pStyle w:val="ListParagraph"/>
              <w:numPr>
                <w:ilvl w:val="0"/>
                <w:numId w:val="2"/>
              </w:numPr>
              <w:spacing w:after="45"/>
            </w:pPr>
            <w:r>
              <w:rPr>
                <w:sz w:val="15"/>
                <w:szCs w:val="15"/>
              </w:rPr>
              <w:t xml:space="preserve">Events were counted to 120 days after randomisation, which in the drainage arm includes a 4-6 week pre-surgical window with no equivalent exposure period in the early surgery arm - so the drainage group was observed at risk for longer before the operation, which mechanically favours early surgery on a time-unadjusted count</w:t>
            </w:r>
          </w:p>
          <w:p>
            <w:pPr>
              <w:pStyle w:val="ListParagraph"/>
              <w:numPr>
                <w:ilvl w:val="0"/>
                <w:numId w:val="2"/>
              </w:numPr>
              <w:spacing w:after="45"/>
            </w:pPr>
            <w:r>
              <w:rPr>
                <w:sz w:val="15"/>
                <w:szCs w:val="15"/>
              </w:rPr>
              <w:t xml:space="preserve">A 2003-2008 trial predates routine metal stenting, modern ERCP prophylaxis including rectal NSAIDs and current neoadjuvant pathways; the authors' own recommendation at the end of the paper effectively concedes that the intervention tested is no longer the intervention used</w:t>
            </w:r>
          </w:p>
        </w:tc>
      </w:tr>
    </w:tbl>
    <w:p>
      <w:pPr>
        <w:spacing w:after="0" w:line="276"/>
      </w:pPr>
      <w:r>
        <w:rPr>
          <w:color w:val="5A6069"/>
          <w:sz w:val="14"/>
          <w:szCs w:val="14"/>
        </w:rPr>
        <w:t xml:space="preserve">Funding: Netherlands Organization for Health Research and Development, which had no access to outcome data during the trial and no role in analysis or manuscript preparation; no endoscopic equipment or stents were donated by manufacturers. Two authors disclosed lecture or consulting fees (Boston Scientific; GI Dynamics, Covidien, Johnson &amp; Johnson).</w:t>
      </w:r>
    </w:p>
    <w:p>
      <w:pPr>
        <w:keepNext/>
        <w:spacing w:after="50" w:before="260"/>
      </w:pPr>
      <w:r>
        <w:rPr>
          <w:rFonts w:ascii="Cambria" w:cs="Cambria" w:eastAsia="Cambria" w:hAnsi="Cambria"/>
          <w:b/>
          <w:bCs/>
          <w:color w:val="17365D"/>
          <w:sz w:val="20"/>
          <w:szCs w:val="20"/>
        </w:rPr>
        <w:t xml:space="preserve">PRODIGE-24</w:t>
      </w:r>
      <w:r>
        <w:rPr>
          <w:b/>
          <w:bCs/>
          <w:color w:val="176A87"/>
          <w:sz w:val="15"/>
          <w:szCs w:val="15"/>
        </w:rPr>
        <w:t xml:space="preserve">   Randomised trial</w:t>
      </w:r>
      <w:r>
        <w:rPr>
          <w:color w:val="5A6069"/>
          <w:sz w:val="15"/>
          <w:szCs w:val="15"/>
        </w:rPr>
        <w:t xml:space="preserve">   PMID 30575490</w:t>
      </w:r>
    </w:p>
    <w:p>
      <w:pPr>
        <w:spacing w:after="50" w:line="276"/>
      </w:pPr>
      <w:r>
        <w:rPr>
          <w:color w:val="5A6069"/>
          <w:sz w:val="17"/>
          <w:szCs w:val="17"/>
        </w:rPr>
        <w:t xml:space="preserve">FOLFIRINOX or gemcitabine as adjuvant therapy for pancreatic cancer.</w:t>
      </w:r>
    </w:p>
    <w:p>
      <w:pPr>
        <w:spacing w:after="50"/>
      </w:pPr>
      <w:r>
        <w:rPr>
          <w:b/>
          <w:bCs/>
          <w:color w:val="176A87"/>
          <w:sz w:val="16"/>
          <w:szCs w:val="16"/>
        </w:rPr>
        <w:t xml:space="preserve">Population. </w:t>
      </w:r>
      <w:r>
        <w:rPr>
          <w:sz w:val="16"/>
          <w:szCs w:val="16"/>
        </w:rPr>
        <w:t xml:space="preserve">493 patients randomised (247 modified FOLFIRINOX, 246 gemcitabine; safety population 238 and 243); median follow-up 33.6 months (95% CI 30.3-36.0)</w:t>
      </w:r>
    </w:p>
    <w:p>
      <w:pPr>
        <w:spacing w:after="70"/>
      </w:pPr>
      <w:r>
        <w:rPr>
          <w:b/>
          <w:bCs/>
          <w:color w:val="17365D"/>
          <w:sz w:val="16"/>
          <w:szCs w:val="16"/>
        </w:rPr>
        <w:t xml:space="preserve">Bottom line. </w:t>
      </w:r>
      <w:r>
        <w:rPr>
          <w:sz w:val="16"/>
          <w:szCs w:val="16"/>
        </w:rPr>
        <w:t xml:space="preserve">In a fit, highly selected population with resected pancreatic ductal adenocarcinoma, adjuvant modified FOLFIRINOX roughly doubled median disease-free survival (21.6 vs 12.8 months) and added 19 months of median overall survival over gemcitabine at the cost of grade 3-4 toxicity in three-quarters of patients, with no demonstrable benefit in patients aged 70 or over; it provides no evidence for ampullary cancer, which was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the overall survival data remain immature, with the trial ongoing at 3 years of follow-up at publication</w:t>
            </w:r>
          </w:p>
          <w:p>
            <w:pPr>
              <w:pStyle w:val="ListParagraph"/>
              <w:numPr>
                <w:ilvl w:val="0"/>
                <w:numId w:val="2"/>
              </w:numPr>
              <w:spacing w:after="45"/>
            </w:pPr>
            <w:r>
              <w:rPr>
                <w:sz w:val="15"/>
                <w:szCs w:val="15"/>
              </w:rPr>
              <w:t xml:space="preserve">Disease-free survival is not validated as a surrogate endpoint for overall survival in adjuvant pancreatic cancer trials, although in this trial it was robust and correlated with overall survival</w:t>
            </w:r>
          </w:p>
          <w:p>
            <w:pPr>
              <w:pStyle w:val="ListParagraph"/>
              <w:numPr>
                <w:ilvl w:val="0"/>
                <w:numId w:val="2"/>
              </w:numPr>
              <w:spacing w:after="45"/>
            </w:pPr>
            <w:r>
              <w:rPr>
                <w:sz w:val="15"/>
                <w:szCs w:val="15"/>
              </w:rPr>
              <w:t xml:space="preserve">The median overall survival in the gemcitabine group (35.0 months) was longer than in previous phase 3 adjuvant trials (20.1-26.5 months), which the authors attribute to the high use of FOLFIRINOX after relapse in 76% of those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Eligibility was unusually restrictive even for an adjuvant trial: WHO performance status 0-1 only, age under 80, CA19-9 under 180 U/mL, full recovery from surgery and no symptomatic cardiac disease. Patients who are frail, jaundiced, slow to recover or have a high CA19-9 - a large part of any real postoperative clinic - were excluded, so the 54-month median survival is not a population estimate and the absolute benefit will be smaller outside the trial</w:t>
            </w:r>
          </w:p>
          <w:p>
            <w:pPr>
              <w:pStyle w:val="ListParagraph"/>
              <w:numPr>
                <w:ilvl w:val="0"/>
                <w:numId w:val="2"/>
              </w:numPr>
              <w:spacing w:after="45"/>
            </w:pPr>
            <w:r>
              <w:rPr>
                <w:sz w:val="15"/>
                <w:szCs w:val="15"/>
              </w:rPr>
              <w:t xml:space="preserve">The trial was analysed and published early on the DSMC's recommendation, and the authors concede the survival data are immature; a median overall survival whose upper confidence limit is 'not reached' is an unstable estimate on which to base the 19.4-month claim</w:t>
            </w:r>
          </w:p>
          <w:p>
            <w:pPr>
              <w:pStyle w:val="ListParagraph"/>
              <w:numPr>
                <w:ilvl w:val="0"/>
                <w:numId w:val="2"/>
              </w:numPr>
              <w:spacing w:after="45"/>
            </w:pPr>
            <w:r>
              <w:rPr>
                <w:sz w:val="15"/>
                <w:szCs w:val="15"/>
              </w:rPr>
              <w:t xml:space="preserve">Crossover was effectively universal and asymmetric - 76% of relapsing gemcitabine patients received FOLFIRINOX afterwards - which the authors invoke to explain the unusually good control-arm survival; this means the trial measures the value of giving the combination first rather than later, a narrower question than the headline implies</w:t>
            </w:r>
          </w:p>
          <w:p>
            <w:pPr>
              <w:pStyle w:val="ListParagraph"/>
              <w:numPr>
                <w:ilvl w:val="0"/>
                <w:numId w:val="2"/>
              </w:numPr>
              <w:spacing w:after="45"/>
            </w:pPr>
            <w:r>
              <w:rPr>
                <w:sz w:val="15"/>
                <w:szCs w:val="15"/>
              </w:rPr>
              <w:t xml:space="preserve">The regimen changed mid-trial: irinotecan was reduced from 180 to 150 mg/m2 after 162 patients and 24 patients received intermediate doses, so three dose levels are pooled into one arm; the subgroup comparison reassuring on efficacy had wide confidence intervals (0.67-1.40)</w:t>
            </w:r>
          </w:p>
          <w:p>
            <w:pPr>
              <w:pStyle w:val="ListParagraph"/>
              <w:numPr>
                <w:ilvl w:val="0"/>
                <w:numId w:val="2"/>
              </w:numPr>
              <w:spacing w:after="45"/>
            </w:pPr>
            <w:r>
              <w:rPr>
                <w:sz w:val="15"/>
                <w:szCs w:val="15"/>
              </w:rPr>
              <w:t xml:space="preserve">Three-quarters of the experimental arm had grade 3 or 4 toxicity and 21 patients stopped for adverse events, yet no patient-reported quality-of-life outcome is reported in the primary publication, so the trade-off a patient faces cannot be quantified</w:t>
            </w:r>
          </w:p>
          <w:p>
            <w:pPr>
              <w:pStyle w:val="ListParagraph"/>
              <w:numPr>
                <w:ilvl w:val="0"/>
                <w:numId w:val="2"/>
              </w:numPr>
              <w:spacing w:after="45"/>
            </w:pPr>
            <w:r>
              <w:rPr>
                <w:sz w:val="15"/>
                <w:szCs w:val="15"/>
              </w:rPr>
              <w:t xml:space="preserve">In the fifth of patients aged 70 or over - closer to the median age of ampullary and periampullary cancer - the primary endpoint benefit vanished (HR 0.86, 0.53-1.39). This is reported as a subgroup without an interaction test, but it is the subgroup most relevant to the older populations in whom the regimen is now often considered</w:t>
            </w:r>
          </w:p>
          <w:p>
            <w:pPr>
              <w:pStyle w:val="ListParagraph"/>
              <w:numPr>
                <w:ilvl w:val="0"/>
                <w:numId w:val="2"/>
              </w:numPr>
              <w:spacing w:after="45"/>
            </w:pPr>
            <w:r>
              <w:rPr>
                <w:sz w:val="15"/>
                <w:szCs w:val="15"/>
              </w:rPr>
              <w:t xml:space="preserve">Two patients in the FOLFIRINOX arm were found to have metastatic disease at enrolment and were 'included in error', with no sensitivity analysis excluding them</w:t>
            </w:r>
          </w:p>
          <w:p>
            <w:pPr>
              <w:pStyle w:val="ListParagraph"/>
              <w:numPr>
                <w:ilvl w:val="0"/>
                <w:numId w:val="2"/>
              </w:numPr>
              <w:spacing w:after="45"/>
            </w:pPr>
            <w:r>
              <w:rPr>
                <w:sz w:val="15"/>
                <w:szCs w:val="15"/>
              </w:rPr>
              <w:t xml:space="preserve">The primary endpoint is disease-free survival in an open-label trial where imaging follow-up was by protocol but unblinded; the authors concede DFS is not a validated surrogate in this disease, and relying on it in an unblinded trial admits ascertainment bias in the direction of the arm expected to do better</w:t>
            </w:r>
          </w:p>
          <w:p>
            <w:pPr>
              <w:pStyle w:val="ListParagraph"/>
              <w:numPr>
                <w:ilvl w:val="0"/>
                <w:numId w:val="2"/>
              </w:numPr>
              <w:spacing w:after="45"/>
            </w:pPr>
            <w:r>
              <w:rPr>
                <w:sz w:val="15"/>
                <w:szCs w:val="15"/>
              </w:rPr>
              <w:t xml:space="preserve">This trial excluded nonductal pancreatic tumours by design. Applying its result to ampullary adenocarcinoma - whether pancreatobiliary or intestinal subtype - has no support in the trial and would transplant a 75.9% grade 3-4 toxicity regimen into a disease with roughly double the baseline resected survival and no randomised evidence that any adjuvant chemotherapy helps</w:t>
            </w:r>
          </w:p>
          <w:p>
            <w:pPr>
              <w:pStyle w:val="ListParagraph"/>
              <w:numPr>
                <w:ilvl w:val="0"/>
                <w:numId w:val="2"/>
              </w:numPr>
              <w:spacing w:after="45"/>
            </w:pPr>
            <w:r>
              <w:rPr>
                <w:sz w:val="15"/>
                <w:szCs w:val="15"/>
              </w:rPr>
              <w:t xml:space="preserve">The trial received a grant from Chugai Pharmaceutical via R&amp;D Unicancer and most senior authors report fees from pharmaceutical companies; the comparator was gemcitabine monotherapy rather than the gemcitabine plus capecitabine that ESPAC-4 had reported as superior the previous year, so by the time of publication the control arm was already not the best available standard</w:t>
            </w:r>
          </w:p>
        </w:tc>
      </w:tr>
    </w:tbl>
    <w:p>
      <w:pPr>
        <w:spacing w:after="0" w:line="276"/>
      </w:pPr>
      <w:r>
        <w:rPr>
          <w:color w:val="5A6069"/>
          <w:sz w:val="14"/>
          <w:szCs w:val="14"/>
        </w:rPr>
        <w:t xml:space="preserve">Funding: R&amp;D Unicancer (which received a grant from Chugai Pharmaceutical), a Clinical Research Hospital Program grant (PHRC11-006) from the French Ministry of Health and the Institut National du Cancer, the French National League against Cancer; the Canadian arm by a Program Grant (704970) from the Canadian Cancer Society and grants from 7 Days in May. Extensive author disclosures of consulting, advisory and travel support from industry.</w:t>
      </w:r>
    </w:p>
    <w:p>
      <w:pPr>
        <w:keepNext/>
        <w:spacing w:after="50" w:before="260"/>
      </w:pPr>
      <w:r>
        <w:rPr>
          <w:rFonts w:ascii="Cambria" w:cs="Cambria" w:eastAsia="Cambria" w:hAnsi="Cambria"/>
          <w:b/>
          <w:bCs/>
          <w:color w:val="17365D"/>
          <w:sz w:val="20"/>
          <w:szCs w:val="20"/>
        </w:rPr>
        <w:t xml:space="preserve">Reid 2016 subtype reproducibility</w:t>
      </w:r>
      <w:r>
        <w:rPr>
          <w:b/>
          <w:bCs/>
          <w:color w:val="176A87"/>
          <w:sz w:val="15"/>
          <w:szCs w:val="15"/>
        </w:rPr>
        <w:t xml:space="preserve">   Retrospective cohort</w:t>
      </w:r>
      <w:r>
        <w:rPr>
          <w:color w:val="5A6069"/>
          <w:sz w:val="15"/>
          <w:szCs w:val="15"/>
        </w:rPr>
        <w:t xml:space="preserve">   PMID 27586202</w:t>
      </w:r>
    </w:p>
    <w:p>
      <w:pPr>
        <w:spacing w:after="50" w:line="276"/>
      </w:pPr>
      <w:r>
        <w:rPr>
          <w:color w:val="5A6069"/>
          <w:sz w:val="17"/>
          <w:szCs w:val="17"/>
        </w:rPr>
        <w:t xml:space="preserve">Ampullary carcinoma is often of mixed or hybrid histologic type: an analysis of reproducibility and clinical relevance of classification as pancreatobiliary versus intestinal in 232 cases.</w:t>
      </w:r>
    </w:p>
    <w:p>
      <w:pPr>
        <w:spacing w:after="50"/>
      </w:pPr>
      <w:r>
        <w:rPr>
          <w:b/>
          <w:bCs/>
          <w:color w:val="176A87"/>
          <w:sz w:val="16"/>
          <w:szCs w:val="16"/>
        </w:rPr>
        <w:t xml:space="preserve">Population. </w:t>
      </w:r>
      <w:r>
        <w:rPr>
          <w:sz w:val="16"/>
          <w:szCs w:val="16"/>
        </w:rPr>
        <w:t xml:space="preserve">232 resected invasive ampullary carcinomas with an invasive component greater than 3.0 mm (from 249 strictly defined ampullary carcinomas among 1469 pancreatoduodenectomies); comparator cohort 476 pancreatic ductal adenocarcinomas</w:t>
      </w:r>
    </w:p>
    <w:p>
      <w:pPr>
        <w:spacing w:after="70"/>
      </w:pPr>
      <w:r>
        <w:rPr>
          <w:b/>
          <w:bCs/>
          <w:color w:val="17365D"/>
          <w:sz w:val="16"/>
          <w:szCs w:val="16"/>
        </w:rPr>
        <w:t xml:space="preserve">Bottom line. </w:t>
      </w:r>
      <w:r>
        <w:rPr>
          <w:sz w:val="16"/>
          <w:szCs w:val="16"/>
        </w:rPr>
        <w:t xml:space="preserve">This is the study that shows the intestinal-versus-pancreatobiliary classification is only fairly reproducible (kappa 0.39, full agreement in 23%), that 40% of ampullary carcinomas are morphologically mixed, and that any survival difference between subtypes appears only after forced binary assignment and is not independent of stage, budding or nodal status - so subtype should not by itself drive adjuvant decisions; it also confirms that even pancreatobiliary-type ampullary cancer behaves far better than pancreatic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high frequency of pancreatobiliary-predominant cases raises the possibility of bias in the authors' criteria, and all five observers had an interest in pancreatobiliary pathology and may have been primed to read patterns as pancreatobiliary, although they were also exposed to lower GI pathology</w:t>
            </w:r>
          </w:p>
          <w:p>
            <w:pPr>
              <w:pStyle w:val="ListParagraph"/>
              <w:numPr>
                <w:ilvl w:val="0"/>
                <w:numId w:val="2"/>
              </w:numPr>
              <w:spacing w:after="45"/>
            </w:pPr>
            <w:r>
              <w:rPr>
                <w:sz w:val="15"/>
                <w:szCs w:val="15"/>
              </w:rPr>
              <w:t xml:space="preserve">Population differences between cohorts may account for the subtype frequencies differing from other series</w:t>
            </w:r>
          </w:p>
          <w:p>
            <w:pPr>
              <w:pStyle w:val="ListParagraph"/>
              <w:numPr>
                <w:ilvl w:val="0"/>
                <w:numId w:val="2"/>
              </w:numPr>
              <w:spacing w:after="45"/>
            </w:pPr>
            <w:r>
              <w:rPr>
                <w:sz w:val="15"/>
                <w:szCs w:val="15"/>
              </w:rPr>
              <w:t xml:space="preserve">The study was not controlled for patient treatment or management, though the authors state no known treatment bias was applied</w:t>
            </w:r>
          </w:p>
          <w:p>
            <w:pPr>
              <w:pStyle w:val="ListParagraph"/>
              <w:numPr>
                <w:ilvl w:val="0"/>
                <w:numId w:val="2"/>
              </w:numPr>
              <w:spacing w:after="45"/>
            </w:pPr>
            <w:r>
              <w:rPr>
                <w:sz w:val="15"/>
                <w:szCs w:val="15"/>
              </w:rPr>
              <w:t xml:space="preserve">Histologic typing on endoscopic or image-guided biopsies should be regarded as preliminary, and tissue-microarray-based immunohistochemical studies should be interpreted with caution or avoided</w:t>
            </w:r>
          </w:p>
          <w:p>
            <w:pPr>
              <w:pStyle w:val="ListParagraph"/>
              <w:numPr>
                <w:ilvl w:val="0"/>
                <w:numId w:val="2"/>
              </w:numPr>
              <w:spacing w:after="45"/>
            </w:pPr>
            <w:r>
              <w:rPr>
                <w:sz w:val="15"/>
                <w:szCs w:val="15"/>
              </w:rPr>
              <w:t xml:space="preserve">Larger cohorts with pathologic verification by multiple observers are needed to explain between-series differences in subtype frequency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one survival difference the paper reports as significant is an artefact of the analysis chosen: the biologically honest purist classification showed no survival difference at all (p = 0.65), and only after 94 indeterminate mixed tumours were force-assigned to a side did a difference appear - a reclassification that moves 40% of the cohort on the basis of a judgement with only moderate agreement</w:t>
            </w:r>
          </w:p>
          <w:p>
            <w:pPr>
              <w:pStyle w:val="ListParagraph"/>
              <w:numPr>
                <w:ilvl w:val="0"/>
                <w:numId w:val="2"/>
              </w:numPr>
              <w:spacing w:after="45"/>
            </w:pPr>
            <w:r>
              <w:rPr>
                <w:sz w:val="15"/>
                <w:szCs w:val="15"/>
              </w:rPr>
              <w:t xml:space="preserve">Even that difference was not independent of stage, budding or nodes, so the paper's own data argue against using subtype to select therapy, yet the abstract still describes the forced-binary classification as having 'good prognostic value'</w:t>
            </w:r>
          </w:p>
          <w:p>
            <w:pPr>
              <w:pStyle w:val="ListParagraph"/>
              <w:numPr>
                <w:ilvl w:val="0"/>
                <w:numId w:val="2"/>
              </w:numPr>
              <w:spacing w:after="45"/>
            </w:pPr>
            <w:r>
              <w:rPr>
                <w:sz w:val="15"/>
                <w:szCs w:val="15"/>
              </w:rPr>
              <w:t xml:space="preserve">'The study was not controlled for patient treatment' cannot be waved away with 'no known treatment bias': adjuvant regimens were already being chosen by subtype in this era, so the subtype-survival comparison may be measuring differential treatment</w:t>
            </w:r>
          </w:p>
          <w:p>
            <w:pPr>
              <w:pStyle w:val="ListParagraph"/>
              <w:numPr>
                <w:ilvl w:val="0"/>
                <w:numId w:val="2"/>
              </w:numPr>
              <w:spacing w:after="45"/>
            </w:pPr>
            <w:r>
              <w:rPr>
                <w:sz w:val="15"/>
                <w:szCs w:val="15"/>
              </w:rPr>
              <w:t xml:space="preserve">Kappa was computed across five observers over four or three unordered categories without reporting pairwise kappas or category-specific agreement, so it is not possible to see whether the failure is concentrated in the mixed/other categories or extends to the pure ones</w:t>
            </w:r>
          </w:p>
          <w:p>
            <w:pPr>
              <w:pStyle w:val="ListParagraph"/>
              <w:numPr>
                <w:ilvl w:val="0"/>
                <w:numId w:val="2"/>
              </w:numPr>
              <w:spacing w:after="45"/>
            </w:pPr>
            <w:r>
              <w:rPr>
                <w:sz w:val="15"/>
                <w:szCs w:val="15"/>
              </w:rPr>
              <w:t xml:space="preserve">Selecting for an invasive component greater than 3 mm removes exactly the small, mostly intra-ampullary tumours where subtyping is hardest and where the classification would most change management, so the reported 23-35% full agreement is an optimistic ceiling for routine practice and biopsies</w:t>
            </w:r>
          </w:p>
          <w:p>
            <w:pPr>
              <w:pStyle w:val="ListParagraph"/>
              <w:numPr>
                <w:ilvl w:val="0"/>
                <w:numId w:val="2"/>
              </w:numPr>
              <w:spacing w:after="45"/>
            </w:pPr>
            <w:r>
              <w:rPr>
                <w:sz w:val="15"/>
                <w:szCs w:val="15"/>
              </w:rPr>
              <w:t xml:space="preserve">The 476 PDAC comparator cohort is described as 'previously unpublished' from the authors' database with no inclusion criteria, dates, stage distribution or treatment given; the size- and node-matched HR of 1.97 rests on an undocumented control group</w:t>
            </w:r>
          </w:p>
          <w:p>
            <w:pPr>
              <w:pStyle w:val="ListParagraph"/>
              <w:numPr>
                <w:ilvl w:val="0"/>
                <w:numId w:val="2"/>
              </w:numPr>
              <w:spacing w:after="45"/>
            </w:pPr>
            <w:r>
              <w:rPr>
                <w:sz w:val="15"/>
                <w:szCs w:val="15"/>
              </w:rPr>
              <w:t xml:space="preserve">Pure intestinal carcinoma comprised only 13 cases, so every survival statement about the intestinal phenotype under the purist scheme is based on a group too small to interpret, and no confidence intervals are given for any median</w:t>
            </w:r>
          </w:p>
          <w:p>
            <w:pPr>
              <w:pStyle w:val="ListParagraph"/>
              <w:numPr>
                <w:ilvl w:val="0"/>
                <w:numId w:val="2"/>
              </w:numPr>
              <w:spacing w:after="45"/>
            </w:pPr>
            <w:r>
              <w:rPr>
                <w:sz w:val="15"/>
                <w:szCs w:val="15"/>
              </w:rPr>
              <w:t xml:space="preserve">Tumour budding is reported as an independent prognostic factor using criteria the same group published, with no reproducibility data of its own, so the variable that displaces subtype in the multivariable model is itself unvalidated here</w:t>
            </w:r>
          </w:p>
        </w:tc>
      </w:tr>
    </w:tbl>
    <w:p>
      <w:pPr>
        <w:spacing w:after="0" w:line="276"/>
      </w:pPr>
      <w:r>
        <w:rPr>
          <w:color w:val="5A6069"/>
          <w:sz w:val="14"/>
          <w:szCs w:val="14"/>
        </w:rPr>
        <w:t xml:space="preserve">Funding: Not stated; authors declare no conflict of interest</w:t>
      </w:r>
    </w:p>
    <w:p>
      <w:pPr>
        <w:keepNext/>
        <w:spacing w:after="50" w:before="260"/>
      </w:pPr>
      <w:r>
        <w:rPr>
          <w:rFonts w:ascii="Cambria" w:cs="Cambria" w:eastAsia="Cambria" w:hAnsi="Cambria"/>
          <w:b/>
          <w:bCs/>
          <w:color w:val="17365D"/>
          <w:sz w:val="20"/>
          <w:szCs w:val="20"/>
        </w:rPr>
        <w:t xml:space="preserve">Ridtitid 2014</w:t>
      </w:r>
      <w:r>
        <w:rPr>
          <w:b/>
          <w:bCs/>
          <w:color w:val="176A87"/>
          <w:sz w:val="15"/>
          <w:szCs w:val="15"/>
        </w:rPr>
        <w:t xml:space="preserve">   Retrospective cohort</w:t>
      </w:r>
      <w:r>
        <w:rPr>
          <w:color w:val="5A6069"/>
          <w:sz w:val="15"/>
          <w:szCs w:val="15"/>
        </w:rPr>
        <w:t xml:space="preserve">   PMID 25293823</w:t>
      </w:r>
    </w:p>
    <w:p>
      <w:pPr>
        <w:spacing w:after="50" w:line="276"/>
      </w:pPr>
      <w:r>
        <w:rPr>
          <w:color w:val="5A6069"/>
          <w:sz w:val="17"/>
          <w:szCs w:val="17"/>
        </w:rPr>
        <w:t xml:space="preserve">Performance characteristics of EUS for locoregional evaluation of ampullary lesions.</w:t>
      </w:r>
    </w:p>
    <w:p>
      <w:pPr>
        <w:spacing w:after="50"/>
      </w:pPr>
      <w:r>
        <w:rPr>
          <w:b/>
          <w:bCs/>
          <w:color w:val="176A87"/>
          <w:sz w:val="16"/>
          <w:szCs w:val="16"/>
        </w:rPr>
        <w:t xml:space="preserve">Population. </w:t>
      </w:r>
      <w:r>
        <w:rPr>
          <w:sz w:val="16"/>
          <w:szCs w:val="16"/>
        </w:rPr>
        <w:t xml:space="preserve">119 patients undergoing EUS for an ampullary lesion (99 with adenoma or adenocarcinoma); ERCP in 90; surgical pathology available for 102 (EUS comparison) and 81 (ERCP comparison); 58 underwent endoscopic papillectomy</w:t>
      </w:r>
    </w:p>
    <w:p>
      <w:pPr>
        <w:spacing w:after="70"/>
      </w:pPr>
      <w:r>
        <w:rPr>
          <w:b/>
          <w:bCs/>
          <w:color w:val="17365D"/>
          <w:sz w:val="16"/>
          <w:szCs w:val="16"/>
        </w:rPr>
        <w:t xml:space="preserve">Bottom line. </w:t>
      </w:r>
      <w:r>
        <w:rPr>
          <w:sz w:val="16"/>
          <w:szCs w:val="16"/>
        </w:rPr>
        <w:t xml:space="preserve">In expert hands and with no biliary stent in place, EUS stages ampullary lesions about as well as ERCP against surgical pathology and is excellent at confirming T1 disease, but it misses roughly a fifth of intraductal extensions and a fifth of deeper invasion, and this retrospective design with a partly circular reference standard cannot show that adding EUS improves resection outcomes.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 predefined criteria for proceeding from EUS to endoscopic or surgical resection, which may have produced inconsistent surgical referral and influenced endoscopic outcomes</w:t>
            </w:r>
          </w:p>
          <w:p>
            <w:pPr>
              <w:pStyle w:val="ListParagraph"/>
              <w:numPr>
                <w:ilvl w:val="0"/>
                <w:numId w:val="2"/>
              </w:numPr>
              <w:spacing w:after="45"/>
            </w:pPr>
            <w:r>
              <w:rPr>
                <w:sz w:val="15"/>
                <w:szCs w:val="15"/>
              </w:rPr>
              <w:t xml:space="preserve">The exact length of intraductal extension was not documented (only that it ranged from subcentimetre to about 1 cm)</w:t>
            </w:r>
          </w:p>
          <w:p>
            <w:pPr>
              <w:pStyle w:val="ListParagraph"/>
              <w:numPr>
                <w:ilvl w:val="0"/>
                <w:numId w:val="2"/>
              </w:numPr>
              <w:spacing w:after="45"/>
            </w:pPr>
            <w:r>
              <w:rPr>
                <w:sz w:val="15"/>
                <w:szCs w:val="15"/>
              </w:rPr>
              <w:t xml:space="preserve">The data represent only the subset of ampullary tumours at the institution that had EUS, since some patients went directly to ERCP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standard is circular for the lesions that matter most: for endoscopically resected adenomas, absence of intraductal extension was assumed whenever resection was complete with a negative margin and cholangiography showed no ductal extension - so EUS is being validated partly against a composite that already includes EUS-era endoscopic judgement, which inflates specificity and accuracy</w:t>
            </w:r>
          </w:p>
          <w:p>
            <w:pPr>
              <w:pStyle w:val="ListParagraph"/>
              <w:numPr>
                <w:ilvl w:val="0"/>
                <w:numId w:val="2"/>
              </w:numPr>
              <w:spacing w:after="45"/>
            </w:pPr>
            <w:r>
              <w:rPr>
                <w:sz w:val="15"/>
                <w:szCs w:val="15"/>
              </w:rPr>
              <w:t xml:space="preserve">The two comparisons use different denominators (90, 102 and 81 patients) drawn from the same cohort by availability of ERCP or of a resection specimen, so the claim that EUS and ERCP 'perform similarly' compares non-overlapping subsets rather than paired readings in the same patients</w:t>
            </w:r>
          </w:p>
          <w:p>
            <w:pPr>
              <w:pStyle w:val="ListParagraph"/>
              <w:numPr>
                <w:ilvl w:val="0"/>
                <w:numId w:val="2"/>
              </w:numPr>
              <w:spacing w:after="45"/>
            </w:pPr>
            <w:r>
              <w:rPr>
                <w:sz w:val="15"/>
                <w:szCs w:val="15"/>
              </w:rPr>
              <w:t xml:space="preserve">Sensitivity rests on very few events: 9-12 patients with intraductal extension in each analysis, which is why the AUROC confidence intervals are wide and why the EUS-versus-ERCP difference cannot be resolved</w:t>
            </w:r>
          </w:p>
          <w:p>
            <w:pPr>
              <w:pStyle w:val="ListParagraph"/>
              <w:numPr>
                <w:ilvl w:val="0"/>
                <w:numId w:val="2"/>
              </w:numPr>
              <w:spacing w:after="45"/>
            </w:pPr>
            <w:r>
              <w:rPr>
                <w:sz w:val="15"/>
                <w:szCs w:val="15"/>
              </w:rPr>
              <w:t xml:space="preserve">The 90% T-staging accuracy is carried almost entirely by correctly calling 65 of 66 lesions confined to the ampulla; for the invasive categories that would actually change management, accuracy was 78-80% and EUS systematically understaged</w:t>
            </w:r>
          </w:p>
          <w:p>
            <w:pPr>
              <w:pStyle w:val="ListParagraph"/>
              <w:numPr>
                <w:ilvl w:val="0"/>
                <w:numId w:val="2"/>
              </w:numPr>
              <w:spacing w:after="45"/>
            </w:pPr>
            <w:r>
              <w:rPr>
                <w:sz w:val="15"/>
                <w:szCs w:val="15"/>
              </w:rPr>
              <w:t xml:space="preserve">Six endosonographers and six ERCP endoscopists over 15 years, with no blinding, no central re-reading and no interobserver data; the authors concede EUS is operator dependent and that their results may reflect high-volume performance, which limits transfer to community practice</w:t>
            </w:r>
          </w:p>
          <w:p>
            <w:pPr>
              <w:pStyle w:val="ListParagraph"/>
              <w:numPr>
                <w:ilvl w:val="0"/>
                <w:numId w:val="2"/>
              </w:numPr>
              <w:spacing w:after="45"/>
            </w:pPr>
            <w:r>
              <w:rPr>
                <w:sz w:val="15"/>
                <w:szCs w:val="15"/>
              </w:rPr>
              <w:t xml:space="preserve">The 91% complete-resection rate is presented as evidence that EUS triaged patients well, but it is a before-after comparison with the same group's earlier 73% series and could equally reflect cohort selection, era effects or stricter criteria; patients deemed unresectable at EUS were excluded from that earlier study, making the two rates non-comparable</w:t>
            </w:r>
          </w:p>
          <w:p>
            <w:pPr>
              <w:pStyle w:val="ListParagraph"/>
              <w:numPr>
                <w:ilvl w:val="0"/>
                <w:numId w:val="2"/>
              </w:numPr>
              <w:spacing w:after="45"/>
            </w:pPr>
            <w:r>
              <w:rPr>
                <w:sz w:val="15"/>
                <w:szCs w:val="15"/>
              </w:rPr>
              <w:t xml:space="preserve">A 1998-2012 accrual spans radial and linear instruments and major changes in echoendoscope technology (GF-UM20 through GF-UC140P), and the radial/linear comparison is reported on 75 versus 21 patients without a formal test</w:t>
            </w:r>
          </w:p>
          <w:p>
            <w:pPr>
              <w:pStyle w:val="ListParagraph"/>
              <w:numPr>
                <w:ilvl w:val="0"/>
                <w:numId w:val="2"/>
              </w:numPr>
              <w:spacing w:after="45"/>
            </w:pPr>
            <w:r>
              <w:rPr>
                <w:sz w:val="15"/>
                <w:szCs w:val="15"/>
              </w:rPr>
              <w:t xml:space="preserve">The 17% non-adenomatous rate on papillectomy is a striking finding about referral biopsy reliability, but it also means the cohort's composition - and therefore every accuracy estimate - depends on outside histology that the centre did not verify</w:t>
            </w:r>
          </w:p>
        </w:tc>
      </w:tr>
    </w:tbl>
    <w:p>
      <w:pPr>
        <w:spacing w:after="0" w:line="276"/>
      </w:pPr>
      <w:r>
        <w:rPr>
          <w:color w:val="5A6069"/>
          <w:sz w:val="14"/>
          <w:szCs w:val="14"/>
        </w:rPr>
        <w:t xml:space="preserve">Funding: None stated; all authors disclosed no relevant financial relationships</w:t>
      </w:r>
    </w:p>
    <w:p>
      <w:pPr>
        <w:keepNext/>
        <w:spacing w:after="50" w:before="260"/>
      </w:pPr>
      <w:r>
        <w:rPr>
          <w:rFonts w:ascii="Cambria" w:cs="Cambria" w:eastAsia="Cambria" w:hAnsi="Cambria"/>
          <w:b/>
          <w:bCs/>
          <w:color w:val="17365D"/>
          <w:sz w:val="20"/>
          <w:szCs w:val="20"/>
        </w:rPr>
        <w:t xml:space="preserve">Soons 2021 FAP duodenum</w:t>
      </w:r>
      <w:r>
        <w:rPr>
          <w:b/>
          <w:bCs/>
          <w:color w:val="176A87"/>
          <w:sz w:val="15"/>
          <w:szCs w:val="15"/>
        </w:rPr>
        <w:t xml:space="preserve">   Review</w:t>
      </w:r>
      <w:r>
        <w:rPr>
          <w:color w:val="5A6069"/>
          <w:sz w:val="15"/>
          <w:szCs w:val="15"/>
        </w:rPr>
        <w:t xml:space="preserve">   PMID 34529357</w:t>
      </w:r>
    </w:p>
    <w:p>
      <w:pPr>
        <w:spacing w:after="50" w:line="276"/>
      </w:pPr>
      <w:r>
        <w:rPr>
          <w:color w:val="5A6069"/>
          <w:sz w:val="17"/>
          <w:szCs w:val="17"/>
        </w:rPr>
        <w:t xml:space="preserve">Endoscopic management of duodenal adenomatosis in familial adenomatous polyposis - a case-based review.</w:t>
      </w:r>
    </w:p>
    <w:p>
      <w:pPr>
        <w:spacing w:after="70"/>
      </w:pPr>
      <w:r>
        <w:rPr>
          <w:b/>
          <w:bCs/>
          <w:color w:val="17365D"/>
          <w:sz w:val="16"/>
          <w:szCs w:val="16"/>
        </w:rPr>
        <w:t xml:space="preserve">Bottom line. </w:t>
      </w:r>
      <w:r>
        <w:rPr>
          <w:sz w:val="16"/>
          <w:szCs w:val="16"/>
        </w:rPr>
        <w:t xml:space="preserve">A useful, candid narrative synthesis showing that about half of FAP duodenal cancers are (peri)ampullary, that the Spigelman score does not capture ampullary risk and that ESGE and BSG have now added separate ampullary intervals; its most important message is negative - across only 181 patients in 7 small retrospective series there is no evidence that endoscopic therapy prevents duodenal cancer, delays surgery or improves survival - but it is a narrative review without protocol, appraisal or pooling, and its call to reconsider endoscopic therapy is anchored to a single non-adherent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long-term efficacy and safety data for endoscopic therapy in the duodenum and at the ampullary site are almost entirely absent, that 6 of the 7 studies published in the preceding decade were single-centre retrospective series with at most 49 subjects, and that the absence of prospective international data makes the true effect of endoscopic therapy on prevention of duodenal surgery, cancer development and survival impossible to determine</w:t>
            </w:r>
          </w:p>
          <w:p>
            <w:pPr>
              <w:pStyle w:val="ListParagraph"/>
              <w:numPr>
                <w:ilvl w:val="0"/>
                <w:numId w:val="2"/>
              </w:numPr>
              <w:spacing w:after="45"/>
            </w:pPr>
            <w:r>
              <w:rPr>
                <w:sz w:val="15"/>
                <w:szCs w:val="15"/>
              </w:rPr>
              <w:t xml:space="preserve">No comparative studies exist between endoscopic therapy and surveillance with or without prophylactic surgery, nor between different endoscopic and surgical therapies</w:t>
            </w:r>
          </w:p>
          <w:p>
            <w:pPr>
              <w:pStyle w:val="ListParagraph"/>
              <w:numPr>
                <w:ilvl w:val="0"/>
                <w:numId w:val="2"/>
              </w:numPr>
              <w:spacing w:after="45"/>
            </w:pPr>
            <w:r>
              <w:rPr>
                <w:sz w:val="15"/>
                <w:szCs w:val="15"/>
              </w:rPr>
              <w:t xml:space="preserve">Guidelines on management of duodenal adenomas in adenomatous polyposis are mainly based on expert opinion because studies on clinical management are scarce</w:t>
            </w:r>
          </w:p>
          <w:p>
            <w:pPr>
              <w:pStyle w:val="ListParagraph"/>
              <w:numPr>
                <w:ilvl w:val="0"/>
                <w:numId w:val="2"/>
              </w:numPr>
              <w:spacing w:after="45"/>
            </w:pPr>
            <w:r>
              <w:rPr>
                <w:sz w:val="15"/>
                <w:szCs w:val="15"/>
              </w:rPr>
              <w:t xml:space="preserve">Long-term data on cancer risk in MAP patients with apparently less severe disease are hardly available, yet surveillance intervals follow the FAP recommendations</w:t>
            </w:r>
          </w:p>
          <w:p>
            <w:pPr>
              <w:pStyle w:val="ListParagraph"/>
              <w:numPr>
                <w:ilvl w:val="0"/>
                <w:numId w:val="2"/>
              </w:numPr>
              <w:spacing w:after="45"/>
            </w:pPr>
            <w:r>
              <w:rPr>
                <w:sz w:val="15"/>
                <w:szCs w:val="15"/>
              </w:rPr>
              <w:t xml:space="preserve">The authors explicitly suggest that given the absence of evidence on long-term efficacy, it may be time to reconsider the use of endoscopic therapy in FAP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narrative review presented with the trappings of a systematic one - a PubMed search string, a screened count of 2277 and an included count of 137 - but there is no second reviewer, no inclusion/exclusion protocol, no PRISMA flow, no risk-of-bias appraisal and no quantitative synthesis. The reader cannot tell why 137 of 2277 were kept or whether contrary evidence was excluded</w:t>
            </w:r>
          </w:p>
          <w:p>
            <w:pPr>
              <w:pStyle w:val="ListParagraph"/>
              <w:numPr>
                <w:ilvl w:val="0"/>
                <w:numId w:val="2"/>
              </w:numPr>
              <w:spacing w:after="45"/>
            </w:pPr>
            <w:r>
              <w:rPr>
                <w:sz w:val="15"/>
                <w:szCs w:val="15"/>
              </w:rPr>
              <w:t xml:space="preserve">The 10-year search window excludes the foundational literature by design, including Spigelman's original paper, Groves' prospective duodenal cancer study and Bulow's cohort, all of which are nonetheless cited and relied upon - so the search strategy does not match the evidence base actually used</w:t>
            </w:r>
          </w:p>
          <w:p>
            <w:pPr>
              <w:pStyle w:val="ListParagraph"/>
              <w:numPr>
                <w:ilvl w:val="0"/>
                <w:numId w:val="2"/>
              </w:numPr>
              <w:spacing w:after="45"/>
            </w:pPr>
            <w:r>
              <w:rPr>
                <w:sz w:val="15"/>
                <w:szCs w:val="15"/>
              </w:rPr>
              <w:t xml:space="preserve">Ranges are reported without weighting by study size or quality, so '78-100% residual or recurrent disease' and '0-20% delayed bleeding' lump series of 6 patients with series of 49; no pooled estimate or heterogeneity assessment is attempted, which makes the numbers unusable for counselling a specific patient</w:t>
            </w:r>
          </w:p>
          <w:p>
            <w:pPr>
              <w:pStyle w:val="ListParagraph"/>
              <w:numPr>
                <w:ilvl w:val="0"/>
                <w:numId w:val="2"/>
              </w:numPr>
              <w:spacing w:after="45"/>
            </w:pPr>
            <w:r>
              <w:rPr>
                <w:sz w:val="15"/>
                <w:szCs w:val="15"/>
              </w:rPr>
              <w:t xml:space="preserve">The single illustrative patient does heavy rhetorical work. A man whose Spigelman stage fell from IV to III without intervention, who cancelled appointments repeatedly and who postponed his EMR is used to argue that 'it may well be time to reconsider the use of endoscopic therapy' - a conclusion drawn from one non-adherent patient and a literature of 181 patients total</w:t>
            </w:r>
          </w:p>
          <w:p>
            <w:pPr>
              <w:pStyle w:val="ListParagraph"/>
              <w:numPr>
                <w:ilvl w:val="0"/>
                <w:numId w:val="2"/>
              </w:numPr>
              <w:spacing w:after="45"/>
            </w:pPr>
            <w:r>
              <w:rPr>
                <w:sz w:val="15"/>
                <w:szCs w:val="15"/>
              </w:rPr>
              <w:t xml:space="preserve">The review's own recommendation to refer all ampullary adenomas of any size to an expert centre sits uneasily with its evidence that endoscopic ampullectomy in FAP recurs in 19-58% with pancreatitis in up to 30%, and no analysis addresses whether intervening on small ampullary adenomas does net good</w:t>
            </w:r>
          </w:p>
          <w:p>
            <w:pPr>
              <w:pStyle w:val="ListParagraph"/>
              <w:numPr>
                <w:ilvl w:val="0"/>
                <w:numId w:val="2"/>
              </w:numPr>
              <w:spacing w:after="45"/>
            </w:pPr>
            <w:r>
              <w:rPr>
                <w:sz w:val="15"/>
                <w:szCs w:val="15"/>
              </w:rPr>
              <w:t xml:space="preserve">Discouraging routine biopsy while retaining the Spigelman score creates an unresolved circularity the review acknowledges but does not solve: two of the four score components require histology, so under the modified approach the stage is calculated from historical pathology reports or optical diagnosis, which means the score is no longer the measured quantity it was validated (such as it was) against</w:t>
            </w:r>
          </w:p>
          <w:p>
            <w:pPr>
              <w:pStyle w:val="ListParagraph"/>
              <w:numPr>
                <w:ilvl w:val="0"/>
                <w:numId w:val="2"/>
              </w:numPr>
              <w:spacing w:after="45"/>
            </w:pPr>
            <w:r>
              <w:rPr>
                <w:sz w:val="15"/>
                <w:szCs w:val="15"/>
              </w:rPr>
              <w:t xml:space="preserve">The pancreatitis risk used to justify avoiding ampullary biopsy rests on 4 case reports plus asymptomatic amylase elevation in 30% of available tests in 35 patients - a weak evidence base for a practice change that removes histology from risk stratification</w:t>
            </w:r>
          </w:p>
          <w:p>
            <w:pPr>
              <w:pStyle w:val="ListParagraph"/>
              <w:numPr>
                <w:ilvl w:val="0"/>
                <w:numId w:val="2"/>
              </w:numPr>
              <w:spacing w:after="45"/>
            </w:pPr>
            <w:r>
              <w:rPr>
                <w:sz w:val="15"/>
                <w:szCs w:val="15"/>
              </w:rPr>
              <w:t xml:space="preserve">No quantitative comparison of the four guidelines' intervals against outcomes is attempted; the table shows ACG is substantially more intensive than ESGE for the same stage, and the review offers no basis for choosing between them other than noting the difference</w:t>
            </w:r>
          </w:p>
          <w:p>
            <w:pPr>
              <w:pStyle w:val="ListParagraph"/>
              <w:numPr>
                <w:ilvl w:val="0"/>
                <w:numId w:val="2"/>
              </w:numPr>
              <w:spacing w:after="45"/>
            </w:pPr>
            <w:r>
              <w:rPr>
                <w:sz w:val="15"/>
                <w:szCs w:val="15"/>
              </w:rPr>
              <w:t xml:space="preserve">The claim that surveillance improves life expectancy by 7 months comes from a 1997 decision analysis with modelled inputs, cited without any sensitivity analysis or discussion of how the modelled assumptions compare with current endoscopic practice</w:t>
            </w:r>
          </w:p>
          <w:p>
            <w:pPr>
              <w:pStyle w:val="ListParagraph"/>
              <w:numPr>
                <w:ilvl w:val="0"/>
                <w:numId w:val="2"/>
              </w:numPr>
              <w:spacing w:after="45"/>
            </w:pPr>
            <w:r>
              <w:rPr>
                <w:sz w:val="15"/>
                <w:szCs w:val="15"/>
              </w:rPr>
              <w:t xml:space="preserve">Cumulative incidence figures are repeated from primary sources without noting that the authors themselves caution that rising Spigelman scores over decades partly reflect technology - a caveat applied to stage IV prevalence but not to the 18% duodenal cancer risk at 75 that drives the whole surveillance rationale</w:t>
            </w:r>
          </w:p>
          <w:p>
            <w:pPr>
              <w:pStyle w:val="ListParagraph"/>
              <w:numPr>
                <w:ilvl w:val="0"/>
                <w:numId w:val="2"/>
              </w:numPr>
              <w:spacing w:after="45"/>
            </w:pPr>
            <w:r>
              <w:rPr>
                <w:sz w:val="15"/>
                <w:szCs w:val="15"/>
              </w:rPr>
              <w:t xml:space="preserve">The three ongoing studies cited as future prospects (NCT03346980 on inter- and intra-observer variability of Spigelman variables, NL8757 on inter-laboratory histopathology variability, NCT03847636 on cryoballoon ablation) are an admission that the reproducibility of the staging system has still not been established 30 years after its introduction - a point the review states but does not carry through to its recommendations</w:t>
            </w:r>
          </w:p>
        </w:tc>
      </w:tr>
    </w:tbl>
    <w:p>
      <w:pPr>
        <w:spacing w:after="0" w:line="276"/>
      </w:pPr>
      <w:r>
        <w:rPr>
          <w:color w:val="5A6069"/>
          <w:sz w:val="14"/>
          <w:szCs w:val="14"/>
        </w:rPr>
        <w:t xml:space="preserve">Funding: None stated; the authors declare that there is no conflict of interest. No datasets were generated or analysed.</w:t>
      </w:r>
    </w:p>
    <w:p>
      <w:pPr>
        <w:keepNext/>
        <w:spacing w:after="50" w:before="260"/>
      </w:pPr>
      <w:r>
        <w:rPr>
          <w:rFonts w:ascii="Cambria" w:cs="Cambria" w:eastAsia="Cambria" w:hAnsi="Cambria"/>
          <w:b/>
          <w:bCs/>
          <w:color w:val="17365D"/>
          <w:sz w:val="20"/>
          <w:szCs w:val="20"/>
        </w:rPr>
        <w:t xml:space="preserve">Spigelman 1989</w:t>
      </w:r>
      <w:r>
        <w:rPr>
          <w:b/>
          <w:bCs/>
          <w:color w:val="176A87"/>
          <w:sz w:val="15"/>
          <w:szCs w:val="15"/>
        </w:rPr>
        <w:t xml:space="preserve">   Prospective cohort</w:t>
      </w:r>
      <w:r>
        <w:rPr>
          <w:color w:val="5A6069"/>
          <w:sz w:val="15"/>
          <w:szCs w:val="15"/>
        </w:rPr>
        <w:t xml:space="preserve">   PMID 2571019</w:t>
      </w:r>
    </w:p>
    <w:p>
      <w:pPr>
        <w:spacing w:after="50" w:line="276"/>
      </w:pPr>
      <w:r>
        <w:rPr>
          <w:color w:val="5A6069"/>
          <w:sz w:val="17"/>
          <w:szCs w:val="17"/>
        </w:rPr>
        <w:t xml:space="preserve">Upper gastrointestinal cancer in patients with familial adenomatous polyposis.</w:t>
      </w:r>
    </w:p>
    <w:p>
      <w:pPr>
        <w:spacing w:after="50"/>
      </w:pPr>
      <w:r>
        <w:rPr>
          <w:b/>
          <w:bCs/>
          <w:color w:val="176A87"/>
          <w:sz w:val="16"/>
          <w:szCs w:val="16"/>
        </w:rPr>
        <w:t xml:space="preserve">Population. </w:t>
      </w:r>
      <w:r>
        <w:rPr>
          <w:sz w:val="16"/>
          <w:szCs w:val="16"/>
        </w:rPr>
        <w:t xml:space="preserve">102 patients screened prospectively (69 families, 59 men, 43 women, mean age 41 years, range 14-66); retrospective series 94 patients with 163 endoscopies (61 families, mean age at first endoscopy 39 years, range 15-73), of whom 47 overlapped with the prospective study</w:t>
      </w:r>
    </w:p>
    <w:p>
      <w:pPr>
        <w:spacing w:after="70"/>
      </w:pPr>
      <w:r>
        <w:rPr>
          <w:b/>
          <w:bCs/>
          <w:color w:val="17365D"/>
          <w:sz w:val="16"/>
          <w:szCs w:val="16"/>
        </w:rPr>
        <w:t xml:space="preserve">Bottom line. </w:t>
      </w:r>
      <w:r>
        <w:rPr>
          <w:sz w:val="16"/>
          <w:szCs w:val="16"/>
        </w:rPr>
        <w:t xml:space="preserve">The paper that established that duodenal and periampullary adenomas are near-universal in FAP, concentrate on the papilla, and have displaced colorectal cancer as a cause of death - and that introduced the Spigelman stage still used to set surveillance intervals; but the score was constructed by expert judgement from a single cross-sectional screening round with no cancer outcomes, has never been formally validated, and conspicuously omits the ampulla that the same paper identified as the highest-risk site.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note that the retrospective series yielded fewer polyps with fewer biopsies and attribute between-centre variation in reported prevalence (28% to 100%) to the same technical differences</w:t>
            </w:r>
          </w:p>
          <w:p>
            <w:pPr>
              <w:pStyle w:val="ListParagraph"/>
              <w:numPr>
                <w:ilvl w:val="0"/>
                <w:numId w:val="2"/>
              </w:numPr>
              <w:spacing w:after="45"/>
            </w:pPr>
            <w:r>
              <w:rPr>
                <w:sz w:val="15"/>
                <w:szCs w:val="15"/>
              </w:rPr>
              <w:t xml:space="preserve">They state that upper gastrointestinal cancer develops slowly in FAP, with a median interval of 22 years after colectomy in a cited series of 37 patients, so natural history was not observed in this study</w:t>
            </w:r>
          </w:p>
          <w:p>
            <w:pPr>
              <w:pStyle w:val="ListParagraph"/>
              <w:numPr>
                <w:ilvl w:val="0"/>
                <w:numId w:val="2"/>
              </w:numPr>
              <w:spacing w:after="45"/>
            </w:pPr>
            <w:r>
              <w:rPr>
                <w:sz w:val="15"/>
                <w:szCs w:val="15"/>
              </w:rPr>
              <w:t xml:space="preserve">They acknowledge that the natural history of these polyps is largely unknown, which is why the mortality of prophylactic pancreatoduodenectomy must be weighed against it, and that endoscopic removal is often impractical while photodynamic therapy and vitamin C chemoprevention are unproven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STAGING SYSTEM THAT THIS LITERATURE STILL USES WAS NEVER VALIDATED HERE. It was devised from a single cross-sectional screening round, with the four components and their cut-points assigned by the authors on the basis of 'known adenoma/cancer risk factors' rather than derived from or tested against any cancer outcome. No patient in this paper developed duodenal cancer during the study, so the association between stage IV and malignancy is asserted, not measured - and the four subsequent decades have never produced a formal validation, as the Mavani paper in this depot notes</w:t>
            </w:r>
          </w:p>
          <w:p>
            <w:pPr>
              <w:pStyle w:val="ListParagraph"/>
              <w:numPr>
                <w:ilvl w:val="0"/>
                <w:numId w:val="2"/>
              </w:numPr>
              <w:spacing w:after="45"/>
            </w:pPr>
            <w:r>
              <w:rPr>
                <w:sz w:val="15"/>
                <w:szCs w:val="15"/>
              </w:rPr>
              <w:t xml:space="preserve">The score has no weighting rationale: polyp number, size, histology and dysplasia each contribute 1-3 points as though equally important, and the stage boundaries (0, 1-4, 5-6, 7-8, 9-12) are arbitrary breaks in a 4-12 point range. Later work in this depot shows large polyp size rather than polyp number carries the cancer risk, and that the score omits the papilla entirely despite this very paper showing that is where the disease concentrates</w:t>
            </w:r>
          </w:p>
          <w:p>
            <w:pPr>
              <w:pStyle w:val="ListParagraph"/>
              <w:numPr>
                <w:ilvl w:val="0"/>
                <w:numId w:val="2"/>
              </w:numPr>
              <w:spacing w:after="45"/>
            </w:pPr>
            <w:r>
              <w:rPr>
                <w:sz w:val="15"/>
                <w:szCs w:val="15"/>
              </w:rPr>
              <w:t xml:space="preserve">The paper's own strongest finding - that the papilla is twice as likely to be adenomatous as the surrounding duodenum and that periampullary biopsy found adenoma in 11 patients with an otherwise normal duodenum - is not incorporated into the score that the paper proposes, an internal inconsistency that took until the 2019 ESGE guideline to correct</w:t>
            </w:r>
          </w:p>
          <w:p>
            <w:pPr>
              <w:pStyle w:val="ListParagraph"/>
              <w:numPr>
                <w:ilvl w:val="0"/>
                <w:numId w:val="2"/>
              </w:numPr>
              <w:spacing w:after="45"/>
            </w:pPr>
            <w:r>
              <w:rPr>
                <w:sz w:val="15"/>
                <w:szCs w:val="15"/>
              </w:rPr>
              <w:t xml:space="preserve">Because the score requires histology for two of its four components, it mandates biopsy of duodenal polyps and the papilla; ampullary biopsy is now known to cause pancreatitis and to produce fibrosis that compromises later endoscopic resection, so the system creates a harm that current guidelines explicitly try to avoid</w:t>
            </w:r>
          </w:p>
          <w:p>
            <w:pPr>
              <w:pStyle w:val="ListParagraph"/>
              <w:numPr>
                <w:ilvl w:val="0"/>
                <w:numId w:val="2"/>
              </w:numPr>
              <w:spacing w:after="45"/>
            </w:pPr>
            <w:r>
              <w:rPr>
                <w:sz w:val="15"/>
                <w:szCs w:val="15"/>
              </w:rPr>
              <w:t xml:space="preserve">47 of the 102 prospective patients also contribute to the retrospective series, so the prospective-versus-retrospective yield comparison is a within-patient comparison of two eras presented alongside a between-series comparison, and the 190-540% increases conflate better instruments, a single experienced endoscopist, and more biopsies without separating them</w:t>
            </w:r>
          </w:p>
          <w:p>
            <w:pPr>
              <w:pStyle w:val="ListParagraph"/>
              <w:numPr>
                <w:ilvl w:val="0"/>
                <w:numId w:val="2"/>
              </w:numPr>
              <w:spacing w:after="45"/>
            </w:pPr>
            <w:r>
              <w:rPr>
                <w:sz w:val="15"/>
                <w:szCs w:val="15"/>
              </w:rPr>
              <w:t xml:space="preserve">Everything is cross-sectional: 'stage IV occurred more often in the elderly' is a prevalence observation across ages, not progression, and cannot distinguish disease progression from cohort effects or ascertainment</w:t>
            </w:r>
          </w:p>
          <w:p>
            <w:pPr>
              <w:pStyle w:val="ListParagraph"/>
              <w:numPr>
                <w:ilvl w:val="0"/>
                <w:numId w:val="2"/>
              </w:numPr>
              <w:spacing w:after="45"/>
            </w:pPr>
            <w:r>
              <w:rPr>
                <w:sz w:val="15"/>
                <w:szCs w:val="15"/>
              </w:rPr>
              <w:t xml:space="preserve">No interobserver or intraobserver reproducibility data for polyp counting, size estimation or dysplasia grading, the four inputs to the score. Two of the ongoing studies the Soons review lists, three decades later, are still trying to establish exactly this</w:t>
            </w:r>
          </w:p>
          <w:p>
            <w:pPr>
              <w:pStyle w:val="ListParagraph"/>
              <w:numPr>
                <w:ilvl w:val="0"/>
                <w:numId w:val="2"/>
              </w:numPr>
              <w:spacing w:after="45"/>
            </w:pPr>
            <w:r>
              <w:rPr>
                <w:sz w:val="15"/>
                <w:szCs w:val="15"/>
              </w:rPr>
              <w:t xml:space="preserve">The mortality comparison used to motivate the programme (9 upper GI versus 4 rectal cancer deaths) comes from a separate 1948-1987 cohort of 197 patients with no denominators by follow-up time and no competing-risk accounting, in an era when colectomy practice and rectal surveillance differed entirely from the screened population</w:t>
            </w:r>
          </w:p>
          <w:p>
            <w:pPr>
              <w:pStyle w:val="ListParagraph"/>
              <w:numPr>
                <w:ilvl w:val="0"/>
                <w:numId w:val="2"/>
              </w:numPr>
              <w:spacing w:after="45"/>
            </w:pPr>
            <w:r>
              <w:rPr>
                <w:sz w:val="15"/>
                <w:szCs w:val="15"/>
              </w:rPr>
              <w:t xml:space="preserve">The bile-exposure hypothesis for the distal duodenal and periampullary distribution is offered with experimental and epidemiological citations but no measurement in these patients, and the search for a bile tumour promoter it launched has not succeeded</w:t>
            </w:r>
          </w:p>
          <w:p>
            <w:pPr>
              <w:pStyle w:val="ListParagraph"/>
              <w:numPr>
                <w:ilvl w:val="0"/>
                <w:numId w:val="2"/>
              </w:numPr>
              <w:spacing w:after="45"/>
            </w:pPr>
            <w:r>
              <w:rPr>
                <w:sz w:val="15"/>
                <w:szCs w:val="15"/>
              </w:rPr>
              <w:t xml:space="preserve">The surveillance intervals recommended (3 years for mild/moderate, at least yearly for stage IV) are stated without any analysis of interval cancers, cost or patient burden, and remain substantially the intervals in use today</w:t>
            </w:r>
          </w:p>
          <w:p>
            <w:pPr>
              <w:pStyle w:val="ListParagraph"/>
              <w:numPr>
                <w:ilvl w:val="0"/>
                <w:numId w:val="2"/>
              </w:numPr>
              <w:spacing w:after="45"/>
            </w:pPr>
            <w:r>
              <w:rPr>
                <w:sz w:val="15"/>
                <w:szCs w:val="15"/>
              </w:rPr>
              <w:t xml:space="preserve">The text extraction for this paper is incomplete and damaged: the 'Severity of duodenal polyposis' table - which carried the number of patients per stage and the mean polyp measurements - renders as an empty stub, and the file continues into an unrelated Lancet article on cell-surface peptidases, so the per-stage distribution beyond the 11 stage IV patients cannot be verified from this source</w:t>
            </w:r>
          </w:p>
        </w:tc>
      </w:tr>
    </w:tbl>
    <w:p>
      <w:pPr>
        <w:spacing w:after="0" w:line="276"/>
      </w:pPr>
      <w:r>
        <w:rPr>
          <w:color w:val="5A6069"/>
          <w:sz w:val="14"/>
          <w:szCs w:val="14"/>
        </w:rPr>
        <w:t xml:space="preserve">Funding: ADS supported by the St Mark's Research Foundation; the Imperial Cancer Research Fund enabled purchase of the side-viewing video-endoscope for the St Mark's endoscopy unit</w:t>
      </w:r>
    </w:p>
    <w:p>
      <w:pPr>
        <w:keepNext/>
        <w:spacing w:after="50" w:before="260"/>
      </w:pPr>
      <w:r>
        <w:rPr>
          <w:rFonts w:ascii="Cambria" w:cs="Cambria" w:eastAsia="Cambria" w:hAnsi="Cambria"/>
          <w:b/>
          <w:bCs/>
          <w:color w:val="17365D"/>
          <w:sz w:val="20"/>
          <w:szCs w:val="20"/>
        </w:rPr>
        <w:t xml:space="preserve">Wire-guided papillectomy RCT</w:t>
      </w:r>
      <w:r>
        <w:rPr>
          <w:b/>
          <w:bCs/>
          <w:color w:val="176A87"/>
          <w:sz w:val="15"/>
          <w:szCs w:val="15"/>
        </w:rPr>
        <w:t xml:space="preserve">   Randomised trial</w:t>
      </w:r>
      <w:r>
        <w:rPr>
          <w:color w:val="5A6069"/>
          <w:sz w:val="15"/>
          <w:szCs w:val="15"/>
        </w:rPr>
        <w:t xml:space="preserve">   PMID 26479271</w:t>
      </w:r>
    </w:p>
    <w:p>
      <w:pPr>
        <w:spacing w:after="50" w:line="276"/>
      </w:pPr>
      <w:r>
        <w:rPr>
          <w:color w:val="5A6069"/>
          <w:sz w:val="17"/>
          <w:szCs w:val="17"/>
        </w:rPr>
        <w:t xml:space="preserve">Endoscopic wire-guided papillectomy versus conventional papillectomy for ampullary tumors: a prospective comparative pilot study.</w:t>
      </w:r>
    </w:p>
    <w:p>
      <w:pPr>
        <w:spacing w:after="50"/>
      </w:pPr>
      <w:r>
        <w:rPr>
          <w:b/>
          <w:bCs/>
          <w:color w:val="176A87"/>
          <w:sz w:val="16"/>
          <w:szCs w:val="16"/>
        </w:rPr>
        <w:t xml:space="preserve">Population. </w:t>
      </w:r>
      <w:r>
        <w:rPr>
          <w:sz w:val="16"/>
          <w:szCs w:val="16"/>
        </w:rPr>
        <w:t xml:space="preserve">48 patients referred, 45 randomised and analysed (22 wire-guided, 23 conventional); median age 56 years (range 32-76); procedures by seven expert endoscopists each performing more than 300 ERCPs per year with more than 30 prior papillectomies</w:t>
      </w:r>
    </w:p>
    <w:p>
      <w:pPr>
        <w:spacing w:after="70"/>
      </w:pPr>
      <w:r>
        <w:rPr>
          <w:b/>
          <w:bCs/>
          <w:color w:val="17365D"/>
          <w:sz w:val="16"/>
          <w:szCs w:val="16"/>
        </w:rPr>
        <w:t xml:space="preserve">Bottom line. </w:t>
      </w:r>
      <w:r>
        <w:rPr>
          <w:sz w:val="16"/>
          <w:szCs w:val="16"/>
        </w:rPr>
        <w:t xml:space="preserve">Wire-guided papillectomy makes prophylactic pancreatic stenting almost always achievable (100% vs 65%) but did not reduce post-papillectomy pancreatitis (18% vs 13%) in this underpowered pilot; its most quoted finding - no pancreatitis when a stent went in versus 37.5% when it failed - is a post-randomisation comparison confounded by procedural difficulty.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size: this was explicitly a pilot study with no prospective power calculation, and an adequately powered study is needed to compare pancreatitis rates between the two methods</w:t>
            </w:r>
          </w:p>
          <w:p>
            <w:pPr>
              <w:pStyle w:val="ListParagraph"/>
              <w:numPr>
                <w:ilvl w:val="0"/>
                <w:numId w:val="2"/>
              </w:numPr>
              <w:spacing w:after="45"/>
            </w:pPr>
            <w:r>
              <w:rPr>
                <w:sz w:val="15"/>
                <w:szCs w:val="15"/>
              </w:rPr>
              <w:t xml:space="preserve">Risk factors for post-procedural pancreatitis were not investigated and may have confounded the results</w:t>
            </w:r>
          </w:p>
          <w:p>
            <w:pPr>
              <w:pStyle w:val="ListParagraph"/>
              <w:numPr>
                <w:ilvl w:val="0"/>
                <w:numId w:val="2"/>
              </w:numPr>
              <w:spacing w:after="45"/>
            </w:pPr>
            <w:r>
              <w:rPr>
                <w:sz w:val="15"/>
                <w:szCs w:val="15"/>
              </w:rPr>
              <w:t xml:space="preserve">The authors state they cannot conclude that recurrence was higher in the conventional group because that group included three patients with cancer whereas the wire-guided group had none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pilot study with no power calculation and 7 events across 45 patients cannot exclude a clinically important difference in either direction; reporting p = 0.960 for the primary endpoint without a confidence interval around the 5-point difference presents imprecision as equivalence</w:t>
            </w:r>
          </w:p>
          <w:p>
            <w:pPr>
              <w:pStyle w:val="ListParagraph"/>
              <w:numPr>
                <w:ilvl w:val="0"/>
                <w:numId w:val="2"/>
              </w:numPr>
              <w:spacing w:after="45"/>
            </w:pPr>
            <w:r>
              <w:rPr>
                <w:sz w:val="15"/>
                <w:szCs w:val="15"/>
              </w:rPr>
              <w:t xml:space="preserve">The one statistically significant clinical finding - 37.5% versus 0% pancreatitis with failed versus successful stenting inside the conventional arm - is a post-randomisation subgroup comparison between patients who differ precisely by whether the anatomy and bleeding allowed a stent, i.e. by procedural difficulty. It is quoted in later guidelines as supporting prophylactic stenting but is observational and confounded by the difficulty that caused the failure</w:t>
            </w:r>
          </w:p>
          <w:p>
            <w:pPr>
              <w:pStyle w:val="ListParagraph"/>
              <w:numPr>
                <w:ilvl w:val="0"/>
                <w:numId w:val="2"/>
              </w:numPr>
              <w:spacing w:after="45"/>
            </w:pPr>
            <w:r>
              <w:rPr>
                <w:sz w:val="15"/>
                <w:szCs w:val="15"/>
              </w:rPr>
              <w:t xml:space="preserve">The intervention is entangled with pancreatography: guidewire insertion deep into the duct prompted more pancreatograms (68% vs 42%) and longer guidewire dwell, which the authors propose as the reason the technique did not help. That makes the comparison one of two procedural packages, not of the wire technique in isolation</w:t>
            </w:r>
          </w:p>
          <w:p>
            <w:pPr>
              <w:pStyle w:val="ListParagraph"/>
              <w:numPr>
                <w:ilvl w:val="0"/>
                <w:numId w:val="2"/>
              </w:numPr>
              <w:spacing w:after="45"/>
            </w:pPr>
            <w:r>
              <w:rPr>
                <w:sz w:val="15"/>
                <w:szCs w:val="15"/>
              </w:rPr>
              <w:t xml:space="preserve">Randomisation was stratified by centre with seven operators across four hospitals and only 45 patients, so each operator contributed a handful of cases; no operator or centre effect is examined and the learning curve for a novel monorail technique is unaddressed</w:t>
            </w:r>
          </w:p>
          <w:p>
            <w:pPr>
              <w:pStyle w:val="ListParagraph"/>
              <w:numPr>
                <w:ilvl w:val="0"/>
                <w:numId w:val="2"/>
              </w:numPr>
              <w:spacing w:after="45"/>
            </w:pPr>
            <w:r>
              <w:rPr>
                <w:sz w:val="15"/>
                <w:szCs w:val="15"/>
              </w:rPr>
              <w:t xml:space="preserve">No blinding of operators or outcome assessors, and pancreatitis definitions were by consensus criteria but ascertainment depended on local practice at four centres</w:t>
            </w:r>
          </w:p>
          <w:p>
            <w:pPr>
              <w:pStyle w:val="ListParagraph"/>
              <w:numPr>
                <w:ilvl w:val="0"/>
                <w:numId w:val="2"/>
              </w:numPr>
              <w:spacing w:after="45"/>
            </w:pPr>
            <w:r>
              <w:rPr>
                <w:sz w:val="15"/>
                <w:szCs w:val="15"/>
              </w:rPr>
              <w:t xml:space="preserve">Three malignancies and two non-neoplastic lesions were resected despite exclusion criteria aiming to remove them, which means pre-procedure selection failed in 11% of cases and the two arms ended up with different disease mixes (3 malignant in conventional, 0 in wire-guided) - unbalancing both the recurrence and the resection-completeness comparisons</w:t>
            </w:r>
          </w:p>
          <w:p>
            <w:pPr>
              <w:pStyle w:val="ListParagraph"/>
              <w:numPr>
                <w:ilvl w:val="0"/>
                <w:numId w:val="2"/>
              </w:numPr>
              <w:spacing w:after="45"/>
            </w:pPr>
            <w:r>
              <w:rPr>
                <w:sz w:val="15"/>
                <w:szCs w:val="15"/>
              </w:rPr>
              <w:t xml:space="preserve">Complete resection was 91% versus 78% (p = 0.414), a 13-point difference that the paper treats as no difference; with 45 patients this analysis had essentially no power, so the technique's effect on the outcome that matters most is simply unknown</w:t>
            </w:r>
          </w:p>
          <w:p>
            <w:pPr>
              <w:pStyle w:val="ListParagraph"/>
              <w:numPr>
                <w:ilvl w:val="0"/>
                <w:numId w:val="2"/>
              </w:numPr>
              <w:spacing w:after="45"/>
            </w:pPr>
            <w:r>
              <w:rPr>
                <w:sz w:val="15"/>
                <w:szCs w:val="15"/>
              </w:rPr>
              <w:t xml:space="preserve">Follow-up was a median of about 13-14 months with a protocol of endoscopy at 1 week, 3, 6 and 12 months, far too short for the recurrence pattern described elsewhere in this depot (median time to recurrence 6 months but events out to nearly 10 years), so the zero recurrences in the wire-guided arm is uninformative</w:t>
            </w:r>
          </w:p>
          <w:p>
            <w:pPr>
              <w:pStyle w:val="ListParagraph"/>
              <w:numPr>
                <w:ilvl w:val="0"/>
                <w:numId w:val="2"/>
              </w:numPr>
              <w:spacing w:after="45"/>
            </w:pPr>
            <w:r>
              <w:rPr>
                <w:sz w:val="15"/>
                <w:szCs w:val="15"/>
              </w:rPr>
              <w:t xml:space="preserve">Severe bleeding requiring arterial embolisation occurred only in the wire-guided arm and perforation only in the wire-guided arm; with 1 event each these are uninterpretable, but they are not weighed against the stenting advantage in the conclusion</w:t>
            </w:r>
          </w:p>
        </w:tc>
      </w:tr>
    </w:tbl>
    <w:p>
      <w:pPr>
        <w:spacing w:after="0" w:line="276"/>
      </w:pPr>
      <w:r>
        <w:rPr>
          <w:color w:val="5A6069"/>
          <w:sz w:val="14"/>
          <w:szCs w:val="14"/>
        </w:rPr>
        <w:t xml:space="preserve">Funding: Not stated; all authors declare no conflicts of interest or financial ties</w:t>
      </w:r>
    </w:p>
    <w:p>
      <w:pPr>
        <w:keepNext/>
        <w:spacing w:after="50" w:before="260"/>
      </w:pPr>
      <w:r>
        <w:rPr>
          <w:rFonts w:ascii="Cambria" w:cs="Cambria" w:eastAsia="Cambria" w:hAnsi="Cambria"/>
          <w:b/>
          <w:bCs/>
          <w:color w:val="17365D"/>
          <w:sz w:val="20"/>
          <w:szCs w:val="20"/>
        </w:rPr>
        <w:t xml:space="preserve">Yachida 2017</w:t>
      </w:r>
      <w:r>
        <w:rPr>
          <w:b/>
          <w:bCs/>
          <w:color w:val="176A87"/>
          <w:sz w:val="15"/>
          <w:szCs w:val="15"/>
        </w:rPr>
        <w:t xml:space="preserve">   Retrospective cohort</w:t>
      </w:r>
      <w:r>
        <w:rPr>
          <w:color w:val="5A6069"/>
          <w:sz w:val="15"/>
          <w:szCs w:val="15"/>
        </w:rPr>
        <w:t xml:space="preserve">   PMID 27306941</w:t>
      </w:r>
    </w:p>
    <w:p>
      <w:pPr>
        <w:spacing w:after="50" w:line="276"/>
      </w:pPr>
      <w:r>
        <w:rPr>
          <w:color w:val="5A6069"/>
          <w:sz w:val="17"/>
          <w:szCs w:val="17"/>
        </w:rPr>
        <w:t xml:space="preserve">Characteristics and clinical outcomes of duodenal neoplasia in Japanese patients with familial adenomatous polyposis.</w:t>
      </w:r>
    </w:p>
    <w:p>
      <w:pPr>
        <w:spacing w:after="50"/>
      </w:pPr>
      <w:r>
        <w:rPr>
          <w:b/>
          <w:bCs/>
          <w:color w:val="176A87"/>
          <w:sz w:val="16"/>
          <w:szCs w:val="16"/>
        </w:rPr>
        <w:t xml:space="preserve">Population. </w:t>
      </w:r>
      <w:r>
        <w:rPr>
          <w:sz w:val="16"/>
          <w:szCs w:val="16"/>
        </w:rPr>
        <w:t xml:space="preserve">77 FAP patients (50 men, 27 women, mean age at first endoscopy 40 +/- 14 years); duodenal neoplasia in 51 (66%); 47 analysed for non-ampullary duodenal lesions after excluding 4 whose neoplasms were confined to the ampulla; median observation period 8.5 years (range 0-17) for the whole cohort and 10.0 years (0-17) for those with duodenal lesions</w:t>
      </w:r>
    </w:p>
    <w:p>
      <w:pPr>
        <w:spacing w:after="70"/>
      </w:pPr>
      <w:r>
        <w:rPr>
          <w:b/>
          <w:bCs/>
          <w:color w:val="17365D"/>
          <w:sz w:val="16"/>
          <w:szCs w:val="16"/>
        </w:rPr>
        <w:t xml:space="preserve">Bottom line. </w:t>
      </w:r>
      <w:r>
        <w:rPr>
          <w:sz w:val="16"/>
          <w:szCs w:val="16"/>
        </w:rPr>
        <w:t xml:space="preserve">In 77 Japanese FAP patients followed a median of 8.5 years with annual endoscopy and selective endoscopic resection, no one died of duodenal neoplasia and high-grade dysplasia arose only in Spigelman stage IV patients, which the authors read as supporting the classification; but the result rests on 4 or 5 events among 8 stage IV patients, only one invasive cancer occurred in the entire cohort, and unbiopsied small and ampullary lesions were scored at floor values - so stage assignment and outcome are not independent.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nature of the study</w:t>
            </w:r>
          </w:p>
          <w:p>
            <w:pPr>
              <w:pStyle w:val="ListParagraph"/>
              <w:numPr>
                <w:ilvl w:val="0"/>
                <w:numId w:val="2"/>
              </w:numPr>
              <w:spacing w:after="45"/>
            </w:pPr>
            <w:r>
              <w:rPr>
                <w:sz w:val="15"/>
                <w:szCs w:val="15"/>
              </w:rPr>
              <w:t xml:space="preserve">Disparities in surveillance duration between patients</w:t>
            </w:r>
          </w:p>
          <w:p>
            <w:pPr>
              <w:pStyle w:val="ListParagraph"/>
              <w:numPr>
                <w:ilvl w:val="0"/>
                <w:numId w:val="2"/>
              </w:numPr>
              <w:spacing w:after="45"/>
            </w:pPr>
            <w:r>
              <w:rPr>
                <w:sz w:val="15"/>
                <w:szCs w:val="15"/>
              </w:rPr>
              <w:t xml:space="preserve">Some selection bias because some FAP patients do not undergo surveillance oesophagogastroduodenoscopy</w:t>
            </w:r>
          </w:p>
          <w:p>
            <w:pPr>
              <w:pStyle w:val="ListParagraph"/>
              <w:numPr>
                <w:ilvl w:val="0"/>
                <w:numId w:val="2"/>
              </w:numPr>
              <w:spacing w:after="45"/>
            </w:pPr>
            <w:r>
              <w:rPr>
                <w:sz w:val="15"/>
                <w:szCs w:val="15"/>
              </w:rPr>
              <w:t xml:space="preserve">Lack of biopsies of tiny lesions, particularly those under 10 mm, prevented pathological assessment of those lesions</w:t>
            </w:r>
          </w:p>
          <w:p>
            <w:pPr>
              <w:pStyle w:val="ListParagraph"/>
              <w:numPr>
                <w:ilvl w:val="0"/>
                <w:numId w:val="2"/>
              </w:numPr>
              <w:spacing w:after="45"/>
            </w:pPr>
            <w:r>
              <w:rPr>
                <w:sz w:val="15"/>
                <w:szCs w:val="15"/>
              </w:rPr>
              <w:t xml:space="preserve">The observation period was not sufficiently long to analyse the natural history of duodenal adenomatosis in FAP</w:t>
            </w:r>
          </w:p>
          <w:p>
            <w:pPr>
              <w:pStyle w:val="ListParagraph"/>
              <w:numPr>
                <w:ilvl w:val="0"/>
                <w:numId w:val="2"/>
              </w:numPr>
              <w:spacing w:after="45"/>
            </w:pPr>
            <w:r>
              <w:rPr>
                <w:sz w:val="15"/>
                <w:szCs w:val="15"/>
              </w:rPr>
              <w:t xml:space="preserve">Genetic testing for APC is not covered by Japanese national health insurance and was performed only in research settings, so genotype-phenotype correlations could not be examined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quoted as validating the Spigelman classification, but 8 patients were stage IV and the entire validation rests on 4 or 5 high-grade dysplasia events among them. The two figures given (63% in the abstract and conclusions, 50% in the results and discussion) are never reconciled, so even the numerator of the headline result is uncertain</w:t>
            </w:r>
          </w:p>
          <w:p>
            <w:pPr>
              <w:pStyle w:val="ListParagraph"/>
              <w:numPr>
                <w:ilvl w:val="0"/>
                <w:numId w:val="2"/>
              </w:numPr>
              <w:spacing w:after="45"/>
            </w:pPr>
            <w:r>
              <w:rPr>
                <w:sz w:val="15"/>
                <w:szCs w:val="15"/>
              </w:rPr>
              <w:t xml:space="preserve">The outcome validated is high-grade dysplasia, not cancer. Only one invasive carcinoma occurred in the whole cohort and it was present at the first endoscopy, so the study observed essentially no incident duodenal cancer and cannot speak to cancer risk by stage - yet 'short-interval endoscopic surveillance and appropriate endoscopic resection may help prevent duodenal invasive carcinoma' is the stated conclusion</w:t>
            </w:r>
          </w:p>
          <w:p>
            <w:pPr>
              <w:pStyle w:val="ListParagraph"/>
              <w:numPr>
                <w:ilvl w:val="0"/>
                <w:numId w:val="2"/>
              </w:numPr>
              <w:spacing w:after="45"/>
            </w:pPr>
            <w:r>
              <w:rPr>
                <w:sz w:val="15"/>
                <w:szCs w:val="15"/>
              </w:rPr>
              <w:t xml:space="preserve">Spigelman stage is systematically underestimated by the study's own protocol: lesions under 10 mm were not biopsied, ampullary tumours under 10 mm were not biopsied at all, and patients without a biopsy were assigned the minimum dysplasia and histology score of 1 point each. Only 41 of 47 patients had any histology. Assigning floor values to unbiopsied patients shifts them towards stage 0-II and concentrates events in stage IV by construction - a circularity that inflates the apparent discrimination</w:t>
            </w:r>
          </w:p>
          <w:p>
            <w:pPr>
              <w:pStyle w:val="ListParagraph"/>
              <w:numPr>
                <w:ilvl w:val="0"/>
                <w:numId w:val="2"/>
              </w:numPr>
              <w:spacing w:after="45"/>
            </w:pPr>
            <w:r>
              <w:rPr>
                <w:sz w:val="15"/>
                <w:szCs w:val="15"/>
              </w:rPr>
              <w:t xml:space="preserve">The claim that no cancer occurred in stages I-III is uninterpretable when stage I had zero patients and the stage assignment for the stage 0 group (33 patients, 7 of whom later rose to stage II) was partly made by default scoring</w:t>
            </w:r>
          </w:p>
          <w:p>
            <w:pPr>
              <w:pStyle w:val="ListParagraph"/>
              <w:numPr>
                <w:ilvl w:val="0"/>
                <w:numId w:val="2"/>
              </w:numPr>
              <w:spacing w:after="45"/>
            </w:pPr>
            <w:r>
              <w:rPr>
                <w:sz w:val="15"/>
                <w:szCs w:val="15"/>
              </w:rPr>
              <w:t xml:space="preserve">The two stage IV patients who declined treatment and remained stable for 4-5 years are reported as reassuring, but 2 patients observed for 4 years in a disease with a reported 22-year interval to cancer carries no information about the safety of non-intervention</w:t>
            </w:r>
          </w:p>
          <w:p>
            <w:pPr>
              <w:pStyle w:val="ListParagraph"/>
              <w:numPr>
                <w:ilvl w:val="0"/>
                <w:numId w:val="2"/>
              </w:numPr>
              <w:spacing w:after="45"/>
            </w:pPr>
            <w:r>
              <w:rPr>
                <w:sz w:val="15"/>
                <w:szCs w:val="15"/>
              </w:rPr>
              <w:t xml:space="preserve">Treatment was not allocated by any rule: 9 patients had EMR 'because of their size, macroscopic type, or patient request' while 37 were observed, so the comparison between resected and observed patients is confounded by the same features that determine risk, and no analysis adjusts for it</w:t>
            </w:r>
          </w:p>
          <w:p>
            <w:pPr>
              <w:pStyle w:val="ListParagraph"/>
              <w:numPr>
                <w:ilvl w:val="0"/>
                <w:numId w:val="2"/>
              </w:numPr>
              <w:spacing w:after="45"/>
            </w:pPr>
            <w:r>
              <w:rPr>
                <w:sz w:val="15"/>
                <w:szCs w:val="15"/>
              </w:rPr>
              <w:t xml:space="preserve">Zero local relapse after EMR in 9 patients is presented as durability, but the companion literature in this depot reports recurrence after duodenal EMR in FAP of 22-100%; with 9 patients and 16 lesions this cohort had no power to detect that</w:t>
            </w:r>
          </w:p>
          <w:p>
            <w:pPr>
              <w:pStyle w:val="ListParagraph"/>
              <w:numPr>
                <w:ilvl w:val="0"/>
                <w:numId w:val="2"/>
              </w:numPr>
              <w:spacing w:after="45"/>
            </w:pPr>
            <w:r>
              <w:rPr>
                <w:sz w:val="15"/>
                <w:szCs w:val="15"/>
              </w:rPr>
              <w:t xml:space="preserve">Follow-up is heterogeneous by design (range 0-17 years, 1-40 endoscopies, some patients examined once) and no person-time denominators, cumulative incidence curves or confidence intervals appear anywhere, so every proportion in the paper is a crude count over an undefined observation period</w:t>
            </w:r>
          </w:p>
          <w:p>
            <w:pPr>
              <w:pStyle w:val="ListParagraph"/>
              <w:numPr>
                <w:ilvl w:val="0"/>
                <w:numId w:val="2"/>
              </w:numPr>
              <w:spacing w:after="45"/>
            </w:pPr>
            <w:r>
              <w:rPr>
                <w:sz w:val="15"/>
                <w:szCs w:val="15"/>
              </w:rPr>
              <w:t xml:space="preserve">The exclusion of the 4 ampulla-only patients and the protocol decision not to biopsy small ampullary tumours removes the highest-risk site in FAP from a study about duodenal cancer prevention - the opposite of the direction European guidelines took two years later - and 36% of the analysed patients had coexisting ampullary tumours that were never characterised</w:t>
            </w:r>
          </w:p>
          <w:p>
            <w:pPr>
              <w:pStyle w:val="ListParagraph"/>
              <w:numPr>
                <w:ilvl w:val="0"/>
                <w:numId w:val="2"/>
              </w:numPr>
              <w:spacing w:after="45"/>
            </w:pPr>
            <w:r>
              <w:rPr>
                <w:sz w:val="15"/>
                <w:szCs w:val="15"/>
              </w:rPr>
              <w:t xml:space="preserve">Selection into the cohort was through a national cancer centre where 84% had already had colectomy and 73% had a known family history, so this is a referred, surveillance-adherent population; the 66% duodenal neoplasia prevalence and the absence of deaths cannot be generalised to FAP patients who are not under specialist follow-up, as the authors partly concede</w:t>
            </w:r>
          </w:p>
          <w:p>
            <w:pPr>
              <w:pStyle w:val="ListParagraph"/>
              <w:numPr>
                <w:ilvl w:val="0"/>
                <w:numId w:val="2"/>
              </w:numPr>
              <w:spacing w:after="45"/>
            </w:pPr>
            <w:r>
              <w:rPr>
                <w:sz w:val="15"/>
                <w:szCs w:val="15"/>
              </w:rPr>
              <w:t xml:space="preserve">Histology was converted between Japanese and Western criteria, with Japanese non-invasive carcinoma recoded as high-grade dysplasia; the primary endpoint is therefore a translated category, and no agreement data between the two pathologists are given</w:t>
            </w:r>
          </w:p>
          <w:p>
            <w:pPr>
              <w:pStyle w:val="ListParagraph"/>
              <w:numPr>
                <w:ilvl w:val="0"/>
                <w:numId w:val="2"/>
              </w:numPr>
              <w:spacing w:after="45"/>
            </w:pPr>
            <w:r>
              <w:rPr>
                <w:sz w:val="15"/>
                <w:szCs w:val="15"/>
              </w:rPr>
              <w:t xml:space="preserve">The statement that no relationship was found between duodenal carcinoma incidence and surveillance interval is made with one carcinoma in the cohort</w:t>
            </w:r>
          </w:p>
        </w:tc>
      </w:tr>
    </w:tbl>
    <w:p>
      <w:pPr>
        <w:spacing w:after="0" w:line="276"/>
      </w:pPr>
      <w:r>
        <w:rPr>
          <w:color w:val="5A6069"/>
          <w:sz w:val="14"/>
          <w:szCs w:val="14"/>
        </w:rPr>
        <w:t xml:space="preserve">Funding: Not stated; the authors declare they have nothing to disclose</w:t>
      </w:r>
    </w:p>
    <w:p>
      <w:pPr>
        <w:keepNext/>
        <w:spacing w:after="50" w:before="260"/>
      </w:pPr>
      <w:r>
        <w:rPr>
          <w:rFonts w:ascii="Cambria" w:cs="Cambria" w:eastAsia="Cambria" w:hAnsi="Cambria"/>
          <w:b/>
          <w:bCs/>
          <w:color w:val="17365D"/>
          <w:sz w:val="20"/>
          <w:szCs w:val="20"/>
        </w:rPr>
        <w:t xml:space="preserve">Yoon 2022</w:t>
      </w:r>
      <w:r>
        <w:rPr>
          <w:b/>
          <w:bCs/>
          <w:color w:val="176A87"/>
          <w:sz w:val="15"/>
          <w:szCs w:val="15"/>
        </w:rPr>
        <w:t xml:space="preserve">   Retrospective cohort</w:t>
      </w:r>
      <w:r>
        <w:rPr>
          <w:color w:val="5A6069"/>
          <w:sz w:val="15"/>
          <w:szCs w:val="15"/>
        </w:rPr>
        <w:t xml:space="preserve">   PMID 36587061</w:t>
      </w:r>
    </w:p>
    <w:p>
      <w:pPr>
        <w:spacing w:after="50" w:line="276"/>
      </w:pPr>
      <w:r>
        <w:rPr>
          <w:color w:val="5A6069"/>
          <w:sz w:val="17"/>
          <w:szCs w:val="17"/>
        </w:rPr>
        <w:t xml:space="preserve">Long-term outcomes of endoscopic papillectomy for ampullary adenoma with high-grade dysplasia or adenocarcinoma: a propensity score-matched analysis.</w:t>
      </w:r>
    </w:p>
    <w:p>
      <w:pPr>
        <w:spacing w:after="50"/>
      </w:pPr>
      <w:r>
        <w:rPr>
          <w:b/>
          <w:bCs/>
          <w:color w:val="176A87"/>
          <w:sz w:val="16"/>
          <w:szCs w:val="16"/>
        </w:rPr>
        <w:t xml:space="preserve">Population. </w:t>
      </w:r>
      <w:r>
        <w:rPr>
          <w:sz w:val="16"/>
          <w:szCs w:val="16"/>
        </w:rPr>
        <w:t xml:space="preserve">127 patients with high-grade dysplasia or adenocarcinoma after endoscopic papillectomy (94 papillectomy alone, 33 subsequent surgery) drawn from 485 papillectomies within a cohort of 1607 ampullary tumour patients; matched cohort 55 (22 papillectomy alone, 33 surgery); median follow-up 43.3 months</w:t>
      </w:r>
    </w:p>
    <w:p>
      <w:pPr>
        <w:spacing w:after="70"/>
      </w:pPr>
      <w:r>
        <w:rPr>
          <w:b/>
          <w:bCs/>
          <w:color w:val="17365D"/>
          <w:sz w:val="16"/>
          <w:szCs w:val="16"/>
        </w:rPr>
        <w:t xml:space="preserve">Bottom line. </w:t>
      </w:r>
      <w:r>
        <w:rPr>
          <w:sz w:val="16"/>
          <w:szCs w:val="16"/>
        </w:rPr>
        <w:t xml:space="preserve">In a Korean multicentre cohort, patients whose papillectomy specimen showed high-grade dysplasia or adenocarcinoma had similar overall survival whether or not they went on to radical surgery, and margin status - particularly both margins positive - identified those who did badly; but the recurrence-free survival difference favoured surgery at p = 0.052 in only 55 matched patients, T stage is never reported, and allocation was driven by the same variables used for matching.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which the authors argue is mitigated by propensity score matching that successfully balanced baseline features</w:t>
            </w:r>
          </w:p>
          <w:p>
            <w:pPr>
              <w:pStyle w:val="ListParagraph"/>
              <w:numPr>
                <w:ilvl w:val="0"/>
                <w:numId w:val="2"/>
              </w:numPr>
              <w:spacing w:after="45"/>
            </w:pPr>
            <w:r>
              <w:rPr>
                <w:sz w:val="15"/>
                <w:szCs w:val="15"/>
              </w:rPr>
              <w:t xml:space="preserve">The authors state a prospective study is ethically difficult, especially in adenocarcinoma, because patients would have to accept the risk of missing an opportunity for radical resection</w:t>
            </w:r>
          </w:p>
          <w:p>
            <w:pPr>
              <w:pStyle w:val="ListParagraph"/>
              <w:numPr>
                <w:ilvl w:val="0"/>
                <w:numId w:val="2"/>
              </w:numPr>
              <w:spacing w:after="45"/>
            </w:pPr>
            <w:r>
              <w:rPr>
                <w:sz w:val="15"/>
                <w:szCs w:val="15"/>
              </w:rPr>
              <w:t xml:space="preserve">The low incidence of advanced ampullary adenoma makes an adequately powered single-centre study impossible, which is why a multicentre national cohort was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that papillectomy alone is non-inferior rests on a 55-patient matched comparison in which recurrence-free survival was 66.1% versus 86.7% with p = 0.052. A 20-point absolute difference that misses significance in a tiny sample is not evidence of equivalence, and the subgroup with cancer shows the same pattern (61.4% vs 82.6%, p = 0.066). The paper presents two near-misses in the same direction as reassurance</w:t>
            </w:r>
          </w:p>
          <w:p>
            <w:pPr>
              <w:pStyle w:val="ListParagraph"/>
              <w:numPr>
                <w:ilvl w:val="0"/>
                <w:numId w:val="2"/>
              </w:numPr>
              <w:spacing w:after="45"/>
            </w:pPr>
            <w:r>
              <w:rPr>
                <w:sz w:val="15"/>
                <w:szCs w:val="15"/>
              </w:rPr>
              <w:t xml:space="preserve">Matching discarded 72 of 94 papillectomy-alone patients to find 22 matches for 33 surgical patients - a 1:n nearest-neighbour match within 0.05 that inverted the usual ratio and left the smaller arm as the exposure of interest. Post-matching the groups still differed on adenocarcinoma proportion (63.6% vs 75.8%) and the paper reports no standardised mean differences or balance diagnostics</w:t>
            </w:r>
          </w:p>
          <w:p>
            <w:pPr>
              <w:pStyle w:val="ListParagraph"/>
              <w:numPr>
                <w:ilvl w:val="0"/>
                <w:numId w:val="2"/>
              </w:numPr>
              <w:spacing w:after="45"/>
            </w:pPr>
            <w:r>
              <w:rPr>
                <w:sz w:val="15"/>
                <w:szCs w:val="15"/>
              </w:rPr>
              <w:t xml:space="preserve">Treatment allocation was by the treating physician on exactly the variables that predict outcome - margin positivity and adenocarcinoma - and matching on those variables cannot remove the unmeasured clinical judgement (frailty, comorbidity, patient refusal) that also drove the decision. Patients who were too unwell for surgery are pooled with patients deliberately surveilled</w:t>
            </w:r>
          </w:p>
          <w:p>
            <w:pPr>
              <w:pStyle w:val="ListParagraph"/>
              <w:numPr>
                <w:ilvl w:val="0"/>
                <w:numId w:val="2"/>
              </w:numPr>
              <w:spacing w:after="45"/>
            </w:pPr>
            <w:r>
              <w:rPr>
                <w:sz w:val="15"/>
                <w:szCs w:val="15"/>
              </w:rPr>
              <w:t xml:space="preserve">Immortal time bias is unaddressed: the surgery group had to survive and remain fit for up to 3 months after papillectomy to enter that arm, while the papillectomy-alone arm includes anyone who did not, which biases overall survival in favour of surgery and against the paper's own conclusion - yet no landmark analysis is performed</w:t>
            </w:r>
          </w:p>
          <w:p>
            <w:pPr>
              <w:pStyle w:val="ListParagraph"/>
              <w:numPr>
                <w:ilvl w:val="0"/>
                <w:numId w:val="2"/>
              </w:numPr>
              <w:spacing w:after="45"/>
            </w:pPr>
            <w:r>
              <w:rPr>
                <w:sz w:val="15"/>
                <w:szCs w:val="15"/>
              </w:rPr>
              <w:t xml:space="preserve">T stage is never reported. In a cohort where a quarter to three-quarters of patients have adenocarcinoma, the absence of any T1a/T1b distinction makes the result uninterpretable, since T1b carries a substantially higher nodal metastasis risk and the whole clinical question turns on that split</w:t>
            </w:r>
          </w:p>
          <w:p>
            <w:pPr>
              <w:pStyle w:val="ListParagraph"/>
              <w:numPr>
                <w:ilvl w:val="0"/>
                <w:numId w:val="2"/>
              </w:numPr>
              <w:spacing w:after="45"/>
            </w:pPr>
            <w:r>
              <w:rPr>
                <w:sz w:val="15"/>
                <w:szCs w:val="15"/>
              </w:rPr>
              <w:t xml:space="preserve">Nodal status is unknown for the papillectomy-alone arm by definition (no lymphadenectomy), so comparing survival against a surgically staged arm compares groups with different information, and 'recurrence' in the unstaged arm depends entirely on how diligently CT and endoscopy were performed</w:t>
            </w:r>
          </w:p>
          <w:p>
            <w:pPr>
              <w:pStyle w:val="ListParagraph"/>
              <w:numPr>
                <w:ilvl w:val="0"/>
                <w:numId w:val="2"/>
              </w:numPr>
              <w:spacing w:after="45"/>
            </w:pPr>
            <w:r>
              <w:rPr>
                <w:sz w:val="15"/>
                <w:szCs w:val="15"/>
              </w:rPr>
              <w:t xml:space="preserve">Surveillance after the index inspection was left to each institution's policy, with only a floor of endoscopy twice yearly and CT annually across 9 hospitals, so recurrence ascertainment is non-uniform between arms and centres</w:t>
            </w:r>
          </w:p>
          <w:p>
            <w:pPr>
              <w:pStyle w:val="ListParagraph"/>
              <w:numPr>
                <w:ilvl w:val="0"/>
                <w:numId w:val="2"/>
              </w:numPr>
              <w:spacing w:after="45"/>
            </w:pPr>
            <w:r>
              <w:rPr>
                <w:sz w:val="15"/>
                <w:szCs w:val="15"/>
              </w:rPr>
              <w:t xml:space="preserve">Margin information was missing for 10 of 33 surgical patients and the margin categories include 'positive without further information' (8 surgery, 1 papillectomy) and 'uncertain' (5 papillectomy) - so the margin analysis that generates the paper's actionable recommendation is built on an incompletely classified variable</w:t>
            </w:r>
          </w:p>
          <w:p>
            <w:pPr>
              <w:pStyle w:val="ListParagraph"/>
              <w:numPr>
                <w:ilvl w:val="0"/>
                <w:numId w:val="2"/>
              </w:numPr>
              <w:spacing w:after="45"/>
            </w:pPr>
            <w:r>
              <w:rPr>
                <w:sz w:val="15"/>
                <w:szCs w:val="15"/>
              </w:rPr>
              <w:t xml:space="preserve">The margin-survival analysis is a within-arm comparison across four categories in 94 patients, reported only as log-rank p values with no hazard ratios, no adjustment for histology or tumour size, and no correction for multiple comparisons across four margin groups and two endpoints</w:t>
            </w:r>
          </w:p>
          <w:p>
            <w:pPr>
              <w:pStyle w:val="ListParagraph"/>
              <w:numPr>
                <w:ilvl w:val="0"/>
                <w:numId w:val="2"/>
              </w:numPr>
              <w:spacing w:after="45"/>
            </w:pPr>
            <w:r>
              <w:rPr>
                <w:sz w:val="15"/>
                <w:szCs w:val="15"/>
              </w:rPr>
              <w:t xml:space="preserve">The diagnostic concordance table, which is the paper's most robust contribution, is drawn from 485 papillectomies but the survival analysis uses only 127 of them; the two parts of the paper therefore describe different populations and the concordance figures cannot be used to characterise the survival cohort</w:t>
            </w:r>
          </w:p>
          <w:p>
            <w:pPr>
              <w:pStyle w:val="ListParagraph"/>
              <w:numPr>
                <w:ilvl w:val="0"/>
                <w:numId w:val="2"/>
              </w:numPr>
              <w:spacing w:after="45"/>
            </w:pPr>
            <w:r>
              <w:rPr>
                <w:sz w:val="15"/>
                <w:szCs w:val="15"/>
              </w:rPr>
              <w:t xml:space="preserve">Median follow-up 43.3 months is used to report 5-year survival, so the headline estimates are extrapolations beyond the observed data in both arms</w:t>
            </w:r>
          </w:p>
        </w:tc>
      </w:tr>
    </w:tbl>
    <w:p>
      <w:pPr>
        <w:spacing w:after="0" w:line="276"/>
      </w:pPr>
      <w:r>
        <w:rPr>
          <w:color w:val="5A6069"/>
          <w:sz w:val="14"/>
          <w:szCs w:val="14"/>
        </w:rPr>
        <w:t xml:space="preserve">Funding: A grant from the Korean Society of Gastrointestinal Cancer Research (2021); authors declare no conflict of interest or financial ties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ABC-02 — Valle J, Wasan H, Palmer DH, et al. Cisplatin plus gemcitabine versus gemcitabine for biliary tract cancer. N Engl J Med. 2010;362(14):1273-81. doi:10.1056/NEJMoa0908721. PMID:20375404.</w:t>
      </w:r>
    </w:p>
    <w:p>
      <w:pPr>
        <w:pStyle w:val="ListParagraph"/>
        <w:numPr>
          <w:ilvl w:val="0"/>
          <w:numId w:val="2"/>
        </w:numPr>
        <w:spacing w:after="60" w:line="268"/>
      </w:pPr>
      <w:r>
        <w:rPr>
          <w:color w:val="15181F"/>
          <w:sz w:val="16"/>
          <w:szCs w:val="16"/>
        </w:rPr>
        <w:t xml:space="preserve">AJCC 8th edition — Amin MB, Edge SB, Greene FL, et al., editors. AJCC Cancer Staging Manual. 8th edition. Springer International Publishing, 2017. Ampulla of Vater T, N, M definitions, prognostic groups and histologic grade, as reproduced </w:t>
      </w:r>
    </w:p>
    <w:p>
      <w:pPr>
        <w:pStyle w:val="ListParagraph"/>
        <w:numPr>
          <w:ilvl w:val="0"/>
          <w:numId w:val="2"/>
        </w:numPr>
        <w:spacing w:after="60" w:line="268"/>
      </w:pPr>
      <w:r>
        <w:rPr>
          <w:color w:val="15181F"/>
          <w:sz w:val="16"/>
          <w:szCs w:val="16"/>
        </w:rPr>
        <w:t xml:space="preserve">Ampullary NET operation — Baptiste GG, Postlewait LM, Ethun CG, et al. Is there an optimal surgical approach to neuroendocrine tumors of the ampulla? A single institution experience over 15 years. Am Surg. 2016;82(7):637-43. PMID:27457864.</w:t>
      </w:r>
    </w:p>
    <w:p>
      <w:pPr>
        <w:pStyle w:val="ListParagraph"/>
        <w:numPr>
          <w:ilvl w:val="0"/>
          <w:numId w:val="2"/>
        </w:numPr>
        <w:spacing w:after="60" w:line="268"/>
      </w:pPr>
      <w:r>
        <w:rPr>
          <w:color w:val="15181F"/>
          <w:sz w:val="16"/>
          <w:szCs w:val="16"/>
        </w:rPr>
        <w:t xml:space="preserve">BILCAP — Primrose JN, Fox RP, Palmer DH, et al. Capecitabine compared with observation in resected biliary tract cancer (BILCAP): a randomised, controlled, multicentre, phase 3 study. Lancet Oncol. 2019;20(5):663-673. doi:10.1016</w:t>
      </w:r>
    </w:p>
    <w:p>
      <w:pPr>
        <w:pStyle w:val="ListParagraph"/>
        <w:numPr>
          <w:ilvl w:val="0"/>
          <w:numId w:val="2"/>
        </w:numPr>
        <w:spacing w:after="60" w:line="268"/>
      </w:pPr>
      <w:r>
        <w:rPr>
          <w:color w:val="15181F"/>
          <w:sz w:val="16"/>
          <w:szCs w:val="16"/>
        </w:rPr>
        <w:t xml:space="preserve">CAP ampulla protocol — College of American Pathologists. Cancer Protocol Template for carcinoma of the Ampulla of Vater. The source of the 1 mm positive-margin definition and of the minimum data set that NCCN abbreviates; PERIPAN recommends ei</w:t>
      </w:r>
    </w:p>
    <w:p>
      <w:pPr>
        <w:pStyle w:val="ListParagraph"/>
        <w:numPr>
          <w:ilvl w:val="0"/>
          <w:numId w:val="2"/>
        </w:numPr>
        <w:spacing w:after="60" w:line="268"/>
      </w:pPr>
      <w:r>
        <w:rPr>
          <w:color w:val="15181F"/>
          <w:sz w:val="16"/>
          <w:szCs w:val="16"/>
        </w:rPr>
        <w:t xml:space="preserve">IDUS plus transpapillary biopsy — Heinzow HS, Lenz P, Lallier S, Lenze F, Domagk D, Domschke W, Meister T. Ampulla of Vater tumors: impact of intraductal ultrasound and transpapillary endoscopic biopsies on diagnostic accuracy and therapy. Acta Gastroent</w:t>
      </w:r>
    </w:p>
    <w:p>
      <w:pPr>
        <w:pStyle w:val="ListParagraph"/>
        <w:numPr>
          <w:ilvl w:val="0"/>
          <w:numId w:val="2"/>
        </w:numPr>
        <w:spacing w:after="60" w:line="268"/>
      </w:pPr>
      <w:r>
        <w:rPr>
          <w:color w:val="15181F"/>
          <w:sz w:val="16"/>
          <w:szCs w:val="16"/>
        </w:rPr>
        <w:t xml:space="preserve">Kim 2013 — Kim HN, Kim KM, Shin JU, et al. Prediction of carcinoma after resection in subjects with ampullary adenomas on endoscopic biopsy. J Clin Gastroenterol. 2013;47(4):346-51. doi:10.1097/MCG.0b013e318272f2ef. PMID:23442830.</w:t>
      </w:r>
    </w:p>
    <w:p>
      <w:pPr>
        <w:pStyle w:val="ListParagraph"/>
        <w:numPr>
          <w:ilvl w:val="0"/>
          <w:numId w:val="2"/>
        </w:numPr>
        <w:spacing w:after="60" w:line="268"/>
      </w:pPr>
      <w:r>
        <w:rPr>
          <w:color w:val="15181F"/>
          <w:sz w:val="16"/>
          <w:szCs w:val="16"/>
        </w:rPr>
        <w:t xml:space="preserve">NCCN Ampullary Adenocarcinoma — National Comprehensive Cancer Network. Ampullary Adenocarcinoma. NCCN Clinical Practice Guidelines in Oncology. Programme-supplied machine-converted extraction, consulted 6 October 2026; the extraction carries no version</w:t>
      </w:r>
    </w:p>
    <w:p>
      <w:pPr>
        <w:pStyle w:val="ListParagraph"/>
        <w:numPr>
          <w:ilvl w:val="0"/>
          <w:numId w:val="2"/>
        </w:numPr>
        <w:spacing w:after="60" w:line="268"/>
      </w:pPr>
      <w:r>
        <w:rPr>
          <w:color w:val="15181F"/>
          <w:sz w:val="16"/>
          <w:szCs w:val="16"/>
        </w:rPr>
        <w:t xml:space="preserve">NCCN Pancreatic Adenocarcinoma — National Comprehensive Cancer Network. Pancreatic Adenocarcinoma. NCCN Clinical Practice Guidelines in Oncology. Programme-supplied machine-converted extraction, consulted 6 October 2026; no version string in the extract</w:t>
      </w:r>
    </w:p>
    <w:p>
      <w:pPr>
        <w:pStyle w:val="ListParagraph"/>
        <w:numPr>
          <w:ilvl w:val="0"/>
          <w:numId w:val="2"/>
        </w:numPr>
        <w:spacing w:after="60" w:line="268"/>
      </w:pPr>
      <w:r>
        <w:rPr>
          <w:color w:val="15181F"/>
          <w:sz w:val="16"/>
          <w:szCs w:val="16"/>
        </w:rPr>
        <w:t xml:space="preserve">Node yield, NCDB — Resende V, Endo Y, Munir MM, et al. Prognostic value of nodal staging classification and number of examined lymph nodes among patients with ampullary cancer. J Gastrointest Surg. 2024;28(1):33-39. doi:10.1016/j.gassur.20</w:t>
      </w:r>
    </w:p>
    <w:p>
      <w:pPr>
        <w:pStyle w:val="ListParagraph"/>
        <w:numPr>
          <w:ilvl w:val="0"/>
          <w:numId w:val="2"/>
        </w:numPr>
        <w:spacing w:after="60" w:line="268"/>
      </w:pPr>
      <w:r>
        <w:rPr>
          <w:color w:val="15181F"/>
          <w:sz w:val="16"/>
          <w:szCs w:val="16"/>
        </w:rPr>
        <w:t xml:space="preserve">Peng 2019 — Peng CY, Lv Y, Shen SS, Wang L, Ding XW, Zou XP. The impact of endoscopic ultrasound in preoperative evaluation for ampullary adenomas. J Dig Dis. 2019;20(5):248-255. doi:10.1111/1751-2980.12719. PMID:30834717.</w:t>
      </w:r>
    </w:p>
    <w:p>
      <w:pPr>
        <w:pStyle w:val="ListParagraph"/>
        <w:numPr>
          <w:ilvl w:val="0"/>
          <w:numId w:val="2"/>
        </w:numPr>
        <w:spacing w:after="60" w:line="268"/>
      </w:pPr>
      <w:r>
        <w:rPr>
          <w:color w:val="15181F"/>
          <w:sz w:val="16"/>
          <w:szCs w:val="16"/>
        </w:rPr>
        <w:t xml:space="preserve">PERIPAN supplementary material — PERIPAN Consensus Guidelines, full document with all 38 consensus questions, 51 recommendations, evidence grading, comments and proposed actions, plus the PERIPAN pathology report template, published as supporting inform</w:t>
      </w:r>
    </w:p>
    <w:p>
      <w:pPr>
        <w:pStyle w:val="ListParagraph"/>
        <w:numPr>
          <w:ilvl w:val="0"/>
          <w:numId w:val="2"/>
        </w:numPr>
        <w:spacing w:after="60" w:line="268"/>
      </w:pPr>
      <w:r>
        <w:rPr>
          <w:color w:val="15181F"/>
          <w:sz w:val="16"/>
          <w:szCs w:val="16"/>
        </w:rPr>
        <w:t xml:space="preserve">WHO 5th edition — WHO Classification of Tumours Editorial Board. Digestive System Tumours. WHO Classification of Tumours, 5th edition. IARC, 2019. The classification that PERIPAN refines and extends — PERIPAN adds medullary, micropapillar</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Wang, Jie; Bo, Xiaobo; Lu, Pinxiang; et al. Potential therapeutic value of primary tumor resection in ampullary cancer patients with distant metastases at initial diagnosis: a population-based study. Cancer management and research. 2018; 11:217-228. </w:t>
      </w:r>
      <w:hyperlink r:id="rId13">
        <w:r>
          <w:rPr>
            <w:color w:val="0563C1"/>
            <w:u w:val="single"/>
          </w:rPr>
          <w:t>Source</w:t>
        </w:r>
      </w:hyperlink>
      <w:r>
        <w:t xml:space="preserve"> | Local PDF not available in this update</w:t>
      </w:r>
    </w:p>
    <w:p>
      <w:pPr>
        <w:pStyle w:val="Normal"/>
        <w:widowControl/>
        <w:spacing w:after="120"/>
      </w:pPr>
      <w:r>
        <w:t xml:space="preserve"/>
      </w:r>
      <w:r>
        <w:t xml:space="preserve">[V16-2] Suurmeijer, J Annelie; Pranger, Bobby K; Seelen, Leonard W F; et al. Survival impact of involvement of lymph node stations 16b1, 9, and 8a during pancreatoduodenectomy for pancreatic and periampullary cancers (PANODE): prospective multicentre study. BJS open. 2026; 10(5). </w:t>
      </w:r>
      <w:hyperlink r:id="rId14">
        <w:r>
          <w:rPr>
            <w:color w:val="0563C1"/>
            <w:u w:val="single"/>
          </w:rPr>
          <w:t>Source</w:t>
        </w:r>
      </w:hyperlink>
      <w:r>
        <w:t xml:space="preserve"> | Local PDF not available in this update</w:t>
      </w:r>
    </w:p>
    <w:p>
      <w:pPr>
        <w:pStyle w:val="Normal"/>
        <w:widowControl/>
        <w:spacing w:after="120"/>
      </w:pPr>
      <w:r>
        <w:t xml:space="preserve"/>
      </w:r>
      <w:r>
        <w:t xml:space="preserve">[V16-3] Saedon, Mahmud; Maroulis, Ioannis; Brooks, Adam; et al. Metastasectomy of pancreatic and periampullary adenocarcinoma to solid organ: The current evidence. Journal of B.U.ON. : official journal of the Balkan Union of Oncology. 2018; 23(6):1648-1654. </w:t>
      </w:r>
      <w:hyperlink r:id="rId15">
        <w:r>
          <w:rPr>
            <w:color w:val="0563C1"/>
            <w:u w:val="single"/>
          </w:rPr>
          <w:t>Source</w:t>
        </w:r>
      </w:hyperlink>
      <w:r>
        <w:t xml:space="preserve"> | Local PDF not available in this update</w:t>
      </w:r>
    </w:p>
    <w:p>
      <w:pPr>
        <w:pStyle w:val="Normal"/>
        <w:widowControl/>
        <w:spacing w:after="120"/>
      </w:pPr>
      <w:r>
        <w:t xml:space="preserve"/>
      </w:r>
      <w:r>
        <w:t xml:space="preserve">[V16-4] Chiorean, E Gabriela; Chiaro, Marco Del; Tempero, Margaret A; et al. Ampullary Adenocarcinoma, Version 1.2023, NCCN Clinical Practice Guidelines in Oncology. Journal of the National Comprehensive Cancer Network : JNCCN. 2023; 21(7):753-782. </w:t>
      </w:r>
      <w:hyperlink r:id="rId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AMP-R1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2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Ampullary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2147/CMAR.S182312" TargetMode="External"/><Relationship Id="rId10" Type="http://schemas.openxmlformats.org/officeDocument/2006/relationships/hyperlink" Target="https://doi.org/10.1093/bjsopen/zrag157" TargetMode="External"/><Relationship Id="rId11" Type="http://schemas.openxmlformats.org/officeDocument/2006/relationships/hyperlink" Target="https://pubmed.ncbi.nlm.nih.gov/30610789/" TargetMode="External"/><Relationship Id="rId12" Type="http://schemas.openxmlformats.org/officeDocument/2006/relationships/hyperlink" Target="https://doi.org/10.6004/jnccn.2023.0034" TargetMode="External"/><Relationship Id="rId13" Type="http://schemas.openxmlformats.org/officeDocument/2006/relationships/hyperlink" Target="https://doi.org/10.2147/CMAR.S182312" TargetMode="External"/><Relationship Id="rId14" Type="http://schemas.openxmlformats.org/officeDocument/2006/relationships/hyperlink" Target="https://doi.org/10.1093/bjsopen/zrag157" TargetMode="External"/><Relationship Id="rId15" Type="http://schemas.openxmlformats.org/officeDocument/2006/relationships/hyperlink" Target="https://pubmed.ncbi.nlm.nih.gov/30610789/" TargetMode="External"/><Relationship Id="rId16" Type="http://schemas.openxmlformats.org/officeDocument/2006/relationships/hyperlink" Target="https://doi.org/10.6004/jnccn.2023.003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Ampullary system roadmap v0.2</dc:title>
  <dc:subject>Ampullary tumours</dc:subject>
  <dc:creator>Memorial Hermann / UTHealth Houston tumour roadmap programme</dc:creator>
  <dc:description>Draft under development. Not ratified clinical policy.</dc:description>
  <cp:lastModifiedBy>Un-named</cp:lastModifiedBy>
  <cp:revision>1</cp:revision>
  <dcterms:created xsi:type="dcterms:W3CDTF">2026-10-10T04:29:20.198Z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