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 Memorial Hermann — Colorectal liver metastases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CRLM_4_Standard_Pathway_Questions.docx. Decision discussion for all settings: CRLM_7_Decision_Discussion.docx. Web page: https://drliuhao.github.io/mh-liver-pathways/transplant/crlm/</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CRLM is not a standardized diagnosis in OPTN Policy 9.5. The December 2025 guidance supports NLRB consideration only when all specified oncologic, molecular, timing, resection, imaging, chemotherapy, stability, lesion-size, and CEA criteria are met. Recommended score: MMaT-20, with a floor of 15 under Policy 9.4.E.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Extension requests should be submitted every 3 months with CT or MRI of chest/abdomen/pelvis, CEA &lt;80 µg/L, no hepatic progression, and no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TRANSPLANTATION FOR UNRESECTABLE COLORECTAL LIVER METASTASES</w:t>
      </w:r>
    </w:p>
    <w:p>
      <w:pPr>
        <w:pStyle w:val="Heading3"/>
        <w:keepNext/>
        <w:widowControl/>
      </w:pPr>
      <w:r>
        <w:t xml:space="preserve">1. Purpose and Scope</w:t>
      </w:r>
    </w:p>
    <w:p>
      <w:pPr>
        <w:pStyle w:val="Normal"/>
        <w:widowControl/>
      </w:pPr>
      <w:r>
        <w:t xml:space="preserve">This protocol establishes a guidance-aligned institutional pathway for liver transplantation in patients with permanently unresectable colorectal cancer liver metastases at UTHealth Houston. It incorporates the December 2025 NLRB guidance and supporting evidence from the TransMet trial, SECA-II, IHPBA LT-CoMet 21 consensus, and AASLD/AST guidance.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2. Patient Selection — Inclusion Criteria</w:t>
      </w:r>
    </w:p>
    <w:p>
      <w:pPr>
        <w:pStyle w:val="Heading3"/>
        <w:keepNext/>
        <w:widowControl/>
      </w:pPr>
      <w:r>
        <w:t xml:space="preserve">2.1 General Requirements</w:t>
      </w:r>
    </w:p>
    <w:p>
      <w:pPr>
        <w:pStyle w:val="Normal"/>
        <w:widowControl/>
        <w:numPr>
          <w:ilvl w:val="0"/>
          <w:numId w:val="3"/>
        </w:numPr>
      </w:pPr>
      <w:r>
        <w:t xml:space="preserve">Age 18–65 years</w:t>
      </w:r>
    </w:p>
    <w:p>
      <w:pPr>
        <w:pStyle w:val="Normal"/>
        <w:widowControl/>
        <w:numPr>
          <w:ilvl w:val="0"/>
          <w:numId w:val="3"/>
        </w:numPr>
      </w:pPr>
      <w:r>
        <w:t xml:space="preserve">ECOG performance status 0–1</w:t>
      </w:r>
    </w:p>
    <w:p>
      <w:pPr>
        <w:pStyle w:val="Normal"/>
        <w:widowControl/>
        <w:numPr>
          <w:ilvl w:val="0"/>
          <w:numId w:val="3"/>
        </w:numPr>
      </w:pPr>
      <w:r>
        <w:t xml:space="preserve">Histologically confirmed colorectal adenocarcinoma with liver metastases</w:t>
      </w:r>
    </w:p>
    <w:p>
      <w:pPr>
        <w:pStyle w:val="Normal"/>
        <w:widowControl/>
        <w:numPr>
          <w:ilvl w:val="0"/>
          <w:numId w:val="3"/>
        </w:numPr>
      </w:pPr>
      <w:r>
        <w:t xml:space="preserve">Metastatic disease permanently unresectable as determined by multidisciplinary tumor board (hepatobiliary surgery, transplant surgery, medical oncology, interventional radiology, diagnostic radiology)</w:t>
      </w:r>
    </w:p>
    <w:p>
      <w:pPr>
        <w:pStyle w:val="Normal"/>
        <w:widowControl/>
        <w:numPr>
          <w:ilvl w:val="0"/>
          <w:numId w:val="3"/>
        </w:numPr>
      </w:pPr>
      <w:r>
        <w:t xml:space="preserve">No general contraindications to liver transplantation</w:t>
      </w:r>
    </w:p>
    <w:p>
      <w:pPr>
        <w:pStyle w:val="Normal"/>
        <w:widowControl/>
        <w:numPr>
          <w:ilvl w:val="0"/>
          <w:numId w:val="3"/>
        </w:numPr>
      </w:pPr>
      <w:r>
        <w:t xml:space="preserve">Adequate psychosocial support and ability to comply with post-transplant medical regimen</w:t>
      </w:r>
    </w:p>
    <w:p>
      <w:pPr>
        <w:pStyle w:val="Heading3"/>
        <w:keepNext/>
        <w:widowControl/>
      </w:pPr>
      <w:r>
        <w:t xml:space="preserve">2.2 Oncologic Requirements</w:t>
      </w:r>
    </w:p>
    <w:p>
      <w:pPr>
        <w:pStyle w:val="Normal"/>
        <w:widowControl/>
        <w:numPr>
          <w:ilvl w:val="0"/>
          <w:numId w:val="3"/>
        </w:numPr>
      </w:pPr>
      <w:r>
        <w:t xml:space="preserve">Primary colorectal tumor resected with negative margins (R0 resection)</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No local or regional recurrence of primary tumor</w:t>
      </w:r>
    </w:p>
    <w:p>
      <w:pPr>
        <w:pStyle w:val="Normal"/>
        <w:widowControl/>
        <w:numPr>
          <w:ilvl w:val="0"/>
          <w:numId w:val="3"/>
        </w:numPr>
      </w:pPr>
      <w:r>
        <w:t xml:space="preserve">No extrahepatic metastatic disease confirmed by PET-CT and cross-sectional imaging</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Disease confined to the liver</w:t>
      </w:r>
    </w:p>
    <w:p>
      <w:pPr>
        <w:pStyle w:val="Normal"/>
        <w:widowControl/>
        <w:numPr>
          <w:ilvl w:val="0"/>
          <w:numId w:val="3"/>
        </w:numPr>
      </w:pPr>
      <w:r>
        <w:t xml:space="preserve">Disappearing-lesion assessment: retain the original lesion map and review contemporary liver MRI, CT and PET where indicated. PET-negative or radiographically disappearing disease may remain viable, but this alone does not prove persistent unresectability or LT benefit. Separate residual suspicious disease, true radiographic NED with preserved function and irreversible treatment-related liver failure. Do not deliberately induce hepatic failure or stop effective therapy to produce measurable disease.</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Ni04XTwvRGlzcGxheVRleHQ+PHJlY29yZD48cmVjLW51bWJlcj44PC9yZWMtbnVtYmVyPjxmb3JlaWduLWtleXM+PGtleSBhcHA9IkVOIiBkYi1pZD0iNDFlMjcyZWYtMDAzNy01NDY5LTk3MzQtZGYwYTc2MjU3ZjUxIiB0aW1lc3RhbXA9IjE3OTMyODM2ODU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2LTldPC9EaXNwbGF5VGV4dD48cmVjb3JkPjxyZWMtbnVtYmVyPjk8L3JlYy1udW1iZXI+PGZvcmVpZ24ta2V5cz48a2V5IGFwcD0iRU4iIGRiLWlkPSI0MWUyNzJlZi0wMDM3LTU0NjktOTczNC1kZjBhNzYyNTdmNTEiIHRpbWVzdGFtcD0iMTc5MzI4MzY4NS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Ni0xMF08L0Rpc3BsYXlUZXh0PjxyZWNvcmQ+PHJlYy1udW1iZXI+MTA8L3JlYy1udW1iZXI+PGZvcmVpZ24ta2V5cz48a2V5IGFwcD0iRU4iIGRiLWlkPSI0MWUyNzJlZi0wMDM3LTU0NjktOTczNC1kZjBhNzYyNTdmNTEiIHRpbWVzdGFtcD0iMTc5MzI4MzY4NS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TransMet allowed stable or partially responding disease by RECIST for at least three months on no more than three chemotherapy lines; it did not require objective response in every patient. Current NLRB guidance separately requires at least six months of control. Keep study and allocation criteria distinct.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Observation interval: at least 12 months from diagnosis of liver metastases to the initial exception request, per the OPTN transplant-oncology guidance. Where an institutional bar is set more stringently than the trial or the guidance, state that it is an institutional restriction and record the reason; do not attribute it to the guidance or to the trial.</w:t>
      </w:r>
    </w:p>
    <w:p>
      <w:pPr>
        <w:pStyle w:val="Normal"/>
        <w:widowControl/>
        <w:numPr>
          <w:ilvl w:val="0"/>
          <w:numId w:val="3"/>
        </w:numPr>
      </w:pPr>
      <w:r>
        <w:t xml:space="preserve">≤3 lines of prior systemic chemotherapy</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Source-specific observation intervals: SECA-II Table 1 required at least one year from colorectal-cancer diagnosis to listing. The current NLRB liver-metastasis-diagnosis-to-initial-exception interval is a separate allocation requirement; use the verified allocation interval in Section 2.2 and do not attribute it to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2.3 Molecular and Histologic Requirements</w:t>
      </w:r>
    </w:p>
    <w:p>
      <w:pPr>
        <w:pStyle w:val="Normal"/>
        <w:widowControl/>
        <w:numPr>
          <w:ilvl w:val="0"/>
          <w:numId w:val="3"/>
        </w:numPr>
      </w:pPr>
      <w:r>
        <w:t xml:space="preserve">Guidance-aligned allocation requires BRAF wild type and microsatellite-stable disease. Do not treat a non-V600E BRAF mutation as an accepted exception within this standard pathway. KRAS mutation is a risk factor, not an automatic national exclusion. Molecular expansion belongs to a separate OPEN research decision.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Microsatellite stable (MSS) / proficient mismatch repair (pMMR)</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No undifferentiated adenocarcinoma or signet ring cell carcinoma histology</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2.4 Imaging and Biomarker Requirements</w:t>
      </w:r>
    </w:p>
    <w:p>
      <w:pPr>
        <w:pStyle w:val="Normal"/>
        <w:widowControl/>
        <w:numPr>
          <w:ilvl w:val="0"/>
          <w:numId w:val="3"/>
        </w:numPr>
      </w:pPr>
      <w:r>
        <w:t xml:space="preserve">No hepatic lesion &gt;10 cm before the start of treatment, as required by the December 2025 guidance.</w:t>
      </w:r>
    </w:p>
    <w:p>
      <w:pPr>
        <w:pStyle w:val="Normal"/>
        <w:widowControl/>
        <w:numPr>
          <w:ilvl w:val="0"/>
          <w:numId w:val="3"/>
        </w:numPr>
      </w:pPr>
      <w:r>
        <w:t xml:space="preserve">FDG PET-CT within 4 weeks of listing:</w:t>
      </w:r>
    </w:p>
    <w:p>
      <w:pPr>
        <w:pStyle w:val="Normal"/>
        <w:widowControl/>
        <w:numPr>
          <w:ilvl w:val="0"/>
          <w:numId w:val="3"/>
        </w:numPr>
      </w:pPr>
      <w:r>
        <w:t xml:space="preserve">PET-derived MTV and TLG are adjunctive prognostic measurements, not validated eligibility thresholds. Record technique and timing relative to chemotherapy. The Oslo analysis used a ROC-derived MTV threshold of 66.09 cm3 rounded to about 70 and TLG 238.8; other published thresholds must be source-labelled. PET negativity does not exclude viable cancer. Do not use MTV/TLG alone to activate, permanently exclude or mandate additional therapy.</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CEA gate: current guidance excludes an initial request with CEA &gt;80 µg/L and requires CEA &lt;80 for extension. Exactly 80 is a wording boundary requiring allocation clarification. OPEN local proposal uses &lt;80 ng/mL throughout for consistency; a falling value ≥80 does not satisfy that stricter proposal. Record assay/date and repeat unexpected values.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Largest liver lesion ≤5.5 cm (preferred; &gt;5.5 cm is a relative contraindication)</w:t>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Heading3"/>
        <w:keepNext/>
        <w:widowControl/>
      </w:pPr>
      <w:r>
        <w:t xml:space="preserve">3. Patient Selection — Exclusion Criteria</w:t>
      </w:r>
    </w:p>
    <w:p>
      <w:pPr>
        <w:pStyle w:val="Normal"/>
        <w:widowControl/>
        <w:numPr>
          <w:ilvl w:val="0"/>
          <w:numId w:val="3"/>
        </w:numPr>
      </w:pPr>
      <w:r>
        <w:t xml:space="preserve">Any extrahepatic metastatic disease (including peritoneal, pulmonary, or nodal disease)</w:t>
      </w:r>
    </w:p>
    <w:p>
      <w:pPr>
        <w:pStyle w:val="Normal"/>
        <w:widowControl/>
        <w:numPr>
          <w:ilvl w:val="0"/>
          <w:numId w:val="3"/>
        </w:numPr>
      </w:pPr>
      <w:r>
        <w:t xml:space="preserve">Disease progression on most recent chemotherapy regimen</w:t>
      </w:r>
    </w:p>
    <w:p>
      <w:pPr>
        <w:pStyle w:val="Normal"/>
        <w:widowControl/>
        <w:numPr>
          <w:ilvl w:val="0"/>
          <w:numId w:val="3"/>
        </w:numPr>
      </w:pPr>
      <w:r>
        <w:t xml:space="preserve">Any BRAF mutation is outside the current guidance-aligned BRAF-wild-type route. Non-V600E alterations require a separate OPEN research/exception discussion; this restriction does not prove universal clinical futility.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dMMR/MSI-H tumors (these patients should be considered for immunotherapy-based approaches)</w:t>
      </w:r>
    </w:p>
    <w:p>
      <w:pPr>
        <w:pStyle w:val="Normal"/>
        <w:widowControl/>
        <w:numPr>
          <w:ilvl w:val="0"/>
          <w:numId w:val="3"/>
        </w:numPr>
      </w:pPr>
      <w:r>
        <w:t xml:space="preserve">Undifferentiated or signet ring cell histology</w:t>
      </w:r>
    </w:p>
    <w:p>
      <w:pPr>
        <w:pStyle w:val="Normal"/>
        <w:widowControl/>
        <w:numPr>
          <w:ilvl w:val="0"/>
          <w:numId w:val="3"/>
        </w:numPr>
      </w:pPr>
      <w:r>
        <w:t xml:space="preserve">Prior extrahepatic metastases or local recurrence, even if treated</w:t>
      </w:r>
    </w:p>
    <w:p>
      <w:pPr>
        <w:pStyle w:val="Normal"/>
        <w:widowControl/>
        <w:numPr>
          <w:ilvl w:val="0"/>
          <w:numId w:val="3"/>
        </w:numPr>
      </w:pPr>
      <w:r>
        <w:t xml:space="preserve">Active alcohol or substance abuse</w:t>
      </w:r>
    </w:p>
    <w:p>
      <w:pPr>
        <w:pStyle w:val="Normal"/>
        <w:widowControl/>
        <w:numPr>
          <w:ilvl w:val="0"/>
          <w:numId w:val="3"/>
        </w:numPr>
      </w:pPr>
      <w:r>
        <w:t xml:space="preserve">Active uncontrolled infection</w:t>
      </w:r>
    </w:p>
    <w:p>
      <w:pPr>
        <w:pStyle w:val="Normal"/>
        <w:widowControl/>
        <w:numPr>
          <w:ilvl w:val="0"/>
          <w:numId w:val="3"/>
        </w:numPr>
      </w:pPr>
      <w:r>
        <w:t xml:space="preserve">Other malignancy within 5 years (excluding non-melanoma skin cancer, in situ cervical cancer)</w:t>
      </w:r>
    </w:p>
    <w:p>
      <w:pPr>
        <w:pStyle w:val="Normal"/>
        <w:widowControl/>
        <w:numPr>
          <w:ilvl w:val="0"/>
          <w:numId w:val="3"/>
        </w:numPr>
      </w:pPr>
      <w:r>
        <w:t xml:space="preserve">Pregnancy</w:t>
      </w:r>
    </w:p>
    <w:p>
      <w:pPr>
        <w:pStyle w:val="Normal"/>
        <w:widowControl/>
        <w:numPr>
          <w:ilvl w:val="0"/>
          <w:numId w:val="3"/>
        </w:numPr>
      </w:pPr>
      <w:r>
        <w:t xml:space="preserve">General contraindications to liver transplantation per institutional policy</w:t>
      </w:r>
    </w:p>
    <w:p>
      <w:pPr>
        <w:pStyle w:val="Heading3"/>
        <w:keepNext/>
        <w:widowControl/>
      </w:pPr>
      <w:r>
        <w:t xml:space="preserve">4. Pre-Transplant Evaluation</w:t>
      </w:r>
    </w:p>
    <w:p>
      <w:pPr>
        <w:pStyle w:val="Heading3"/>
        <w:keepNext/>
        <w:widowControl/>
      </w:pPr>
      <w:r>
        <w:t xml:space="preserve">4.1 Multidisciplinary Tumor Board Review</w:t>
      </w:r>
    </w:p>
    <w:p>
      <w:pPr>
        <w:pStyle w:val="Normal"/>
        <w:widowControl/>
      </w:pPr>
      <w:r>
        <w:t xml:space="preserve">All candidates must be reviewed and approved by a multidisciplinary tumor board including:</w:t>
      </w:r>
    </w:p>
    <w:p>
      <w:pPr>
        <w:pStyle w:val="Normal"/>
        <w:widowControl/>
        <w:numPr>
          <w:ilvl w:val="0"/>
          <w:numId w:val="3"/>
        </w:numPr>
      </w:pPr>
      <w:r>
        <w:t xml:space="preserve">Transplant hepatology</w:t>
      </w:r>
    </w:p>
    <w:p>
      <w:pPr>
        <w:pStyle w:val="Normal"/>
        <w:widowControl/>
        <w:numPr>
          <w:ilvl w:val="0"/>
          <w:numId w:val="3"/>
        </w:numPr>
      </w:pPr>
      <w:r>
        <w:t xml:space="preserve">Transplant surgery</w:t>
      </w:r>
    </w:p>
    <w:p>
      <w:pPr>
        <w:pStyle w:val="Normal"/>
        <w:widowControl/>
        <w:numPr>
          <w:ilvl w:val="0"/>
          <w:numId w:val="3"/>
        </w:numPr>
      </w:pPr>
      <w:r>
        <w:t xml:space="preserve">Hepatobiliary surgery</w:t>
      </w:r>
    </w:p>
    <w:p>
      <w:pPr>
        <w:pStyle w:val="Normal"/>
        <w:widowControl/>
        <w:numPr>
          <w:ilvl w:val="0"/>
          <w:numId w:val="3"/>
        </w:numPr>
      </w:pPr>
      <w:r>
        <w:t xml:space="preserve">Medical oncology (GI)</w:t>
      </w:r>
    </w:p>
    <w:p>
      <w:pPr>
        <w:pStyle w:val="Normal"/>
        <w:widowControl/>
        <w:numPr>
          <w:ilvl w:val="0"/>
          <w:numId w:val="3"/>
        </w:numPr>
      </w:pPr>
      <w:r>
        <w:t xml:space="preserve">Diagnostic radiology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Heading3"/>
        <w:keepNext/>
        <w:widowControl/>
      </w:pPr>
      <w:r>
        <w:t xml:space="preserve">4.2 Oncologic Workup</w:t>
      </w:r>
    </w:p>
    <w:p>
      <w:pPr>
        <w:pStyle w:val="Normal"/>
        <w:widowControl/>
        <w:numPr>
          <w:ilvl w:val="0"/>
          <w:numId w:val="3"/>
        </w:numPr>
      </w:pPr>
      <w:r>
        <w:t xml:space="preserve">Contrast-enhanced CT chest/abdomen/pelvis (within 4 weeks of listing)</w:t>
      </w:r>
    </w:p>
    <w:p>
      <w:pPr>
        <w:pStyle w:val="Normal"/>
        <w:widowControl/>
        <w:numPr>
          <w:ilvl w:val="0"/>
          <w:numId w:val="3"/>
        </w:numPr>
      </w:pPr>
      <w:r>
        <w:t xml:space="preserve">FDG PET-CT (within 4 weeks of listing)</w:t>
      </w:r>
    </w:p>
    <w:p>
      <w:pPr>
        <w:pStyle w:val="Normal"/>
        <w:widowControl/>
        <w:numPr>
          <w:ilvl w:val="0"/>
          <w:numId w:val="3"/>
        </w:numPr>
      </w:pPr>
      <w:r>
        <w:t xml:space="preserve">Liver MRI with hepatobiliary contrast agent</w:t>
      </w:r>
    </w:p>
    <w:p>
      <w:pPr>
        <w:pStyle w:val="Normal"/>
        <w:widowControl/>
        <w:numPr>
          <w:ilvl w:val="0"/>
          <w:numId w:val="3"/>
        </w:numPr>
      </w:pPr>
      <w:r>
        <w:t xml:space="preserve">Colonoscopy (within 12 months, confirming no local recurrence)</w:t>
      </w:r>
    </w:p>
    <w:p>
      <w:pPr>
        <w:pStyle w:val="Normal"/>
        <w:widowControl/>
        <w:numPr>
          <w:ilvl w:val="0"/>
          <w:numId w:val="3"/>
        </w:numPr>
      </w:pPr>
      <w:r>
        <w:t xml:space="preserve">CEA and CA 19-9 levels</w:t>
      </w:r>
    </w:p>
    <w:p>
      <w:pPr>
        <w:pStyle w:val="Normal"/>
        <w:widowControl/>
        <w:numPr>
          <w:ilvl w:val="0"/>
          <w:numId w:val="3"/>
        </w:numPr>
      </w:pPr>
      <w:r>
        <w:t xml:space="preserve">Comprehensive molecular profiling of tumor (RAS, BRAF, MSI/MMR status, HER2)</w:t>
      </w:r>
    </w:p>
    <w:p>
      <w:pPr>
        <w:pStyle w:val="Normal"/>
        <w:widowControl/>
        <w:numPr>
          <w:ilvl w:val="0"/>
          <w:numId w:val="3"/>
        </w:numPr>
      </w:pPr>
      <w:r>
        <w:t xml:space="preserve">Review of all prior pathology</w:t>
      </w:r>
    </w:p>
    <w:p>
      <w:pPr>
        <w:pStyle w:val="Heading3"/>
        <w:keepNext/>
        <w:widowControl/>
      </w:pPr>
      <w:r>
        <w:t xml:space="preserve">4.3 Standard Transplant Evaluation</w:t>
      </w:r>
    </w:p>
    <w:p>
      <w:pPr>
        <w:pStyle w:val="Normal"/>
        <w:widowControl/>
        <w:numPr>
          <w:ilvl w:val="0"/>
          <w:numId w:val="3"/>
        </w:numPr>
      </w:pPr>
      <w:r>
        <w:t xml:space="preserve">Per institutional liver transplant evaluation protocol (cardiac, pulmonary, renal, psychosocial, infectious disease screening, etc.)</w:t>
      </w:r>
    </w:p>
    <w:p>
      <w:pPr>
        <w:pStyle w:val="Heading3"/>
        <w:keepNext/>
        <w:widowControl/>
      </w:pPr>
      <w:r>
        <w:t xml:space="preserve">5. Waitlist Management</w:t>
      </w:r>
    </w:p>
    <w:p>
      <w:pPr>
        <w:pStyle w:val="Normal"/>
        <w:widowControl/>
        <w:numPr>
          <w:ilvl w:val="0"/>
          <w:numId w:val="3"/>
        </w:numPr>
      </w:pPr>
      <w:r>
        <w:t xml:space="preserve">Submit a non-standard NLRB request. The December 2025 guidance recommends MMaT-20; if that is below 15, Policy 9.4.E sets the exception score to 15. Approval is not automatic.</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Restaging every 8–12 weeks with:</w:t>
      </w:r>
    </w:p>
    <w:p>
      <w:pPr>
        <w:pStyle w:val="Normal"/>
        <w:widowControl/>
        <w:numPr>
          <w:ilvl w:val="0"/>
          <w:numId w:val="3"/>
        </w:numPr>
      </w:pPr>
      <w:r>
        <w:t xml:space="preserve">CT chest/abdomen/pelvis</w:t>
      </w:r>
    </w:p>
    <w:p>
      <w:pPr>
        <w:pStyle w:val="Normal"/>
        <w:widowControl/>
        <w:numPr>
          <w:ilvl w:val="0"/>
          <w:numId w:val="3"/>
        </w:numPr>
      </w:pPr>
      <w:r>
        <w:t xml:space="preserve">CEA levels</w:t>
      </w:r>
    </w:p>
    <w:p>
      <w:pPr>
        <w:pStyle w:val="Normal"/>
        <w:widowControl/>
        <w:numPr>
          <w:ilvl w:val="0"/>
          <w:numId w:val="3"/>
        </w:numPr>
      </w:pPr>
      <w:r>
        <w:t xml:space="preserve">PET-CT every 3–6 months while listed</w:t>
      </w:r>
    </w:p>
    <w:p>
      <w:pPr>
        <w:pStyle w:val="Normal"/>
        <w:widowControl/>
        <w:numPr>
          <w:ilvl w:val="0"/>
          <w:numId w:val="3"/>
        </w:numPr>
      </w:pPr>
      <w:r>
        <w:t xml:space="preserve">Continue an individualized bridging plan while listed, with agent-specific perioperative washout, toxicity recovery and repeat staging approved by oncology, transplant surgery and pharmacy. TransMet aimed to perform LT within 2 months of the last chemotherapy cycle; this trial implementation interval is not a universal validated exclusion threshold or an allocation guarantee.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 new extrahepatic lesion, local primary recurrence, hepatic progression, concerning CEA or molecular/pathology change is HOLD pending multidisciplinary confirmation and current guidance review. Apply verified guidance exclusions separately. An isolated rise beyond an observational PET/lesion prognostic threshold is not, by itself, an evidence-based permanent exclusion. Reassess true progression, technical options, biological control and allocation eligibility explicitly.</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YtMTVdPC9EaXNwbGF5VGV4dD48cmVjb3JkPjxyZWMtbnVtYmVyPjE1PC9yZWMtbnVtYmVyPjxmb3JlaWduLWtleXM+PGtleSBhcHA9IkVOIiBkYi1pZD0iNDFlMjcyZWYtMDAzNy01NDY5LTk3MzQtZGYwYTc2MjU3ZjUxIiB0aW1lc3RhbXA9IjE3OTMyODM2ODU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HOLD for confirmed hepatic progression or a new lesion and obtain renewed oncology, HPB/transplant and allocation review. Report standard RECIST separately from the NLRB-specific growth wording. Reactivation is not automatic after two scans: re-establish all current guidance criteria, including the applicable continuous six-month disease-control interval, with no extrahepatic disease and persistent unresectability. The separate time-since-CRLM-diagnosis requirement is not the biological-control clock. Any salvage/re-entry proposal remains OPEN for explicit committee and allocation adjudication.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Every removal and every reactivation is recorded with its category and the supporting evidence.</w:t>
      </w:r>
    </w:p>
    <w:p>
      <w:pPr>
        <w:pStyle w:val="Heading3"/>
        <w:widowControl/>
        <w:keepNext/>
      </w:pPr>
      <w: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4"/>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Y8L1JlY051bT48RGlzcGxheVRleHQ+W1YxNi0xNl08L0Rpc3BsYXlUZXh0PjxyZWNvcmQ+PHJlYy1udW1iZXI+MTY8L3JlYy1udW1iZXI+PGZvcmVpZ24ta2V5cz48a2V5IGFwcD0iRU4iIGRiLWlkPSI0MWUyNzJlZi0wMDM3LTU0NjktOTczNC1kZjBhNzYyNTdmNTEiIHRpbWVzdGFtcD0iMTc5MzI4MzY4NSI+MTY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88">
        <w:r>
          <w:rPr>
            <w:color w:val="0563C1"/>
            <w:u w:val="single"/>
          </w:rPr>
          <w:t>Source</w:t>
        </w:r>
      </w:hyperlink>
      <w:r>
        <w:t xml:space="preserve"> · </w:t>
      </w:r>
      <w:hyperlink r:id="rId89">
        <w:r>
          <w:rPr>
            <w:color w:val="0563C1"/>
            <w:u w:val="single"/>
          </w:rPr>
          <w:t>PDF</w:t>
        </w:r>
      </w:hyperlink>
    </w:p>
    <w:p>
      <w:pPr>
        <w:pStyle w:val="Heading4"/>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Tc8L1JlY051bT48RGlzcGxheVRleHQ+W1YxNi0xN108L0Rpc3BsYXlUZXh0PjxyZWNvcmQ+PHJlYy1udW1iZXI+MTc8L3JlYy1udW1iZXI+PGZvcmVpZ24ta2V5cz48a2V5IGFwcD0iRU4iIGRiLWlkPSI0MWUyNzJlZi0wMDM3LTU0NjktOTczNC1kZjBhNzYyNTdmNTEiIHRpbWVzdGFtcD0iMTc5MzI4MzY4NSI+MTc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90">
        <w:r>
          <w:rPr>
            <w:color w:val="0563C1"/>
            <w:u w:val="single"/>
          </w:rPr>
          <w:t>Source</w:t>
        </w:r>
      </w:hyperlink>
      <w:r>
        <w:t xml:space="preserve"> · </w:t>
      </w:r>
      <w:hyperlink r:id="rId91">
        <w:r>
          <w:rPr>
            <w:color w:val="0563C1"/>
            <w:u w:val="single"/>
          </w:rPr>
          <w:t>PDF</w:t>
        </w:r>
      </w:hyperlink>
    </w:p>
    <w:p>
      <w:pPr>
        <w:pStyle w:val="Heading4"/>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xODwvUmVjTnVtPjxEaXNwbGF5VGV4dD5bVjE2LTE4XTwvRGlzcGxheVRleHQ+PHJlY29yZD48cmVjLW51bWJlcj4xODwvcmVjLW51bWJlcj48Zm9yZWlnbi1rZXlzPjxrZXkgYXBwPSJFTiIgZGItaWQ9IjQxZTI3MmVmLTAwMzctNTQ2OS05NzM0LWRmMGE3NjI1N2Y1MSIgdGltZXN0YW1wPSIxNzkzMjgzNjg1Ij4xOD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92">
        <w:r>
          <w:rPr>
            <w:color w:val="0563C1"/>
            <w:u w:val="single"/>
          </w:rPr>
          <w:t>Source</w:t>
        </w:r>
      </w:hyperlink>
      <w:r>
        <w:t xml:space="preserve"> · </w:t>
      </w:r>
      <w:hyperlink r:id="rId93">
        <w:r>
          <w:rPr>
            <w:color w:val="0563C1"/>
            <w:u w:val="single"/>
          </w:rPr>
          <w:t>PDF</w:t>
        </w:r>
      </w:hyperlink>
    </w:p>
    <w:p>
      <w:pPr>
        <w:pStyle w:val="Normal"/>
        <w:widowControl/>
        <w:spacing w:after="120"/>
      </w:pPr>
      <w:r>
        <w:t xml:space="preserve">Treatment comparisons and detailed regimen evidence: </w:t>
      </w:r>
      <w:hyperlink r:id="rId87">
        <w:r>
          <w:rPr>
            <w:color w:val="0563C1"/>
            <w:u w:val="single"/>
          </w:rPr>
          <w:t>Cross-tumor systemic matrix</w:t>
        </w:r>
      </w:hyperlink>
    </w:p>
    <w:p>
      <w:pPr>
        <w:pStyle w:val="Heading3"/>
        <w:keepNext/>
        <w:widowControl/>
      </w:pPr>
      <w:r>
        <w:t xml:space="preserve">6. Surgical Procedure</w:t>
      </w:r>
    </w:p>
    <w:p>
      <w:pPr>
        <w:pStyle w:val="Normal"/>
        <w:widowControl/>
        <w:numPr>
          <w:ilvl w:val="0"/>
          <w:numId w:val="3"/>
        </w:numPr>
      </w:pPr>
      <w:r>
        <w:t xml:space="preserve">Whole cadaveric liver graft with conventional orthotopic transplantation technique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Complete abdominal exploration at laparotomy with frozen section of any suspicious lymph nodes</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If extrahepatic disease is identified at exploration, transplant is aborted</w:t>
      </w:r>
    </w:p>
    <w:p>
      <w:pPr>
        <w:pStyle w:val="Normal"/>
        <w:widowControl/>
        <w:numPr>
          <w:ilvl w:val="0"/>
          <w:numId w:val="3"/>
        </w:numPr>
      </w:pPr>
      <w:r>
        <w:t xml:space="preserve">At transplantation, explore the abdomen and assess suspicious deposits and regional/pedicle nodes with pathology, including frozen section when indicated; metastatic nodal or extrahepatic disease should halt the guidance-aligned oncologic transplant plan. The extent of any systematic portal lymphadenectomy requires a separately documented surgical protocol; it is not established as mandatory by TransMet or by an ASCO abstract.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Heading3"/>
        <w:keepNext/>
        <w:widowControl/>
      </w:pPr>
      <w:r>
        <w:t xml:space="preserve">7. Post-Transplant Immunosuppression</w:t>
      </w:r>
    </w:p>
    <w:p>
      <w:pPr>
        <w:pStyle w:val="Normal"/>
        <w:widowControl/>
      </w:pPr>
      <w:r>
        <w:t xml:space="preserve">Medication management — institutional LT and transplant-pharmacy protocol, not a copied trial prescription:</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Use the current signed institutional LT immunosuppression order set with transplant-pharmacy oversight. TransMet’s study regimen is descriptive and does not establish an oncologically superior CRLM regimen. Individualize induction, MMF duration, corticosteroid taper, CNI exposure and optional mTOR conversion; do not use this evidence summary as a stand-alone medication order.</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0MWUyNzJlZi0wMDM3LTU0NjktOTczNC1kZjBhNzYyNTdmNTEiIHRpbWVzdGFtcD0iMTc5MzI4MzY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pPr>
      <w:r>
        <w:t xml:space="preserve">Rationale for mTOR Inhibitor Use:</w:t>
      </w:r>
    </w:p>
    <w:p>
      <w:pPr>
        <w:pStyle w:val="Normal"/>
        <w:widowControl/>
      </w:pPr>
      <w:r>
        <w:t xml:space="preserve">mTOR-based calcineurin-inhibitor minimization may be considered for appropriate renal, immunologic and tolerability indications with transplant-pharmacy oversight. A reduction in CRLM recurrence from everolimus has not been established. The AASLD/AST conditional HCC-within-Milan recommendation must not be represented as CRLM-specific evidence or as a mandatory preferred regimen.</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NoYW48L0F1dGhvcj48WWVhcj4yMDE4PC9ZZWFyPjxSZWNOdW0+MjE8L1JlY051bT48RGlzcGxheVRleHQ+W1YxNi0yMV08L0Rpc3BsYXlUZXh0PjxyZWNvcmQ+PHJlYy1udW1iZXI+MjE8L3JlYy1udW1iZXI+PGZvcmVpZ24ta2V5cz48a2V5IGFwcD0iRU4iIGRiLWlkPSI0MWUyNzJlZi0wMDM3LTU0NjktOTczNC1kZjBhNzYyNTdmNTEiIHRpbWVzdGFtcD0iMTc5MzI4MzY4NSI+MjE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Heading3"/>
        <w:keepNext/>
        <w:widowControl/>
      </w:pPr>
      <w:r>
        <w:t xml:space="preserve">8. Post-Transplant Adjuvant Chemotherapy</w:t>
      </w:r>
    </w:p>
    <w:p>
      <w:pPr>
        <w:pStyle w:val="Normal"/>
        <w:widowControl/>
        <w:numPr>
          <w:ilvl w:val="0"/>
          <w:numId w:val="3"/>
        </w:numPr>
      </w:pPr>
      <w:r>
        <w:t xml:space="preserve">Routine post-transplant systemic chemotherapy is not an established standard and is not recommended by the IHPBA LT-CoMet 21 consensus. Consider it only case-by-case or within a prospective protocol after graft recovery and multidisciplinary review.</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Any treatment decision requires joint medical-oncology, transplant-surgery, hepatology, and transplant-pharmacy review; the absence of proven overall-survival benefit must be documented.</w:t>
      </w:r>
    </w:p>
    <w:p>
      <w:pPr>
        <w:pStyle w:val="Normal"/>
        <w:widowControl/>
        <w:numPr>
          <w:ilvl w:val="0"/>
          <w:numId w:val="3"/>
        </w:numPr>
      </w:pPr>
      <w:r>
        <w:t xml:space="preserve">If investigational adjuvant therapy is selected, timing must depend on graft function, wound healing, infection status, marrow recovery, and immunosuppressant interactions.</w:t>
      </w:r>
    </w:p>
    <w:p>
      <w:pPr>
        <w:pStyle w:val="Normal"/>
        <w:widowControl/>
        <w:numPr>
          <w:ilvl w:val="0"/>
          <w:numId w:val="3"/>
        </w:numPr>
      </w:pPr>
      <w:r>
        <w:t xml:space="preserve">Duration is not evidence-defined after LT and must be specified by the approved protocol.</w:t>
      </w:r>
    </w:p>
    <w:p>
      <w:pPr>
        <w:pStyle w:val="Normal"/>
        <w:widowControl/>
        <w:numPr>
          <w:ilvl w:val="0"/>
          <w:numId w:val="3"/>
        </w:numPr>
      </w:pPr>
      <w:r>
        <w:t xml:space="preserve">Note: The IHPBA LT-CoMet 21 guidelines do not recommend routine adjuvant chemotherapy given the absence of proven OS benefit and risk of chemotoxicity in immunosuppressed patients</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Heading3"/>
        <w:keepNext/>
        <w:widowControl/>
      </w:pPr>
      <w:r>
        <w:t xml:space="preserve">9. Post-Transplant Surveillance</w:t>
      </w:r>
    </w:p>
    <w:p>
      <w:pPr>
        <w:pStyle w:val="Normal"/>
        <w:widowControl/>
      </w:pPr>
      <w:r>
        <w:t xml:space="preserve">Oncologic Surveillance: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CT chest/abdomen/pelvis + tumor markers (CEA) every 3 months for years 1–2</w:t>
      </w:r>
    </w:p>
    <w:p>
      <w:pPr>
        <w:pStyle w:val="Normal"/>
        <w:widowControl/>
        <w:numPr>
          <w:ilvl w:val="0"/>
          <w:numId w:val="3"/>
        </w:numPr>
      </w:pPr>
      <w:r>
        <w:t xml:space="preserve">CT chest/abdomen/pelvis + tumor markers every 6 months for years 3–5</w:t>
      </w:r>
    </w:p>
    <w:p>
      <w:pPr>
        <w:pStyle w:val="Normal"/>
        <w:widowControl/>
        <w:numPr>
          <w:ilvl w:val="0"/>
          <w:numId w:val="3"/>
        </w:numPr>
      </w:pPr>
      <w:r>
        <w:t xml:space="preserve">PET-CT at 6, 12, 24 months, then annually through year 5</w:t>
      </w:r>
    </w:p>
    <w:p>
      <w:pPr>
        <w:pStyle w:val="Normal"/>
        <w:widowControl/>
        <w:numPr>
          <w:ilvl w:val="0"/>
          <w:numId w:val="3"/>
        </w:numPr>
      </w:pPr>
      <w:r>
        <w:t xml:space="preserve">Colonoscopy at 1 year post-LT, then per standard CRC surveillance guidelines</w:t>
      </w:r>
    </w:p>
    <w:p>
      <w:pPr>
        <w:pStyle w:val="Normal"/>
        <w:widowControl/>
      </w:pPr>
      <w:r>
        <w:t xml:space="preserve">Transplant Surveillance:</w:t>
      </w:r>
    </w:p>
    <w:p>
      <w:pPr>
        <w:pStyle w:val="Normal"/>
        <w:widowControl/>
        <w:numPr>
          <w:ilvl w:val="0"/>
          <w:numId w:val="3"/>
        </w:numPr>
      </w:pPr>
      <w:r>
        <w:t xml:space="preserve">Per institutional liver transplant follow-up protocol (liver function tests, immunosuppression drug levels, renal function, metabolic monitoring)</w:t>
      </w:r>
    </w:p>
    <w:p>
      <w:pPr>
        <w:pStyle w:val="Heading3"/>
        <w:keepNext/>
        <w:widowControl/>
      </w:pPr>
      <w:r>
        <w:t xml:space="preserve">10. Management of Recurrence</w:t>
      </w:r>
    </w:p>
    <w:p>
      <w:pPr>
        <w:pStyle w:val="Normal"/>
        <w:widowControl/>
        <w:numPr>
          <w:ilvl w:val="0"/>
          <w:numId w:val="3"/>
        </w:numPr>
      </w:pPr>
      <w:r>
        <w:t xml:space="preserve">Recurrence is common (~50–74%), predominantly pulmonary</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Small, slow-growing pulmonary metastases may be observed until amenable to curative resection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Isolated extrahepatic recurrence, most commonly pulmonary, may reasonably be managed with metastasectomy or ablation when technically feasible and when the recurrence is solitary or oligometastatic and slow-growing. This is consensus opinion based on observational series, not a strong recommendation: no controlled data establish a survival benefit for aggressive local therapy of post-transplant recurrence in this population. Decisions require MDT review with explicit consideration of immunosuppression burden.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Systemic therapy for unresectable recurrence per standard mCRC guidelines</w:t>
      </w:r>
    </w:p>
    <w:p>
      <w:pPr>
        <w:pStyle w:val="Normal"/>
        <w:widowControl/>
        <w:numPr>
          <w:ilvl w:val="0"/>
          <w:numId w:val="3"/>
        </w:numPr>
      </w:pPr>
      <w:r>
        <w:t xml:space="preserve">Immunosuppression adjustment in consultation with transplant team</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0MWUyNzJlZi0wMDM3LTU0NjktOTczNC1kZjBhNzYyNTdmNTEiIHRpbWVzdGFtcD0iMTc5MzI4MzY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jI8L1JlY051bT48RGlzcGxheVRleHQ+W1YxNi0yMl08L0Rpc3BsYXlUZXh0PjxyZWNvcmQ+PHJlYy1udW1iZXI+MjI8L3JlYy1udW1iZXI+PGZvcmVpZ24ta2V5cz48a2V5IGFwcD0iRU4iIGRiLWlkPSI0MWUyNzJlZi0wMDM3LTU0NjktOTczNC1kZjBhNzYyNTdmNTEiIHRpbWVzdGFtcD0iMTc5MzI4MzY4NSI+MjI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M8L1JlY051bT48RGlzcGxheVRleHQ+W1YxNi0yM108L0Rpc3BsYXlUZXh0PjxyZWNvcmQ+PHJlYy1udW1iZXI+MjM8L3JlYy1udW1iZXI+PGZvcmVpZ24ta2V5cz48a2V5IGFwcD0iRU4iIGRiLWlkPSI0MWUyNzJlZi0wMDM3LTU0NjktOTczNC1kZjBhNzYyNTdmNTEiIHRpbWVzdGFtcD0iMTc5MzI4MzY4NSI+MjM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Q8L1JlY051bT48RGlzcGxheVRleHQ+W1YxNi0yNF08L0Rpc3BsYXlUZXh0PjxyZWNvcmQ+PHJlYy1udW1iZXI+MjQ8L3JlYy1udW1iZXI+PGZvcmVpZ24ta2V5cz48a2V5IGFwcD0iRU4iIGRiLWlkPSI0MWUyNzJlZi0wMDM3LTU0NjktOTczNC1kZjBhNzYyNTdmNTEiIHRpbWVzdGFtcD0iMTc5MzI4MzY4NSI+MjQ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1PC9SZWNOdW0+PERpc3BsYXlUZXh0PltWMTYtMjVdPC9EaXNwbGF5VGV4dD48cmVjb3JkPjxyZWMtbnVtYmVyPjI1PC9yZWMtbnVtYmVyPjxmb3JlaWduLWtleXM+PGtleSBhcHA9IkVOIiBkYi1pZD0iNDFlMjcyZWYtMDAzNy01NDY5LTk3MzQtZGYwYTc2MjU3ZjUxIiB0aW1lc3RhbXA9IjE3OTMyODM2ODUiPjI1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Ni04XTwvRGlzcGxheVRleHQ+PHJlY29yZD48cmVjLW51bWJlcj44PC9yZWMtbnVtYmVyPjxmb3JlaWduLWtleXM+PGtleSBhcHA9IkVOIiBkYi1pZD0iNDFlMjcyZWYtMDAzNy01NDY5LTk3MzQtZGYwYTc2MjU3ZjUxIiB0aW1lc3RhbXA9IjE3OTMyODM2ODU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20">
              <w:r>
                <w:rPr>
                  <w:color w:val="77230C"/>
                  <w:sz w:val="20"/>
                  <w:u w:val="single"/>
                </w:rPr>
                <w:t>Primary source</w:t>
              </w:r>
            </w:hyperlink>
            <w:r>
              <w:t xml:space="preserve"> | </w:t>
            </w:r>
            <w:hyperlink r:id="rId21">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2LTldPC9EaXNwbGF5VGV4dD48cmVjb3JkPjxyZWMtbnVtYmVyPjk8L3JlYy1udW1iZXI+PGZvcmVpZ24ta2V5cz48a2V5IGFwcD0iRU4iIGRiLWlkPSI0MWUyNzJlZi0wMDM3LTU0NjktOTczNC1kZjBhNzYyNTdmNTEiIHRpbWVzdGFtcD0iMTc5MzI4MzY4NS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YtMTVdPC9EaXNwbGF5VGV4dD48cmVjb3JkPjxyZWMtbnVtYmVyPjE1PC9yZWMtbnVtYmVyPjxmb3JlaWduLWtleXM+PGtleSBhcHA9IkVOIiBkYi1pZD0iNDFlMjcyZWYtMDAzNy01NDY5LTk3MzQtZGYwYTc2MjU3ZjUxIiB0aW1lc3RhbXA9IjE3OTMyODM2ODU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Ueberroth 2025</w:t>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Narrative CRLM review; eight distinct primary cohorts plus overlapping follow-ups/cross-trial comparisons.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TransMet body p 2 and Table 1 pp 3–4; selection Table 2 pp 7–8; allocation Table 3 p 9; limitations pp 8–9.</w:t>
            </w:r>
          </w:p>
          <w:p>
            <w:pPr>
              <w:pStyle w:val="Normal"/>
              <w:widowControl/>
              <w:spacing w:before="60" w:after="20"/>
            </w:pPr>
            <w:r>
              <w:t xml:space="preserve">Review depth: Complete 12-page narrative review read, including Tables 1–3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Body p 2 correctly states stable disease or partial response as TransMet eligibility and separates ITT versus per-protocol survival.; CEA 80 and lesion size 5.5 cm are prognostic associations; Table 2 acknowledges non-prospective timing cutoffs, no dedicated lymph-node sampling study and lack of established molecular subgroup effects.; Post-LT adjuvant treatment and ctDNA-guided therapy are research questions, not established standards.</w:t>
            </w:r>
          </w:p>
          <w:p>
            <w:pPr>
              <w:pStyle w:val="Normal"/>
              <w:widowControl/>
              <w:spacing w:before="60" w:after="20"/>
            </w:pPr>
            <w:r>
              <w:rPr>
                <w:b/>
              </w:rPr>
              <w:t xml:space="preserve">Do not infer: </w:t>
            </w:r>
            <w:r>
              <w:t xml:space="preserve">Table 1 simultaneously lists stable disease as inclusion and exclusion for TransMet; the primary paper resolves this in favour of stable or partial response.; Table 1 calls SD/PR a shorter-survival factor in long-term SECA, contrary to its body; Table 2 reverses the direction of the &lt;2-year timing risk. Do not copy table rules blindly.; TransMet survival cited to interim safety paper rather than final efficacy source; recipient postoperative percentages are juxtaposed with one-year registry survival, which is not a matched comparison.; Review's allocation implementation wording and LDLT superiority conclusions are not current controlling policy or causal donor-source evidence.; Table 2 TLG &lt;257 differs from other PET studies; no universal threshold. Includes conference-abstract references among broader literature.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Ni0xMF08L0Rpc3BsYXlUZXh0PjxyZWNvcmQ+PHJlYy1udW1iZXI+MTA8L3JlYy1udW1iZXI+PGZvcmVpZ24ta2V5cz48a2V5IGFwcD0iRU4iIGRiLWlkPSI0MWUyNzJlZi0wMDM3LTU0NjktOTczNC1kZjBhNzYyNTdmNTEiIHRpbWVzdGFtcD0iMTc5MzI4MzY4NS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bl>
    <w:p>
      <w:pPr>
        <w:pStyle w:val="Normal"/>
        <w:widowControl/>
      </w:pPr>
      <w:hyperlink r:id="rId40">
        <w:r>
          <w:rPr>
            <w:color w:val="77230C"/>
            <w:sz w:val="20"/>
            <w:u w:val="single"/>
          </w:rPr>
          <w:t>Separate evidence/alignment meeting record — OPEN boundary decisions</w:t>
        </w:r>
      </w:hyperlink>
    </w:p>
    <w:p>
      <w:pPr>
        <w:pStyle w:val="Normal"/>
        <w:widowControl/>
      </w:pPr>
      <w:r>
        <w:t xml:space="preserve">Evidence review record: </w:t>
      </w:r>
      <w:hyperlink r:id="rId41">
        <w:r>
          <w:rPr>
            <w:color w:val="77230C"/>
            <w:sz w:val="20"/>
            <w:u w:val="single"/>
          </w:rPr>
          <w:t>Five analyst comments and reconciliation</w:t>
        </w:r>
      </w:hyperlink>
      <w:r>
        <w:t xml:space="preserve">  |  </w:t>
      </w:r>
      <w:hyperlink r:id="rId4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CRLM_B5"/>
      <w:r>
        <w:t xml:space="preserve">CRLM-B5 — Previously treated extrahepatic disease</w:t>
      </w:r>
      <w:bookmarkEnd w:id="16010"/>
    </w:p>
    <w:p>
      <w:pPr>
        <w:pStyle w:val="Normal"/>
        <w:widowControl/>
        <w:spacing w:after="120"/>
      </w:pPr>
      <w:r>
        <w:t xml:space="preserve">Status: Closed; lung-only study stratum proposed. OPEN proposal for multidisciplinary review; not activated.</w:t>
      </w:r>
    </w:p>
    <w:p>
      <w:pPr>
        <w:pStyle w:val="Normal"/>
        <w:widowControl/>
        <w:spacing w:after="120"/>
      </w:pPr>
      <w:r>
        <w:t xml:space="preserve">Question: Should a lung-only study stratum be opened for completely treated pulmonary metastases, and if so with which interval and biology limits? All other previously treated extrahepatic sites stay closed.</w:t>
      </w:r>
    </w:p>
    <w:p>
      <w:pPr>
        <w:pStyle w:val="Normal"/>
        <w:widowControl/>
        <w:spacing w:after="120"/>
      </w:pPr>
      <w:r>
        <w:t xml:space="preserve">Proposed position (OPEN): Keep previously treated extrahepatic disease closed in the CRLM transplant pathway. IHPBA Statement 9 finds no evidence to support transplantation for patients who initially present with or later develop extrahepatic metastases, and TransMet excluded previous or concomitant extrahepatic disease. Propose one narrow study stratum (not active) for limited, completely treated lung-only metastases; every other site stays closed.</w:t>
      </w:r>
    </w:p>
    <w:p>
      <w:pPr>
        <w:pStyle w:val="Heading3"/>
        <w:widowControl/>
        <w:keepNext/>
      </w:pPr>
      <w:r>
        <w:t xml:space="preserve">Proposed rules</w:t>
      </w:r>
    </w:p>
    <w:p>
      <w:pPr>
        <w:pStyle w:val="Normal"/>
        <w:widowControl/>
        <w:spacing w:after="120"/>
        <w:numPr>
          <w:ilvl w:val="0"/>
          <w:numId w:val="5"/>
        </w:numPr>
      </w:pPr>
      <w:r>
        <w:t xml:space="preserve">Default: extrahepatic metastasis after primary resection (including nodes outside the primary field), metastasis removed with the primary, and local relapse are outside the pathway, even after resection, ablation, radiotherapy or complete response. Response to systemic therapy alone never counts as clearance.</w:t>
      </w:r>
    </w:p>
    <w:p>
      <w:pPr>
        <w:pStyle w:val="Normal"/>
        <w:widowControl/>
        <w:spacing w:after="120"/>
        <w:numPr>
          <w:ilvl w:val="0"/>
          <w:numId w:val="5"/>
        </w:numPr>
      </w:pPr>
      <w:r>
        <w:t xml:space="preserve">Proposed lung-only study stratum (needs its own protocol, IRB and a living-donor or individually reviewed allocation route): at most three lung metastases, each completely treated with curative intent, no thoracic nodal involvement, and no recurrence for ≥12 months after the last lung treatment (SECA-III excludes resection of lung or hilar-node metastases within the last year and of other non-hepatic metastases within 2 years; the Japanese protocol uses &gt;6 months recurrence-free). The meeting must choose the interval.</w:t>
      </w:r>
    </w:p>
    <w:p>
      <w:pPr>
        <w:pStyle w:val="Normal"/>
        <w:widowControl/>
        <w:spacing w:after="120"/>
        <w:numPr>
          <w:ilvl w:val="0"/>
          <w:numId w:val="5"/>
        </w:numPr>
      </w:pPr>
      <w:r>
        <w:t xml:space="preserve">The stratum adds no other relaxation: every CRLM-B3 limit applies, and favorable biology is required (low Oslo or Fong score; low liver metabolic tumor volume). Chest CT and PET-CT within one month.</w:t>
      </w:r>
    </w:p>
    <w:p>
      <w:pPr>
        <w:pStyle w:val="Normal"/>
        <w:widowControl/>
        <w:spacing w:after="120"/>
        <w:numPr>
          <w:ilvl w:val="0"/>
          <w:numId w:val="5"/>
        </w:numPr>
      </w:pPr>
      <w:r>
        <w:t xml:space="preserve">Hilar nodes: frozen section of hilar nodes before implantation, and before donor hepatectomy in living donation. A positive node ends the transplant.</w:t>
      </w:r>
    </w:p>
    <w:p>
      <w:pPr>
        <w:pStyle w:val="Normal"/>
        <w:widowControl/>
        <w:spacing w:after="120"/>
        <w:numPr>
          <w:ilvl w:val="0"/>
          <w:numId w:val="5"/>
        </w:numPr>
      </w:pPr>
      <w:r>
        <w:t xml:space="preserve">Closed with no stratum: nodal disease outside the primary field; peritoneal, ovarian, adrenal, bone, brain or other non-lung sites; local relapse; more than three lung lesions; thoracic nodes; recurrence after lung treatment.</w:t>
      </w:r>
    </w:p>
    <w:p>
      <w:pPr>
        <w:pStyle w:val="Normal"/>
        <w:widowControl/>
        <w:spacing w:after="120"/>
      </w:pPr>
      <w:r>
        <w:t xml:space="preserve">Why: Lung-limited disease is the most indolent extrahepatic pattern, and post-transplant lung recurrence is often resectable, but outcome data for transplantation after treated extrahepatic disease are limited to two SECA-II recipients (a lung metastasis resected 8 years earlier, recurrence-free; an ovarian metastasis removed 14 months earlier, lung relapse at 5 months). In the Oslo series, hilar node metastasis on frozen section at laparotomy was the commonest extrahepatic reason for not transplanting (7 of 10).</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TransMet 2024</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Randomized trial, 94 patients. Excluded “previous or concomitant extrahepatic metastases or local recurrence” (Methods); every transplant preceded by exploration with frozen section of suspicious nodes.</w:t>
            </w:r>
          </w:p>
        </w:tc>
        <w:tc>
          <w:tcPr>
            <w:tcW w:w="3743" w:type="dxa"/>
            <w:vAlign w:val="top"/>
            <w:shd w:fill="F1F5F8"/>
          </w:tcPr>
          <w:p>
            <w:pPr>
              <w:pStyle w:val="Normal"/>
              <w:widowControl/>
              <w:spacing w:after="55" w:line="240" w:lineRule="auto"/>
              <w:keepNext w:val="0"/>
              <w:keepLines/>
            </w:pPr>
            <w:r>
              <w:rPr>
                <w:sz w:val="21"/>
                <w:szCs w:val="21"/>
              </w:rPr>
              <w:t xml:space="preserve">Results: 5-year survival 56.6% vs 12.6% (HR 0.37); recurrence mainly in the lung, with curative-intent salvage in 12 of 26.</w:t>
            </w:r>
          </w:p>
          <w:p>
            <w:pPr>
              <w:pStyle w:val="Normal"/>
              <w:widowControl/>
              <w:spacing w:after="55" w:line="240" w:lineRule="auto"/>
              <w:keepNext w:val="0"/>
              <w:keepLines/>
            </w:pPr>
            <w:r>
              <w:rPr>
                <w:sz w:val="21"/>
                <w:szCs w:val="21"/>
              </w:rPr>
              <w:t xml:space="preserve">Limits: Benefit cannot be transferred to previously treated extrahepatic disease.</w:t>
            </w:r>
          </w:p>
          <w:p>
            <w:pPr>
              <w:pStyle w:val="Normal"/>
              <w:widowControl/>
              <w:spacing w:after="55" w:line="240" w:lineRule="auto"/>
              <w:keepNext w:val="0"/>
              <w:keepLines/>
            </w:pPr>
            <w:r>
              <w:rPr>
                <w:sz w:val="21"/>
                <w:szCs w:val="21"/>
              </w:rPr>
              <w:t xml:space="preserve">Lancet 2024; Methods (Participants),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44">
              <w:r>
                <w:rPr>
                  <w:color w:val="0563C1"/>
                  <w:u w:val="single"/>
                </w:rPr>
                <w:t>Source</w:t>
              </w:r>
            </w:hyperlink>
            <w:r>
              <w:t xml:space="preserve"> · </w:t>
            </w:r>
            <w:hyperlink r:id="rId145">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IHPBA 2021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international Delphi consensus. Statement 9: no evidence supports transplantation for patients who initially present with or subsequently develop extrahepatic metastases; node-positive patients excluded; no lung exception or nodule-size rule.</w:t>
            </w:r>
          </w:p>
        </w:tc>
        <w:tc>
          <w:tcPr>
            <w:tcW w:w="3743" w:type="dxa"/>
            <w:vAlign w:val="top"/>
            <w:shd w:fill="FFFFFF"/>
          </w:tcPr>
          <w:p>
            <w:pPr>
              <w:pStyle w:val="Normal"/>
              <w:widowControl/>
              <w:spacing w:after="55" w:line="240" w:lineRule="auto"/>
              <w:keepNext w:val="0"/>
              <w:keepLines/>
            </w:pPr>
            <w:r>
              <w:rPr>
                <w:sz w:val="21"/>
                <w:szCs w:val="21"/>
              </w:rPr>
              <w:t xml:space="preserve">Results: Statement 41: isolated pulmonary recurrence after transplantation should be considered for resection.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Lancet Gastroenterol Hepatol 2021; Statements 9–12, 41.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br/>
            </w:r>
            <w:hyperlink r:id="rId146">
              <w:r>
                <w:rPr>
                  <w:color w:val="0563C1"/>
                  <w:u w:val="single"/>
                </w:rPr>
                <w:t>Source</w:t>
              </w:r>
            </w:hyperlink>
            <w:r>
              <w:t xml:space="preserve"> · </w:t>
            </w:r>
            <w:hyperlink r:id="rId147">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 arm D (Smedman 2020)</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SECA-II arm D, 10 recipients. Protocol allowed resectable lung lesions &lt;15 mm and prior nodal or local relapse treated &gt;1 year earlier.</w:t>
            </w:r>
          </w:p>
        </w:tc>
        <w:tc>
          <w:tcPr>
            <w:tcW w:w="3743" w:type="dxa"/>
            <w:vAlign w:val="top"/>
            <w:shd w:fill="F1F5F8"/>
          </w:tcPr>
          <w:p>
            <w:pPr>
              <w:pStyle w:val="Normal"/>
              <w:widowControl/>
              <w:spacing w:after="55" w:line="240" w:lineRule="auto"/>
              <w:keepNext w:val="0"/>
              <w:keepLines/>
            </w:pPr>
            <w:r>
              <w:rPr>
                <w:sz w:val="21"/>
                <w:szCs w:val="21"/>
              </w:rPr>
              <w:t xml:space="preserve">Results: Only 1 recipient had a previously resected lung metastasis (8 years earlier) and was recurrence-free; a second had an ovarian metastasis removed with the primary 14 months earlier and relapsed in the lung at 5 months; the arm’s median survival of 18 months reflects other high-risk features.</w:t>
            </w:r>
          </w:p>
          <w:p>
            <w:pPr>
              <w:pStyle w:val="Normal"/>
              <w:widowControl/>
              <w:spacing w:after="55" w:line="240" w:lineRule="auto"/>
              <w:keepNext w:val="0"/>
              <w:keepLines/>
            </w:pPr>
            <w:r>
              <w:rPr>
                <w:sz w:val="21"/>
                <w:szCs w:val="21"/>
              </w:rPr>
              <w:t xml:space="preserve">Limits: Protocol precedent only, not outcome evidence about lung disease.</w:t>
            </w:r>
          </w:p>
          <w:p>
            <w:pPr>
              <w:pStyle w:val="Normal"/>
              <w:widowControl/>
              <w:spacing w:after="55" w:line="240" w:lineRule="auto"/>
              <w:keepNext w:val="0"/>
              <w:keepLines/>
            </w:pPr>
            <w:r>
              <w:rPr>
                <w:sz w:val="21"/>
                <w:szCs w:val="21"/>
              </w:rPr>
              <w:t xml:space="preserve">BJS Open 2020; Table 1–2,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WVkbWFuPC9BdXRob3I+PFllYXI+MjAyMDwvWWVhcj48UmVjTnVtPjI2PC9SZWNOdW0+PERpc3BsYXlUZXh0PltWMTYtMjZdPC9EaXNwbGF5VGV4dD48cmVjb3JkPjxyZWMtbnVtYmVyPjI2PC9yZWMtbnVtYmVyPjxmb3JlaWduLWtleXM+PGtleSBhcHA9IkVOIiBkYi1pZD0iNDFlMjcyZWYtMDAzNy01NDY5LTk3MzQtZGYwYTc2MjU3ZjUxIiB0aW1lc3RhbXA9IjE3OTMyODM2ODUiPjI2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br/>
            </w:r>
            <w:hyperlink r:id="rId148">
              <w:r>
                <w:rPr>
                  <w:color w:val="0563C1"/>
                  <w:u w:val="single"/>
                </w:rPr>
                <w:t>Source</w:t>
              </w:r>
            </w:hyperlink>
            <w:r>
              <w:t xml:space="preserve"> · </w:t>
            </w:r>
            <w:hyperlink r:id="rId14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Dueland 2023 · Oslo long-term</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Oslo pooled cohort, 72 listed, 61 transplanted. PET-CT before transplant; prior extrahepatic disease not analysed.</w:t>
            </w:r>
          </w:p>
        </w:tc>
        <w:tc>
          <w:tcPr>
            <w:tcW w:w="3743" w:type="dxa"/>
            <w:vAlign w:val="top"/>
            <w:shd w:fill="FFFFFF"/>
          </w:tcPr>
          <w:p>
            <w:pPr>
              <w:pStyle w:val="Normal"/>
              <w:widowControl/>
              <w:spacing w:after="55" w:line="240" w:lineRule="auto"/>
              <w:keepNext w:val="0"/>
              <w:keepLines/>
            </w:pPr>
            <w:r>
              <w:rPr>
                <w:sz w:val="21"/>
                <w:szCs w:val="21"/>
              </w:rPr>
              <w:t xml:space="preserve">Results: 10 of 72 not transplanted for extrahepatic disease, 7 with hilar node metastasis on frozen section at laparotomy; intention-to-treat 5-year survival 42.6%.</w:t>
            </w:r>
          </w:p>
          <w:p>
            <w:pPr>
              <w:pStyle w:val="Normal"/>
              <w:widowControl/>
              <w:spacing w:after="55" w:line="240" w:lineRule="auto"/>
              <w:keepNext w:val="0"/>
              <w:keepLines/>
            </w:pPr>
            <w:r>
              <w:rPr>
                <w:sz w:val="21"/>
                <w:szCs w:val="21"/>
              </w:rPr>
              <w:t xml:space="preserve">Limits: No control group.</w:t>
            </w:r>
          </w:p>
          <w:p>
            <w:pPr>
              <w:pStyle w:val="Normal"/>
              <w:widowControl/>
              <w:spacing w:after="55" w:line="240" w:lineRule="auto"/>
              <w:keepNext w:val="0"/>
              <w:keepLines/>
            </w:pPr>
            <w:r>
              <w:rPr>
                <w:sz w:val="21"/>
                <w:szCs w:val="21"/>
              </w:rPr>
              <w:t xml:space="preserve">JAMA Surg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xL2phbWFzdXJnLjIwMjMuMjkzMj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br/>
            </w:r>
            <w:hyperlink r:id="rId150">
              <w:r>
                <w:rPr>
                  <w:color w:val="0563C1"/>
                  <w:u w:val="single"/>
                </w:rPr>
                <w:t>Source</w:t>
              </w:r>
            </w:hyperlink>
            <w:r>
              <w:t xml:space="preserve"> · </w:t>
            </w:r>
            <w:hyperlink r:id="rId15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Hernandez-Alejandro 2022 · North American LDLT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North American living-donor series, 10 transplanted. Liver-confined disease.</w:t>
            </w:r>
          </w:p>
        </w:tc>
        <w:tc>
          <w:tcPr>
            <w:tcW w:w="3743" w:type="dxa"/>
            <w:vAlign w:val="top"/>
            <w:shd w:fill="F1F5F8"/>
          </w:tcPr>
          <w:p>
            <w:pPr>
              <w:pStyle w:val="Normal"/>
              <w:widowControl/>
              <w:spacing w:after="55" w:line="240" w:lineRule="auto"/>
              <w:keepNext w:val="0"/>
              <w:keepLines/>
            </w:pPr>
            <w:r>
              <w:rPr>
                <w:sz w:val="21"/>
                <w:szCs w:val="21"/>
              </w:rPr>
              <w:t xml:space="preserve">Results: 1 of 10 had PET-negative portal nodal metastasis and recurred in the peritoneum at 121 days.</w:t>
            </w:r>
          </w:p>
          <w:p>
            <w:pPr>
              <w:pStyle w:val="Normal"/>
              <w:widowControl/>
              <w:spacing w:after="55" w:line="240" w:lineRule="auto"/>
              <w:keepNext w:val="0"/>
              <w:keepLines/>
            </w:pPr>
            <w:r>
              <w:rPr>
                <w:sz w:val="21"/>
                <w:szCs w:val="21"/>
              </w:rPr>
              <w:t xml:space="preserve">Limits: Ten patients; eTable unavailable.</w:t>
            </w:r>
          </w:p>
          <w:p>
            <w:pPr>
              <w:pStyle w:val="Normal"/>
              <w:widowControl/>
              <w:spacing w:after="55" w:line="240" w:lineRule="auto"/>
              <w:keepNext w:val="0"/>
              <w:keepLines/>
            </w:pPr>
            <w:r>
              <w:rPr>
                <w:sz w:val="21"/>
                <w:szCs w:val="21"/>
              </w:rPr>
              <w:t xml:space="preserve">JAMA Surg 2022; Table 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MDEvamFtYXN1cmcuMjAyMi4wMzA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br/>
            </w:r>
            <w:hyperlink r:id="rId152">
              <w:r>
                <w:rPr>
                  <w:color w:val="0563C1"/>
                  <w:u w:val="single"/>
                </w:rPr>
                <w:t>Source</w:t>
              </w:r>
            </w:hyperlink>
            <w:r>
              <w:t xml:space="preserve"> · </w:t>
            </w:r>
            <w:hyperlink r:id="rId15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Hagness 2014 · SECA-I recurrence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SECA-I, 21 recipients. Liver-only disease required.</w:t>
            </w:r>
          </w:p>
        </w:tc>
        <w:tc>
          <w:tcPr>
            <w:tcW w:w="3743" w:type="dxa"/>
            <w:vAlign w:val="top"/>
            <w:shd w:fill="FFFFFF"/>
          </w:tcPr>
          <w:p>
            <w:pPr>
              <w:pStyle w:val="Normal"/>
              <w:widowControl/>
              <w:spacing w:after="55" w:line="240" w:lineRule="auto"/>
              <w:keepNext w:val="0"/>
              <w:keepLines/>
            </w:pPr>
            <w:r>
              <w:rPr>
                <w:sz w:val="21"/>
                <w:szCs w:val="21"/>
              </w:rPr>
              <w:t xml:space="preserve">Results: On retrospective review, 7 had untreated lung metastases already present at transplant; no statistical test reported.</w:t>
            </w:r>
          </w:p>
          <w:p>
            <w:pPr>
              <w:pStyle w:val="Normal"/>
              <w:widowControl/>
              <w:spacing w:after="55" w:line="240" w:lineRule="auto"/>
              <w:keepNext w:val="0"/>
              <w:keepLines/>
            </w:pPr>
            <w:r>
              <w:rPr>
                <w:sz w:val="21"/>
                <w:szCs w:val="21"/>
              </w:rPr>
              <w:t xml:space="preserve">Limits: Not evidence that treated lung disease is safe.</w:t>
            </w:r>
          </w:p>
          <w:p>
            <w:pPr>
              <w:pStyle w:val="Normal"/>
              <w:widowControl/>
              <w:spacing w:after="55" w:line="240" w:lineRule="auto"/>
              <w:keepNext w:val="0"/>
              <w:keepLines/>
            </w:pPr>
            <w:r>
              <w:rPr>
                <w:sz w:val="21"/>
                <w:szCs w:val="21"/>
              </w:rPr>
              <w:t xml:space="preserve">Ann Surg Oncol 2014;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EzLTM0NDktOTwvdXJsPjwvcmVsYXRlZC11cmxzPjwvdXJscz48L3JlY29yZD48L0NpdGU+PC9FbmROb3RlPg==</w:fldData>
              </w:fldChar>
            </w:r>
            <w:r>
              <w:instrText xml:space="preserve"> ADDIN EN.CITE.DATA </w:instrText>
            </w:r>
            <w:r>
              <w:fldChar w:fldCharType="end"/>
            </w:r>
            <w:r>
              <w:fldChar w:fldCharType="separate"/>
            </w:r>
            <w:r>
              <w:t xml:space="preserve">[V16-29]</w:t>
            </w:r>
            <w:r>
              <w:fldChar w:fldCharType="end"/>
            </w:r>
            <w:r>
              <w:br/>
            </w:r>
            <w:hyperlink r:id="rId154">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Dueland 2022 · lung resection after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Oslo, 14 recipients with resected lung relapse after transplant. Post-transplant setting.</w:t>
            </w:r>
          </w:p>
        </w:tc>
        <w:tc>
          <w:tcPr>
            <w:tcW w:w="3743" w:type="dxa"/>
            <w:vAlign w:val="top"/>
            <w:shd w:fill="F1F5F8"/>
          </w:tcPr>
          <w:p>
            <w:pPr>
              <w:pStyle w:val="Normal"/>
              <w:widowControl/>
              <w:spacing w:after="55" w:line="240" w:lineRule="auto"/>
              <w:keepNext w:val="0"/>
              <w:keepLines/>
            </w:pPr>
            <w:r>
              <w:rPr>
                <w:sz w:val="21"/>
                <w:szCs w:val="21"/>
              </w:rPr>
              <w:t xml:space="preserve">Results: 10-year survival 64.5% from first lung resection; 85.7% with liver metabolic tumor volume &lt;70 cm³ vs 25.0% above.</w:t>
            </w:r>
          </w:p>
          <w:p>
            <w:pPr>
              <w:pStyle w:val="Normal"/>
              <w:widowControl/>
              <w:spacing w:after="55" w:line="240" w:lineRule="auto"/>
              <w:keepNext w:val="0"/>
              <w:keepLines/>
            </w:pPr>
            <w:r>
              <w:rPr>
                <w:sz w:val="21"/>
                <w:szCs w:val="21"/>
              </w:rPr>
              <w:t xml:space="preserve">Limits: Selected patients; does not address pre-transplant disease.</w:t>
            </w:r>
          </w:p>
          <w:p>
            <w:pPr>
              <w:pStyle w:val="Normal"/>
              <w:widowControl/>
              <w:spacing w:after="55" w:line="240" w:lineRule="auto"/>
              <w:keepNext w:val="0"/>
              <w:keepLines/>
            </w:pPr>
            <w:r>
              <w:rPr>
                <w:sz w:val="21"/>
                <w:szCs w:val="21"/>
              </w:rPr>
              <w:t xml:space="preserve">Cancers 2022; Results 3.1.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wbWMubmNiaS5ubG0ubmloLmdvdi9hcnRpY2xlcy9QTUM5NTk5NjM4LzwvdXJsPjwvcmVsYXRlZC11cmxzPjwvdXJscz48L3JlY29yZD48L0NpdGU+PC9FbmROb3RlPg==</w:fldData>
              </w:fldChar>
            </w:r>
            <w:r>
              <w:instrText xml:space="preserve"> ADDIN EN.CITE.DATA </w:instrText>
            </w:r>
            <w:r>
              <w:fldChar w:fldCharType="end"/>
            </w:r>
            <w:r>
              <w:fldChar w:fldCharType="separate"/>
            </w:r>
            <w:r>
              <w:t xml:space="preserve">[V16-30]</w:t>
            </w:r>
            <w:r>
              <w:fldChar w:fldCharType="end"/>
            </w:r>
            <w:r>
              <w:br/>
            </w:r>
            <w:hyperlink r:id="rId155">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Fukumitsu 2024 · Japanese LDLT protocol</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Japanese living-donor protocol. Admits ≤3 lung metastases without recurrence for &gt;6 months after treatment; no size limit.</w:t>
            </w:r>
          </w:p>
        </w:tc>
        <w:tc>
          <w:tcPr>
            <w:tcW w:w="3743" w:type="dxa"/>
            <w:vAlign w:val="top"/>
            <w:shd w:fill="FFFFFF"/>
          </w:tcPr>
          <w:p>
            <w:pPr>
              <w:pStyle w:val="Normal"/>
              <w:widowControl/>
              <w:spacing w:after="55" w:line="240" w:lineRule="auto"/>
              <w:keepNext w:val="0"/>
              <w:keepLines/>
            </w:pPr>
            <w:r>
              <w:rPr>
                <w:sz w:val="21"/>
                <w:szCs w:val="21"/>
              </w:rPr>
              <w:t xml:space="preserve">Results: Protocol only.</w:t>
            </w:r>
          </w:p>
          <w:p>
            <w:pPr>
              <w:pStyle w:val="Normal"/>
              <w:widowControl/>
              <w:spacing w:after="55" w:line="240" w:lineRule="auto"/>
              <w:keepNext w:val="0"/>
              <w:keepLines/>
            </w:pPr>
            <w:r>
              <w:rPr>
                <w:sz w:val="21"/>
                <w:szCs w:val="21"/>
              </w:rPr>
              <w:t xml:space="preserve">Limits: No outcomes.</w:t>
            </w:r>
          </w:p>
          <w:p>
            <w:pPr>
              <w:pStyle w:val="Normal"/>
              <w:widowControl/>
              <w:spacing w:after="55" w:line="240" w:lineRule="auto"/>
              <w:keepNext w:val="0"/>
              <w:keepLines/>
            </w:pPr>
            <w:r>
              <w:rPr>
                <w:sz w:val="21"/>
                <w:szCs w:val="21"/>
              </w:rPr>
              <w:t xml:space="preserve">BMJ Open 2024; eligibility.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cG1jLm5jYmkubmxtLm5paC5nb3YvYXJ0aWNsZXMvUE1DMTE1ODAzMTMvPC91cmw+PC9yZWxhdGVkLXVybHM+PC91cmxzPjwvcmVjb3JkPjwvQ2l0ZT48L0VuZE5vdGU+</w:fldData>
              </w:fldChar>
            </w:r>
            <w:r>
              <w:instrText xml:space="preserve"> ADDIN EN.CITE.DATA </w:instrText>
            </w:r>
            <w:r>
              <w:fldChar w:fldCharType="end"/>
            </w:r>
            <w:r>
              <w:fldChar w:fldCharType="separate"/>
            </w:r>
            <w:r>
              <w:t xml:space="preserve">[V16-31]</w:t>
            </w:r>
            <w:r>
              <w:fldChar w:fldCharType="end"/>
            </w:r>
            <w:r>
              <w:br/>
            </w:r>
            <w:hyperlink r:id="rId156">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SECA-III registration (NCT03494946)</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SECA-III randomized trial registration. Resectable lung lesions &lt;15 mm allowed. Excluded: resection of lung or hilar-node metastases within 1 year, of local relapse or other non-hepatic metastasis within 2 years, and any previous bone, CNS or thoracic or abdominal nodal metastasis.</w:t>
            </w:r>
          </w:p>
        </w:tc>
        <w:tc>
          <w:tcPr>
            <w:tcW w:w="3743" w:type="dxa"/>
            <w:vAlign w:val="top"/>
            <w:shd w:fill="F1F5F8"/>
          </w:tcPr>
          <w:p>
            <w:pPr>
              <w:pStyle w:val="Normal"/>
              <w:widowControl/>
              <w:spacing w:after="55" w:line="240" w:lineRule="auto"/>
              <w:keepNext w:val="0"/>
              <w:keepLines/>
            </w:pPr>
            <w:r>
              <w:rPr>
                <w:sz w:val="21"/>
                <w:szCs w:val="21"/>
              </w:rPr>
              <w:t xml:space="preserve">Results: Recruiting.</w:t>
            </w:r>
          </w:p>
          <w:p>
            <w:pPr>
              <w:pStyle w:val="Normal"/>
              <w:widowControl/>
              <w:spacing w:after="55" w:line="240" w:lineRule="auto"/>
              <w:keepNext w:val="0"/>
              <w:keepLines/>
            </w:pPr>
            <w:r>
              <w:rPr>
                <w:sz w:val="21"/>
                <w:szCs w:val="21"/>
              </w:rPr>
              <w:t xml:space="preserve">Limits: No results.</w:t>
            </w:r>
          </w:p>
          <w:p>
            <w:pPr>
              <w:pStyle w:val="Normal"/>
              <w:widowControl/>
              <w:spacing w:after="55" w:line="240" w:lineRule="auto"/>
              <w:keepNext w:val="0"/>
              <w:keepLines/>
            </w:pPr>
            <w:r>
              <w:rPr>
                <w:sz w:val="21"/>
                <w:szCs w:val="21"/>
              </w:rPr>
              <w:t xml:space="preserve">ClinicalTrials.gov NCT03494946.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</w:fldData>
              </w:fldChar>
            </w:r>
            <w:r>
              <w:instrText xml:space="preserve"> ADDIN EN.CITE.DATA </w:instrText>
            </w:r>
            <w:r>
              <w:fldChar w:fldCharType="end"/>
            </w:r>
            <w:r>
              <w:fldChar w:fldCharType="separate"/>
            </w:r>
            <w:r>
              <w:t xml:space="preserve">[V16-32]</w:t>
            </w:r>
            <w:r>
              <w:fldChar w:fldCharType="end"/>
            </w:r>
            <w:r>
              <w:br/>
            </w:r>
            <w:hyperlink r:id="rId15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Randomized trial of lung metastasectomy, 93 patients (29% after liver resection). No other sites than treated liver metastases.</w:t>
            </w:r>
          </w:p>
        </w:tc>
        <w:tc>
          <w:tcPr>
            <w:tcW w:w="3743" w:type="dxa"/>
            <w:vAlign w:val="top"/>
            <w:shd w:fill="FFFFFF"/>
          </w:tcPr>
          <w:p>
            <w:pPr>
              <w:pStyle w:val="Normal"/>
              <w:widowControl/>
              <w:spacing w:after="55" w:line="240" w:lineRule="auto"/>
              <w:keepNext w:val="0"/>
              <w:keepLines/>
            </w:pPr>
            <w:r>
              <w:rPr>
                <w:sz w:val="21"/>
                <w:szCs w:val="21"/>
              </w:rPr>
              <w:t xml:space="preserve">Results: Adjusted HR 0.87 (0.51–1.48); 5-year survival 29.6% without metastasectomy vs 36.4% with.</w:t>
            </w:r>
          </w:p>
          <w:p>
            <w:pPr>
              <w:pStyle w:val="Normal"/>
              <w:widowControl/>
              <w:spacing w:after="55" w:line="240" w:lineRule="auto"/>
              <w:keepNext w:val="0"/>
              <w:keepLines/>
            </w:pPr>
            <w:r>
              <w:rPr>
                <w:sz w:val="21"/>
                <w:szCs w:val="21"/>
              </w:rPr>
              <w:t xml:space="preserve">Limits: Closed at 31% of target; inconclusive.</w:t>
            </w:r>
          </w:p>
          <w:p>
            <w:pPr>
              <w:pStyle w:val="Normal"/>
              <w:widowControl/>
              <w:spacing w:after="55" w:line="240" w:lineRule="auto"/>
              <w:keepNext w:val="0"/>
              <w:keepLines/>
            </w:pPr>
            <w:r>
              <w:rPr>
                <w:sz w:val="21"/>
                <w:szCs w:val="21"/>
              </w:rPr>
              <w:t xml:space="preserve">Colorectal Dis 2020;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MzM8L1JlY051bT48RGlzcGxheVRleHQ+W1YxNi0zM108L0Rpc3BsYXlUZXh0PjxyZWNvcmQ+PHJlYy1udW1iZXI+MzM8L3JlYy1udW1iZXI+PGZvcmVpZ24ta2V5cz48a2V5IGFwcD0iRU4iIGRiLWlkPSI0MWUyNzJlZi0wMDM3LTU0NjktOTczNC1kZjBhNzYyNTdmNTEiIHRpbWVzdGFtcD0iMTc5MzI4MzY4NSI+MzM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[V16-33]</w:t>
            </w:r>
            <w:r>
              <w:fldChar w:fldCharType="end"/>
            </w:r>
            <w:r>
              <w:br/>
            </w:r>
            <w:hyperlink r:id="rId15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Grut 2018 · lung metastasis growth after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Imaging case-control, 11 recipients. Lung metastases after transplant.</w:t>
            </w:r>
          </w:p>
        </w:tc>
        <w:tc>
          <w:tcPr>
            <w:tcW w:w="3743" w:type="dxa"/>
            <w:vAlign w:val="top"/>
            <w:shd w:fill="F1F5F8"/>
          </w:tcPr>
          <w:p>
            <w:pPr>
              <w:pStyle w:val="Normal"/>
              <w:widowControl/>
              <w:spacing w:after="55" w:line="240" w:lineRule="auto"/>
              <w:keepNext w:val="0"/>
              <w:keepLines/>
            </w:pPr>
            <w:r>
              <w:rPr>
                <w:sz w:val="21"/>
                <w:szCs w:val="21"/>
              </w:rPr>
              <w:t xml:space="preserve">Results: Median doubling time 125 vs 130 days (transplant vs controls).</w:t>
            </w:r>
          </w:p>
          <w:p>
            <w:pPr>
              <w:pStyle w:val="Normal"/>
              <w:widowControl/>
              <w:spacing w:after="55" w:line="240" w:lineRule="auto"/>
              <w:keepNext w:val="0"/>
              <w:keepLines/>
            </w:pPr>
            <w:r>
              <w:rPr>
                <w:sz w:val="21"/>
                <w:szCs w:val="21"/>
              </w:rPr>
              <w:t xml:space="preserve">Limits: Very small.</w:t>
            </w:r>
          </w:p>
          <w:p>
            <w:pPr>
              <w:pStyle w:val="Normal"/>
              <w:widowControl/>
              <w:spacing w:after="55" w:line="240" w:lineRule="auto"/>
              <w:keepNext w:val="0"/>
              <w:keepLines/>
            </w:pPr>
            <w:r>
              <w:rPr>
                <w:sz w:val="21"/>
                <w:szCs w:val="21"/>
              </w:rPr>
              <w:t xml:space="preserve">Br J Surg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</w:fldData>
              </w:fldChar>
            </w:r>
            <w:r>
              <w:instrText xml:space="preserve"> ADDIN EN.CITE.DATA </w:instrText>
            </w:r>
            <w:r>
              <w:fldChar w:fldCharType="end"/>
            </w:r>
            <w:r>
              <w:fldChar w:fldCharType="separate"/>
            </w:r>
            <w:r>
              <w:t xml:space="preserve">[V16-34]</w:t>
            </w:r>
            <w:r>
              <w:fldChar w:fldCharType="end"/>
            </w:r>
            <w:r>
              <w:br/>
            </w:r>
            <w:hyperlink r:id="rId159">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The lung-only signal comes from post-transplant relapse and protocol precedent, not from transplantation after treated lung disease. PulMiCC was inconclusive but found 29.6% 5-year survival without metastasectomy, suggesting that lung metastasectomy may select favorable biology rather than cure it.</w:t>
      </w:r>
    </w:p>
    <w:p>
      <w:pPr>
        <w:pStyle w:val="Normal"/>
        <w:widowControl/>
        <w:spacing w:after="120"/>
      </w:pPr>
      <w:r>
        <w:t xml:space="preserve">Certainty: Very low for transplantation after previously treated extrahepatic disease; low for the indirect inference that lung-limited disease behaves indolently after transplant.</w:t>
      </w:r>
    </w:p>
    <w:p>
      <w:pPr>
        <w:pStyle w:val="Normal"/>
        <w:widowControl/>
        <w:spacing w:after="120"/>
      </w:pPr>
      <w:r>
        <w:t xml:space="preserve">What would change the answer: SECA-III or Japanese protocol results in recipients with treated lung metastases.</w:t>
      </w:r>
    </w:p>
    <w:p>
      <w:pPr>
        <w:pStyle w:val="Normal"/>
        <w:widowControl/>
        <w:spacing w:after="120"/>
      </w:pPr>
      <w:r>
        <w:t xml:space="preserve">Meeting question CRLM-B5,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TransMet was incorrectly described as requiring objective response and mandatory lymphadenectomy. </w:t>
      </w:r>
      <w:r>
        <w:rPr>
          <w:b/>
        </w:rPr>
        <w:t xml:space="preserve">Correction and reason: </w:t>
      </w:r>
      <w:r>
        <w:t xml:space="preserve">Allowed the trial’s stable-or-partial-response criterion and separated current NLRB requirements; replaced universal dissection with suspicious-lesion/node assessment and a local operative SOP.</w:t>
      </w:r>
    </w:p>
    <w:p>
      <w:pPr>
        <w:pStyle w:val="Normal"/>
        <w:keepNext/>
        <w:widowControl/>
        <w:keepLines/>
      </w:pPr>
      <w:r>
        <w:rPr>
          <w:b/>
        </w:rPr>
        <w:t xml:space="preserve">Problem: </w:t>
      </w:r>
      <w:r>
        <w:t xml:space="preserve">BRAF and CEA boundaries were inconsistent; radiographic disappearance implied too much. </w:t>
      </w:r>
      <w:r>
        <w:rPr>
          <w:b/>
        </w:rPr>
        <w:t xml:space="preserve">Correction and reason: </w:t>
      </w:r>
      <w:r>
        <w:t xml:space="preserve">Used BRAF-wild-type guidance, separated initial/extension CEA wording and distinguished occult viability from persistent unresectability and LT benefit.</w:t>
      </w:r>
    </w:p>
    <w:p>
      <w:pPr>
        <w:pStyle w:val="Normal"/>
        <w:keepNext/>
        <w:widowControl/>
        <w:keepLines/>
      </w:pPr>
      <w:r>
        <w:rPr>
          <w:b/>
        </w:rPr>
        <w:t xml:space="preserve">Problem: </w:t>
      </w:r>
      <w:r>
        <w:t xml:space="preserve">Trial drug doses and mTOR cancer benefit were presented as routine orders. </w:t>
      </w:r>
      <w:r>
        <w:rPr>
          <w:b/>
        </w:rPr>
        <w:t xml:space="preserve">Correction and reason: </w:t>
      </w:r>
      <w:r>
        <w:t xml:space="preserve">Required the current signed transplant-pharmacy regimen, corrected the MMF attribution, and made CRLM recurrence benefit unproven.</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60">
        <w:r>
          <w:rPr>
            <w:color w:val="0563C1"/>
            <w:u w:val="single"/>
          </w:rPr>
          <w:t>Source</w:t>
        </w:r>
      </w:hyperlink>
      <w:r>
        <w:t xml:space="preserve"> | </w:t>
      </w:r>
      <w:hyperlink r:id="rId161">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62">
        <w:r>
          <w:rPr>
            <w:color w:val="0563C1"/>
            <w:u w:val="single"/>
          </w:rPr>
          <w:t>Source</w:t>
        </w:r>
      </w:hyperlink>
      <w:r>
        <w:t xml:space="preserve"> | </w:t>
      </w:r>
      <w:hyperlink r:id="rId163">
        <w:r>
          <w:rPr>
            <w:color w:val="0563C1"/>
            <w:u w:val="single"/>
          </w:rPr>
          <w:t>Full-text access</w:t>
        </w:r>
      </w:hyperlink>
    </w:p>
    <w:p>
      <w:pPr>
        <w:pStyle w:val="Normal"/>
        <w:widowControl/>
        <w:spacing w:after="120"/>
      </w:pPr>
      <w:r>
        <w:t xml:space="preserve"/>
      </w:r>
      <w:r>
        <w:t xml:space="preserve">[V16-3]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164">
        <w:r>
          <w:rPr>
            <w:color w:val="0563C1"/>
            <w:u w:val="single"/>
          </w:rPr>
          <w:t>Source</w:t>
        </w:r>
      </w:hyperlink>
      <w:r>
        <w:t xml:space="preserve"> | </w:t>
      </w:r>
      <w:hyperlink r:id="rId165">
        <w:r>
          <w:rPr>
            <w:color w:val="0563C1"/>
            <w:u w:val="single"/>
          </w:rPr>
          <w:t>Full-text access</w:t>
        </w:r>
      </w:hyperlink>
    </w:p>
    <w:p>
      <w:pPr>
        <w:pStyle w:val="Normal"/>
        <w:widowControl/>
        <w:spacing w:after="120"/>
      </w:pPr>
      <w:r>
        <w:t xml:space="preserve"/>
      </w:r>
      <w:r>
        <w:t xml:space="preserve">[V16-4] Dueland, Svein. Survival Following Liver Transplantation for Patients With Nonresectable Liver-only Colorectal Metastases. Annals of Surgery. 2020; 271(2):212–218. </w:t>
      </w:r>
      <w:hyperlink r:id="rId166">
        <w:r>
          <w:rPr>
            <w:color w:val="0563C1"/>
            <w:u w:val="single"/>
          </w:rPr>
          <w:t>Source</w:t>
        </w:r>
      </w:hyperlink>
      <w:r>
        <w:t xml:space="preserve"> | </w:t>
      </w:r>
      <w:hyperlink r:id="rId167">
        <w:r>
          <w:rPr>
            <w:color w:val="0563C1"/>
            <w:u w:val="single"/>
          </w:rPr>
          <w:t>Full-text access</w:t>
        </w:r>
      </w:hyperlink>
    </w:p>
    <w:p>
      <w:pPr>
        <w:pStyle w:val="Normal"/>
        <w:widowControl/>
        <w:spacing w:after="120"/>
      </w:pPr>
      <w:r>
        <w:t xml:space="preserve"/>
      </w:r>
      <w:r>
        <w:t xml:space="preserve">[V16-5] Gorji, Leva; Brown, Zachary J.; Limkemann, Ashley; et al. Liver Transplant as a Treatment of Primary and Secondary Liver Neoplasms. JAMA Surgery. 2024; 159(2):211. </w:t>
      </w:r>
      <w:hyperlink r:id="rId168">
        <w:r>
          <w:rPr>
            <w:color w:val="0563C1"/>
            <w:u w:val="single"/>
          </w:rPr>
          <w:t>Source</w:t>
        </w:r>
      </w:hyperlink>
      <w:r>
        <w:t xml:space="preserve"> | </w:t>
      </w:r>
      <w:hyperlink r:id="rId169">
        <w:r>
          <w:rPr>
            <w:color w:val="0563C1"/>
            <w:u w:val="single"/>
          </w:rPr>
          <w:t>Full-text access</w:t>
        </w:r>
      </w:hyperlink>
    </w:p>
    <w:p>
      <w:pPr>
        <w:pStyle w:val="Normal"/>
        <w:widowControl/>
        <w:spacing w:after="120"/>
      </w:pPr>
      <w:r>
        <w:t xml:space="preserve"/>
      </w:r>
      <w:r>
        <w:t xml:space="preserve">[V16-6] Dove, Lorna; Chadha, Ryan M.; Lai, Jennifer C.; et al. AASLD AST Practice Guideline on adult liver transplantation: Candidate evaluation. Hepatology. 2026; 83(6):1609-1645. </w:t>
      </w:r>
      <w:hyperlink r:id="rId170">
        <w:r>
          <w:rPr>
            <w:color w:val="0563C1"/>
            <w:u w:val="single"/>
          </w:rPr>
          <w:t>Source</w:t>
        </w:r>
      </w:hyperlink>
      <w:r>
        <w:t xml:space="preserve"> | </w:t>
      </w:r>
      <w:hyperlink r:id="rId171">
        <w:r>
          <w:rPr>
            <w:color w:val="0563C1"/>
            <w:u w:val="single"/>
          </w:rPr>
          <w:t>Full-text access</w:t>
        </w:r>
      </w:hyperlink>
    </w:p>
    <w:p>
      <w:pPr>
        <w:pStyle w:val="Normal"/>
        <w:widowControl/>
        <w:spacing w:after="120"/>
      </w:pPr>
      <w:r>
        <w:t xml:space="preserve"/>
      </w:r>
      <w:r>
        <w:t xml:space="preserve">[V16-7] Ueberroth, Benjamin E; Kriss, Michael; Burton, James R; et al. Liver transplantation for colorectal cancer with liver metastases. The Oncologist. 2025; 30(1). </w:t>
      </w:r>
      <w:hyperlink r:id="rId172">
        <w:r>
          <w:rPr>
            <w:color w:val="0563C1"/>
            <w:u w:val="single"/>
          </w:rPr>
          <w:t>Source</w:t>
        </w:r>
      </w:hyperlink>
      <w:r>
        <w:t xml:space="preserve"> | </w:t>
      </w:r>
      <w:hyperlink r:id="rId173">
        <w:r>
          <w:rPr>
            <w:color w:val="0563C1"/>
            <w:u w:val="single"/>
          </w:rPr>
          <w:t>Full-text access</w:t>
        </w:r>
      </w:hyperlink>
    </w:p>
    <w:p>
      <w:pPr>
        <w:pStyle w:val="Normal"/>
        <w:widowControl/>
        <w:spacing w:after="120"/>
      </w:pPr>
      <w:r>
        <w:t xml:space="preserve"/>
      </w:r>
      <w:r>
        <w:t xml:space="preserve">[V16-8] Kataoka, Kozo; Mauer, Murielle; Shiozawa, Manabu; et al. Diagnostic Accuracy of Imaging in Assessing Nonviability of Disappearing Colorectal Liver Metastasis. JAMA Surgery. 2025. </w:t>
      </w:r>
      <w:hyperlink r:id="rId174">
        <w:r>
          <w:rPr>
            <w:color w:val="0563C1"/>
            <w:u w:val="single"/>
          </w:rPr>
          <w:t>Source</w:t>
        </w:r>
      </w:hyperlink>
      <w:r>
        <w:t xml:space="preserve"> | </w:t>
      </w:r>
      <w:hyperlink r:id="rId175">
        <w:r>
          <w:rPr>
            <w:color w:val="0563C1"/>
            <w:u w:val="single"/>
          </w:rPr>
          <w:t>Full-text access</w:t>
        </w:r>
      </w:hyperlink>
    </w:p>
    <w:p>
      <w:pPr>
        <w:pStyle w:val="Normal"/>
        <w:widowControl/>
        <w:spacing w:after="120"/>
      </w:pPr>
      <w:r>
        <w:t xml:space="preserve"/>
      </w:r>
      <w:r>
        <w:t xml:space="preserve">[V16-9] Oba, Atsushi; Mise, Yoshihiro; Ito, Hiromichi; et al. Clinical implications of disappearing colorectal liver metastases have changed in the era of hepatocyte-specific MRI and contrast-enhanced intraoperative ultrasonography. HPB. 2018; 20(8):708-714. </w:t>
      </w:r>
      <w:hyperlink r:id="rId176">
        <w:r>
          <w:rPr>
            <w:color w:val="0563C1"/>
            <w:u w:val="single"/>
          </w:rPr>
          <w:t>Source</w:t>
        </w:r>
      </w:hyperlink>
      <w:r>
        <w:t xml:space="preserve"> | </w:t>
      </w:r>
      <w:hyperlink r:id="rId177">
        <w:r>
          <w:rPr>
            <w:color w:val="0563C1"/>
            <w:u w:val="single"/>
          </w:rPr>
          <w:t>Full-text access</w:t>
        </w:r>
      </w:hyperlink>
    </w:p>
    <w:p>
      <w:pPr>
        <w:pStyle w:val="Normal"/>
        <w:widowControl/>
        <w:spacing w:after="120"/>
      </w:pPr>
      <w:r>
        <w:t xml:space="preserve"/>
      </w:r>
      <w:r>
        <w:t xml:space="preserve">[V16-10]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178">
        <w:r>
          <w:rPr>
            <w:color w:val="0563C1"/>
            <w:u w:val="single"/>
          </w:rPr>
          <w:t>Source</w:t>
        </w:r>
      </w:hyperlink>
      <w:r>
        <w:t xml:space="preserve"> | </w:t>
      </w:r>
      <w:hyperlink r:id="rId179">
        <w:r>
          <w:rPr>
            <w:color w:val="0563C1"/>
            <w:u w:val="single"/>
          </w:rPr>
          <w:t>Full-text access</w:t>
        </w:r>
      </w:hyperlink>
    </w:p>
    <w:p>
      <w:pPr>
        <w:pStyle w:val="Normal"/>
        <w:widowControl/>
        <w:spacing w:after="120"/>
      </w:pPr>
      <w:r>
        <w:t xml:space="preserve"/>
      </w:r>
      <w:r>
        <w:t xml:space="preserve">[V16-11]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180">
        <w:r>
          <w:rPr>
            <w:color w:val="0563C1"/>
            <w:u w:val="single"/>
          </w:rPr>
          <w:t>Source</w:t>
        </w:r>
      </w:hyperlink>
      <w:r>
        <w:t xml:space="preserve"> | </w:t>
      </w:r>
      <w:hyperlink r:id="rId181">
        <w:r>
          <w:rPr>
            <w:color w:val="0563C1"/>
            <w:u w:val="single"/>
          </w:rPr>
          <w:t>Full-text access</w:t>
        </w:r>
      </w:hyperlink>
    </w:p>
    <w:p>
      <w:pPr>
        <w:pStyle w:val="Normal"/>
        <w:widowControl/>
        <w:spacing w:after="120"/>
      </w:pPr>
      <w:r>
        <w:t xml:space="preserve"/>
      </w:r>
      <w:r>
        <w:t xml:space="preserve">[V16-12] Grut, Harald; Line, Pål-Dag; Syversveen, Trygve; et al. Metabolic tumor volume predicts long-term survival after transplantation for unresectable colorectal liver metastases: 15 years of experience from the SECA study. Annals of nuclear medicine. 2022; 36(12):1073-1081. </w:t>
      </w:r>
      <w:hyperlink r:id="rId182">
        <w:r>
          <w:rPr>
            <w:color w:val="0563C1"/>
            <w:u w:val="single"/>
          </w:rPr>
          <w:t>Source</w:t>
        </w:r>
      </w:hyperlink>
      <w:r>
        <w:t xml:space="preserve"> | </w:t>
      </w:r>
      <w:hyperlink r:id="rId183">
        <w:r>
          <w:rPr>
            <w:color w:val="0563C1"/>
            <w:u w:val="single"/>
          </w:rPr>
          <w:t>Full-text access</w:t>
        </w:r>
      </w:hyperlink>
    </w:p>
    <w:p>
      <w:pPr>
        <w:pStyle w:val="Normal"/>
        <w:widowControl/>
        <w:spacing w:after="120"/>
      </w:pPr>
      <w:r>
        <w:t xml:space="preserve"/>
      </w:r>
      <w:r>
        <w:t xml:space="preserve">[V16-13] Bonney, Glenn K; Chew, Claire Alexandra; Lodge, Peter; et al. Liver transplantation for non-resectable colorectal liver metastases: the International Hepato-Pancreato-Biliary Association consensus guidelines. The lancet. Gastroenterology &amp; hepatology. 2021; 6(11):933-946. </w:t>
      </w:r>
      <w:hyperlink r:id="rId184">
        <w:r>
          <w:rPr>
            <w:color w:val="0563C1"/>
            <w:u w:val="single"/>
          </w:rPr>
          <w:t>Source</w:t>
        </w:r>
      </w:hyperlink>
      <w:r>
        <w:t xml:space="preserve"> | </w:t>
      </w:r>
      <w:hyperlink r:id="rId185">
        <w:r>
          <w:rPr>
            <w:color w:val="0563C1"/>
            <w:u w:val="single"/>
          </w:rPr>
          <w:t>Full-text access</w:t>
        </w:r>
      </w:hyperlink>
    </w:p>
    <w:p>
      <w:pPr>
        <w:pStyle w:val="Normal"/>
        <w:widowControl/>
        <w:spacing w:after="120"/>
      </w:pPr>
      <w:r>
        <w:t xml:space="preserve"/>
      </w:r>
      <w:r>
        <w:t xml:space="preserve">[V16-14]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186">
        <w:r>
          <w:rPr>
            <w:color w:val="0563C1"/>
            <w:u w:val="single"/>
          </w:rPr>
          <w:t>Source</w:t>
        </w:r>
      </w:hyperlink>
      <w:r>
        <w:t xml:space="preserve"> | </w:t>
      </w:r>
      <w:hyperlink r:id="rId187">
        <w:r>
          <w:rPr>
            <w:color w:val="0563C1"/>
            <w:u w:val="single"/>
          </w:rPr>
          <w:t>Full-text access</w:t>
        </w:r>
      </w:hyperlink>
    </w:p>
    <w:p>
      <w:pPr>
        <w:pStyle w:val="Normal"/>
        <w:widowControl/>
        <w:spacing w:after="120"/>
      </w:pPr>
      <w:r>
        <w:t xml:space="preserve"/>
      </w:r>
      <w:r>
        <w:t xml:space="preserve">[V16-15] Dueland, Svein; Smedman, Tor M.; Syversveen, Trygve; et al. Liver Transplantation for Nonresectable Colorectal Liver Metastases: Ten-year Follow-up and Assessment of Curative Rate in the SECA-II Study. Annals of Surgery. 2026. </w:t>
      </w:r>
      <w:hyperlink r:id="rId188">
        <w:r>
          <w:rPr>
            <w:color w:val="0563C1"/>
            <w:u w:val="single"/>
          </w:rPr>
          <w:t>Source</w:t>
        </w:r>
      </w:hyperlink>
      <w:r>
        <w:t xml:space="preserve"> | </w:t>
      </w:r>
      <w:hyperlink r:id="rId189">
        <w:r>
          <w:rPr>
            <w:color w:val="0563C1"/>
            <w:u w:val="single"/>
          </w:rPr>
          <w:t>Full-text access</w:t>
        </w:r>
      </w:hyperlink>
    </w:p>
    <w:p>
      <w:pPr>
        <w:pStyle w:val="Normal"/>
        <w:widowControl/>
        <w:spacing w:after="120"/>
      </w:pPr>
      <w:r>
        <w:t xml:space="preserve"/>
      </w:r>
      <w:r>
        <w:t xml:space="preserve">[V16-16] Strickler JH; Cercek A; Siena S; et al. Tucatinib plus trastuzumab for chemotherapy-refractory, HER2 + , RAS wild-type metastatic colorectal cancer (MOUNTAINEER): final analysis.. Nature communications. 2026; 17(1):1068. </w:t>
      </w:r>
      <w:hyperlink r:id="rId190">
        <w:r>
          <w:rPr>
            <w:color w:val="0563C1"/>
            <w:u w:val="single"/>
          </w:rPr>
          <w:t>Source</w:t>
        </w:r>
      </w:hyperlink>
      <w:r>
        <w:t xml:space="preserve"> | </w:t>
      </w:r>
      <w:hyperlink r:id="rId191">
        <w:r>
          <w:rPr>
            <w:color w:val="0563C1"/>
            <w:u w:val="single"/>
          </w:rPr>
          <w:t>Full-text access</w:t>
        </w:r>
      </w:hyperlink>
    </w:p>
    <w:p>
      <w:pPr>
        <w:pStyle w:val="Normal"/>
        <w:widowControl/>
        <w:spacing w:after="120"/>
      </w:pPr>
      <w:r>
        <w:t xml:space="preserve"/>
      </w:r>
      <w:r>
        <w:t xml:space="preserve">[V16-17] Prager GW; Taieb J; Fakih M; et al. Trifluridine-Tipiracil and Bevacizumab in Refractory Metastatic Colorectal Cancer.. The New England journal of medicine. 2023; 388(18):1657-1667. </w:t>
      </w:r>
      <w:hyperlink r:id="rId192">
        <w:r>
          <w:rPr>
            <w:color w:val="0563C1"/>
            <w:u w:val="single"/>
          </w:rPr>
          <w:t>Source</w:t>
        </w:r>
      </w:hyperlink>
      <w:r>
        <w:t xml:space="preserve"> | </w:t>
      </w:r>
      <w:hyperlink r:id="rId193">
        <w:r>
          <w:rPr>
            <w:color w:val="0563C1"/>
            <w:u w:val="single"/>
          </w:rPr>
          <w:t>Full-text access</w:t>
        </w:r>
      </w:hyperlink>
    </w:p>
    <w:p>
      <w:pPr>
        <w:pStyle w:val="Normal"/>
        <w:widowControl/>
        <w:spacing w:after="120"/>
      </w:pPr>
      <w:r>
        <w:t xml:space="preserve"/>
      </w:r>
      <w:r>
        <w:t xml:space="preserve">[V16-18] Dasari A; Lonardi S; Garcia-Carbonero R; et al. Fruquintinib versus placebo in patients with refractory metastatic colorectal cancer (FRESCO-2): an international, multicentre, randomised, double-blind, phase 3 study.. Lancet (London, England). 2023; 402(10395):41-53. </w:t>
      </w:r>
      <w:hyperlink r:id="rId194">
        <w:r>
          <w:rPr>
            <w:color w:val="0563C1"/>
            <w:u w:val="single"/>
          </w:rPr>
          <w:t>Source</w:t>
        </w:r>
      </w:hyperlink>
      <w:r>
        <w:t xml:space="preserve"> | </w:t>
      </w:r>
      <w:hyperlink r:id="rId195">
        <w:r>
          <w:rPr>
            <w:color w:val="0563C1"/>
            <w:u w:val="single"/>
          </w:rPr>
          <w:t>Full-text access</w:t>
        </w:r>
      </w:hyperlink>
    </w:p>
    <w:p>
      <w:pPr>
        <w:pStyle w:val="Normal"/>
        <w:widowControl/>
        <w:spacing w:after="120"/>
      </w:pPr>
      <w:r>
        <w:t xml:space="preserve"/>
      </w:r>
      <w:r>
        <w:t xml:space="preserve">[V16-19] Te, Helen S.; Agopian, Vatche G.; Demetris, Anthony J.; et al. AASLD AST Practice Guideline on adult liver transplantation: Diagnosis and management of graft-related complications. Liver Transplantation. 2025; 32(3):444-490. </w:t>
      </w:r>
      <w:hyperlink r:id="rId196">
        <w:r>
          <w:rPr>
            <w:color w:val="0563C1"/>
            <w:u w:val="single"/>
          </w:rPr>
          <w:t>Source</w:t>
        </w:r>
      </w:hyperlink>
      <w:r>
        <w:t xml:space="preserve"> | </w:t>
      </w:r>
      <w:hyperlink r:id="rId197">
        <w:r>
          <w:rPr>
            <w:color w:val="0563C1"/>
            <w:u w:val="single"/>
          </w:rPr>
          <w:t>Full-text access</w:t>
        </w:r>
      </w:hyperlink>
    </w:p>
    <w:p>
      <w:pPr>
        <w:pStyle w:val="Normal"/>
        <w:widowControl/>
        <w:spacing w:after="120"/>
      </w:pPr>
      <w:r>
        <w:t xml:space="preserve"/>
      </w:r>
      <w:r>
        <w:t xml:space="preserve">[V16-20] Novartis Pharmaceuticals Corporation. Zortress (everolimus) US prescribing information, updated 16 September 2026. DailyMed. 2026. </w:t>
      </w:r>
      <w:hyperlink r:id="rId198">
        <w:r>
          <w:rPr>
            <w:color w:val="0563C1"/>
            <w:u w:val="single"/>
          </w:rPr>
          <w:t>Source</w:t>
        </w:r>
      </w:hyperlink>
      <w:r>
        <w:t xml:space="preserve"> | </w:t>
      </w:r>
      <w:hyperlink r:id="rId199">
        <w:r>
          <w:rPr>
            <w:color w:val="0563C1"/>
            <w:u w:val="single"/>
          </w:rPr>
          <w:t>Full-text access</w:t>
        </w:r>
      </w:hyperlink>
    </w:p>
    <w:p>
      <w:pPr>
        <w:pStyle w:val="Normal"/>
        <w:widowControl/>
        <w:spacing w:after="120"/>
      </w:pPr>
      <w:r>
        <w:t xml:space="preserve"/>
      </w:r>
      <w:r>
        <w:t xml:space="preserve">[V16-21] Nashan, Björn. mTOR Inhibition and Clinical Transplantation. Transplantation. 2018; 102(2S):S19-S26.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[V16-22] Wehrle, Chase J; Raj, Roma; Aykun, Nihal; et al. Circulating Tumor DNA in Colorectal Cancer Liver Metastasis: Analysis of Patients Receiving Liver Resection and Transplant. JCO clinical cancer informatics. 2023; 7:e2300111.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[V16-23] Abecassis, M.M.; Fisher, R.A.; Olthoff, K.M.; et al. Complications of Living Donor Hepatic Lobectomy—A Comprehensive Report. American Journal of Transplantation. 2012; 12(5):1208-1217.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[V16-24] DiMartini, A.; Dew, M.A.; Liu, Q.; et al. Social and Financial Outcomes of Living Liver Donation: A Prospective Investigation Within the Adult-to-Adult Living Donor Liver Transplantation Cohort Study 2 (A2ALL-2). American Journal of Transplantation. 2017; 17(4):1081-1096.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[V16-25] Xiao, Jieling; Zeng, Rebecca Wenling; Lim, Wen Hui; et al. The incidence of adverse outcome in donors after living donor liver transplantation: A meta-analysis of 60,829 donors. Liver Transplantation. 2024; 30(5):493-504.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[V16-26] Smedman, T M; Line, P-D; Hagness, M; et al. Liver transplantation for unresectable colorectal liver metastases in patients and donors with extended criteria (SECA-II arm D study). BJS open. 2020; 4(3):467-477.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[V16-27] Dueland, Svein; Smedman, Tor Magnus; Syversveen, Trygve; et al. Long-Term Survival, Prognostic Factors, and Selection of Patients With Colorectal Cancer for Liver Transplant: A Nonrandomized Controlled Trial. JAMA surgery. 2023; 158(9):e232932. </w:t>
      </w:r>
      <w:hyperlink r:id="rId212">
        <w:r>
          <w:rPr>
            <w:color w:val="0563C1"/>
            <w:u w:val="single"/>
          </w:rPr>
          <w:t>Source</w:t>
        </w:r>
      </w:hyperlink>
      <w:r>
        <w:t xml:space="preserve"> | </w:t>
      </w:r>
      <w:hyperlink r:id="rId213">
        <w:r>
          <w:rPr>
            <w:color w:val="0563C1"/>
            <w:u w:val="single"/>
          </w:rPr>
          <w:t>Full-text access</w:t>
        </w:r>
      </w:hyperlink>
    </w:p>
    <w:p>
      <w:pPr>
        <w:pStyle w:val="Normal"/>
        <w:widowControl/>
        <w:spacing w:after="120"/>
      </w:pPr>
      <w:r>
        <w:t xml:space="preserve"/>
      </w:r>
      <w:r>
        <w:t xml:space="preserve">[V16-28] Hernandez-Alejandro, Roberto; Ruffolo, Luis I; Sasaki, Kazunari; et al. Recipient and Donor Outcomes After Living-Donor Liver Transplant for Unresectable Colorectal Liver Metastases. JAMA surgery. 2022; 157(6):524-530.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[V16-29] Hagness, Morten; Foss, Aksel; Egge, Tor Skatvedt; et al. Patterns of recurrence after liver transplantation for nonresectable liver metastases from colorectal cancer. Annals of surgical oncology. 2013; 21(4):1323-9. </w:t>
      </w:r>
      <w:hyperlink r:id="rId216">
        <w:r>
          <w:rPr>
            <w:color w:val="0563C1"/>
            <w:u w:val="single"/>
          </w:rPr>
          <w:t>Source</w:t>
        </w:r>
      </w:hyperlink>
      <w:r>
        <w:t xml:space="preserve"> | Local PDF not available in this update</w:t>
      </w:r>
    </w:p>
    <w:p>
      <w:pPr>
        <w:pStyle w:val="Normal"/>
        <w:widowControl/>
        <w:spacing w:after="120"/>
      </w:pPr>
      <w:r>
        <w:t xml:space="preserve"/>
      </w:r>
      <w:r>
        <w:t xml:space="preserve">[V16-30] Dueland. PET-uptake in liver metastases as method to predict tumor biological behavior in patients transplanted for colorectal liver metastases developing lung recurrence. Cancers. 2022. </w:t>
      </w:r>
      <w:hyperlink r:id="rId217">
        <w:r>
          <w:rPr>
            <w:color w:val="0563C1"/>
            <w:u w:val="single"/>
          </w:rPr>
          <w:t>Source</w:t>
        </w:r>
      </w:hyperlink>
      <w:r>
        <w:t xml:space="preserve"> | Local PDF not available in this update</w:t>
      </w:r>
    </w:p>
    <w:p>
      <w:pPr>
        <w:pStyle w:val="Normal"/>
        <w:widowControl/>
        <w:spacing w:after="120"/>
      </w:pPr>
      <w:r>
        <w:t xml:space="preserve"/>
      </w:r>
      <w:r>
        <w:t xml:space="preserve">[V16-31] Fukumitsu. Living-donor liver transplantation for non-resectable colorectal liver metastases: protocol for a multicentric, single-arm study. BMJ open. 2024. </w:t>
      </w:r>
      <w:hyperlink r:id="rId218">
        <w:r>
          <w:rPr>
            <w:color w:val="0563C1"/>
            <w:u w:val="single"/>
          </w:rPr>
          <w:t>Source</w:t>
        </w:r>
      </w:hyperlink>
      <w:r>
        <w:t xml:space="preserve"> | Local PDF not available in this update</w:t>
      </w:r>
    </w:p>
    <w:p>
      <w:pPr>
        <w:pStyle w:val="Normal"/>
        <w:widowControl/>
        <w:spacing w:after="120"/>
      </w:pPr>
      <w:r>
        <w:t xml:space="preserve"/>
      </w:r>
      <w:r>
        <w:t xml:space="preserve">[V16-32] Oslo University Hospital. A randomized clinical trial comparing overall survival in selected patients with colorectal carcinoma treated by liver transplantation or chemotherapy (SECA-III). ClinicalTrials.gov NCT03494946. 2016. </w:t>
      </w:r>
      <w:hyperlink r:id="rId219">
        <w:r>
          <w:rPr>
            <w:color w:val="0563C1"/>
            <w:u w:val="single"/>
          </w:rPr>
          <w:t>Source</w:t>
        </w:r>
      </w:hyperlink>
      <w:r>
        <w:t xml:space="preserve"> | Local PDF not available in this update</w:t>
      </w:r>
    </w:p>
    <w:p>
      <w:pPr>
        <w:pStyle w:val="Normal"/>
        <w:widowControl/>
        <w:spacing w:after="120"/>
      </w:pPr>
      <w:r>
        <w:t xml:space="preserve"/>
      </w:r>
      <w:r>
        <w:t xml:space="preserve">[V16-33]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220">
        <w:r>
          <w:rPr>
            <w:color w:val="0563C1"/>
            <w:u w:val="single"/>
          </w:rPr>
          <w:t>Source</w:t>
        </w:r>
      </w:hyperlink>
      <w:r>
        <w:t xml:space="preserve"> | Local PDF not available in this update</w:t>
      </w:r>
    </w:p>
    <w:p>
      <w:pPr>
        <w:pStyle w:val="Normal"/>
        <w:widowControl/>
        <w:spacing w:after="120"/>
      </w:pPr>
      <w:r>
        <w:t xml:space="preserve"/>
      </w:r>
      <w:r>
        <w:t xml:space="preserve">[V16-34] Grut, H; Solberg, S; Seierstad, T; et al. Growth rates of pulmonary metastases after liver transplantation for unresectable colorectal liver metastases. The British journal of surgery. 2017; 105(3):295-301. </w:t>
      </w:r>
      <w:hyperlink r:id="rId22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9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97/HEP.0000000000001644" TargetMode="External"/><Relationship Id="rId9" Type="http://schemas.openxmlformats.org/officeDocument/2006/relationships/hyperlink" Target="https://drliuhao.github.io/mh-liver-pathways/evidence-libraries/" TargetMode="External"/><Relationship Id="rId10" Type="http://schemas.openxmlformats.org/officeDocument/2006/relationships/hyperlink" Target="https://doi.org/10.1200/CCI.23.00111" TargetMode="External"/><Relationship Id="rId11" Type="http://schemas.openxmlformats.org/officeDocument/2006/relationships/hyperlink" Target="https://drliuhao.github.io/mh-liver-pathways/evidence-libraries/" TargetMode="External"/><Relationship Id="rId12" Type="http://schemas.openxmlformats.org/officeDocument/2006/relationships/hyperlink" Target="https://doi.org/10.1111/j.1600-6143.2011.03972.x" TargetMode="External"/><Relationship Id="rId13" Type="http://schemas.openxmlformats.org/officeDocument/2006/relationships/hyperlink" Target="https://drliuhao.github.io/mh-liver-pathways/evidence-libraries/" TargetMode="External"/><Relationship Id="rId14" Type="http://schemas.openxmlformats.org/officeDocument/2006/relationships/hyperlink" Target="https://doi.org/10.1111/ajt.14055" TargetMode="External"/><Relationship Id="rId15" Type="http://schemas.openxmlformats.org/officeDocument/2006/relationships/hyperlink" Target="https://drliuhao.github.io/mh-liver-pathways/evidence-libraries/" TargetMode="External"/><Relationship Id="rId16" Type="http://schemas.openxmlformats.org/officeDocument/2006/relationships/hyperlink" Target="https://doi.org/10.1097/LVT.0000000000000303" TargetMode="External"/><Relationship Id="rId17" Type="http://schemas.openxmlformats.org/officeDocument/2006/relationships/hyperlink" Target="https://drliuhao.github.io/mh-liver-pathways/evidence-libraries/" TargetMode="External"/><Relationship Id="rId18" Type="http://schemas.openxmlformats.org/officeDocument/2006/relationships/hyperlink" Target="https://doi.org/10.1001/jamasurg.2025.3600" TargetMode="External"/><Relationship Id="rId19" Type="http://schemas.openxmlformats.org/officeDocument/2006/relationships/hyperlink" Target="https://drliuhao.github.io/mh-liver-pathways/evidence-libraries/" TargetMode="External"/><Relationship Id="rId20" Type="http://schemas.openxmlformats.org/officeDocument/2006/relationships/hyperlink" Target="https://doi.org/10.1007/s12149-022-01796-8" TargetMode="External"/><Relationship Id="rId21" Type="http://schemas.openxmlformats.org/officeDocument/2006/relationships/hyperlink" Target="https://drliuhao.github.io/mh-liver-pathways/evidence-libraries/" TargetMode="External"/><Relationship Id="rId22" Type="http://schemas.openxmlformats.org/officeDocument/2006/relationships/hyperlink" Target="https://doi.org/10.1016/j.hpb.2018.02.377"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oi.org/10.1097/LVT.0000000000000535"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097/SLA.0000000000003404"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097/SLA.0000000000007200"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jamanetwork.com/journals/jamasurgery/fullarticle/10.1001/jamasurg.2023.6083?utm_source=openevidence&amp;utm_medium=referral"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pubmed.ncbi.nlm.nih.gov/39834127"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pubmed.ncbi.nlm.nih.gov/38721015"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lvt.0000000000000715"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LVT.0000000000000417"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www.hrsa.gov/sites/default/files/hrsa/optn/optn_policies.pdf"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www.hrsa.gov/sites/default/files/hrsa/optn/adult-meld-exception-transplant-oncology-review-guidance.pdf"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16/S0140-6736(24)01595-2"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97/SLA.0000000000003404"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jamanetwork.com/journals/jamasurgery/fullarticle/10.1001/jamasurg.2023.6083?utm_source=openevidence&amp;utm_medium=referral"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HEP.0000000000001644"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pubmed.ncbi.nlm.nih.gov/39834127"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01/jamasurg.2025.3600"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doi.org/10.1016/j.hpb.2018.02.377"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97/LVT.0000000000000417"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97/LVT.0000000000000535"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007/s12149-022-01796-8"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S2468-1253(21)00219-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pubmed.ncbi.nlm.nih.gov/38721015"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097/SLA.0000000000007200"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97/lvt.000000000000071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ailymed.nlm.nih.gov/dailymed/drugInfo.cfm?setid=e082a024-7850-400b-a5c2-2a140612562a"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pubmed.ncbi.nlm.nih.gov/28230639"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200/CCI.23.00111"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111/j.1600-6143.2011.03972.x"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111/ajt.14055"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97/LVT.0000000000000303"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38/s41467-025-67824-z"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56/NEJMoa2214963"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16/S0140-6736(23)00772-9"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www.hrsa.gov/sites/default/files/hrsa/optn/optn_policies.pdf"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www.hrsa.gov/sites/default/files/hrsa/optn/adult-meld-exception-transplant-oncology-review-guidance.pdf"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0140-6736(24)01595-2"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SLA.0000000000003404"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jamanetwork.com/journals/jamasurgery/fullarticle/10.1001/jamasurg.2023.6083?utm_source=openevidence&amp;utm_medium=referral"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97/HEP.0000000000001644"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pubmed.ncbi.nlm.nih.gov/39834127"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01/jamasurg.2025.3600"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j.hpb.2018.02.377"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97/LVT.0000000000000417"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97/LVT.0000000000000535"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07/s12149-022-01796-8"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16/S2468-1253(21)00219-3"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pubmed.ncbi.nlm.nih.gov/38721015"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97/SLA.0000000000007200"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097/lvt.0000000000000715"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ailymed.nlm.nih.gov/dailymed/drugInfo.cfm?setid=e082a024-7850-400b-a5c2-2a140612562a"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pubmed.ncbi.nlm.nih.gov/28230639"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200/CCI.23.00111"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111/j.1600-6143.2011.03972.x"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111/ajt.14055"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97/LVT.0000000000000303"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38/s41467-025-67824-z"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56/NEJMoa2214963"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016/S0140-6736(23)00772-9"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16/S0140-6736(24)01595-2"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16/S2468-1253(21)00219-3"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02/bjs5.50278"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001/jamasurg.2023.293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oi.org/10.1001/jamasurg.2022.0300"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245/s10434-013-3449-9" TargetMode="External"/><Relationship Id="rId155" Type="http://schemas.openxmlformats.org/officeDocument/2006/relationships/hyperlink" Target="https://pmc.ncbi.nlm.nih.gov/articles/PMC9599638/" TargetMode="External"/><Relationship Id="rId156" Type="http://schemas.openxmlformats.org/officeDocument/2006/relationships/hyperlink" Target="https://pmc.ncbi.nlm.nih.gov/articles/PMC11580313/" TargetMode="External"/><Relationship Id="rId157" Type="http://schemas.openxmlformats.org/officeDocument/2006/relationships/hyperlink" Target="https://clinicaltrials.gov/study/NCT03494946" TargetMode="External"/><Relationship Id="rId158" Type="http://schemas.openxmlformats.org/officeDocument/2006/relationships/hyperlink" Target="https://doi.org/10.1111/codi.15113" TargetMode="External"/><Relationship Id="rId159" Type="http://schemas.openxmlformats.org/officeDocument/2006/relationships/hyperlink" Target="https://doi.org/10.1002/bjs.10651" TargetMode="External"/><Relationship Id="rId160" Type="http://schemas.openxmlformats.org/officeDocument/2006/relationships/hyperlink" Target="https://www.hrsa.gov/sites/default/files/hrsa/optn/optn_policies.pdf"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hrsa.gov/sites/default/files/hrsa/optn/adult-meld-exception-transplant-oncology-review-guidance.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016/S0140-6736(24)01595-2"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SLA.0000000000003404"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jamanetwork.com/journals/jamasurgery/fullarticle/10.1001/jamasurg.2023.6083?utm_source=openevidence&amp;utm_medium=referral"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97/HEP.0000000000001644"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pubmed.ncbi.nlm.nih.gov/39834127"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01/jamasurg.2025.3600"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16/j.hpb.2018.02.377"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097/LVT.0000000000000417"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97/LVT.0000000000000535"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7/s12149-022-01796-8"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16/S2468-1253(21)00219-3"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pubmed.ncbi.nlm.nih.gov/38721015"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97/SLA.0000000000007200"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38/s41467-025-67824-z"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56/NEJMoa2214963"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S0140-6736(23)00772-9"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97/lvt.000000000000071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ailymed.nlm.nih.gov/dailymed/drugInfo.cfm?setid=e082a024-7850-400b-a5c2-2a140612562a"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pubmed.ncbi.nlm.nih.gov/2823063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200/CCI.23.00111"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111/j.1600-6143.2011.03972.x"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11/ajt.14055"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97/LVT.0000000000000303"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002/bjs5.50278"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01/jamasurg.2023.2932"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001/jamasurg.2022.0300"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245/s10434-013-3449-9" TargetMode="External"/><Relationship Id="rId217" Type="http://schemas.openxmlformats.org/officeDocument/2006/relationships/hyperlink" Target="https://pmc.ncbi.nlm.nih.gov/articles/PMC9599638/" TargetMode="External"/><Relationship Id="rId218" Type="http://schemas.openxmlformats.org/officeDocument/2006/relationships/hyperlink" Target="https://pmc.ncbi.nlm.nih.gov/articles/PMC11580313/" TargetMode="External"/><Relationship Id="rId219" Type="http://schemas.openxmlformats.org/officeDocument/2006/relationships/hyperlink" Target="https://clinicaltrials.gov/study/NCT03494946" TargetMode="External"/><Relationship Id="rId220" Type="http://schemas.openxmlformats.org/officeDocument/2006/relationships/hyperlink" Target="https://doi.org/10.1111/codi.15113" TargetMode="External"/><Relationship Id="rId221" Type="http://schemas.openxmlformats.org/officeDocument/2006/relationships/hyperlink" Target="https://doi.org/10.1002/bjs.106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2026-10-29T14:21:25Z</dcterms:modified>
  <dc:title>UTHealth Houston / Memorial Hermann — Colorectal liver metastases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