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Colorectal liver metastases — Standard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https://drliuhao.github.io/mh-liver-pathways/transplant/crlm/#meeting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CRLM_3_Standard_Pathway.docx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CRLM_7_Decision_Discussion.docx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evidence establishes persistent unresectability?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 a dated expert HPB assessment of the feasibility of treating all liver disease, the future liver remnant and anatomy at baseline and after treatment response.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G1 (detail)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Does a nonviable-appearing or disappearing liver lesion count as persistent disease?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Map original and current sites, distinguish scar from suspected residual tumor, and assess whether all disease can be treated by resection or ablation. A residual scar or a negative PET…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G2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biomarkers affect CRLM MELD-exception eligibility, and which help estimate prognosis?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Identify BRAF wild type and microsatellite stability as the described MELD-exception criteria. Discuss RAS, ctDNA and PET-derived markers separately as prognostic or investigational information.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G3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observation window governs: trial, consensus or NLRB?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Record both clinical treatment-response milestones and the complete NLRB chronology; do not use a shorter response interval as a substitute.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G4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if the timing of primary-tumor treatment does not meet the guidance?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Create a dated chronology and request a documented interpretation if the sequence differs. Do not retrospectively relabel dates or defer necessary care to satisfy wording.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G4 /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CEA exactly 80 and the progression footnote be interpreted?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 not automatically qualify exact 80 or override an exclusion with a falling trend. Record clinical RECIST assessment separately from the NLRB guidance threshold and seek review for boundary cases.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Can ctDNA or altered PET timing substitute for required imaging?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Use ctDNA as additional prognostic/research information only. Coordinate the PET interval safely; seek interpretation rather than silently omit a specified test.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CRLM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renews the MELD exception, confirms readiness for transplantation and plans recurrence surveillance?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Assign separate owners for imaging/CEA renewal, clinical candidacy and postoperative oncology; record new concerns at each transition.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CRLM G1 — What evidence establishes persistent unresectability?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Stage the disease</w:t>
        </w:r>
      </w:hyperlink>
      <w:r>
        <w:rPr>
          <w:b w:val="0"/>
          <w:i w:val="0"/>
        </w:rPr>
        <w:t xml:space="preserve"> · </w:t>
      </w:r>
      <w:hyperlink r:id="rId9">
        <w:r>
          <w:rPr>
            <w:color w:val="0563C1"/>
            <w:u w:val="single"/>
          </w:rPr>
          <w:t xml:space="preserve">Confirm unresectability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0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“not eligible for curative resection”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CRLM inclusion criteria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“resection should still be done where possible”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PDF p.3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TransMet · RCT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randomized evidence concerns carefully selected permanently unresectable disease, not all technically complex CRLM.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Adam et al. · Lancet · 2024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Require a dated expert HPB assessment of the feasibility of treating all liver disease, the future liver remnant and anatomy at baseline and after treatment response.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Lesion number, bilobar distribution or a historical label alone is insufficient documentation.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HPB surgery · transplant surgery · IR · radiology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G1 (detail) — Does a nonviable-appearing or disappearing liver lesion count as persistent disease?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Confirm unresectability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 complete response”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Statement 24 includes complete response among favorable biology patterns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requires unresectability/recurrence context and durable control; it does not specify a universal minimum viable or RECIST-measurable lesion count.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pp.9–10, including timing/progression footnotes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Map original and current sites, distinguish scar from suspected residual tumor, and assess whether all disease can be treated by resection or ablation. A residual scar or a negative PET alone should not determine transplant selection.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Response, residual viability and technical unresectability answer different questions. This remains case-level judgment, not a new numerical eligibility rule.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HPB radiology · HPB/transplant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G1 (detail)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G2 — Which biomarkers affect CRLM MELD-exception eligibility, and which help estimate prognosis?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Review molecular markers and CEA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“BRAF wild type, microsatellite stable”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CRLM inclusion criteria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RAS and other biological factors inform risk and treatment; not every prognostic feature is an automatic allocation exclusion.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2021 · resectability / selection pp.3–5; response assessment pp.7–8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Identify BRAF wild type and microsatellite stability as the described MELD-exception criteria. Discuss RAS, ctDNA and PET-derived markers separately as prognostic or investigational information.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Do not promote cohort-derived cutoffs into universal policy.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Molecular pathology · oncology · transplant team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G3 — Which observation window governs: trial, consensus or NLRB?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Treat and observe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“6 months”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Stable/regressing disease requirement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TransMet · RCT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Trial eligibility and observation definitions are study-specific; they do not replace current allocation review requirements.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Adam et al. · Lancet · 2024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Record both clinical treatment-response milestones and the complete NLRB chronology; do not use a shorter response interval as a substitute.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Evidence supporting benefit and rules governing an exception have different purposes.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Oncology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G3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G4 — What if the timing of primary-tumor treatment does not meet the guidance?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6">
        <w:r>
          <w:rPr>
            <w:color w:val="0563C1"/>
            <w:u w:val="single"/>
          </w:rPr>
          <w:t xml:space="preserve">Confirm primary treatment and timing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contains additional synchronous-primary timing requirements, including primary resection &gt;6 months after diagnosis and further chemotherapy/stability windows.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pp.9–10, including timing/progression footnotes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Primary-tumor management must remain clinically appropriate; transplant selection must not drive unsafe delay of needed surgery.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2021 · resectability / selection pp.3–5; response assessment pp.7–8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Create a dated chronology and request a documented interpretation if the sequence differs. Do not retrospectively relabel dates or defer necessary care to satisfy wording.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This is a true allocation interpretation issue, not a website checkbox.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Colorectal surgery · transplant physician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G4 / G6 — How should CEA exactly 80 and the progression footnote be interpreted?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Review molecular markers and CEA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Treat and observe</w:t>
        </w:r>
      </w:hyperlink>
      <w:r>
        <w:rPr>
          <w:b w:val="0"/>
          <w:i w:val="0"/>
        </w:rPr>
        <w:t xml:space="preserve"> · </w:t>
      </w:r>
      <w:hyperlink r:id="rId18">
        <w:r>
          <w:rPr>
            <w:color w:val="0563C1"/>
            <w:u w:val="single"/>
          </w:rPr>
          <w:t xml:space="preserve">Request and renew the MELD exception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“Carcinoembryonic antigen (CEA) greater than 80 µg/L”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Initial exclusion wording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“CEA less than 80 µg/L”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Extension wording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progression footnote uses &gt;10% diameter increase or any new lesion, while calling it RECIST; usual RECIST 1.1 progression is not this threshold.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pp.9–10, including timing/progression footnotes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Statement 25 distinguishes rising versus falling CEA &gt;80; this is not the same as the NLRB exclusion.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2021 · resectability / selection pp.3–5; response assessment pp.7–8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 not automatically qualify exact 80 or override an exclusion with a falling trend. Record clinical RECIST assessment separately from the NLRB guidance threshold and seek review for boundary cases.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Where guidance and consensus differ, record which criterion applies to the MELD-exception request and which informs treatment.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Oncology · radiology · allocation leadership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G4 /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G5 — Can ctDNA or altered PET timing substitute for required imaging?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20">
        <w:r>
          <w:rPr>
            <w:color w:val="0563C1"/>
            <w:u w:val="single"/>
          </w:rPr>
          <w:t xml:space="preserve">Restage for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CT/MRI and PET are specified within the initial-request window; PET is specified after a chemotherapy-free interval.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pp.9–10, including timing/progression footnotes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Cross-sectional imaging is central to resectability and response assessment.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2021 · resectability / selection pp.3–5; response assessment pp.7–8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Use ctDNA as additional prognostic/research information only. Coordinate the PET interval safely; seek interpretation rather than silently omit a specified test.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An investigational biomarker is not a validated replacement for the staging pathway.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Nuclear medicine · oncology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CRLM G6 — Who renews the MELD exception, confirms readiness for transplantation and plans recurrence surveillance?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8">
        <w:r>
          <w:rPr>
            <w:color w:val="0563C1"/>
            <w:u w:val="single"/>
          </w:rPr>
          <w:t xml:space="preserve">Request and renew the MELD exception</w:t>
        </w:r>
      </w:hyperlink>
      <w:r>
        <w:rPr>
          <w:b w:val="0"/>
          <w:i w:val="0"/>
        </w:rPr>
        <w:t xml:space="preserve"> · </w:t>
      </w:r>
      <w:hyperlink r:id="rId22">
        <w:r>
          <w:rPr>
            <w:color w:val="0563C1"/>
            <w:u w:val="single"/>
          </w:rPr>
          <w:t xml:space="preserve">Transplant and follow-up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CRLM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“Every 3 months”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Extension evaluation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IHPBA · CRLM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Multidisciplinary selection and follow-up are central to CRLM transplantation.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2021 · resectability / selection pp.3–5; response assessment pp.7–8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Assign separate owners for imaging/CEA renewal, clinical candidacy and postoperative oncology; record new concerns at each transition.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Keeping an exception current is not the same as keeping a patient suitable for transplantation.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Coordinator · transplant team · colorectal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CRLM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IHPBA · CRLM</w:t>
      </w:r>
      <w:r>
        <w:rPr>
          <w:b w:val="0"/>
          <w:i w:val="0"/>
          <w:sz w:val="19"/>
        </w:rPr>
        <w:t xml:space="preserve"> — Liver transplantation for non-resectable CRLM: IHPBA consensus guidelines</w:t>
      </w:r>
      <w:r>
        <w:rPr>
          <w:b w:val="0"/>
          <w:i w:val="0"/>
          <w:sz w:val="19"/>
        </w:rPr>
        <w:t xml:space="preserve">  </w:t>
      </w:r>
      <w:hyperlink r:id="rId24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CRLM</w:t>
      </w:r>
      <w:r>
        <w:rPr>
          <w:b w:val="0"/>
          <w:i w:val="0"/>
          <w:sz w:val="19"/>
        </w:rPr>
        <w:t xml:space="preserve"> — Adult MELD exception review guidance — CRLM</w:t>
      </w:r>
      <w:r>
        <w:rPr>
          <w:b w:val="0"/>
          <w:i w:val="0"/>
          <w:sz w:val="19"/>
        </w:rPr>
        <w:t xml:space="preserve">  </w:t>
      </w:r>
      <w:hyperlink r:id="rId25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TransMet · RCT</w:t>
      </w:r>
      <w:r>
        <w:rPr>
          <w:b w:val="0"/>
          <w:i w:val="0"/>
          <w:sz w:val="19"/>
        </w:rPr>
        <w:t xml:space="preserve"> — Liver transplantation plus chemotherapy versus chemotherapy alone: TransMet</w:t>
      </w:r>
      <w:r>
        <w:rPr>
          <w:b w:val="0"/>
          <w:i w:val="0"/>
          <w:sz w:val="19"/>
        </w:rPr>
        <w:t xml:space="preserve">  </w:t>
      </w:r>
      <w:hyperlink r:id="rId26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crlm/#map-disease" TargetMode="External"/><Relationship Id="rId9" Type="http://schemas.openxmlformats.org/officeDocument/2006/relationships/hyperlink" Target="https://drliuhao.github.io/mh-liver-pathways/transplant/crlm/#unresectability" TargetMode="External"/><Relationship Id="rId10" Type="http://schemas.openxmlformats.org/officeDocument/2006/relationships/hyperlink" Target="https://drliuhao.github.io/mh-liver-pathways/transplant/crlm/#meeting-unresectability" TargetMode="External"/><Relationship Id="rId11" Type="http://schemas.openxmlformats.org/officeDocument/2006/relationships/hyperlink" Target="https://drliuhao.github.io/mh-liver-pathways/transplant/crlm/#meeting-treated-lesions" TargetMode="External"/><Relationship Id="rId12" Type="http://schemas.openxmlformats.org/officeDocument/2006/relationships/hyperlink" Target="https://drliuhao.github.io/mh-liver-pathways/transplant/crlm/#biology" TargetMode="External"/><Relationship Id="rId13" Type="http://schemas.openxmlformats.org/officeDocument/2006/relationships/hyperlink" Target="https://drliuhao.github.io/mh-liver-pathways/transplant/crlm/#meeting-molecular-gates" TargetMode="External"/><Relationship Id="rId14" Type="http://schemas.openxmlformats.org/officeDocument/2006/relationships/hyperlink" Target="https://drliuhao.github.io/mh-liver-pathways/transplant/crlm/#control" TargetMode="External"/><Relationship Id="rId15" Type="http://schemas.openxmlformats.org/officeDocument/2006/relationships/hyperlink" Target="https://drliuhao.github.io/mh-liver-pathways/transplant/crlm/#meeting-control-clock" TargetMode="External"/><Relationship Id="rId16" Type="http://schemas.openxmlformats.org/officeDocument/2006/relationships/hyperlink" Target="https://drliuhao.github.io/mh-liver-pathways/transplant/crlm/#clocks" TargetMode="External"/><Relationship Id="rId17" Type="http://schemas.openxmlformats.org/officeDocument/2006/relationships/hyperlink" Target="https://drliuhao.github.io/mh-liver-pathways/transplant/crlm/#meeting-primary-clocks" TargetMode="External"/><Relationship Id="rId18" Type="http://schemas.openxmlformats.org/officeDocument/2006/relationships/hyperlink" Target="https://drliuhao.github.io/mh-liver-pathways/transplant/crlm/#review" TargetMode="External"/><Relationship Id="rId19" Type="http://schemas.openxmlformats.org/officeDocument/2006/relationships/hyperlink" Target="https://drliuhao.github.io/mh-liver-pathways/transplant/crlm/#meeting-cea-progression" TargetMode="External"/><Relationship Id="rId20" Type="http://schemas.openxmlformats.org/officeDocument/2006/relationships/hyperlink" Target="https://drliuhao.github.io/mh-liver-pathways/transplant/crlm/#restaging" TargetMode="External"/><Relationship Id="rId21" Type="http://schemas.openxmlformats.org/officeDocument/2006/relationships/hyperlink" Target="https://drliuhao.github.io/mh-liver-pathways/transplant/crlm/#meeting-restaging" TargetMode="External"/><Relationship Id="rId22" Type="http://schemas.openxmlformats.org/officeDocument/2006/relationships/hyperlink" Target="https://drliuhao.github.io/mh-liver-pathways/transplant/crlm/#transplant" TargetMode="External"/><Relationship Id="rId23" Type="http://schemas.openxmlformats.org/officeDocument/2006/relationships/hyperlink" Target="https://drliuhao.github.io/mh-liver-pathways/transplant/crlm/#meeting-ownership" TargetMode="External"/><Relationship Id="rId24" Type="http://schemas.openxmlformats.org/officeDocument/2006/relationships/hyperlink" Target="https://doi.org/10.1016/S2468-1253(21)00219-3" TargetMode="External"/><Relationship Id="rId25" Type="http://schemas.openxmlformats.org/officeDocument/2006/relationships/hyperlink" Target="https://www.hrsa.gov/sites/default/files/hrsa/optn/adult-meld-exception-transplant-oncology-review-guidance.pdf#page=9" TargetMode="External"/><Relationship Id="rId26" Type="http://schemas.openxmlformats.org/officeDocument/2006/relationships/hyperlink" Target="https://doi.org/10.1016/S0140-6736(24)01595-2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