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keepNext/>
        <w:widowControl/>
      </w:pPr>
      <w:r>
        <w:t xml:space="preserve">UTHealth Houston and Memorial Hermann High Risk Liver Transplant Protocol for Colorectal Liver Metastases</w:t>
      </w:r>
    </w:p>
    <w:p>
      <w:pPr>
        <w:pStyle w:val="Normal"/>
        <w:widowControl/>
      </w:pPr>
      <w:r>
        <w:t xml:space="preserve">Distinguish a TransMet-like clinical population and current US nonstandard-exception guidance from specific proposed expansions. The central clinical requirement is persistent inability to achieve durable complete clearance by nontransplant treatment, not simply lesion number or an abnormal biomarker.</w:t>
      </w:r>
    </w:p>
    <w:p>
      <w:pPr>
        <w:spacing w:after="120"/>
      </w:pPr>
      <w:r>
        <w:rPr>
          <w:i/>
          <w:sz w:val="18"/>
        </w:rPr>
        <w:t xml:space="preserve">Standardized document set, 29 October 2026: this is the full-content document for the high-risk pathway. Questions for consensus: CRLM_6_High_Risk_Pathway_Questions.docx. Decision discussion for all settings: CRLM_7_Decision_Discussion.docx. Web page: https://drliuhao.github.io/mh-liver-pathways/transplant/crlm/#high-risk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evidence basis</w:t>
      </w:r>
    </w:p>
    <w:p>
      <w:pPr>
        <w:pStyle w:val="Normal"/>
        <w:widowControl/>
      </w:pPr>
      <w:r>
        <w:t xml:space="preserve">TransMet randomized 94 patients, 47 per arm. Five-year intention-to-treat OS from randomization was 56.6% with LT plus chemotherapy versus 12.6% with chemotherapy alone, HR 0.37 (95% CI 0.21–0.65). Thirty-eight assigned to LT received a graft, 36 were in the LT per-protocol analysis, and two control crossovers produced a 40-recipient safety population. These denominators must remain separate.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Recurrence affected 26/36 per-protocol recipients. Serious adverse events affected 32/40 safety-population recipients and three required retransplantation. Median time to LT after randomization was approximately 50.5 days; accelerated access was part of the trial strategy. A center with different access cannot assume identical outcomes. Recurrence salvage may prolong survival but does not make recurrence harmless or uniformly curable.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The former high-risk protocol relied on a conference abstract for multiple selection rules. It no longer accepts R1 margins, BRAF non-V600E mutation, unrestricted chemotherapy lines, MTV at or below 70 cm3, ctDNA clearance or 12–18 treatment cycles as validated transplant gates. Any expansion requires its own rationale and prospective rule.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2 Patient selection and workup</w:t>
      </w:r>
    </w:p>
    <w:p>
      <w:pPr>
        <w:pStyle w:val="Heading3"/>
        <w:keepNext/>
        <w:widowControl/>
      </w:pPr>
      <w:r>
        <w:t xml:space="preserve">2.1 Confirm the primary and original disease</w:t>
      </w:r>
    </w:p>
    <w:p>
      <w:pPr>
        <w:pStyle w:val="Normal"/>
        <w:widowControl/>
        <w:numPr>
          <w:ilvl w:val="0"/>
          <w:numId w:val="3"/>
        </w:numPr>
      </w:pPr>
      <w:r>
        <w:t xml:space="preserve">Obtain colorectal primary pathology, operative/margin and nodal reports, all prior liver-resection/ablation reports and the pretreatment lesion map. Confirm adenocarcinoma and document RAS/BRAF and mismatch-repair/microsatellite status.</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Order or review chest/abdomen/pelvis CT, high-quality liver MRI when needed for lesion mapping, CEA with units/date, colonoscopy status and PET according to the intended selection/allocation pathway. Review ECOG, frailty, cardiopulmonary risk, renal function and chemotherapy-related marrow or liver injury.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U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Age and performance limits used in a particular trial are not universal national rules. Fitness or age expansions still need explicit benefit/risk assessment; do not open ECOG 2 or heavily pretreated cohorts simply because they were listed in an abstract.</w:t>
      </w:r>
    </w:p>
    <w:p>
      <w:pPr>
        <w:pStyle w:val="Heading3"/>
        <w:keepNext/>
        <w:widowControl/>
      </w:pPr>
      <w:r>
        <w:t xml:space="preserve">2.2 Certify persistent unresectability</w:t>
      </w:r>
    </w:p>
    <w:p>
      <w:pPr>
        <w:pStyle w:val="Normal"/>
        <w:widowControl/>
        <w:numPr>
          <w:ilvl w:val="0"/>
          <w:numId w:val="3"/>
        </w:numPr>
      </w:pPr>
      <w:r>
        <w:t xml:space="preserve">HPB surgery, radiology and an ablation/HAI-capable team must review a lesion-by-lesion map. For every baseline site, record current visibility, suspected viability, prior resection/ablation, vascular relationship and whether complete clearance is possible. Record future remnant volume/function and the specific reason a one-stage, staged, hypertrophy-assisted or combined resection/ablation approach cannot provide durable clearance.</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Repeat this assessment after meaningful treatment response and before LT activation. A prior hepatectomy, bilobar distribution, many lesions or KRAS mutation alone does not establish permanent unresectability or automatically force a high-risk pathway.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pPr>
      <w:r>
        <w:t xml:space="preserve">In an HAI cohort, 23 of 483 patients met modified transplant-selection criteria and 18 underwent resection. Five-year OS was approximately 53% from HAI initiation. This supports renewed conversion review, not equivalence with LT or a requirement that every patient receive HAI.</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Heading3"/>
        <w:keepNext/>
        <w:widowControl/>
      </w:pPr>
      <w:bookmarkStart w:id="1" w:name="CRLM_B1"/>
      <w:r>
        <w:t xml:space="preserve">CRLM-B1 — What exactly proves persistent unresectability?</w:t>
      </w:r>
      <w:bookmarkEnd w:id="1"/>
    </w:p>
    <w:p>
      <w:pPr>
        <w:pStyle w:val="Heading3"/>
        <w:keepNext/>
        <w:widowControl/>
      </w:pPr>
      <w:r>
        <w:t xml:space="preserve">Question and comparison</w:t>
      </w:r>
    </w:p>
    <w:p>
      <w:pPr>
        <w:pStyle w:val="Normal"/>
        <w:widowControl/>
        <w:spacing w:before="60" w:after="20"/>
      </w:pPr>
      <w:r>
        <w:t xml:space="preserve">In an otherwise transplant-eligible patient with liver-only CRLM, what evidence should establish persistent unresectability after modern systemic therapy, versus an achievable resection/ablation/conversion strategy?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8">
              <w:r>
                <w:rPr>
                  <w:color w:val="77230C"/>
                  <w:sz w:val="20"/>
                  <w:u w:val="single"/>
                </w:rPr>
                <w:t>Primary source</w:t>
              </w:r>
            </w:hyperlink>
            <w:r>
              <w:t xml:space="preserve"> | </w:t>
            </w:r>
            <w:hyperlink r:id="rId9">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10">
              <w:r>
                <w:rPr>
                  <w:color w:val="77230C"/>
                  <w:sz w:val="20"/>
                  <w:u w:val="single"/>
                </w:rPr>
                <w:t>Primary source</w:t>
              </w:r>
            </w:hyperlink>
            <w:r>
              <w:t xml:space="preserve"> | </w:t>
            </w:r>
            <w:hyperlink r:id="rId11">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2020 · SECA-II</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Ni03XTwvRGlzcGxheVRleHQ+PHJlY29yZD48cmVjLW51bWJlcj43PC9yZWMtbnVtYmVyPjxmb3JlaWduLWtleXM+PGtleSBhcHA9IkVOIiBkYi1pZD0iNGE3ZWQxMTMtMzUwNi01ZTAyLWE4YWEtM2FjNTc3MTUwMTY0IiB0aW1lc3RhbXA9IjE3OTMyODM2ODU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Prospective single-centre, single-arm study, 15 transplanted April 2012–November 2016. R0 primary, ECOG 0–1, no current or prior extrahepatic metastasis/local relapse, liver-only unresectable disease. At least 10% chemotherapy shrinkage; before treatment no lesion &gt;10 cm; when &gt;30 lesions, all &lt;5 cm and at least 30% shrinkage. Less than 10% chemotherapy response could be supplemented by at least 20% response to DEB-IRI or Y90. Table 1 requires at least one year from CRC diagnosis to listing, not merely an elapsed year by transplantation.</w:t>
            </w:r>
          </w:p>
          <w:p>
            <w:pPr>
              <w:pStyle w:val="Normal"/>
              <w:widowControl/>
              <w:spacing w:before="60" w:after="20"/>
            </w:pPr>
            <w:hyperlink r:id="rId12">
              <w:r>
                <w:rPr>
                  <w:color w:val="77230C"/>
                  <w:sz w:val="20"/>
                  <w:u w:val="single"/>
                </w:rPr>
                <w:t>Primary source</w:t>
              </w:r>
            </w:hyperlink>
            <w:r>
              <w:t xml:space="preserve"> | </w:t>
            </w:r>
            <w:hyperlink r:id="rId13">
              <w:r>
                <w:rPr>
                  <w:color w:val="77230C"/>
                  <w:sz w:val="20"/>
                  <w:u w:val="single"/>
                </w:rPr>
                <w:t>Full-text PDF</w:t>
              </w:r>
            </w:hyperlink>
          </w:p>
          <w:p>
            <w:pPr>
              <w:pStyle w:val="Normal"/>
              <w:widowControl/>
              <w:spacing w:before="60" w:after="20"/>
            </w:pPr>
            <w:r>
              <w:t xml:space="preserve">Locator: Printed pp 212–218; eligibility Table 1 p 213; outcomes and complications p 214; relapse Table 4 and cohort comparison Table 5 p 216.</w:t>
            </w:r>
          </w:p>
          <w:p>
            <w:pPr>
              <w:pStyle w:val="Normal"/>
              <w:widowControl/>
              <w:spacing w:before="60" w:after="20"/>
            </w:pPr>
            <w:r>
              <w:t xml:space="preserve">Review depth: Complete seven-page published main article read, including methods, Tables 1–5, figures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Fifteen transplanted; no wait-list dropout, median wait 29 days (7–148). OS and DFS start at LT. Median follow-up among living patients 36 months (5–60); five-year estimates have very few at risk. Median diagnosis-to-LT 24.0 months and primary resection-to-LT 22.6 months. One-, three- and five-year OS 100%, 83%, 83%; median DFS 13.7 months; one-, two-, three-year DFS 53%, 44%, 35%. Eight recurrences, six initially/only pulmonary. Five patients underwent six lung resections. Median interval detection-to-lung resection 21.4 months illustrates selection and slow growth, not a required waiting interval. Eleven of 15 were NED at last follow-up: seven never relapsed and four after salvage. Three-year NED 76.4% is not the same endpoint as DFS. Grade IIIa–IVa complications in seven of 15 (47%); no adjuvant chemotherapy. Two deaths from recurrence at 26 months.</w:t>
            </w:r>
          </w:p>
          <w:p>
            <w:pPr>
              <w:pStyle w:val="Normal"/>
              <w:widowControl/>
              <w:spacing w:before="60" w:after="20"/>
            </w:pPr>
            <w:r>
              <w:rPr>
                <w:b/>
              </w:rPr>
              <w:t xml:space="preserve">Do not infer: </w:t>
            </w:r>
            <w:r>
              <w:t xml:space="preserve">Highly selected recipients, no randomised comparator or all-evaluated denominator; favourable Oslo scores 0–1, CEA 1–30 and largest pre-LT lesions 3–47 mm. The comparison with expected chemotherapy survival is historical/selected and should not be used as a causal effect estimate. SECA-II long-term report expands and overlaps this cohort; do not count as an independent replication. Single old-era immunosuppression protocol is not a validated best regimen. Supplement access: No separate supplemental file is cited in the main paper.</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U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14">
              <w:r>
                <w:rPr>
                  <w:color w:val="77230C"/>
                  <w:sz w:val="20"/>
                  <w:u w:val="single"/>
                </w:rPr>
                <w:t>Primary source</w:t>
              </w:r>
            </w:hyperlink>
            <w:r>
              <w:t xml:space="preserve"> | </w:t>
            </w:r>
            <w:hyperlink r:id="rId15">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16">
              <w:r>
                <w:rPr>
                  <w:color w:val="77230C"/>
                  <w:sz w:val="20"/>
                  <w:u w:val="single"/>
                </w:rPr>
                <w:t>Primary source</w:t>
              </w:r>
            </w:hyperlink>
            <w:r>
              <w:t xml:space="preserve"> | </w:t>
            </w:r>
            <w:hyperlink r:id="rId17">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tc>
          <w:tcPr>
            <w:tcW w:w="34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CIRSE consensus standards for portal-vein embolization and liver venous deprivation, 2024; not a transplant-versus-resection comparative trial.</w:t>
            </w:r>
          </w:p>
          <w:p>
            <w:pPr>
              <w:pStyle w:val="Normal"/>
              <w:widowControl/>
              <w:spacing w:before="60" w:after="20"/>
            </w:pPr>
            <w:hyperlink r:id="rId18">
              <w:r>
                <w:rPr>
                  <w:color w:val="77230C"/>
                  <w:sz w:val="20"/>
                  <w:u w:val="single"/>
                </w:rPr>
                <w:t>Primary source</w:t>
              </w:r>
            </w:hyperlink>
            <w:r>
              <w:t xml:space="preserve"> | </w:t>
            </w:r>
            <w:hyperlink r:id="rId19">
              <w:r>
                <w:rPr>
                  <w:color w:val="77230C"/>
                  <w:sz w:val="20"/>
                  <w:u w:val="single"/>
                </w:rPr>
                <w:t>Full-text PDF</w:t>
              </w:r>
            </w:hyperlink>
          </w:p>
          <w:p>
            <w:pPr>
              <w:pStyle w:val="Normal"/>
              <w:widowControl/>
              <w:spacing w:before="60" w:after="20"/>
            </w:pPr>
            <w:r>
              <w:t xml:space="preserve">Locator: Cardiovasc Intervent Radiol 2024;47:1025–1036; complete PDF patient selection/FLR assessment.</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Frequently used planning benchmarks are approximately &gt;20% normal parenchyma, &gt;30% chemotherapy-exposed/injured liver and &gt;40% cirrhosis. These are resection-risk benchmarks, not an LT eligibility test or a guarantee of safe resection.</w:t>
            </w:r>
          </w:p>
          <w:p>
            <w:pPr>
              <w:pStyle w:val="Normal"/>
              <w:widowControl/>
              <w:spacing w:before="60" w:after="20"/>
            </w:pPr>
            <w:r>
              <w:rPr>
                <w:b/>
              </w:rPr>
              <w:t xml:space="preserve">Do not infer: </w:t>
            </w:r>
            <w:r>
              <w:t xml:space="preserve">Volume cannot substitute for function, and the relevant injury severity differs by patient. Failure of a numerical FLR threshold alone does not establish persistent oncological unresectability if PVE/LVD, staged or parenchymal-sparing treatment remains feasible.</w:t>
            </w:r>
          </w:p>
        </w:tc>
      </w:tr>
    </w:tbl>
    <w:p>
      <w:pPr>
        <w:pStyle w:val="Heading3"/>
        <w:keepNext/>
        <w:widowControl/>
      </w:pPr>
      <w:r>
        <w:t xml:space="preserve">Synthesis and evidence that challenges the proposal</w:t>
      </w:r>
    </w:p>
    <w:p>
      <w:pPr>
        <w:pStyle w:val="Normal"/>
        <w:widowControl/>
        <w:spacing w:before="60" w:after="20"/>
      </w:pPr>
      <w:r>
        <w:t xml:space="preserve">The best evidence supports LT only after a credible expert determination that complete, safe hepatic clearance cannot be achieved. TransMet excluded equivocal unresectability and used independent adjudication. The HAIP series shows that a subset labelled transplant-like can convert, but does not prove mandatory HAIP or equal survival. Long-term SECA-II supports durable benefit in narrowly selected unresectable disease, not a shortcut around reconstruction, ablation or FLR review. SECA-II follow-up is an expanded overlapping cohort, not independent replication. The original Table 1 requires one year from colorectal-cancer diagnosis to listing; this study criterion must not replace the separate current NLRB CRLM-diagnosis-to-exception rule.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Ni03XTwvRGlzcGxheVRleHQ+PHJlY29yZD48cmVjLW51bWJlcj43PC9yZWMtbnVtYmVyPjxmb3JlaWduLWtleXM+PGtleSBhcHA9IkVOIiBkYi1pZD0iNGE3ZWQxMTMtMzUwNi01ZTAyLWE4YWEtM2FjNTc3MTUwMTY0IiB0aW1lc3RhbXA9IjE3OTMyODM2ODU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U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spacing w:before="60" w:after="20"/>
      </w:pPr>
      <w:r>
        <w:t xml:space="preserve">Many initially unresectable patients can be converted; HAIP brought 18/23 highly selected pretreated patients to resection, although most recurred and only 10/18 were R0. A high lesion count, bilobar distribution, chemotherapy injury or a low raw FLR alone is insufficient. Conversely, mandatory repeated conversion attempts can expose patients to biliary injury and progression without validated benefit.</w:t>
      </w:r>
    </w:p>
    <w:p>
      <w:pPr>
        <w:pStyle w:val="Normal"/>
        <w:widowControl/>
        <w:spacing w:before="60" w:after="20"/>
      </w:pPr>
      <w:r>
        <w:rPr>
          <w:b/>
        </w:rPr>
        <w:t xml:space="preserve">Certainty / applicability: </w:t>
      </w:r>
      <w:r>
        <w:t xml:space="preserve">Moderate-to-high certainty for the TransMet treatment strategy in its restricted randomized population; low certainty for an individual unresectability threshold, comparative HAIP effect, and broad expansions. FLR cutoffs are technical risk guidance, not predictive LT-benefit biomarkers.</w:t>
      </w:r>
    </w:p>
    <w:p>
      <w:pPr>
        <w:pStyle w:val="Heading3"/>
        <w:keepNext/>
        <w:widowControl/>
      </w:pPr>
      <w:r>
        <w:t xml:space="preserve">Where each proposed threshold comes from</w:t>
      </w:r>
    </w:p>
    <w:p>
      <w:pPr>
        <w:pStyle w:val="Normal"/>
        <w:widowControl/>
        <w:numPr>
          <w:ilvl w:val="0"/>
          <w:numId w:val="3"/>
        </w:numPr>
        <w:spacing w:before="60" w:after="20"/>
      </w:pPr>
      <w:r>
        <w:t xml:space="preserve">20/30/40% FLR values originate in hepatectomy planning, not validated LT-selection trials. Two reviewers and reassessment within 30 days before activation, with imaging about every eight weeks during treatment, are proposed local workflow intervals. The national exception application requires its own current staging intervals; a 30-day local review does not replace them.</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“at least two expert liver surgeons”</w:t>
            </w:r>
          </w:p>
          <w:p>
            <w:pPr>
              <w:pStyle w:val="Normal"/>
              <w:widowControl/>
              <w:spacing w:before="60" w:after="20"/>
            </w:pPr>
            <w:r>
              <w:t xml:space="preserve">Published PDF p3 / journal p1109, Procedures</w:t>
            </w:r>
          </w:p>
          <w:p>
            <w:pPr>
              <w:pStyle w:val="Normal"/>
              <w:widowControl/>
              <w:spacing w:before="60" w:after="20"/>
            </w:pPr>
            <w:hyperlink r:id="rId20">
              <w:r>
                <w:rPr>
                  <w:color w:val="77230C"/>
                  <w:sz w:val="20"/>
                  <w:u w:val="single"/>
                </w:rPr>
                <w:t>Source</w:t>
              </w:r>
            </w:hyperlink>
            <w:r>
              <w:t xml:space="preserve"> | </w:t>
            </w:r>
            <w:hyperlink r:id="rId2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Independent expert unresectability assessment was part of the trial, not inferred from tumor count.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“does not estimate the function and regenerative capacity of FLR”</w:t>
            </w:r>
          </w:p>
          <w:p>
            <w:pPr>
              <w:pStyle w:val="Normal"/>
              <w:widowControl/>
              <w:spacing w:before="60" w:after="20"/>
            </w:pPr>
            <w:r>
              <w:t xml:space="preserve">CIRSE 2024, Indications and Contra-Indications; thresholds in Table 2</w:t>
            </w:r>
          </w:p>
          <w:p>
            <w:pPr>
              <w:pStyle w:val="Normal"/>
              <w:widowControl/>
              <w:spacing w:before="60" w:after="20"/>
            </w:pPr>
            <w:hyperlink r:id="rId22">
              <w:r>
                <w:rPr>
                  <w:color w:val="77230C"/>
                  <w:sz w:val="20"/>
                  <w:u w:val="single"/>
                </w:rPr>
                <w:t>Source</w:t>
              </w:r>
            </w:hyperlink>
            <w:r>
              <w:t xml:space="preserve"> | </w:t>
            </w:r>
            <w:hyperlink r:id="rId2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CT volume alone does not establish function. Table 2 gives &gt;20%, &gt;30% and &gt;40% suggested resection thresholds for normal, chemotherapy-exposed and cirrhotic/cholestatic liver respectively.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expert HPB certifications of persistent unresectability, not a lesion-count shortcut.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U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c8L1JlY051bT48RGlzcGxheVRleHQ+W1YxNi03XTwvRGlzcGxheVRleHQ+PHJlY29yZD48cmVjLW51bWJlcj43PC9yZWMtbnVtYmVyPjxmb3JlaWduLWtleXM+PGtleSBhcHA9IkVOIiBkYi1pZD0iNGE3ZWQxMTMtMzUwNi01ZTAyLWE4YWEtM2FjNTc3MTUwMTY0IiB0aW1lc3RhbXA9IjE3OTMyODM2ODUiPjc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U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S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Proposed gate: two HPB surgeons, including one who is not the proposed transplant surgeon, agree that complete nontransplant clearance is infeasible.</w:t>
      </w:r>
    </w:p>
    <w:p>
      <w:pPr>
        <w:pStyle w:val="Normal"/>
        <w:widowControl/>
        <w:numPr>
          <w:ilvl w:val="1"/>
          <w:numId w:val="3"/>
        </w:numPr>
        <w:spacing w:before="60" w:after="20"/>
      </w:pPr>
      <w:r>
        <w:t xml:space="preserve">Include radiology, oncology and an ablation/HAI-capable clinician; disagreement is HOLD with independent external review.</w:t>
      </w:r>
    </w:p>
    <w:p>
      <w:pPr>
        <w:pStyle w:val="Normal"/>
        <w:widowControl/>
        <w:numPr>
          <w:ilvl w:val="0"/>
          <w:numId w:val="3"/>
        </w:numPr>
      </w:pPr>
      <w:r>
        <w:t xml:space="preserve">Review parenchymal-sparing, staged, combined resection/ablation and hypertrophy-assisted options.</w:t>
      </w:r>
    </w:p>
    <w:p>
      <w:pPr>
        <w:pStyle w:val="Normal"/>
        <w:widowControl/>
        <w:numPr>
          <w:ilvl w:val="1"/>
          <w:numId w:val="3"/>
        </w:numPr>
        <w:spacing w:before="60" w:after="20"/>
      </w:pPr>
      <w:r>
        <w:t xml:space="preserve">Use FLR benchmarks of about 20% in normal liver, 30% in chemotherapy-injured liver and 40% in cirrhosis to assess resection—not as automatic LT criteria.</w:t>
      </w:r>
    </w:p>
    <w:p>
      <w:pPr>
        <w:pStyle w:val="Normal"/>
        <w:widowControl/>
        <w:numPr>
          <w:ilvl w:val="1"/>
          <w:numId w:val="3"/>
        </w:numPr>
        <w:spacing w:before="60" w:after="20"/>
      </w:pPr>
      <w:r>
        <w:t xml:space="preserve">Assess function, inflow, outflow and biliary drainage as well as volume.</w:t>
      </w:r>
    </w:p>
    <w:p>
      <w:pPr>
        <w:pStyle w:val="Normal"/>
        <w:widowControl/>
        <w:numPr>
          <w:ilvl w:val="0"/>
          <w:numId w:val="3"/>
        </w:numPr>
      </w:pPr>
      <w:r>
        <w:t xml:space="preserve">Renew certification after meaningful response or material treatment change and within 30 days before LT activation.</w:t>
      </w:r>
    </w:p>
    <w:p>
      <w:pPr>
        <w:pStyle w:val="Normal"/>
        <w:widowControl/>
        <w:numPr>
          <w:ilvl w:val="1"/>
          <w:numId w:val="3"/>
        </w:numPr>
        <w:spacing w:before="60" w:after="20"/>
      </w:pPr>
      <w:r>
        <w:t xml:space="preserve">Restage approximately every eight weeks on active treatment.</w:t>
      </w:r>
    </w:p>
    <w:p>
      <w:pPr>
        <w:pStyle w:val="Normal"/>
        <w:widowControl/>
        <w:numPr>
          <w:ilvl w:val="1"/>
          <w:numId w:val="3"/>
        </w:numPr>
        <w:spacing w:before="60" w:after="20"/>
      </w:pPr>
      <w:r>
        <w:t xml:space="preserve">Consider HAI conversion when appropriate; do not mandate HAI treatment for every patient.</w:t>
      </w:r>
    </w:p>
    <w:p>
      <w:pPr>
        <w:pStyle w:val="Normal"/>
        <w:widowControl/>
        <w:numPr>
          <w:ilvl w:val="0"/>
          <w:numId w:val="3"/>
        </w:numPr>
      </w:pPr>
      <w:r>
        <w:t xml:space="preserve">Before induction/incision, the responsible transplant team must review and document the final staging report, not merely that the scan was performed; a pending or newly discordant result is HOLD.</w:t>
      </w:r>
    </w:p>
    <w:p>
      <w:pPr>
        <w:pStyle w:val="Normal"/>
        <w:widowControl/>
        <w:numPr>
          <w:ilvl w:val="1"/>
          <w:numId w:val="3"/>
        </w:numPr>
        <w:spacing w:before="60" w:after="20"/>
      </w:pPr>
      <w:r>
        <w:t xml:space="preserve">This is a proposed local safety process, informed by an inadvertently transplanted progression case in SECA-II.</w:t>
      </w:r>
    </w:p>
    <w:p>
      <w:pPr>
        <w:pStyle w:val="Normal"/>
        <w:widowControl/>
        <w:spacing w:before="60" w:after="20"/>
      </w:pPr>
      <w:r>
        <w:rPr>
          <w:b/>
        </w:rPr>
        <w:t xml:space="preserve">Why retain or change it: </w:t>
      </w:r>
      <w:r>
        <w:t xml:space="preserve">Retain an OPEN two-expert certification requirement, one reviewer independent of the transplant operating team. The form must record original/current lesion map; feasible R0/complete ablation plan or reason impossible; FLR volume AND functional/parenchymal assessment; vascular inflow/outflow and biliary drainage; parenchymal-sparing, staged and hypertrophy options; and a documented HAIP/conversion opinion where clinically accessible. A feasible safe curative non-LT plan returns to that pathway. Do not require every modality to fail or administer treatment solely to create eligibility. Institutional decision remains blank.</w:t>
      </w:r>
    </w:p>
    <w:p>
      <w:pPr>
        <w:pStyle w:val="Heading3"/>
        <w:keepNext/>
        <w:widowControl/>
      </w:pPr>
      <w:r>
        <w:t xml:space="preserve">Information required before the decision</w:t>
      </w:r>
    </w:p>
    <w:p>
      <w:pPr>
        <w:pStyle w:val="Normal"/>
        <w:widowControl/>
        <w:spacing w:before="60" w:after="20"/>
      </w:pPr>
      <w:r>
        <w:t xml:space="preserve">Pretreatment/current lesion maps including disappearing sites; contrast liver MRI and systemic staging; volumetry/function; vascular/biliary map; prior treatments; signed alternative-clearance assessment. Obtain a specialized conversion/HAIP opinion when clinically appropriate and accessible; document why it is omitted otherwise. A mandatory opinion is not a requirement to expose every patient to HAIP.</w:t>
      </w:r>
    </w:p>
    <w:p>
      <w:pPr>
        <w:pStyle w:val="Normal"/>
        <w:widowControl/>
        <w:spacing w:before="60" w:after="20"/>
      </w:pPr>
      <w:r>
        <w:rPr>
          <w:b/>
        </w:rPr>
        <w:t xml:space="preserve">Clinical versus allocation: </w:t>
      </w:r>
      <w:r>
        <w:t xml:space="preserve">Persistent unresectability is a clinical finding; the separate NLRB molecular, timing, imaging and response requirements still apply if exception review is pursued.</w:t>
      </w:r>
    </w:p>
    <w:p>
      <w:pPr>
        <w:pStyle w:val="Normal"/>
        <w:widowControl/>
        <w:spacing w:before="60" w:after="20"/>
      </w:pPr>
      <w:r>
        <w:rPr>
          <w:b/>
        </w:rPr>
        <w:t xml:space="preserve">Roadmap / protocol reconciliation: </w:t>
      </w:r>
      <w:r>
        <w:t xml:space="preserve">Use the CRLM roadmap’s conversion and resection/ablation/HAI options before assigning the transplant route.</w:t>
      </w:r>
    </w:p>
    <w:p>
      <w:pPr>
        <w:pStyle w:val="Normal"/>
        <w:widowControl/>
        <w:spacing w:before="60" w:after="20"/>
      </w:pPr>
      <w:hyperlink r:id="rId24">
        <w:r>
          <w:rPr>
            <w:color w:val="77230C"/>
            <w:sz w:val="20"/>
            <w:u w:val="single"/>
          </w:rPr>
          <w:t>Meeting record: CRLM-B1</w:t>
        </w:r>
      </w:hyperlink>
      <w:r>
        <w:t xml:space="preserve">  |  </w:t>
      </w:r>
      <w:hyperlink r:id="rId2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2.3 Disappearing lesions and radiographic NED</w:t>
      </w:r>
    </w:p>
    <w:p>
      <w:pPr>
        <w:pStyle w:val="Normal"/>
        <w:widowControl/>
        <w:numPr>
          <w:ilvl w:val="0"/>
          <w:numId w:val="3"/>
        </w:numPr>
      </w:pPr>
      <w:r>
        <w:t xml:space="preserve">Keep original sites on the disease map after radiographic disappearance. PET negativity or absent enhancement does not prove sterilization; correlate MRI/CT, treatment timing and the feasibility of treating the original sites.</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pPr>
      <w:r>
        <w:t xml:space="preserve">A selected 14-explant series found viable tumor in 11 explants and in 4/7 patients classified as complete radiographic response. Some patients were transplanted for treatment-related liver failure rather than persistent active unresectable cancer. These rationales must not be combined.</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Classify the indication explicitly as residual unresectable disease, uncertain occult residual risk/radiographic NED, or documented irreversible treatment-related liver failure. NED is neither proof of cure nor an automatic indication for oncologic LT.</w:t>
      </w:r>
    </w:p>
    <w:p>
      <w:pPr>
        <w:pStyle w:val="Heading3"/>
        <w:keepNext/>
        <w:widowControl/>
      </w:pPr>
      <w:bookmarkStart w:id="2" w:name="CRLM_B2"/>
      <w:r>
        <w:t xml:space="preserve">CRLM-B2 — How do we handle PET-negative/disappearing lesions or radiographic NED?</w:t>
      </w:r>
      <w:bookmarkEnd w:id="2"/>
    </w:p>
    <w:p>
      <w:pPr>
        <w:pStyle w:val="Heading3"/>
        <w:keepNext/>
        <w:widowControl/>
      </w:pPr>
      <w:r>
        <w:t xml:space="preserve">Question and comparison</w:t>
      </w:r>
    </w:p>
    <w:p>
      <w:pPr>
        <w:pStyle w:val="Normal"/>
        <w:widowControl/>
        <w:spacing w:before="60" w:after="20"/>
      </w:pPr>
      <w:r>
        <w:t xml:space="preserve">When treated CRLM disappears or becomes PET-negative, what counts as persistent disease, and should LT be considered for radiographic NED or irreversible treatment-related liver failure?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Retrospective radiology–explant study of 14 selected LT recipients; eight indications were unresectable disease and six treatment-associated liver failure/biliary complications.</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Ann Surg 2023;278:e1026–e1034; full PDF methods, radiology/explant correlation tables, Results and Discussion.</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Explant contained viable carcinoma in 11/14; nine had additional lesions not accounted for on pre-LT imaging. Four of seven imaging complete responders still had viable tumour. The three pathological complete responders were all in the liver-failure indication group.</w:t>
            </w:r>
          </w:p>
          <w:p>
            <w:pPr>
              <w:pStyle w:val="Normal"/>
              <w:widowControl/>
              <w:spacing w:before="60" w:after="20"/>
            </w:pPr>
            <w:r>
              <w:rPr>
                <w:b/>
              </w:rPr>
              <w:t xml:space="preserve">Do not infer: </w:t>
            </w:r>
            <w:r>
              <w:t xml:space="preserve">Demonstrates imperfect imaging negative predictive value, not that every scar remains viable or that prophylactic LT improves survival for radiographic NED. No non-LT or observation comparator; complete-response definition and treatment injury matter. Likely overlap with subsequent US protocols.</w:t>
            </w:r>
          </w:p>
        </w:tc>
      </w:tr>
      <w:tr>
        <w:trPr/>
        <w:tc>
          <w:tcPr>
            <w:tcW w:w="3400" w:type="dxa"/>
            <w:tcMar>
              <w:top w:w="90" w:type="dxa"/>
              <w:left w:w="90" w:type="dxa"/>
              <w:bottom w:w="90" w:type="dxa"/>
              <w:right w:w="90" w:type="dxa"/>
            </w:tcMar>
          </w:tcPr>
          <w:p>
            <w:pPr>
              <w:pStyle w:val="Normal"/>
              <w:widowControl/>
              <w:spacing w:before="60" w:after="20"/>
            </w:pPr>
            <w:r>
              <w:rPr>
                <w:b/>
              </w:rPr>
              <w:t xml:space="preserve">Kataoka 2025 · DREAM</w:t>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YtMTFdPC9EaXNwbGF5VGV4dD48cmVjb3JkPjxyZWMtbnVtYmVyPjExPC9yZWMtbnVtYmVyPjxmb3JlaWduLWtleXM+PGtleSBhcHA9IkVOIiBkYi1pZD0iNGE3ZWQxMTMtMzUwNi01ZTAyLWE4YWEtM2FjNTc3MTUwMTY0IiB0aW1lc3RhbXA9IjE3OTMyODM2ODU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Prospective international diagnostic study at 21 centres. 233 registered with initially borderline/unresectable CLM; 112 considered suitable for conversion surgery after chemotherapy and enrolled, 109 operated. WHO 0–1, with resectable extrahepatic disease allowed. R0 feasibility with functional vascular/biliary anatomy and ≥30% future liver remnant was this study's definition, not a universal LT criterion. CT disappearance = DLM; disappearance on CT and multiparametric MRI = cDLM.</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Methods pp 1213–1214; patient table p 1215; flowchart and outcomes p 1216; NPV Figure 2 p 1217; survival Figure 4 and limitations p 1218.</w:t>
            </w:r>
          </w:p>
          <w:p>
            <w:pPr>
              <w:pStyle w:val="Normal"/>
              <w:widowControl/>
              <w:spacing w:before="60" w:after="20"/>
            </w:pPr>
            <w:r>
              <w:t xml:space="preserve">Review depth: All nine PDF pages read. Complete primary study pp 1212–1220, including references; final page also begins a separate invited commentary whose continuation is not included and was not treated as complete.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203 cDLMs in 54 patients; 152 evaluable cDLMs in 44 patients (88 resected, 64 left). Fifty-one cDLMs excluded, including death before two years, missing/out-of-window MRI, ablation or pathology data. Median follow-up 26.1 months after surgery. Survival time zero is initial hepatic surgery. Primary endpoint combines pathology at surgery and lack of site recurrence at two years; these are not identical gold standards. Nonviability NPV for CT+MRI disappearance 95/152 =62.5% (90% CI 50.8–74.2), below prespecified 85%; CT-only DLM NPV 52.9%. Resected cDLMs: 50/88 nonviable, leaving 38/88 with residual viable disease. Left cDLMs: 45/64 without site recurrence at two years, 19/64 with recurrence. With CEUS and cDLM: 42/57 lesions invisible on CEUS were nonviable/no two-year site recurrence (73.7%; 90% CI 55.0–92.3), still imperfect. No equivalence to Oba's expert-centre results. Among 45 patients without extrahepatic disease and R0/R1 resection, all cDLMs removed (19) versus some left (26): DFS HR 0.92 (95% CI 0.48–1.77), OS HR 0.80 (0.21–3.08). Underpowered nonrandom comparison, not proof that resection is useless. Among 109 surgeries, grade ≥IIIa early complications 12/109 (11.0%), late complications 4/109 (3.7%); no postoperative mortality. Postoperative chemotherapy in 46/109.</w:t>
            </w:r>
          </w:p>
          <w:p>
            <w:pPr>
              <w:pStyle w:val="Normal"/>
              <w:widowControl/>
              <w:spacing w:before="60" w:after="20"/>
            </w:pPr>
            <w:r>
              <w:rPr>
                <w:b/>
              </w:rPr>
              <w:t xml:space="preserve">Do not infer: </w:t>
            </w:r>
            <w:r>
              <w:t xml:space="preserve">No central imaging review completed; mixed MRI contrast agents and intraoperative ultrasound practice. Selection and verification bias from conversion-only population and exclusions; per-lesion within-patient correlation was addressed statistically but clinical selection remained. Not powered for survival benefit, no adjustment of survival comparisons; trial discussion of possible LT is hypothesis, not direct evidence. Supplement 1 imaging/pathology guidelines, additional tables/figures and Supplement 2 data-sharing statement are not in this download. Supplement access: Main study complete; Supplement 1 and Supplement 2 absent. Separate invited commentary only begins on the last page.</w:t>
            </w:r>
          </w:p>
        </w:tc>
      </w:tr>
      <w:tr>
        <w:trPr/>
        <w:tc>
          <w:tcPr>
            <w:tcW w:w="3400" w:type="dxa"/>
            <w:tcMar>
              <w:top w:w="90" w:type="dxa"/>
              <w:left w:w="90" w:type="dxa"/>
              <w:bottom w:w="90" w:type="dxa"/>
              <w:right w:w="90" w:type="dxa"/>
            </w:tcMar>
          </w:tcPr>
          <w:p>
            <w:pPr>
              <w:pStyle w:val="Normal"/>
              <w:widowControl/>
              <w:spacing w:before="60" w:after="20"/>
            </w:pPr>
            <w:r>
              <w:rPr>
                <w:b/>
              </w:rPr>
              <w:t xml:space="preserve">Oba 2018 · disappearing lesions</w:t>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Ni0xMl08L0Rpc3BsYXlUZXh0PjxyZWNvcmQ+PHJlYy1udW1iZXI+MTI8L3JlYy1udW1iZXI+PGZvcmVpZ24ta2V5cz48a2V5IGFwcD0iRU4iIGRiLWlkPSI0YTdlZDExMy0zNTA2LTVlMDItYThhYS0zYWM1NzcxNTAxNjQiIHRpbWVzdGFtcD0iMTc5MzI4MzY4NS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Single-centre diagnostic/surgical cohort: 392 hepatectomy patients, 228 treated with preoperative chemotherapy, 184 with CT, EOB-MRI and contrast-enhanced intraoperative ultrasound (CE-IOUS). Fifty-nine patients had 275 CT-disappearing liver metastases; median original size 8 mm. Ninety-eight percent had partial response and 75% received postoperative chemotherapy. This was not an LT cohort.</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Printed pp 708–714; methods pp 709–710; Figure 2 p 711; Table 2 p 712; limitations p 713.</w:t>
            </w:r>
          </w:p>
          <w:p>
            <w:pPr>
              <w:pStyle w:val="Normal"/>
              <w:widowControl/>
              <w:spacing w:before="60" w:after="20"/>
            </w:pPr>
            <w:r>
              <w:t xml:space="preserve">Review depth: Complete seven-page main paper read, including methods, results, tables, figure text/captions,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Lesion-level reference standard: pathology for resected lesions and subsequent site recurrence for unresected lesions. Unresected-site follow-up median 27 months (range 9–72), not a transplant survival endpoint. EOB-MRI detected 71 of 275 lesions, 65 viable. EOB-MRI plus CE-IOUS detected 165 lesions, 127 viable. Of 110 lesions undetected by both methods, 68 were resected with three viable; 42 were left in situ with six site recurrences. Table 2: combined sensitivity 127/136 (93%), negative predictive value 101/110 (92%).</w:t>
            </w:r>
          </w:p>
          <w:p>
            <w:pPr>
              <w:pStyle w:val="Normal"/>
              <w:widowControl/>
              <w:spacing w:before="60" w:after="20"/>
            </w:pPr>
            <w:r>
              <w:rPr>
                <w:b/>
              </w:rPr>
              <w:t xml:space="preserve">Do not infer: </w:t>
            </w:r>
            <w:r>
              <w:t xml:space="preserve">Unblinded imaging, operator-dependent ultrasound, different pathology and recurrence reference standards. Pathological sections 3–10 mm apart can miss residual cancer; postoperative chemotherapy can suppress recurrence. Japanese perflubutane protocol and expertise are not a mandate for an unavailable US contrast agent. Does not establish a survival benefit from blind resection of every old site or from LT; no comparative operative-harm estimate. Supplement access: No separate supplement included or identified in the main paper; earlier imaging-method papers were not re-reviewed.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S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bl>
    <w:p>
      <w:pPr>
        <w:pStyle w:val="Heading3"/>
        <w:keepNext/>
        <w:widowControl/>
      </w:pPr>
      <w:r>
        <w:t xml:space="preserve">Synthesis and evidence that challenges the proposal</w:t>
      </w:r>
    </w:p>
    <w:p>
      <w:pPr>
        <w:pStyle w:val="Normal"/>
        <w:widowControl/>
        <w:spacing w:before="60" w:after="20"/>
      </w:pPr>
      <w:r>
        <w:t xml:space="preserve">CT/MRI/PET disappearance lowers but does not eliminate residual cancer risk; it does not by itself establish persistent unresectability or transplant benefit. DREAM and Oba support original-site mapping and expert MRI/IOUS review while showing that detection accuracy and the benefit of removing every invisible site are separate questions. Wehrle is a selected PET/CEA-defined minimal-disease/treatment-injury experience, not a proven anatomical-NED LT indication: 27 were evaluated, 16 entered, nine were transplanted, six progressed and one died from treatment-associated liver failure. The paper's chemotherapy and NED definitions contain internal inconsistencies. Residual suspicious disease, radiographic NED with preserved function and irreversible treatment-related liver failure must remain separate dispositions.</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YtMTFdPC9EaXNwbGF5VGV4dD48cmVjb3JkPjxyZWMtbnVtYmVyPjExPC9yZWMtbnVtYmVyPjxmb3JlaWduLWtleXM+PGtleSBhcHA9IkVOIiBkYi1pZD0iNGE3ZWQxMTMtMzUwNi01ZTAyLWE4YWEtM2FjNTc3MTUwMTY0IiB0aW1lc3RhbXA9IjE3OTMyODM2ODU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Ni0xMl08L0Rpc3BsYXlUZXh0PjxyZWNvcmQ+PHJlYy1udW1iZXI+MTI8L3JlYy1udW1iZXI+PGZvcmVpZ24ta2V5cz48a2V5IGFwcD0iRU4iIGRiLWlkPSI0YTdlZDExMy0zNTA2LTVlMDItYThhYS0zYWM1NzcxNTAxNjQiIHRpbWVzdGFtcD0iMTc5MzI4MzY4NS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S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spacing w:before="60" w:after="20"/>
      </w:pPr>
      <w:r>
        <w:t xml:space="preserve">Some disappearing lesions are genuinely nonviable: DREAM classified 95/152 CT-plus-MRI disappearing lesions as nonviable by pathology or two-year observation; Oba found only 3/68 viable lesions after negative MRI plus CE-IOUS. Conversely, 4/7 complete imaging responders in the explant series had viable cancer. Both prevent a binary 'all scars count' or 'none count' rule. NED patients with preserved liver function lack comparative evidence of benefit from prophylactic LT.</w:t>
      </w:r>
    </w:p>
    <w:p>
      <w:pPr>
        <w:pStyle w:val="Normal"/>
        <w:widowControl/>
        <w:spacing w:before="60" w:after="20"/>
      </w:pPr>
      <w:r>
        <w:rPr>
          <w:b/>
        </w:rPr>
        <w:t xml:space="preserve">Certainty / applicability: </w:t>
      </w:r>
      <w:r>
        <w:t xml:space="preserve">Moderate certainty that imaging disappearance does not reliably prove nonviability; low certainty about the best lesion-management strategy; very low certainty for LT in true radiographic NED or treatment-injury subgroups. Explant findings are diagnostic, not a causal efficacy comparison.</w:t>
      </w:r>
    </w:p>
    <w:p>
      <w:pPr>
        <w:pStyle w:val="Heading3"/>
        <w:keepNext/>
        <w:widowControl/>
      </w:pPr>
      <w:r>
        <w:t xml:space="preserve">Where each proposed threshold comes from</w:t>
      </w:r>
    </w:p>
    <w:p>
      <w:pPr>
        <w:pStyle w:val="Normal"/>
        <w:widowControl/>
        <w:numPr>
          <w:ilvl w:val="0"/>
          <w:numId w:val="3"/>
        </w:numPr>
        <w:spacing w:before="60" w:after="20"/>
      </w:pPr>
      <w:r>
        <w:t xml:space="preserve">No validated chemotherapy-cycle minimum, scar count, PET-negative interval, ctDNA-negativity requirement or NED duration establishes LT benefit. Proposed approximately eight-week imaging while on active treatment is local workflow, adjustable for clinical need; more sensitive imaging/CE-IOUS informs resection planning but is not a transplant clearance test.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Chávez-Villa 2023 · occult disease</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“4 (57.1%) of the 7 patients who demonstrated complete radiographic response harbored viable carcinoma on explant pathology.”</w:t>
            </w:r>
          </w:p>
          <w:p>
            <w:pPr>
              <w:pStyle w:val="Normal"/>
              <w:widowControl/>
              <w:spacing w:before="60" w:after="20"/>
            </w:pPr>
            <w:r>
              <w:t xml:space="preserve">Published PDF p1 / journal pe1026, abstract Results</w:t>
            </w:r>
          </w:p>
          <w:p>
            <w:pPr>
              <w:pStyle w:val="Normal"/>
              <w:widowControl/>
              <w:spacing w:before="60" w:after="20"/>
            </w:pPr>
            <w:hyperlink r:id="rId36">
              <w:r>
                <w:rPr>
                  <w:color w:val="77230C"/>
                  <w:sz w:val="20"/>
                  <w:u w:val="single"/>
                </w:rPr>
                <w:t>Source</w:t>
              </w:r>
            </w:hyperlink>
            <w:r>
              <w:t xml:space="preserve"> | </w:t>
            </w:r>
            <w:hyperlink r:id="rId3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Imaging can miss viable tumor; this selected series does not prove comparative benefit from transplanting all NED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activate LT solely for presumed microscopic disease in radiographic NED; separate residual cancer from treatment-related liver failure.</w:t>
      </w:r>
      <w:r>
        <w:t xml:space="preserve"> </w:t>
      </w:r>
      <w:r>
        <w:t xml:space="preserve"> </w:t>
      </w:r>
      <w:r>
        <w:t xml:space="preserve"> </w:t>
      </w:r>
      <w:r>
        <w:fldChar w:fldCharType="begin"/>
      </w:r>
      <w:r>
        <w:instrText xml:space="preserve"> ADDIN EN.CITE </w:instrText>
      </w:r>
      <w:r>
        <w:fldChar w:fldCharType="begin">
          <w:fldData>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S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Residual unresectable disease: convincing viable/suspicious disease on appropriate cross-sectional imaging may proceed to B1 review even if PET is negative.</w:t>
      </w:r>
    </w:p>
    <w:p>
      <w:pPr>
        <w:pStyle w:val="Normal"/>
        <w:widowControl/>
        <w:numPr>
          <w:ilvl w:val="1"/>
          <w:numId w:val="3"/>
        </w:numPr>
        <w:spacing w:before="60" w:after="20"/>
      </w:pPr>
      <w:r>
        <w:t xml:space="preserve">PET negativity alone does not prove cure.</w:t>
      </w:r>
    </w:p>
    <w:p>
      <w:pPr>
        <w:pStyle w:val="Normal"/>
        <w:widowControl/>
        <w:numPr>
          <w:ilvl w:val="0"/>
          <w:numId w:val="3"/>
        </w:numPr>
      </w:pPr>
      <w:r>
        <w:t xml:space="preserve">Radiographic NED/occult-residual-risk: no convincing remaining disease on high-quality staging.</w:t>
      </w:r>
    </w:p>
    <w:p>
      <w:pPr>
        <w:pStyle w:val="Normal"/>
        <w:widowControl/>
        <w:numPr>
          <w:ilvl w:val="1"/>
          <w:numId w:val="3"/>
        </w:numPr>
        <w:spacing w:before="60" w:after="20"/>
      </w:pPr>
      <w:r>
        <w:t xml:space="preserve">Maintain the original lesion map, continue appropriate oncology care and reassess in about eight weeks; LT for presumed microscopic risk requires a separately approved NED study.</w:t>
      </w:r>
    </w:p>
    <w:p>
      <w:pPr>
        <w:pStyle w:val="Normal"/>
        <w:widowControl/>
        <w:numPr>
          <w:ilvl w:val="0"/>
          <w:numId w:val="3"/>
        </w:numPr>
      </w:pPr>
      <w:r>
        <w:t xml:space="preserve">Irreversible treatment-related liver failure: evaluate a separate liver-failure indication with independent hepatology and oncologic-suitability review.</w:t>
      </w:r>
    </w:p>
    <w:p>
      <w:pPr>
        <w:pStyle w:val="Normal"/>
        <w:widowControl/>
        <w:numPr>
          <w:ilvl w:val="1"/>
          <w:numId w:val="3"/>
        </w:numPr>
        <w:spacing w:before="60" w:after="20"/>
      </w:pPr>
      <w:r>
        <w:t xml:space="preserve">Do not relabel it active unresectable cancer.</w:t>
      </w:r>
    </w:p>
    <w:p>
      <w:pPr>
        <w:pStyle w:val="Normal"/>
        <w:widowControl/>
        <w:numPr>
          <w:ilvl w:val="1"/>
          <w:numId w:val="3"/>
        </w:numPr>
        <w:spacing w:before="60" w:after="20"/>
      </w:pPr>
      <w:r>
        <w:t xml:space="preserve">Do not stop effective treatment to provoke recurrence or biopsy every scar.</w:t>
      </w:r>
    </w:p>
    <w:p>
      <w:pPr>
        <w:pStyle w:val="Normal"/>
        <w:widowControl/>
        <w:numPr>
          <w:ilvl w:val="0"/>
          <w:numId w:val="3"/>
        </w:numPr>
      </w:pPr>
      <w:r>
        <w:t xml:space="preserve">Keep all original lesion sites mapped.</w:t>
      </w:r>
    </w:p>
    <w:p>
      <w:pPr>
        <w:pStyle w:val="Normal"/>
        <w:widowControl/>
        <w:numPr>
          <w:ilvl w:val="1"/>
          <w:numId w:val="3"/>
        </w:numPr>
        <w:spacing w:before="60" w:after="20"/>
      </w:pPr>
      <w:r>
        <w:t xml:space="preserve">Disappearance does not establish eradication, but uncertain microscopic viability alone does not establish persistent unresectability or transplant benefit; diagnostic accuracy and treatment benefit are different questions.</w:t>
      </w:r>
    </w:p>
    <w:p>
      <w:pPr>
        <w:pStyle w:val="Normal"/>
        <w:widowControl/>
        <w:numPr>
          <w:ilvl w:val="0"/>
          <w:numId w:val="3"/>
        </w:numPr>
      </w:pPr>
      <w:r>
        <w:t xml:space="preserve">Do not escalate treatment with the purpose of causing liver failure or making LT necessary.</w:t>
      </w:r>
    </w:p>
    <w:p>
      <w:pPr>
        <w:pStyle w:val="Normal"/>
        <w:widowControl/>
        <w:numPr>
          <w:ilvl w:val="1"/>
          <w:numId w:val="3"/>
        </w:numPr>
        <w:spacing w:before="60" w:after="20"/>
      </w:pPr>
      <w:r>
        <w:t xml:space="preserve">At each treatment change, document hepatic reserve, expected oncologic benefit, foreseeable liver injury and whether toxicity requires holding therapy; include pre-LT fatal/nonfatal harms in the all-entered denominator.</w:t>
      </w:r>
    </w:p>
    <w:p>
      <w:pPr>
        <w:pStyle w:val="Normal"/>
        <w:widowControl/>
        <w:spacing w:before="60" w:after="20"/>
      </w:pPr>
      <w:r>
        <w:rPr>
          <w:b/>
        </w:rPr>
        <w:t xml:space="preserve">Why retain or change it: </w:t>
      </w:r>
      <w:r>
        <w:t xml:space="preserve">Retain three separate OPEN dispositions. (1) Residual suspicious lesions or original-site anatomy that still prevents safe complete clearance: return to B1 expert certification, with imaging uncertainty documented. (2) True radiographic NED and preserved liver function: no automatic oncologic LT activation; multidisciplinary surveillance/non-LT care, with any future NED-LT study unopened and separately justified. (3) Irreversible liver failure/biliary injury after appropriate treatment: independent hepatology/transplant assessment of native-liver indication and cancer-recurrence risk, not reclassification as proven persistent viable CRLM. Do not biopsy every scar or stop effective therapy to provoke measurable disease. Decision remains blank.</w:t>
      </w:r>
    </w:p>
    <w:p>
      <w:pPr>
        <w:pStyle w:val="Heading3"/>
        <w:keepNext/>
        <w:widowControl/>
      </w:pPr>
      <w:r>
        <w:t xml:space="preserve">Information required before the decision</w:t>
      </w:r>
    </w:p>
    <w:p>
      <w:pPr>
        <w:pStyle w:val="Normal"/>
        <w:widowControl/>
        <w:spacing w:before="60" w:after="20"/>
      </w:pPr>
      <w:r>
        <w:t xml:space="preserve">Expert comparison of pretreatment and current liver MRI/CT; systemic staging; treatment dates and PET interpretation; liver reserve; separate adjudication of NED versus suspicious residual sites.</w:t>
      </w:r>
    </w:p>
    <w:p>
      <w:pPr>
        <w:pStyle w:val="Normal"/>
        <w:widowControl/>
        <w:spacing w:before="60" w:after="20"/>
      </w:pPr>
      <w:r>
        <w:rPr>
          <w:b/>
        </w:rPr>
        <w:t xml:space="preserve">Clinical versus allocation: </w:t>
      </w:r>
      <w:r>
        <w:t xml:space="preserve">A separate liver-failure indication does not automatically meet the CRLM exception pathway. Obtain case-specific clinical and allocation adjudication.</w:t>
      </w:r>
    </w:p>
    <w:p>
      <w:pPr>
        <w:pStyle w:val="Normal"/>
        <w:widowControl/>
        <w:spacing w:before="60" w:after="20"/>
      </w:pPr>
      <w:r>
        <w:rPr>
          <w:b/>
        </w:rPr>
        <w:t xml:space="preserve">Roadmap / protocol reconciliation: </w:t>
      </w:r>
      <w:r>
        <w:t xml:space="preserve">Preserve disappearing-lesion mapping and conversion assessment in the CRLM roadmap; do not manufacture measurable disease for eligibility.</w:t>
      </w:r>
    </w:p>
    <w:p>
      <w:pPr>
        <w:pStyle w:val="Normal"/>
        <w:widowControl/>
        <w:spacing w:before="60" w:after="20"/>
      </w:pPr>
      <w:hyperlink r:id="rId38">
        <w:r>
          <w:rPr>
            <w:color w:val="77230C"/>
            <w:sz w:val="20"/>
            <w:u w:val="single"/>
          </w:rPr>
          <w:t>Meeting record: CRLM-B2</w:t>
        </w:r>
      </w:hyperlink>
      <w:r>
        <w:t xml:space="preserve">  |  </w:t>
      </w:r>
      <w:hyperlink r:id="rId3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3 Guidance aligned criteria and proposed expansions</w:t>
      </w:r>
    </w:p>
    <w:p>
      <w:pPr>
        <w:pStyle w:val="Normal"/>
        <w:widowControl/>
        <w:numPr>
          <w:ilvl w:val="0"/>
          <w:numId w:val="3"/>
        </w:numPr>
      </w:pPr>
      <w:r>
        <w:t xml:space="preserve">Current NLRB guidance requires BRAF wild type and microsatellite stability; KRAS mutation is not an automatic exclusion. Primary resection requires negative margins and no local recurrence. A non-V600E BRAF mutation is not silently equivalent to BRAF wild type.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Record at least 12 months from CRLM diagnosis to the initial exception request, not simply from primary resection, and the specified stability/regression interval of at least six months. The guidance includes additional timing conditions for synchronous disease. These are access criteria to document, not instructions to delay clinically indicated primary treatment.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For the guidance route, document that no pretreatment liver lesion exceeded 10 cm, required therapy was delivered, and CT/MRI plus PET show no extrahepatic disease or local relapse within one month before the initial request. Colonoscopy must meet the guidance window. The guidance also specifies a chemotherapy pause of at least four weeks before pretransplant PET; oncology must assess safety and scheduling rather than interrupt effective therapy automatically.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The initial CEA exclusion is above 80 micrograms/L, whereas extension wording requires below 80. An exact value of 80 therefore needs explicit clarification. Guidance defines progression as more than 10% diameter growth or a new lesion despite referencing RECIST 1.1; do not silently substitute conventional RECIST progression.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R1 primary margins, extrahepatic disease after primary resection outside the primary nodal field, BRAF-mutant or MSI-H disease, progression and unmet timing criteria are outside the specified guidance. Cleared lung or distant nodal disease requires a separate research rationale; it is not covered by response alone.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SECA-II arm D reported only ten extended-criteria recipients, with median DFS approximately four months and OS approximately 18 months. This cautions against relaxing several features together; it does not estimate the effect of each individual deviation.</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Heading3"/>
        <w:keepNext/>
        <w:widowControl/>
      </w:pPr>
      <w:bookmarkStart w:id="3" w:name="CRLM_B3"/>
      <w:r>
        <w:t xml:space="preserve">CRLM-B3 — Which molecular or extrahepatic expansions should be studied?</w:t>
      </w:r>
      <w:bookmarkEnd w:id="3"/>
    </w:p>
    <w:p>
      <w:pPr>
        <w:pStyle w:val="Heading3"/>
        <w:keepNext/>
        <w:widowControl/>
      </w:pPr>
      <w:r>
        <w:t xml:space="preserve">Question and comparison</w:t>
      </w:r>
    </w:p>
    <w:p>
      <w:pPr>
        <w:pStyle w:val="Normal"/>
        <w:widowControl/>
        <w:spacing w:before="60" w:after="20"/>
      </w:pPr>
      <w:r>
        <w:t xml:space="preserve">Which molecular, extrahepatic, CEA, response-duration and metabolic criteria can safely expand CRLM LT eligibility, and which are merely prognostic or allocation constraints?</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tc>
          <w:tcPr>
            <w:tcW w:w="3400" w:type="dxa"/>
            <w:tcMar>
              <w:top w:w="90" w:type="dxa"/>
              <w:left w:w="90" w:type="dxa"/>
              <w:bottom w:w="90" w:type="dxa"/>
              <w:right w:w="90" w:type="dxa"/>
            </w:tcMar>
          </w:tcPr>
          <w:p>
            <w:pPr>
              <w:pStyle w:val="Normal"/>
              <w:widowControl/>
              <w:spacing w:before="60" w:after="20"/>
            </w:pPr>
            <w:r>
              <w:rPr>
                <w:b/>
              </w:rPr>
              <w:t xml:space="preserve">Grut 2022 · MTV</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YtMTVdPC9EaXNwbGF5VGV4dD48cmVjb3JkPjxyZWMtbnVtYmVyPjE1PC9yZWMtbnVtYmVyPjxmb3JlaWduLWtleXM+PGtleSBhcHA9IkVOIiBkYi1pZD0iNGE3ZWQxMTMtMzUwNi01ZTAyLWE4YWEtM2FjNTc3MTUwMTY0IiB0aW1lc3RhbXA9IjE3OTMyODM2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Retrospective pooled prognostic analysis of 40 already-transplanted SECA recipients: 23 SECA-I and 17 SECA-II (November 2006–August 2018). ECOG 0–1, radically resected primary, liver-only unresectable metastases. Different trial criteria allowed progression in SECA-I, but not SECA-II.</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Printed pp 1074–1075 Methods and ROC; Tables 1–2 pp 1075–1076; recurrence p 1077; limitations and scan timing p 1079.</w:t>
            </w:r>
          </w:p>
          <w:p>
            <w:pPr>
              <w:pStyle w:val="Normal"/>
              <w:widowControl/>
              <w:spacing w:before="60" w:after="20"/>
            </w:pPr>
            <w:r>
              <w:t xml:space="preserve">Review depth: Complete nine-page published paper read, including Methods, all tables/figures,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LT to 22 December 2021, postrecurrence survival from relapse. Twenty-six MTV &lt;70 cm³ and 14 &gt;70; the exact equality boundary was not specified. ROC-derived cutpoint 66.09 rounded to 70. TLG ROC cutpoint 238.80, not 260. Five-/ten-year OS 76%/50% for low MTV versus 21%/7% for high MTV (P&lt;0.001). Median DFS 16 versus 4 months; all 14 high-MTV and 19/26 low-MTV recipients recurred. Five-/ten-year postrecurrence survival 57%/37% versus 14%/7%. No randomized comparison or incremental benefit analysis. High-MTV group had progression in 79% versus 19%, CEA median 95 versus 3, larger lesions 83 versus 29 mm and substantially more second/third-line treatment: strong confounding by biology. PET was performed after a reported chemotherapy pause of four to six weeks. Among 20 scanned &lt;90 days before LT, MTV was strongly associated with OS; among 20 scanned &gt;90 days, P=0.093. Timing subgroup findings do not prove an optimal universal interval.</w:t>
            </w:r>
          </w:p>
          <w:p>
            <w:pPr>
              <w:pStyle w:val="Normal"/>
              <w:widowControl/>
              <w:spacing w:before="60" w:after="20"/>
            </w:pPr>
            <w:r>
              <w:rPr>
                <w:b/>
              </w:rPr>
              <w:t xml:space="preserve">Do not infer: </w:t>
            </w:r>
            <w:r>
              <w:t xml:space="preserve">Threshold derived and assessed in the same small overlapping SECA cohort; no multivariable isolation of MTV and no untreated comparator. TLG separated the identical patients, so it is not independent validation or an additive test. The paper reports no PET-attributable harms; withholding chemotherapy four to six weeks was study practice, not a universally safe requirement. A zero MTV indicates below-threshold FDG uptake, not histological clearance. Supplement access: No separate supplement cited.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2025 · PET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Retrospective two-US-centre study of 26 recipients (24 LDLT), 2017–2023; all Oslo score 0–2. Five had PET MTV ≥70 cm3 and 21 had lower MTV. No nontransplanted comparator.</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PDF pp 4–6: methods, results and Table 1; pp 7–8: Table 2/explant viability; pp 10–11: chemotherapy timing and limitations.</w:t>
            </w:r>
          </w:p>
          <w:p>
            <w:pPr>
              <w:pStyle w:val="Normal"/>
              <w:widowControl/>
              <w:spacing w:before="60" w:after="20"/>
            </w:pPr>
            <w:r>
              <w:t xml:space="preserve">Review depth: Complete 13-page main paper read, including methods, Tables 1–2, figures/captions,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recipient follow-up 21 months (IQR 11–36); PET within four months of LT, median 1.9 months. Chemotherapy-to-PET interval median 20 days (IQR 0–30), unlike the Oslo four-to-six-week interruption. One-/two-year survival percentages use mature denominators 18/13. Recurrence occurred in four of five high-MTV recipients versus four of 21 low-MTV recipients; two cancer deaths. One-/two-year RFS 15/18 (83%) and 8/13 (62%); OS 18/18 (100%) and 11/13 (85%). Nineteen of 26 explants were viable. All 11 PET-avid cases were viable; eight of 15 nonavid cases were also viable (53.3%). Eight of 19 viable and none of seven nonviable explants recurred. High-MTV patients also had more poorly differentiated tumours (80% versus 14.3%) and higher CEA (35 versus 3.3), without multivariable adjustment.</w:t>
            </w:r>
          </w:p>
          <w:p>
            <w:pPr>
              <w:pStyle w:val="Normal"/>
              <w:widowControl/>
              <w:spacing w:before="60" w:after="20"/>
            </w:pPr>
            <w:r>
              <w:rPr>
                <w:b/>
              </w:rPr>
              <w:t xml:space="preserve">Do not infer: </w:t>
            </w:r>
            <w:r>
              <w:t xml:space="preserve">Reported HR 2.42 with CI 2.2–62.2 is internally inconsistent; do not repair or reuse it without author clarification. Several count/percentage/table inconsistencies: 19/26 incorrectly labelled 69.2%; LDLT subgroup totals conflict; MTV IQR and cohort-centre totals differ. Use explicit raw counts and flag uncertainty. Recent chemotherapy can suppress FDG avidity. PET negativity is not pathological nonviability. Data-derived Youden MTV 1.6 is exploratory, not an alternative eligibility threshold. Small recipient-only cohort with possible overlap with other US series; cannot establish incremental transplant benefit or efficacy of reducing MTV. Supplement access: Supplementary Figures S1/S2 at http://links.lww.com/LVT/A684 are not included or 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2023 · ctDNA</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Exploratory January–August 2022 CRLM series: 52 patients, described as 34 preoperative and 18 postoperative tests; nine paired pre/postoperative samples. Twenty-nine operations comprised 24 resections and five LT. Guardant360 tumour-agnostic 83-gene assay.</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PDF p 3: Results/Table 1; pp 4–5: paired cohort/Table 2; p 6: Figure 4; p 7: donor-derived/nononcologic DNA; p 8: limitations; p 10: appendix.</w:t>
            </w:r>
          </w:p>
          <w:p>
            <w:pPr>
              <w:pStyle w:val="Normal"/>
              <w:widowControl/>
              <w:spacing w:before="60" w:after="20"/>
            </w:pPr>
            <w:r>
              <w:t xml:space="preserve">Review depth: Complete ten-page paper read, including methods, Tables 1–2, figures, discussion and Appendix 1.</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four LT recipients had paired samples. Postoperative draws ranged from nine to 191 days and preoperative draws from one to 146 days. Mean postoperative follow-up 271 days overall; paired-LT follow-up mean 574 days (160–1160). These are not uniform landmark analyses. All nine paired patients had preoperative ctDNA; three remained positive postoperatively. Three of four paired LT recipients cleared ctDNA; none of the four recurred during reported follow-up. The Results describe 14 positive plus six negative postoperative tests, totaling 20, despite stating a postoperative cohort of 18; the associated eight of 14 versus zero of six recurrence comparison must not be presented as a reliable LT risk estimate. One post-LT NOTCH1-positive patient was NED at 4.5 years; newly detected variants may be donor-derived or nononcologic.</w:t>
            </w:r>
          </w:p>
          <w:p>
            <w:pPr>
              <w:pStyle w:val="Normal"/>
              <w:widowControl/>
              <w:spacing w:before="60" w:after="20"/>
            </w:pPr>
            <w:r>
              <w:rPr>
                <w:b/>
              </w:rPr>
              <w:t xml:space="preserve">Do not infer: </w:t>
            </w:r>
            <w:r>
              <w:t xml:space="preserve">Mixed resection/LT population, very small LT subset, discretionary testing, inconsistent postoperative denominator and variable sample timing. Paired-test P values differ between abstract, body and Table 2; avoid a definitive numerical significance claim. No validated ctDNA threshold for listing, delisting, surveillance escalation or transplant benefit. Tumour mutational burden was not significantly associated with response (P=.1035); no TMB eligibility cutoff. No assay safety problem was established; the important risks are false reassurance and inappropriate exclusion or treatment based on unvalidated results. Supplement access: Appendix 1 is included. No separately supplied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IHPBA 2021</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2021 international multidisciplinary consensus; not a prospective eligibility-strategy trial.</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Lancet Gastroenterol Hepatol 2021;6:933–946; full PDF selection, molecular, PET and tumour-response statements.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original randomized outcome denominator. Consensus suggests response/observation, CEA trajectory and PET burden (MTV 70 cm³/TLG 260) as risk criteria. Rising CEA &gt;80 is treated more adversely than falling CEA.</w:t>
            </w:r>
          </w:p>
          <w:p>
            <w:pPr>
              <w:pStyle w:val="Normal"/>
              <w:widowControl/>
              <w:spacing w:before="60" w:after="20"/>
            </w:pPr>
            <w:r>
              <w:rPr>
                <w:b/>
              </w:rPr>
              <w:t xml:space="preserve">Do not infer: </w:t>
            </w:r>
            <w:r>
              <w:t xml:space="preserve">Expert recommendations differ from current NLRB wording and TransMet criteria; do not merge them into a falsely universal threshold. Non-V600E BRAF is not thereby proven safe for LT, and contemporary guidance requests BRAF-wild-type tumours.</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bl>
    <w:p>
      <w:pPr>
        <w:pStyle w:val="Heading3"/>
        <w:keepNext/>
        <w:widowControl/>
      </w:pPr>
      <w:r>
        <w:t xml:space="preserve">Synthesis and evidence that challenges the proposal</w:t>
      </w:r>
    </w:p>
    <w:p>
      <w:pPr>
        <w:pStyle w:val="Normal"/>
        <w:widowControl/>
        <w:spacing w:before="60" w:after="20"/>
      </w:pPr>
      <w:r>
        <w:t xml:space="preserve">BRAF-wild-type, controlled liver-only disease with a cleared primary has the strongest treatment evidence. RAS-mutant disease was allowed in TransMet (17/47 assigned LT; the final Table 1 reports combined RAS, not KRAS alone), so a blanket KRAS ban would exceed evidence; that does not prove every molecular subgroup derives equal benefit. Arm D is a warning against stacking expansions. PET/Oslo/CEA markers forecast prognosis in recipients but have not demonstrated that crossing a threshold changes the incremental benefit of LT over modern non-LT care. The 40-patient PET study's approximately 70-cm3 MTV threshold was ROC-derived (66.09 rounded) in overlapping Oslo recipients; its TLG threshold was 238.8, not a universal 260. US PET results are confounded by treatment timing and adverse tumour factors, with an internally inconsistent HR/CI. The ctDNA study has only four paired LT recipients and a postoperative denominator conflict. None establishes a ctDNA-negative or PET-negative requirement, a causal PET-downstaging target, or safe molecular/extrahepatic expansion.</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YtMTVdPC9EaXNwbGF5VGV4dD48cmVjb3JkPjxyZWMtbnVtYmVyPjE1PC9yZWMtbnVtYmVyPjxmb3JlaWduLWtleXM+PGtleSBhcHA9IkVOIiBkYi1pZD0iNGE3ZWQxMTMtMzUwNi01ZTAyLWE4YWEtM2FjNTc3MTUwMTY0IiB0aW1lc3RhbXA9IjE3OTMyODM2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spacing w:before="60" w:after="20"/>
      </w:pPr>
      <w:r>
        <w:t xml:space="preserve">IHPBA specifically excludes BRAF V600E, whereas NLRB requests BRAF wild type; non-V600E cases are therefore a true guideline/research gap, not automatically eligible. TransMet accepted CEA &lt;80 OR a ≥50% decline, unlike the draft strict &lt;80 rule. SECA-II's excellent long-term outcomes mostly occurred with CEA ≤33, small lesions and low MTV; they cannot establish safety at every nominal upper limit. Negative ctDNA has not been validated to rescue other exclusion criteria.</w:t>
      </w:r>
    </w:p>
    <w:p>
      <w:pPr>
        <w:pStyle w:val="Normal"/>
        <w:widowControl/>
        <w:spacing w:before="60" w:after="20"/>
      </w:pPr>
      <w:r>
        <w:rPr>
          <w:b/>
        </w:rPr>
        <w:t xml:space="preserve">Certainty / applicability: </w:t>
      </w:r>
      <w:r>
        <w:t xml:space="preserve">Moderate-to-high for narrow TransMet eligibility; low/very low for non-V600E BRAF, prior pulmonary disease, R1 primary, ECOG 2, or ctDNA-directed selection. Prognostic association does not equal predictive treatment-benefit validation. Allocation criteria have authoritative administrative status but are not randomized cutoff evidence.</w:t>
      </w:r>
    </w:p>
    <w:p>
      <w:pPr>
        <w:pStyle w:val="Heading3"/>
        <w:keepNext/>
        <w:widowControl/>
      </w:pPr>
      <w:r>
        <w:t xml:space="preserve">Where each proposed threshold comes from</w:t>
      </w:r>
    </w:p>
    <w:p>
      <w:pPr>
        <w:pStyle w:val="Normal"/>
        <w:widowControl/>
        <w:numPr>
          <w:ilvl w:val="0"/>
          <w:numId w:val="3"/>
        </w:numPr>
        <w:spacing w:before="60" w:after="20"/>
      </w:pPr>
      <w:r>
        <w:t xml:space="preserve">Current NLRB contains six-month/12-month/10-cm/CEA requirements and &gt;10% growth wording. TransMet used at least three months control and a CEA-decline alternative. Oslo &gt;5.5 cm, CEA &gt;80, &lt;2 years and progression are prognostic score components; MTV ~70 is data-derived; TLG 260 is consensus, not the same as Grut's 238.8. Resetting a six-month clock after confirmed progression and requiring repeat CEA are proposed local safeguards, not validated rescue rules.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“BRAF wild type, microsatellite stable”</w:t>
            </w:r>
          </w:p>
          <w:p>
            <w:pPr>
              <w:pStyle w:val="Normal"/>
              <w:widowControl/>
              <w:spacing w:before="60" w:after="20"/>
            </w:pPr>
            <w:r>
              <w:t xml:space="preserve">December 2025 oncology guidance p9, initial CRLM exception criteria</w:t>
            </w:r>
          </w:p>
          <w:p>
            <w:pPr>
              <w:pStyle w:val="Normal"/>
              <w:widowControl/>
              <w:spacing w:before="60" w:after="20"/>
            </w:pPr>
            <w:hyperlink r:id="rId58">
              <w:r>
                <w:rPr>
                  <w:color w:val="77230C"/>
                  <w:sz w:val="20"/>
                  <w:u w:val="single"/>
                </w:rPr>
                <w:t>Source</w:t>
              </w:r>
            </w:hyperlink>
            <w:r>
              <w:t xml:space="preserve"> | </w:t>
            </w:r>
            <w:hyperlink r:id="rId5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Molecular guidance is more specific than simply “favorable biology”; KRAS is not stated as a blanket exclusion.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“Median disease-free and overall survival was 4 and 18 months respectively.”</w:t>
            </w:r>
          </w:p>
          <w:p>
            <w:pPr>
              <w:pStyle w:val="Normal"/>
              <w:widowControl/>
              <w:spacing w:before="60" w:after="20"/>
            </w:pPr>
            <w:r>
              <w:t xml:space="preserve">Published PDF p1 / journal p467, abstract Results</w:t>
            </w:r>
          </w:p>
          <w:p>
            <w:pPr>
              <w:pStyle w:val="Normal"/>
              <w:widowControl/>
              <w:spacing w:before="60" w:after="20"/>
            </w:pPr>
            <w:hyperlink r:id="rId60">
              <w:r>
                <w:rPr>
                  <w:color w:val="77230C"/>
                  <w:sz w:val="20"/>
                  <w:u w:val="single"/>
                </w:rPr>
                <w:t>Source</w:t>
              </w:r>
            </w:hyperlink>
            <w:r>
              <w:t xml:space="preserve"> | </w:t>
            </w:r>
            <w:hyperlink r:id="rId6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Poor outcomes after multiple simultaneous relaxations caution against broad expansion; the study does not isolate any one criterion’s causal effect.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open molecular/extrahepatic expansions initially; permit KRAS-mutant disease when all other selected criteria are met.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1PC9SZWNOdW0+PERpc3BsYXlUZXh0PltWMTYtMTVdPC9EaXNwbGF5VGV4dD48cmVjb3JkPjxyZWMtbnVtYmVyPjE1PC9yZWMtbnVtYmVyPjxmb3JlaWduLWtleXM+PGtleSBhcHA9IkVOIiBkYi1pZD0iNGE3ZWQxMTMtMzUwNi01ZTAyLWE4YWEtM2FjNTc3MTUwMTY0IiB0aW1lc3RhbXA9IjE3OTMyODM2ODYiPjE1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Initial proposed exclusions: BRAF-mutant disease, MSI-H/dMMR disease, R1 primary margins, prior post-primary extrahepatic metastases, pretreatment liver lesion &gt;10 cm, or progression despite treatment.</w:t>
      </w:r>
    </w:p>
    <w:p>
      <w:pPr>
        <w:pStyle w:val="Normal"/>
        <w:widowControl/>
        <w:numPr>
          <w:ilvl w:val="1"/>
          <w:numId w:val="3"/>
        </w:numPr>
        <w:spacing w:before="60" w:after="20"/>
      </w:pPr>
      <w:r>
        <w:t xml:space="preserve">Preserve these as separate research questions; do not combine several relaxations.</w:t>
      </w:r>
    </w:p>
    <w:p>
      <w:pPr>
        <w:pStyle w:val="Normal"/>
        <w:widowControl/>
        <w:numPr>
          <w:ilvl w:val="0"/>
          <w:numId w:val="3"/>
        </w:numPr>
      </w:pPr>
      <w:r>
        <w:t xml:space="preserve">Proposed CEA gate: strictly &lt;80 ng/mL, including initial activation.</w:t>
      </w:r>
    </w:p>
    <w:p>
      <w:pPr>
        <w:pStyle w:val="Normal"/>
        <w:widowControl/>
        <w:numPr>
          <w:ilvl w:val="1"/>
          <w:numId w:val="3"/>
        </w:numPr>
        <w:spacing w:before="60" w:after="20"/>
      </w:pPr>
      <w:r>
        <w:t xml:space="preserve">Repeat a borderline/unexpected result and review the trajectory; a falling value still ≥80 does not clear this local rule.</w:t>
      </w:r>
    </w:p>
    <w:p>
      <w:pPr>
        <w:pStyle w:val="Normal"/>
        <w:widowControl/>
        <w:numPr>
          <w:ilvl w:val="0"/>
          <w:numId w:val="3"/>
        </w:numPr>
      </w:pPr>
      <w:r>
        <w:t xml:space="preserve">Require ≥6 months of documented control and the applicable ≥12-month CRLM-diagnosis interval.</w:t>
      </w:r>
    </w:p>
    <w:p>
      <w:pPr>
        <w:pStyle w:val="Normal"/>
        <w:widowControl/>
        <w:numPr>
          <w:ilvl w:val="1"/>
          <w:numId w:val="3"/>
        </w:numPr>
        <w:spacing w:before="60" w:after="20"/>
      </w:pPr>
      <w:r>
        <w:t xml:space="preserve">Report ordinary RECIST separately from the NLRB &gt;10% wording; new lesions or concerning growth are HOLD pending central measurement review.</w:t>
      </w:r>
    </w:p>
    <w:p>
      <w:pPr>
        <w:pStyle w:val="Normal"/>
        <w:widowControl/>
        <w:numPr>
          <w:ilvl w:val="0"/>
          <w:numId w:val="3"/>
        </w:numPr>
      </w:pPr>
      <w:r>
        <w:t xml:space="preserve">Confirmed progression resets the proposed six-month control clock after subsequent effective treatment; one improved scan is insufficient.</w:t>
      </w:r>
    </w:p>
    <w:p>
      <w:pPr>
        <w:pStyle w:val="Normal"/>
        <w:widowControl/>
        <w:numPr>
          <w:ilvl w:val="1"/>
          <w:numId w:val="3"/>
        </w:numPr>
        <w:spacing w:before="60" w:after="20"/>
      </w:pPr>
      <w:r>
        <w:t xml:space="preserve">Use the actual application imaging/CEA windows.</w:t>
      </w:r>
    </w:p>
    <w:p>
      <w:pPr>
        <w:pStyle w:val="Normal"/>
        <w:widowControl/>
        <w:numPr>
          <w:ilvl w:val="1"/>
          <w:numId w:val="3"/>
        </w:numPr>
        <w:spacing w:before="60" w:after="20"/>
      </w:pPr>
      <w:r>
        <w:t xml:space="preserve">Do not delay indicated primary surgery to manufacture eligibility.</w:t>
      </w:r>
    </w:p>
    <w:p>
      <w:pPr>
        <w:pStyle w:val="Normal"/>
        <w:widowControl/>
        <w:numPr>
          <w:ilvl w:val="0"/>
          <w:numId w:val="3"/>
        </w:numPr>
      </w:pPr>
      <w:r>
        <w:t xml:space="preserve">Treat PET MTV/TLG and ctDNA as adjunctive or research measurements, not independent listing/delisting or permanent exclusion rules.</w:t>
      </w:r>
    </w:p>
    <w:p>
      <w:pPr>
        <w:pStyle w:val="Normal"/>
        <w:widowControl/>
        <w:numPr>
          <w:ilvl w:val="1"/>
          <w:numId w:val="3"/>
        </w:numPr>
        <w:spacing w:before="60" w:after="20"/>
      </w:pPr>
      <w:r>
        <w:t xml:space="preserve">Record assay/PET timing relative to treatment, repeat or adjudicate discordant results and use conventional staging/clinical review.</w:t>
      </w:r>
    </w:p>
    <w:p>
      <w:pPr>
        <w:pStyle w:val="Normal"/>
        <w:widowControl/>
        <w:numPr>
          <w:ilvl w:val="1"/>
          <w:numId w:val="3"/>
        </w:numPr>
        <w:spacing w:before="60" w:after="20"/>
      </w:pPr>
      <w:r>
        <w:t xml:space="preserve">Do not interrupt beneficial chemotherapy solely to reproduce a published PET interval.</w:t>
      </w:r>
    </w:p>
    <w:p>
      <w:pPr>
        <w:pStyle w:val="Normal"/>
        <w:widowControl/>
        <w:spacing w:before="60" w:after="20"/>
      </w:pPr>
      <w:r>
        <w:rPr>
          <w:b/>
        </w:rPr>
        <w:t xml:space="preserve">Why retain or change it: </w:t>
      </w:r>
      <w:r>
        <w:t xml:space="preserve">Keep initial clinical/research activation restricted: no BRAF mutation, MSI-H/dMMR, R1 primary, prior post-primary extrahepatic metastasis, active progression, or pretreatment largest lesion &gt;10 cm under this pathway. KRAS alone is not an absolute stop; document full molecular profile, sidedness and adverse co-mutations as risk. Use CEA strictly &lt;80 for initial and renewal local workflow, with unexpected values repeated and trajectory reviewed; do not call the strict inequality a universal evidence-based biological boundary. Require ≥12 months since CRLM diagnosis and ≥6 months of control to align exception review; reassess a new progression event explicitly, rather than silently reusing an old response interval. Do not open several deviations together. Decision remains blank.</w:t>
      </w:r>
    </w:p>
    <w:p>
      <w:pPr>
        <w:pStyle w:val="Heading3"/>
        <w:keepNext/>
        <w:widowControl/>
      </w:pPr>
      <w:r>
        <w:t xml:space="preserve">Information required before the decision</w:t>
      </w:r>
    </w:p>
    <w:p>
      <w:pPr>
        <w:pStyle w:val="Normal"/>
        <w:widowControl/>
        <w:spacing w:before="60" w:after="20"/>
      </w:pPr>
      <w:r>
        <w:t xml:space="preserve">Primary R0 pathology; BRAF, RAS and MMR/MSI; original maximum lesion diameter; complete EHD history; dated CEA; dated response and primary/CRLM diagnosis; current staging.</w:t>
      </w:r>
    </w:p>
    <w:p>
      <w:pPr>
        <w:pStyle w:val="Normal"/>
        <w:widowControl/>
        <w:spacing w:before="60" w:after="20"/>
      </w:pPr>
      <w:r>
        <w:rPr>
          <w:b/>
        </w:rPr>
        <w:t xml:space="preserve">Clinical versus allocation: </w:t>
      </w:r>
      <w:r>
        <w:t xml:space="preserve">National guidance, study criteria and local choices remain separate. Confirm current NLRB wording at application and do not substitute RECIST for an expressly different guidance threshold.</w:t>
      </w:r>
    </w:p>
    <w:p>
      <w:pPr>
        <w:pStyle w:val="Normal"/>
        <w:widowControl/>
        <w:spacing w:before="60" w:after="20"/>
      </w:pPr>
      <w:r>
        <w:rPr>
          <w:b/>
        </w:rPr>
        <w:t xml:space="preserve">Roadmap / protocol reconciliation: </w:t>
      </w:r>
      <w:r>
        <w:t xml:space="preserve">Use the CRLM roadmap’s biomarker-matched treatments and primary-tumor management. MSI-H response to immunotherapy does not by itself validate LT.</w:t>
      </w:r>
    </w:p>
    <w:p>
      <w:pPr>
        <w:pStyle w:val="Normal"/>
        <w:widowControl/>
        <w:spacing w:before="60" w:after="20"/>
      </w:pPr>
      <w:hyperlink r:id="rId62">
        <w:r>
          <w:rPr>
            <w:color w:val="77230C"/>
            <w:sz w:val="20"/>
            <w:u w:val="single"/>
          </w:rPr>
          <w:t>Meeting record: CRLM-B3</w:t>
        </w:r>
      </w:hyperlink>
      <w:r>
        <w:t xml:space="preserve">  |  </w:t>
      </w:r>
      <w:hyperlink r:id="rId6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4 Pretransplant treatment and response assessment</w:t>
      </w:r>
    </w:p>
    <w:p>
      <w:pPr>
        <w:pStyle w:val="Normal"/>
        <w:widowControl/>
        <w:numPr>
          <w:ilvl w:val="0"/>
          <w:numId w:val="3"/>
        </w:numPr>
      </w:pPr>
      <w:r>
        <w:t xml:space="preserve">Medical oncology selects systemic therapy using molecular profile, primary sidedness, prior response, organ function and the colorectal roadmap. Record delivered regimen/lines and cumulative toxicity. There is no transplant-validated minimum of 12–18 cycles and no mandate for multimodality treatment solely to reach LT.</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Consider HAI, resection, ablation or other liver-directed options when they offer disease control or complete clearance. Before arterial intervention, document hepatic arterial anatomy and a possible future reconstruction strategy. Avoid a plan in which intentionally excessive treatment creates the liver failure used to justify LT.</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OPEN proposed local monitoring: CT/MRI approximately every eight weeks during active therapy, CEA at oncology reviews, reassessment of functional/liver reserve and repeat two-surgeon HPB review after meaningful response and within 30 days before LT activation. PET quantification and ctDNA are not independent eligibility tests.</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Advance to final selection only if disease remains controlled, no extrahepatic/local recurrence is found, persistent unresectability is independently confirmed, medical fitness remains acceptable, and the chosen clinical or approved study stratum plus allocation route is documented.</w:t>
      </w:r>
    </w:p>
    <w:p>
      <w:pPr>
        <w:pStyle w:val="Normal"/>
        <w:widowControl/>
        <w:numPr>
          <w:ilvl w:val="0"/>
          <w:numId w:val="3"/>
        </w:numPr>
      </w:pPr>
      <w:r>
        <w:t xml:space="preserve">Hold for indeterminate lesions, NED without a clear LT rationale, discordant biomarkers, unresolved primary margins, unreviewed treatment toxicity or an unapproved expansion. Progression, confirmed extrahepatic/local recurrence or prohibitive medical risk stops the guidance-aligned route.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If a molecular subgroup is receiving ICI, retain the separate graft-risk assessment and drug chronology. Activity of immunotherapy in MSI-H CRC does not establish an LT indication or safe post-LT exposure.</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xOTwvUmVjTnVtPjxEaXNwbGF5VGV4dD5bVjE2LTE5XTwvRGlzcGxheVRleHQ+PHJlY29yZD48cmVjLW51bWJlcj4xOTwvcmVjLW51bWJlcj48Zm9yZWlnbi1rZXlzPjxrZXkgYXBwPSJFTiIgZGItaWQ9IjRhN2VkMTEzLTM1MDYtNWUwMi1hOGFhLTNhYzU3NzE1MDE2NCIgdGltZXN0YW1wPSIxNzkzMjgzNjg2Ij4xOT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Heading3"/>
        <w:widowControl/>
        <w:keepNext/>
      </w:pPr>
      <w:r>
        <w:t xml:space="preserve">Systemic treatment evidence and transplant boundaries</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4"/>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jA8L1JlY051bT48RGlzcGxheVRleHQ+W1YxNi0yMF08L0Rpc3BsYXlUZXh0PjxyZWNvcmQ+PHJlYy1udW1iZXI+MjA8L3JlYy1udW1iZXI+PGZvcmVpZ24ta2V5cz48a2V5IGFwcD0iRU4iIGRiLWlkPSI0YTdlZDExMy0zNTA2LTVlMDItYThhYS0zYWM1NzcxNTAxNjQiIHRpbWVzdGFtcD0iMTc5MzI4MzY4NiI+MjA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br/>
      </w:r>
      <w:hyperlink r:id="rId153">
        <w:r>
          <w:rPr>
            <w:color w:val="0563C1"/>
            <w:u w:val="single"/>
          </w:rPr>
          <w:t>Source</w:t>
        </w:r>
      </w:hyperlink>
      <w:r>
        <w:t xml:space="preserve"> · </w:t>
      </w:r>
      <w:hyperlink r:id="rId154">
        <w:r>
          <w:rPr>
            <w:color w:val="0563C1"/>
            <w:u w:val="single"/>
          </w:rPr>
          <w:t>PDF</w:t>
        </w:r>
      </w:hyperlink>
    </w:p>
    <w:p>
      <w:pPr>
        <w:pStyle w:val="Heading4"/>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t xml:space="preserve"> </w:t>
      </w:r>
      <w:r>
        <w:fldChar w:fldCharType="begin"/>
      </w:r>
      <w:r>
        <w:instrText xml:space="preserve"> ADDIN EN.CITE </w:instrText>
      </w:r>
      <w:r>
        <w:fldChar w:fldCharType="begin">
          <w:fldData>PEVuZE5vdGU+PENpdGU+PEF1dGhvcj5QcmFnZXIgR1c8L0F1dGhvcj48WWVhcj4yMDIzPC9ZZWFyPjxSZWNOdW0+MjE8L1JlY051bT48RGlzcGxheVRleHQ+W1YxNi0yMV08L0Rpc3BsYXlUZXh0PjxyZWNvcmQ+PHJlYy1udW1iZXI+MjE8L3JlYy1udW1iZXI+PGZvcmVpZ24ta2V5cz48a2V5IGFwcD0iRU4iIGRiLWlkPSI0YTdlZDExMy0zNTA2LTVlMDItYThhYS0zYWM1NzcxNTAxNjQiIHRpbWVzdGFtcD0iMTc5MzI4MzY4NiI+MjE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br/>
      </w:r>
      <w:hyperlink r:id="rId155">
        <w:r>
          <w:rPr>
            <w:color w:val="0563C1"/>
            <w:u w:val="single"/>
          </w:rPr>
          <w:t>Source</w:t>
        </w:r>
      </w:hyperlink>
      <w:r>
        <w:t xml:space="preserve"> · </w:t>
      </w:r>
      <w:hyperlink r:id="rId156">
        <w:r>
          <w:rPr>
            <w:color w:val="0563C1"/>
            <w:u w:val="single"/>
          </w:rPr>
          <w:t>PDF</w:t>
        </w:r>
      </w:hyperlink>
    </w:p>
    <w:p>
      <w:pPr>
        <w:pStyle w:val="Heading4"/>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t xml:space="preserve"> </w:t>
      </w:r>
      <w:r>
        <w:fldChar w:fldCharType="begin"/>
      </w:r>
      <w:r>
        <w:instrText xml:space="preserve"> ADDIN EN.CITE </w:instrText>
      </w:r>
      <w:r>
        <w:fldChar w:fldCharType="begin">
          <w:fldData>PEVuZE5vdGU+PENpdGU+PEF1dGhvcj5EYXNhcmkgQTwvQXV0aG9yPjxZZWFyPjIwMjM8L1llYXI+PFJlY051bT4yMjwvUmVjTnVtPjxEaXNwbGF5VGV4dD5bVjE2LTIyXTwvRGlzcGxheVRleHQ+PHJlY29yZD48cmVjLW51bWJlcj4yMjwvcmVjLW51bWJlcj48Zm9yZWlnbi1rZXlzPjxrZXkgYXBwPSJFTiIgZGItaWQ9IjRhN2VkMTEzLTM1MDYtNWUwMi1hOGFhLTNhYzU3NzE1MDE2NCIgdGltZXN0YW1wPSIxNzkzMjgzNjg2Ij4yMj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br/>
      </w:r>
      <w:hyperlink r:id="rId157">
        <w:r>
          <w:rPr>
            <w:color w:val="0563C1"/>
            <w:u w:val="single"/>
          </w:rPr>
          <w:t>Source</w:t>
        </w:r>
      </w:hyperlink>
      <w:r>
        <w:t xml:space="preserve"> · </w:t>
      </w:r>
      <w:hyperlink r:id="rId158">
        <w:r>
          <w:rPr>
            <w:color w:val="0563C1"/>
            <w:u w:val="single"/>
          </w:rPr>
          <w:t>PDF</w:t>
        </w:r>
      </w:hyperlink>
    </w:p>
    <w:p>
      <w:pPr>
        <w:pStyle w:val="Normal"/>
        <w:widowControl/>
        <w:spacing w:after="120"/>
      </w:pPr>
      <w:r>
        <w:t xml:space="preserve">Treatment comparisons and detailed regimen evidence: </w:t>
      </w:r>
      <w:hyperlink r:id="rId152">
        <w:r>
          <w:rPr>
            <w:color w:val="0563C1"/>
            <w:u w:val="single"/>
          </w:rPr>
          <w:t>Cross-tumor systemic matrix</w:t>
        </w:r>
      </w:hyperlink>
    </w:p>
    <w:p>
      <w:pPr>
        <w:pStyle w:val="Heading2"/>
        <w:keepNext/>
        <w:widowControl/>
      </w:pPr>
      <w:r>
        <w:t xml:space="preserve">5 Listing and surgical procedure</w:t>
      </w:r>
    </w:p>
    <w:p>
      <w:pPr>
        <w:pStyle w:val="Normal"/>
        <w:widowControl/>
        <w:numPr>
          <w:ilvl w:val="0"/>
          <w:numId w:val="3"/>
        </w:numPr>
      </w:pPr>
      <w:r>
        <w:t xml:space="preserve">NLRB CRLM guidance recommends consideration of MMaT minus 20 with a floor of 15. It is not a standardized exception, guaranteed score or the same priority intervention as TransMet. Keep the approved exception, calculated MELD and expected wait separately documented.</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64">
        <w:r>
          <w:rPr>
            <w:color w:val="77230C"/>
            <w:sz w:val="20"/>
            <w:u w:val="single"/>
          </w:rPr>
          <w:t>Meeting record: ALLOC-B1</w:t>
        </w:r>
      </w:hyperlink>
      <w:r>
        <w:t xml:space="preserve">  |  </w:t>
      </w:r>
      <w:hyperlink r:id="rId6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I3PC9SZWNOdW0+PERpc3BsYXlUZXh0PltWMTYtMjddPC9EaXNwbGF5VGV4dD48cmVjb3JkPjxyZWMtbnVtYmVyPjI3PC9yZWMtbnVtYmVyPjxmb3JlaWduLWtleXM+PGtleSBhcHA9IkVOIiBkYi1pZD0iNGE3ZWQxMTMtMzUwNi01ZTAyLWE4YWEtM2FjNTc3MTUwMTY0IiB0aW1lc3RhbXA9IjE3OTMyODM2ODYiPjI3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yODwvUmVjTnVtPjxEaXNwbGF5VGV4dD5bVjE2LTI4XTwvRGlzcGxheVRleHQ+PHJlY29yZD48cmVjLW51bWJlcj4yODwvcmVjLW51bWJlcj48Zm9yZWlnbi1rZXlzPjxrZXkgYXBwPSJFTiIgZGItaWQ9IjRhN2VkMTEzLTM1MDYtNWUwMi1hOGFhLTNhYzU3NzE1MDE2NCIgdGltZXN0YW1wPSIxNzkzMjgzNjg2Ij4yOD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U8L1JlY051bT48RGlzcGxheVRleHQ+W1YxNi0yNV08L0Rpc3BsYXlUZXh0PjxyZWNvcmQ+PHJlYy1udW1iZXI+MjU8L3JlYy1udW1iZXI+PGZvcmVpZ24ta2V5cz48a2V5IGFwcD0iRU4iIGRiLWlkPSI0YTdlZDExMy0zNTA2LTVlMDItYThhYS0zYWM1NzcxNTAxNjQiIHRpbWVzdGFtcD0iMTc5MzI4MzY4NiI+Mj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I3PC9SZWNOdW0+PERpc3BsYXlUZXh0PltWMTYtMjddPC9EaXNwbGF5VGV4dD48cmVjb3JkPjxyZWMtbnVtYmVyPjI3PC9yZWMtbnVtYmVyPjxmb3JlaWduLWtleXM+PGtleSBhcHA9IkVOIiBkYi1pZD0iNGE3ZWQxMTMtMzUwNi01ZTAyLWE4YWEtM2FjNTc3MTUwMTY0IiB0aW1lc3RhbXA9IjE3OTMyODM2ODYiPjI3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yODwvUmVjTnVtPjxEaXNwbGF5VGV4dD5bVjE2LTI4XTwvRGlzcGxheVRleHQ+PHJlY29yZD48cmVjLW51bWJlcj4yODwvcmVjLW51bWJlcj48Zm9yZWlnbi1rZXlzPjxrZXkgYXBwPSJFTiIgZGItaWQ9IjRhN2VkMTEzLTM1MDYtNWUwMi1hOGFhLTNhYzU3NzE1MDE2NCIgdGltZXN0YW1wPSIxNzkzMjgzNjg2Ij4yOD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66">
        <w:r>
          <w:rPr>
            <w:color w:val="77230C"/>
            <w:sz w:val="20"/>
            <w:u w:val="single"/>
          </w:rPr>
          <w:t>Meeting record: ALLOC-B2</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k8L1JlY051bT48RGlzcGxheVRleHQ+W1YxNi0yOV08L0Rpc3BsYXlUZXh0PjxyZWNvcmQ+PHJlYy1udW1iZXI+Mjk8L3JlYy1udW1iZXI+PGZvcmVpZ24ta2V5cz48a2V5IGFwcD0iRU4iIGRiLWlkPSI0YTdlZDExMy0zNTA2LTVlMDItYThhYS0zYWM1NzcxNTAxNjQiIHRpbWVzdGFtcD0iMTc5MzI4MzY4NiI+Mjk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A8L1JlY051bT48RGlzcGxheVRleHQ+W1YxNi0zMF08L0Rpc3BsYXlUZXh0PjxyZWNvcmQ+PHJlYy1udW1iZXI+MzA8L3JlYy1udW1iZXI+PGZvcmVpZ24ta2V5cz48a2V5IGFwcD0iRU4iIGRiLWlkPSI0YTdlZDExMy0zNTA2LTVlMDItYThhYS0zYWM1NzcxNTAxNjQiIHRpbWVzdGFtcD0iMTc5MzI4MzY4NiI+MzA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xPC9SZWNOdW0+PERpc3BsYXlUZXh0PltWMTYtMzFdPC9EaXNwbGF5VGV4dD48cmVjb3JkPjxyZWMtbnVtYmVyPjMxPC9yZWMtbnVtYmVyPjxmb3JlaWduLWtleXM+PGtleSBhcHA9IkVOIiBkYi1pZD0iNGE3ZWQxMTMtMzUwNi01ZTAyLWE4YWEtM2FjNTc3MTUwMTY0IiB0aW1lc3RhbXA9IjE3OTMyODM2ODYiPjMx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YTdlZDExMy0zNTA2LTVlMDItYThhYS0zYWM1NzcxNTAxNjQ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k8L1JlY051bT48RGlzcGxheVRleHQ+W1YxNi0yOV08L0Rpc3BsYXlUZXh0PjxyZWNvcmQ+PHJlYy1udW1iZXI+Mjk8L3JlYy1udW1iZXI+PGZvcmVpZ24ta2V5cz48a2V5IGFwcD0iRU4iIGRiLWlkPSI0YTdlZDExMy0zNTA2LTVlMDItYThhYS0zYWM1NzcxNTAxNjQiIHRpbWVzdGFtcD0iMTc5MzI4MzY4NiI+Mjk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A8L1JlY051bT48RGlzcGxheVRleHQ+W1YxNi0zMF08L0Rpc3BsYXlUZXh0PjxyZWNvcmQ+PHJlYy1udW1iZXI+MzA8L3JlYy1udW1iZXI+PGZvcmVpZ24ta2V5cz48a2V5IGFwcD0iRU4iIGRiLWlkPSI0YTdlZDExMy0zNTA2LTVlMDItYThhYS0zYWM1NzcxNTAxNjQiIHRpbWVzdGFtcD0iMTc5MzI4MzY4NiI+MzA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xPC9SZWNOdW0+PERpc3BsYXlUZXh0PltWMTYtMzFdPC9EaXNwbGF5VGV4dD48cmVjb3JkPjxyZWMtbnVtYmVyPjMxPC9yZWMtbnVtYmVyPjxmb3JlaWduLWtleXM+PGtleSBhcHA9IkVOIiBkYi1pZD0iNGE3ZWQxMTMtMzUwNi01ZTAyLWE4YWEtM2FjNTc3MTUwMTY0IiB0aW1lc3RhbXA9IjE3OTMyODM2ODYiPjMx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68">
        <w:r>
          <w:rPr>
            <w:color w:val="77230C"/>
            <w:sz w:val="20"/>
            <w:u w:val="single"/>
          </w:rPr>
          <w:t>Meeting record: ALLOC-B3</w:t>
        </w:r>
      </w:hyperlink>
      <w:r>
        <w:t xml:space="preserve">  |  </w:t>
      </w:r>
      <w:hyperlink r:id="rId6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numPr>
          <w:ilvl w:val="0"/>
          <w:numId w:val="3"/>
        </w:numPr>
      </w:pPr>
      <w:r>
        <w:t xml:space="preserve">Before LT, reconfirm staging and inspect for unexpected extrahepatic disease. Obtain pathology of suspicious findings; malignant extrahepatic disease stops this protocol operation. Complete native hepatectomy and map viable and nonviable sites on explant.</w:t>
      </w:r>
    </w:p>
    <w:p>
      <w:pPr>
        <w:pStyle w:val="Normal"/>
        <w:widowControl/>
        <w:numPr>
          <w:ilvl w:val="0"/>
          <w:numId w:val="3"/>
        </w:numPr>
      </w:pPr>
      <w:r>
        <w:t xml:space="preserve">Living-donor RAPID or another auxiliary/two-stage operation is not a default alternative when a whole graft is unavailable. It requires a separate surgical study, graft-growth/functional criteria, small-for-size and interval-progression safeguards, and independent donor assessment. The old 2–3-week completion schedule is not an automatic operative order.</w:t>
      </w:r>
    </w:p>
    <w:p>
      <w:pPr>
        <w:pStyle w:val="Heading2"/>
        <w:keepNext/>
        <w:widowControl/>
      </w:pPr>
      <w:r>
        <w:t xml:space="preserve">6 Immunosuppression and adjuvant therapy</w:t>
      </w:r>
    </w:p>
    <w:p>
      <w:pPr>
        <w:pStyle w:val="Normal"/>
        <w:widowControl/>
        <w:numPr>
          <w:ilvl w:val="0"/>
          <w:numId w:val="3"/>
        </w:numPr>
      </w:pPr>
      <w:r>
        <w:t xml:space="preserve">Use an approved transplant regimen with individual renal, infection, rejection and oncologic assessment. mTOR conversion and tacrolimus minimization may be considered after appropriate healing and vascular assessment, but no high-risk CRLM recurrence-prevention regimen or universal trough target is established.</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U8L1JlY051bT48RGlzcGxheVRleHQ+W1YxNi01XTwvRGlzcGxheVRleHQ+PHJlY29yZD48cmVjLW51bWJlcj41PC9yZWMtbnVtYmVyPjxmb3JlaWduLWtleXM+PGtleSBhcHA9IkVOIiBkYi1pZD0iNGE3ZWQxMTMtMzUwNi01ZTAyLWE4YWEtM2FjNTc3MTUwMTY0IiB0aW1lc3RhbXA9IjE3OTMyODM2ODYiPjU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No routine post-LT adjuvant chemotherapy standard is adopted here. Any such plan must specify regimen, recovery requirements, duration and graft/marrow/interaction monitoring in an approved study or individualized MDT decision. Four-week ctDNA status must not alone start, stop or extend chemotherapy.</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7 Post transplant surveillance</w:t>
      </w:r>
    </w:p>
    <w:p>
      <w:pPr>
        <w:pStyle w:val="Normal"/>
        <w:widowControl/>
        <w:numPr>
          <w:ilvl w:val="0"/>
          <w:numId w:val="3"/>
        </w:numPr>
      </w:pPr>
      <w:r>
        <w:t xml:space="preserve">Proposed local schedule for approval: chest/abdomen/pelvis imaging and CEA every three months for years one to three, then every six months through year five, with subsequent follow-up individualized. Choose liver MRI where appropriate; assess kidney function and cumulative imaging burden.</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Use PET for an unresolved clinical or imaging question, not automatically every six months. Obtain colonoscopic surveillance through the colorectal team based on prior examination and resection history.</w:t>
      </w:r>
    </w:p>
    <w:p>
      <w:pPr>
        <w:pStyle w:val="Normal"/>
        <w:widowControl/>
        <w:numPr>
          <w:ilvl w:val="0"/>
          <w:numId w:val="3"/>
        </w:numPr>
      </w:pPr>
      <w:r>
        <w:t xml:space="preserve">ctDNA remains a research/risk adjunct. Confirm a new positive result and perform directed restaging/MDT review; do not initiate empiric therapy with negative imaging solely because ctDNA is detected.</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8 Recurrence management</w:t>
      </w:r>
    </w:p>
    <w:p>
      <w:pPr>
        <w:pStyle w:val="Normal"/>
        <w:widowControl/>
        <w:numPr>
          <w:ilvl w:val="0"/>
          <w:numId w:val="3"/>
        </w:numPr>
      </w:pPr>
      <w:r>
        <w:t xml:space="preserve">Restage and discuss each recurrence in the colorectal/transplant MDT. Selected limited pulmonary or other recurrences may be treated with resection, ablation or radiation; systemic treatment depends on disease burden, biology, prior exposure, graft function and patient priorities.</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Record recurrence-treatment morbidity, further recurrence, time without treatment and survival after recurrence. Local salvage does not imply cure or justify accepting uncontrolled disease before LT.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3"/>
        <w:keepNext/>
        <w:widowControl/>
      </w:pPr>
      <w:bookmarkStart w:id="7" w:name="CRLM_B4"/>
      <w:r>
        <w:t xml:space="preserve">CRLM-B4 — How much recurrence/graft use is acceptable for the observed survival benefit?</w:t>
      </w:r>
      <w:bookmarkEnd w:id="7"/>
    </w:p>
    <w:p>
      <w:pPr>
        <w:pStyle w:val="Heading3"/>
        <w:keepNext/>
        <w:widowControl/>
      </w:pPr>
      <w:r>
        <w:t xml:space="preserve">Question and comparison</w:t>
      </w:r>
    </w:p>
    <w:p>
      <w:pPr>
        <w:pStyle w:val="Normal"/>
        <w:widowControl/>
        <w:spacing w:before="60" w:after="20"/>
      </w:pPr>
      <w:r>
        <w:t xml:space="preserve">How should expected survival, recurrence treatment, graft use and non-LT alternatives determine whether a high-risk CRLM transplant strategy is worthwhile?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Multicentre open-label randomized trial, 20 European centres, 157 screened and 94 randomized (47 LT-plus-chemotherapy, 47 chemotherapy); 63 screened excluded, including 13 with equivocal unresectability and 36 with progression.</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Interim safety Methods PDF 3; final Methods.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pStyle w:val="Normal"/>
              <w:widowControl/>
              <w:spacing w:before="60" w:after="20"/>
            </w:pPr>
            <w:r>
              <w:rPr>
                <w:b/>
              </w:rPr>
              <w:t xml:space="preserve">Do not infer: </w:t>
            </w:r>
            <w:r>
              <w:t xml:space="preserve">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SECA-II arm D</w:t>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Prospective SECA-II arm D expanded-criteria cohort, ten recipients, without control.</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BJS Open 2020;4:467–477; full text methods, Tables 1–3 and survival figures.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LT, median DFS four months and median OS 18 months. Rapid recurrence and limited survival contrast with strictly selected SECA-II, despite use of donor grafts intended to broaden access.</w:t>
            </w:r>
          </w:p>
          <w:p>
            <w:pPr>
              <w:pStyle w:val="Normal"/>
              <w:widowControl/>
              <w:spacing w:before="60" w:after="20"/>
            </w:pPr>
            <w:r>
              <w:rPr>
                <w:b/>
              </w:rPr>
              <w:t xml:space="preserve">Do not infer: </w:t>
            </w:r>
            <w:r>
              <w:t xml:space="preserve">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tc>
      </w:tr>
      <w:tr>
        <w:trPr/>
        <w:tc>
          <w:tcPr>
            <w:tcW w:w="3400" w:type="dxa"/>
            <w:tcMar>
              <w:top w:w="90" w:type="dxa"/>
              <w:left w:w="90" w:type="dxa"/>
              <w:bottom w:w="90" w:type="dxa"/>
              <w:right w:w="90" w:type="dxa"/>
            </w:tcMar>
          </w:tcPr>
          <w:p>
            <w:pPr>
              <w:pStyle w:val="Normal"/>
              <w:widowControl/>
              <w:spacing w:before="60" w:after="20"/>
            </w:pPr>
            <w:r>
              <w:rPr>
                <w:b/>
              </w:rPr>
              <w:t xml:space="preserve">Chandra 2026 · HAIP comparator</w:t>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Single-centre retrospective HAIP cohort: 1,110 patients treated in 2006–2016, 483 initially unresectable after exclusions; 83 met modified transplant criteria, but only 23 were pretreated, chemotherapy-controlled transplant-like candidates.</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Complete accepted manuscript, PDF pp.6–11: cohort derivation, modified criteria, conversion, survival and adverse events; subsequent tables.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pStyle w:val="Normal"/>
              <w:widowControl/>
              <w:spacing w:before="60" w:after="20"/>
            </w:pPr>
            <w:r>
              <w:rPr>
                <w:b/>
              </w:rPr>
              <w:t xml:space="preserve">Do not infer: </w:t>
            </w:r>
            <w:r>
              <w:t xml:space="preserve">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r>
        <w:trPr/>
        <w:tc>
          <w:tcPr>
            <w:tcW w:w="34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Official Adult MELD Exceptions for Transplant Oncology guidance, December 2025 posting checked 24 October 2026. Allocation-review guidance, not national clinical policy or proof of efficacy.</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Official PDF NET pp.8–9; CRLM pp.9–10; introduction on purpose/status.</w:t>
            </w:r>
          </w:p>
          <w:p>
            <w:pPr>
              <w:pStyle w:val="Normal"/>
              <w:widowControl/>
              <w:spacing w:before="60" w:after="20"/>
            </w:pPr>
            <w:r>
              <w:t xml:space="preserve">Review depth: Complete local primary PDF available; relevant methods, selection, results and limitations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pStyle w:val="Normal"/>
              <w:widowControl/>
              <w:spacing w:before="60" w:after="20"/>
            </w:pPr>
            <w:r>
              <w:rPr>
                <w:b/>
              </w:rPr>
              <w:t xml:space="preserve">Do not infer: </w:t>
            </w:r>
            <w:r>
              <w:t xml:space="preserve">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bl>
    <w:p>
      <w:pPr>
        <w:pStyle w:val="Heading3"/>
        <w:keepNext/>
        <w:widowControl/>
      </w:pPr>
      <w:r>
        <w:t xml:space="preserve">Synthesis and evidence that challenges the proposal</w:t>
      </w:r>
    </w:p>
    <w:p>
      <w:pPr>
        <w:pStyle w:val="Normal"/>
        <w:widowControl/>
        <w:spacing w:before="60" w:after="20"/>
      </w:pPr>
      <w:r>
        <w:t xml:space="preserve">The relevant endpoint is the entire strategy from a shared eligibility/randomization date: access to a first graft, wait-list progression, perioperative death, graft failure, recurrence, salvage treatment, long-term survival and QoL. Recurrence does not erase all benefit, but is a substantial burden; SECA-II shows both long post-recurrence survival and late metastatic death. TransMet's 56.6% ITT survival is the appropriate randomized headline, with 73.3% PP provided only secondarily. Add treatment-related deaths before grafting and long-term nononcologic graft risks: Wehrle had one treatment-associated pre-LT death among 16 entrants, and expanded SECA-II included fatal early hepatic-artery thrombosis. Durable postrecurrence survival is not a validated cure fraction; late cancer deaths continued beyond five years.</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spacing w:before="60" w:after="20"/>
      </w:pPr>
      <w:r>
        <w:t xml:space="preserve">TransMet's nine progression dropouts and three retransplants show why post-LT survival alone is inadequate. The 2026 SECA-II ten-year OS was 51.5%, not its five-year 77.8%; four metastatic deaths occurred after five years. Arm D's 18-month median OS cautions against assuming every expanded candidate obtains sufficient benefit. Selected HAIP/conversion patients can have durable survival without a graft, but cross-study comparisons cannot calculate an individual's LT gain.</w:t>
      </w:r>
    </w:p>
    <w:p>
      <w:pPr>
        <w:pStyle w:val="Normal"/>
        <w:widowControl/>
        <w:spacing w:before="60" w:after="20"/>
      </w:pPr>
      <w:r>
        <w:rPr>
          <w:b/>
        </w:rPr>
        <w:t xml:space="preserve">Certainty / applicability: </w:t>
      </w:r>
      <w:r>
        <w:t xml:space="preserve">Moderate-to-high for a survival advantage in selected TransMet patients; low for an individual numerical benefit model, long-wait extrapolation, high-risk graft strategies or predetermined retransplant policy. Long-term SECA-II is informative but small and uncontrolled.</w:t>
      </w:r>
    </w:p>
    <w:p>
      <w:pPr>
        <w:pStyle w:val="Heading3"/>
        <w:keepNext/>
        <w:widowControl/>
      </w:pPr>
      <w:r>
        <w:t xml:space="preserve">Where each proposed threshold comes from</w:t>
      </w:r>
    </w:p>
    <w:p>
      <w:pPr>
        <w:pStyle w:val="Normal"/>
        <w:widowControl/>
        <w:numPr>
          <w:ilvl w:val="0"/>
          <w:numId w:val="3"/>
        </w:numPr>
        <w:spacing w:before="60" w:after="20"/>
      </w:pPr>
      <w:r>
        <w:t xml:space="preserve">No validated minimum RFS, individual five-year benefit percentage or fixed number of salvage operations establishes acceptable LT value. The two-year/three-year thresholds sometimes used in economic models are not recipient-selection validation. One planned graft and safety-review triggers are institutional ethical/operational proposals.</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TransMet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“three (8%) of 36 patients who received a transplant were retransplanted”</w:t>
            </w:r>
          </w:p>
          <w:p>
            <w:pPr>
              <w:pStyle w:val="Normal"/>
              <w:widowControl/>
              <w:spacing w:before="60" w:after="20"/>
            </w:pPr>
            <w:r>
              <w:t xml:space="preserve">Published PDF p9 / journal p1115, Results</w:t>
            </w:r>
          </w:p>
          <w:p>
            <w:pPr>
              <w:pStyle w:val="Normal"/>
              <w:widowControl/>
              <w:spacing w:before="60" w:after="20"/>
            </w:pPr>
            <w:hyperlink r:id="rId84">
              <w:r>
                <w:rPr>
                  <w:color w:val="77230C"/>
                  <w:sz w:val="20"/>
                  <w:u w:val="single"/>
                </w:rPr>
                <w:t>Source</w:t>
              </w:r>
            </w:hyperlink>
            <w:r>
              <w:t xml:space="preserve"> | </w:t>
            </w:r>
            <w:hyperlink r:id="rId8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Additional graft use is real. The 36 per-protocol recipients differ from the 40-recipient safety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Accept that recurrence may coexist with meaningful survival benefit, but plan one graft and account for recurrence treatment and all additional graft use.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M8L1JlY051bT48RGlzcGxheVRleHQ+W1YxNi0xM108L0Rpc3BsYXlUZXh0PjxyZWNvcmQ+PHJlYy1udW1iZXI+MTM8L3JlYy1udW1iZXI+PGZvcmVpZ24ta2V5cz48a2V5IGFwcD0iRU4iIGRiLWlkPSI0YTdlZDExMy0zNTA2LTVlMDItYThhYS0zYWM1NzcxNTAxNjQiIHRpbWVzdGFtcD0iMTc5MzI4MzY4NiI+MTM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YTdlZDExMy0zNTA2LTVlMDItYThhYS0zYWM1NzcxNTAxNjQ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4PC9SZWNOdW0+PERpc3BsYXlUZXh0PltWMTYtMThdPC9EaXNwbGF5VGV4dD48cmVjb3JkPjxyZWMtbnVtYmVyPjE4PC9yZWMtbnVtYmVyPjxmb3JlaWduLWtleXM+PGtleSBhcHA9IkVOIiBkYi1pZD0iNGE3ZWQxMTMtMzUwNi01ZTAyLWE4YWEtM2FjNTc3MTUwMTY0IiB0aW1lc3RhbXA9IjE3OTMyODM2ODYiPjE4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Proposed activation gate: a patient-specific benefit comparison against accessible non-LT care, feasible recurrence-treatment options, and a realistic local wait/treatment plan.</w:t>
      </w:r>
    </w:p>
    <w:p>
      <w:pPr>
        <w:pStyle w:val="Normal"/>
        <w:widowControl/>
        <w:numPr>
          <w:ilvl w:val="1"/>
          <w:numId w:val="3"/>
        </w:numPr>
        <w:spacing w:before="60" w:after="20"/>
      </w:pPr>
      <w:r>
        <w:t xml:space="preserve">Reassess about every eight weeks while waiting; no unsupported maximum-wait exclusion is imposed.</w:t>
      </w:r>
    </w:p>
    <w:p>
      <w:pPr>
        <w:pStyle w:val="Normal"/>
        <w:widowControl/>
        <w:numPr>
          <w:ilvl w:val="0"/>
          <w:numId w:val="3"/>
        </w:numPr>
      </w:pPr>
      <w:r>
        <w:t xml:space="preserve">Plan one graft per recipient; no planned retransplantation for oncologic recurrence.</w:t>
      </w:r>
    </w:p>
    <w:p>
      <w:pPr>
        <w:pStyle w:val="Normal"/>
        <w:widowControl/>
        <w:numPr>
          <w:ilvl w:val="1"/>
          <w:numId w:val="3"/>
        </w:numPr>
        <w:spacing w:before="60" w:after="20"/>
      </w:pPr>
      <w:r>
        <w:t xml:space="preserve">Rescue of early nononcologic graft failure remains a separate standard transplant/allocation decision and is never promised or withheld by this rule.</w:t>
      </w:r>
    </w:p>
    <w:p>
      <w:pPr>
        <w:pStyle w:val="Normal"/>
        <w:widowControl/>
        <w:numPr>
          <w:ilvl w:val="0"/>
          <w:numId w:val="3"/>
        </w:numPr>
      </w:pPr>
      <w:r>
        <w:t xml:space="preserve">No low recurrence-rate/RFS cutoff is substituted for survival or quality-of-life benefit.</w:t>
      </w:r>
    </w:p>
    <w:p>
      <w:pPr>
        <w:pStyle w:val="Normal"/>
        <w:widowControl/>
        <w:numPr>
          <w:ilvl w:val="1"/>
          <w:numId w:val="3"/>
        </w:numPr>
        <w:spacing w:before="60" w:after="20"/>
      </w:pPr>
      <w:r>
        <w:t xml:space="preserve">Record all-screened outcomes, recurrence treatment burden, time off therapy, graft loss/retransplantation and functional recovery.</w:t>
      </w:r>
    </w:p>
    <w:p>
      <w:pPr>
        <w:pStyle w:val="Normal"/>
        <w:widowControl/>
        <w:numPr>
          <w:ilvl w:val="1"/>
          <w:numId w:val="3"/>
        </w:numPr>
        <w:spacing w:before="60" w:after="20"/>
      </w:pPr>
      <w:r>
        <w:t xml:space="preserve">Apply the one-event early safety pause in ALLOC-B4 to newly activated experimental cohorts.</w:t>
      </w:r>
    </w:p>
    <w:p>
      <w:pPr>
        <w:pStyle w:val="Normal"/>
        <w:widowControl/>
        <w:numPr>
          <w:ilvl w:val="0"/>
          <w:numId w:val="3"/>
        </w:numPr>
      </w:pPr>
      <w:r>
        <w:t xml:space="preserve">Report treatment-related hepatic failure, wait-list death, early graft failure and retransplantation alongside recurrence/salvage and overall survival.</w:t>
      </w:r>
    </w:p>
    <w:p>
      <w:pPr>
        <w:pStyle w:val="Normal"/>
        <w:widowControl/>
        <w:numPr>
          <w:ilvl w:val="1"/>
          <w:numId w:val="3"/>
        </w:numPr>
        <w:spacing w:before="60" w:after="20"/>
      </w:pPr>
      <w:r>
        <w:t xml:space="preserve">Do not describe long NED follow-up as a validated cure proportion.</w:t>
      </w:r>
    </w:p>
    <w:p>
      <w:pPr>
        <w:pStyle w:val="Normal"/>
        <w:widowControl/>
        <w:spacing w:before="60" w:after="20"/>
      </w:pPr>
      <w:r>
        <w:rPr>
          <w:b/>
        </w:rPr>
        <w:t xml:space="preserve">Why retain or change it: </w:t>
      </w:r>
      <w:r>
        <w:t xml:space="preserve">Keep OPEN a one-planned-graft strategy, with no planned oncologic retransplantation. Emergency graft rescue must be an independent transplant/allocation decision rather than automatic denial or promise. Before activation document the feasible non-LT sequence, expected wait and bridging plan, anticipated recurrence salvage options, recipient/graft risk, and donor-specific burden where applicable. Track all screened/enrolled patients from common eligibility, not only recipients; report ITT-like survival, recurrence sites/treatment, grafts per patient, donor outcomes and QoL. A safety event triggers review under the separate allocation governance plan; it is not a literature-derived stopping boundary. Decision remains blank.</w:t>
      </w:r>
    </w:p>
    <w:p>
      <w:pPr>
        <w:pStyle w:val="Heading3"/>
        <w:keepNext/>
        <w:widowControl/>
      </w:pPr>
      <w:r>
        <w:t xml:space="preserve">Information required before the decision</w:t>
      </w:r>
    </w:p>
    <w:p>
      <w:pPr>
        <w:pStyle w:val="Normal"/>
        <w:widowControl/>
        <w:spacing w:before="60" w:after="20"/>
      </w:pPr>
      <w:r>
        <w:t xml:space="preserve">Contemporary comparator; current fitness/control; recurrence options; local access estimate; patient priorities; graft-use and follow-up plan.</w:t>
      </w:r>
    </w:p>
    <w:p>
      <w:pPr>
        <w:pStyle w:val="Normal"/>
        <w:widowControl/>
        <w:spacing w:before="60" w:after="20"/>
      </w:pPr>
      <w:r>
        <w:rPr>
          <w:b/>
        </w:rPr>
        <w:t xml:space="preserve">Clinical versus allocation: </w:t>
      </w:r>
      <w:r>
        <w:t xml:space="preserve">Do not promise trial survival where waiting/access differ materially. Count all grafts and downstream allocation consequences, including LDLT recipients who later need DDLT.</w:t>
      </w:r>
    </w:p>
    <w:p>
      <w:pPr>
        <w:pStyle w:val="Normal"/>
        <w:widowControl/>
        <w:spacing w:before="60" w:after="20"/>
      </w:pPr>
      <w:r>
        <w:rPr>
          <w:b/>
        </w:rPr>
        <w:t xml:space="preserve">Roadmap / protocol reconciliation: </w:t>
      </w:r>
      <w:r>
        <w:t xml:space="preserve">Use the CRLM roadmap for recurrence and non-LT alternatives; compare real local options rather than historical chemotherapy alone.</w:t>
      </w:r>
    </w:p>
    <w:p>
      <w:pPr>
        <w:pStyle w:val="Normal"/>
        <w:widowControl/>
        <w:spacing w:before="60" w:after="20"/>
      </w:pPr>
      <w:hyperlink r:id="rId86">
        <w:r>
          <w:rPr>
            <w:color w:val="77230C"/>
            <w:sz w:val="20"/>
            <w:u w:val="single"/>
          </w:rPr>
          <w:t>Meeting record: CRLM-B4</w:t>
        </w:r>
      </w:hyperlink>
      <w:r>
        <w:t xml:space="preserve">  |  </w:t>
      </w:r>
      <w:hyperlink r:id="rId8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9 Data collection and outcomes</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8" w:name="ALLOC_B4"/>
      <w:r>
        <w:t xml:space="preserve">ALLOC-B4 — What data are required before expansion?</w:t>
      </w:r>
      <w:bookmarkEnd w:id="8"/>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MjwvUmVjTnVtPjxEaXNwbGF5VGV4dD5bVjE2LTMyXTwvRGlzcGxheVRleHQ+PHJlY29yZD48cmVjLW51bWJlcj4zMjwvcmVjLW51bWJlcj48Zm9yZWlnbi1rZXlzPjxrZXkgYXBwPSJFTiIgZGItaWQ9IjRhN2VkMTEzLTM1MDYtNWUwMi1hOGFhLTNhYzU3NzE1MDE2NCIgdGltZXN0YW1wPSIxNzkzMjgzNjg2Ij4zMj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zPC9SZWNOdW0+PERpc3BsYXlUZXh0PltWMTYtMzNdPC9EaXNwbGF5VGV4dD48cmVjb3JkPjxyZWMtbnVtYmVyPjMzPC9yZWMtbnVtYmVyPjxmb3JlaWduLWtleXM+PGtleSBhcHA9IkVOIiBkYi1pZD0iNGE3ZWQxMTMtMzUwNi01ZTAyLWE4YWEtM2FjNTc3MTUwMTY0IiB0aW1lc3RhbXA9IjE3OTMyODM2ODYiPjMz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zNDwvUmVjTnVtPjxEaXNwbGF5VGV4dD5bVjE2LTM0XTwvRGlzcGxheVRleHQ+PHJlY29yZD48cmVjLW51bWJlcj4zNDwvcmVjLW51bWJlcj48Zm9yZWlnbi1rZXlzPjxrZXkgYXBwPSJFTiIgZGItaWQ9IjRhN2VkMTEzLTM1MDYtNWUwMi1hOGFhLTNhYzU3NzE1MDE2NCIgdGltZXN0YW1wPSIxNzkzMjgzNjg2Ij4zN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jY8L1JlY051bT48RGlzcGxheVRleHQ+W1YxNi0yNl08L0Rpc3BsYXlUZXh0PjxyZWNvcmQ+PHJlYy1udW1iZXI+MjY8L3JlYy1udW1iZXI+PGZvcmVpZ24ta2V5cz48a2V5IGFwcD0iRU4iIGRiLWlkPSI0YTdlZDExMy0zNTA2LTVlMDItYThhYS0zYWM1NzcxNTAxNjQiIHRpbWVzdGFtcD0iMTc5MzI4MzY4NiI+MjY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MjwvUmVjTnVtPjxEaXNwbGF5VGV4dD5bVjE2LTMyXTwvRGlzcGxheVRleHQ+PHJlY29yZD48cmVjLW51bWJlcj4zMjwvcmVjLW51bWJlcj48Zm9yZWlnbi1rZXlzPjxrZXkgYXBwPSJFTiIgZGItaWQ9IjRhN2VkMTEzLTM1MDYtNWUwMi1hOGFhLTNhYzU3NzE1MDE2NCIgdGltZXN0YW1wPSIxNzkzMjgzNjg2Ij4zMj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Q8L1JlY051bT48RGlzcGxheVRleHQ+W1YxNi0yNF08L0Rpc3BsYXlUZXh0PjxyZWNvcmQ+PHJlYy1udW1iZXI+MjQ8L3JlYy1udW1iZXI+PGZvcmVpZ24ta2V5cz48a2V5IGFwcD0iRU4iIGRiLWlkPSI0YTdlZDExMy0zNTA2LTVlMDItYThhYS0zYWM1NzcxNTAxNjQiIHRpbWVzdGFtcD0iMTc5MzI4MzY4NiI+Mj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MzwvUmVjTnVtPjxEaXNwbGF5VGV4dD5bVjE2LTIzXTwvRGlzcGxheVRleHQ+PHJlY29yZD48cmVjLW51bWJlcj4yMzwvcmVjLW51bWJlcj48Zm9yZWlnbi1rZXlzPjxrZXkgYXBwPSJFTiIgZGItaWQ9IjRhN2VkMTEzLTM1MDYtNWUwMi1hOGFhLTNhYzU3NzE1MDE2NCIgdGltZXN0YW1wPSIxNzkzMjgzNjg2Ij4y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zPC9SZWNOdW0+PERpc3BsYXlUZXh0PltWMTYtMzNdPC9EaXNwbGF5VGV4dD48cmVjb3JkPjxyZWMtbnVtYmVyPjMzPC9yZWMtbnVtYmVyPjxmb3JlaWduLWtleXM+PGtleSBhcHA9IkVOIiBkYi1pZD0iNGE3ZWQxMTMtMzUwNi01ZTAyLWE4YWEtM2FjNTc3MTUwMTY0IiB0aW1lc3RhbXA9IjE3OTMyODM2ODYiPjMz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zNDwvUmVjTnVtPjxEaXNwbGF5VGV4dD5bVjE2LTM0XTwvRGlzcGxheVRleHQ+PHJlY29yZD48cmVjLW51bWJlcj4zNDwvcmVjLW51bWJlcj48Zm9yZWlnbi1rZXlzPjxrZXkgYXBwPSJFTiIgZGItaWQ9IjRhN2VkMTEzLTM1MDYtNWUwMi1hOGFhLTNhYzU3NzE1MDE2NCIgdGltZXN0YW1wPSIxNzkzMjgzNjg2Ij4zN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88">
        <w:r>
          <w:rPr>
            <w:color w:val="77230C"/>
            <w:sz w:val="20"/>
            <w:u w:val="single"/>
          </w:rPr>
          <w:t>Meeting record: ALLOC-B4</w:t>
        </w:r>
      </w:hyperlink>
      <w:r>
        <w:t xml:space="preserve">  |  </w:t>
      </w:r>
      <w:hyperlink r:id="rId8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10 Correlative studies and unresolved decisions</w:t>
      </w:r>
    </w:p>
    <w:p>
      <w:pPr>
        <w:pStyle w:val="Normal"/>
        <w:widowControl/>
        <w:numPr>
          <w:ilvl w:val="0"/>
          <w:numId w:val="3"/>
        </w:numPr>
      </w:pPr>
      <w:r>
        <w:t xml:space="preserve">Keep ctDNA, PET metabolic volume, explant genomics and pharmacokinetics in prespecified research modules. Record assay/platform, timing and missingness; a cohort-derived cutoff is a hypothesis until externally validated.</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Tc8L1JlY051bT48RGlzcGxheVRleHQ+W1YxNi0xN108L0Rpc3BsYXlUZXh0PjxyZWNvcmQ+PHJlYy1udW1iZXI+MTc8L3JlYy1udW1iZXI+PGZvcmVpZ24ta2V5cz48a2V5IGFwcD0iRU4iIGRiLWlkPSI0YTdlZDExMy0zNTA2LTVlMDItYThhYS0zYWM1NzcxNTAxNjQiIHRpbWVzdGFtcD0iMTc5MzI4MzY4NiI+MTc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Y8L1JlY051bT48RGlzcGxheVRleHQ+W1YxNi0xNl08L0Rpc3BsYXlUZXh0PjxyZWNvcmQ+PHJlYy1udW1iZXI+MTY8L3JlYy1udW1iZXI+PGZvcmVpZ24ta2V5cz48a2V5IGFwcD0iRU4iIGRiLWlkPSI0YTdlZDExMy0zNTA2LTVlMDItYThhYS0zYWM1NzcxNTAxNjQiIHRpbWVzdGFtcD0iMTc5MzI4MzY4NiI+MTY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pPr>
      <w:r>
        <w:t xml:space="preserve">Resolve CRLM-B1–B4 and ALLOC-B1–B4. The prior A-versus-B comparison table was removed because it contradicted the main text and treated unvalidated rules as accepted practice. Decisions require exact final wording, responsible owners, date and approval status.</w:t>
      </w:r>
    </w:p>
    <w:p>
      <w:pPr>
        <w:pStyle w:val="Normal"/>
        <w:widowControl/>
      </w:pPr>
      <w:r>
        <w:t xml:space="preserve">Evidence review record: </w:t>
      </w:r>
      <w:hyperlink r:id="rId90">
        <w:r>
          <w:rPr>
            <w:color w:val="77230C"/>
            <w:sz w:val="20"/>
            <w:u w:val="single"/>
          </w:rPr>
          <w:t>Five analyst comments and reconciliation</w:t>
        </w:r>
      </w:hyperlink>
      <w:r>
        <w:t xml:space="preserve">  |  </w:t>
      </w:r>
      <w:hyperlink r:id="rId9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CRLM_B5"/>
      <w:r>
        <w:t xml:space="preserve">CRLM-B5 — Previously treated extrahepatic disease</w:t>
      </w:r>
      <w:bookmarkEnd w:id="16010"/>
    </w:p>
    <w:p>
      <w:pPr>
        <w:pStyle w:val="Normal"/>
        <w:widowControl/>
        <w:spacing w:after="120"/>
      </w:pPr>
      <w:r>
        <w:t xml:space="preserve">Status: Closed; lung-only study stratum proposed. OPEN proposal for multidisciplinary review; not activated.</w:t>
      </w:r>
    </w:p>
    <w:p>
      <w:pPr>
        <w:pStyle w:val="Normal"/>
        <w:widowControl/>
        <w:spacing w:after="120"/>
      </w:pPr>
      <w:r>
        <w:t xml:space="preserve">Question: Should a lung-only study stratum be opened for completely treated pulmonary metastases, and if so with which interval and biology limits? All other previously treated extrahepatic sites stay closed.</w:t>
      </w:r>
    </w:p>
    <w:p>
      <w:pPr>
        <w:pStyle w:val="Normal"/>
        <w:widowControl/>
        <w:spacing w:after="120"/>
      </w:pPr>
      <w:r>
        <w:t xml:space="preserve">Proposed position (OPEN): Keep previously treated extrahepatic disease closed in the CRLM transplant pathway. IHPBA Statement 9 finds no evidence to support transplantation for patients who initially present with or later develop extrahepatic metastases, and TransMet excluded previous or concomitant extrahepatic disease. Propose one narrow study stratum (not active) for limited, completely treated lung-only metastases; every other site stays closed.</w:t>
      </w:r>
    </w:p>
    <w:p>
      <w:pPr>
        <w:pStyle w:val="Heading3"/>
        <w:widowControl/>
        <w:keepNext/>
      </w:pPr>
      <w:r>
        <w:t xml:space="preserve">Proposed rules</w:t>
      </w:r>
    </w:p>
    <w:p>
      <w:pPr>
        <w:pStyle w:val="Normal"/>
        <w:widowControl/>
        <w:spacing w:after="120"/>
        <w:numPr>
          <w:ilvl w:val="0"/>
          <w:numId w:val="5"/>
        </w:numPr>
      </w:pPr>
      <w:r>
        <w:t xml:space="preserve">Default: extrahepatic metastasis after primary resection (including nodes outside the primary field), metastasis removed with the primary, and local relapse are outside the pathway, even after resection, ablation, radiotherapy or complete response. Response to systemic therapy alone never counts as clearance.</w:t>
      </w:r>
    </w:p>
    <w:p>
      <w:pPr>
        <w:pStyle w:val="Normal"/>
        <w:widowControl/>
        <w:spacing w:after="120"/>
        <w:numPr>
          <w:ilvl w:val="0"/>
          <w:numId w:val="5"/>
        </w:numPr>
      </w:pPr>
      <w:r>
        <w:t xml:space="preserve">Proposed lung-only study stratum (needs its own protocol, IRB and a living-donor or individually reviewed allocation route): at most three lung metastases, each completely treated with curative intent, no thoracic nodal involvement, and no recurrence for ≥12 months after the last lung treatment (SECA-III excludes resection of lung or hilar-node metastases within the last year and of other non-hepatic metastases within 2 years; the Japanese protocol uses &gt;6 months recurrence-free). The meeting must choose the interval.</w:t>
      </w:r>
    </w:p>
    <w:p>
      <w:pPr>
        <w:pStyle w:val="Normal"/>
        <w:widowControl/>
        <w:spacing w:after="120"/>
        <w:numPr>
          <w:ilvl w:val="0"/>
          <w:numId w:val="5"/>
        </w:numPr>
      </w:pPr>
      <w:r>
        <w:t xml:space="preserve">The stratum adds no other relaxation: every CRLM-B3 limit applies, and favorable biology is required (low Oslo or Fong score; low liver metabolic tumor volume). Chest CT and PET-CT within one month.</w:t>
      </w:r>
    </w:p>
    <w:p>
      <w:pPr>
        <w:pStyle w:val="Normal"/>
        <w:widowControl/>
        <w:spacing w:after="120"/>
        <w:numPr>
          <w:ilvl w:val="0"/>
          <w:numId w:val="5"/>
        </w:numPr>
      </w:pPr>
      <w:r>
        <w:t xml:space="preserve">Hilar nodes: frozen section of hilar nodes before implantation, and before donor hepatectomy in living donation. A positive node ends the transplant.</w:t>
      </w:r>
    </w:p>
    <w:p>
      <w:pPr>
        <w:pStyle w:val="Normal"/>
        <w:widowControl/>
        <w:spacing w:after="120"/>
        <w:numPr>
          <w:ilvl w:val="0"/>
          <w:numId w:val="5"/>
        </w:numPr>
      </w:pPr>
      <w:r>
        <w:t xml:space="preserve">Closed with no stratum: nodal disease outside the primary field; peritoneal, ovarian, adrenal, bone, brain or other non-lung sites; local relapse; more than three lung lesions; thoracic nodes; recurrence after lung treatment.</w:t>
      </w:r>
    </w:p>
    <w:p>
      <w:pPr>
        <w:pStyle w:val="Normal"/>
        <w:widowControl/>
        <w:spacing w:after="120"/>
      </w:pPr>
      <w:r>
        <w:t xml:space="preserve">Why: Lung-limited disease is the most indolent extrahepatic pattern, and post-transplant lung recurrence is often resectable, but outcome data for transplantation after treated extrahepatic disease are limited to two SECA-II recipients (a lung metastasis resected 8 years earlier, recurrence-free; an ovarian metastasis removed 14 months earlier, lung relapse at 5 months). In the Oslo series, hilar node metastasis on frozen section at laparotomy was the commonest extrahepatic reason for not transplanting (7 of 10).</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TransMet 2024</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Randomized trial, 94 patients. Excluded “previous or concomitant extrahepatic metastases or local recurrence” (Methods); every transplant preceded by exploration with frozen section of suspicious nodes.</w:t>
            </w:r>
          </w:p>
        </w:tc>
        <w:tc>
          <w:tcPr>
            <w:tcW w:w="3743" w:type="dxa"/>
            <w:vAlign w:val="top"/>
            <w:shd w:fill="F1F5F8"/>
          </w:tcPr>
          <w:p>
            <w:pPr>
              <w:pStyle w:val="Normal"/>
              <w:widowControl/>
              <w:spacing w:after="55" w:line="240" w:lineRule="auto"/>
              <w:keepNext w:val="0"/>
              <w:keepLines/>
            </w:pPr>
            <w:r>
              <w:rPr>
                <w:sz w:val="21"/>
                <w:szCs w:val="21"/>
              </w:rPr>
              <w:t xml:space="preserve">Results: 5-year survival 56.6% vs 12.6% (HR 0.37); recurrence mainly in the lung, with curative-intent salvage in 12 of 26.</w:t>
            </w:r>
          </w:p>
          <w:p>
            <w:pPr>
              <w:pStyle w:val="Normal"/>
              <w:widowControl/>
              <w:spacing w:after="55" w:line="240" w:lineRule="auto"/>
              <w:keepNext w:val="0"/>
              <w:keepLines/>
            </w:pPr>
            <w:r>
              <w:rPr>
                <w:sz w:val="21"/>
                <w:szCs w:val="21"/>
              </w:rPr>
              <w:t xml:space="preserve">Limits: Benefit cannot be transferred to previously treated extrahepatic disease.</w:t>
            </w:r>
          </w:p>
          <w:p>
            <w:pPr>
              <w:pStyle w:val="Normal"/>
              <w:widowControl/>
              <w:spacing w:after="55" w:line="240" w:lineRule="auto"/>
              <w:keepNext w:val="0"/>
              <w:keepLines/>
            </w:pPr>
            <w:r>
              <w:rPr>
                <w:sz w:val="21"/>
                <w:szCs w:val="21"/>
              </w:rPr>
              <w:t xml:space="preserve">Lancet 2024; Methods (Participants),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GE3ZWQxMTMtMzUwNi01ZTAyLWE4YWEtM2FjNTc3MTUwMTY0IiB0aW1lc3RhbXA9IjE3OTMyODM2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225">
              <w:r>
                <w:rPr>
                  <w:color w:val="0563C1"/>
                  <w:u w:val="single"/>
                </w:rPr>
                <w:t>Source</w:t>
              </w:r>
            </w:hyperlink>
            <w:r>
              <w:t xml:space="preserve"> · </w:t>
            </w:r>
            <w:hyperlink r:id="rId226">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IHPBA 2021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2021 international Delphi consensus. Statement 9: no evidence supports transplantation for patients who initially present with or subsequently develop extrahepatic metastases; node-positive patients excluded; no lung exception or nodule-size rule.</w:t>
            </w:r>
          </w:p>
        </w:tc>
        <w:tc>
          <w:tcPr>
            <w:tcW w:w="3743" w:type="dxa"/>
            <w:vAlign w:val="top"/>
            <w:shd w:fill="FFFFFF"/>
          </w:tcPr>
          <w:p>
            <w:pPr>
              <w:pStyle w:val="Normal"/>
              <w:widowControl/>
              <w:spacing w:after="55" w:line="240" w:lineRule="auto"/>
              <w:keepNext w:val="0"/>
              <w:keepLines/>
            </w:pPr>
            <w:r>
              <w:rPr>
                <w:sz w:val="21"/>
                <w:szCs w:val="21"/>
              </w:rPr>
              <w:t xml:space="preserve">Results: Statement 41: isolated pulmonary recurrence after transplantation should be considered for resection.</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Lancet Gastroenterol Hepatol 2021; Statements 9–12, 41.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br/>
            </w:r>
            <w:hyperlink r:id="rId227">
              <w:r>
                <w:rPr>
                  <w:color w:val="0563C1"/>
                  <w:u w:val="single"/>
                </w:rPr>
                <w:t>Source</w:t>
              </w:r>
            </w:hyperlink>
            <w:r>
              <w:t xml:space="preserve"> · </w:t>
            </w:r>
            <w:hyperlink r:id="rId228">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 arm D (Smedman 2020)</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SECA-II arm D, 10 recipients. Protocol allowed resectable lung lesions &lt;15 mm and prior nodal or local relapse treated &gt;1 year earlier.</w:t>
            </w:r>
          </w:p>
        </w:tc>
        <w:tc>
          <w:tcPr>
            <w:tcW w:w="3743" w:type="dxa"/>
            <w:vAlign w:val="top"/>
            <w:shd w:fill="F1F5F8"/>
          </w:tcPr>
          <w:p>
            <w:pPr>
              <w:pStyle w:val="Normal"/>
              <w:widowControl/>
              <w:spacing w:after="55" w:line="240" w:lineRule="auto"/>
              <w:keepNext w:val="0"/>
              <w:keepLines/>
            </w:pPr>
            <w:r>
              <w:rPr>
                <w:sz w:val="21"/>
                <w:szCs w:val="21"/>
              </w:rPr>
              <w:t xml:space="preserve">Results: Only 1 recipient had a previously resected lung metastasis (8 years earlier) and was recurrence-free; a second had an ovarian metastasis removed with the primary 14 months earlier and relapsed in the lung at 5 months; the arm’s median survival of 18 months reflects other high-risk features.</w:t>
            </w:r>
          </w:p>
          <w:p>
            <w:pPr>
              <w:pStyle w:val="Normal"/>
              <w:widowControl/>
              <w:spacing w:after="55" w:line="240" w:lineRule="auto"/>
              <w:keepNext w:val="0"/>
              <w:keepLines/>
            </w:pPr>
            <w:r>
              <w:rPr>
                <w:sz w:val="21"/>
                <w:szCs w:val="21"/>
              </w:rPr>
              <w:t xml:space="preserve">Limits: Protocol precedent only, not outcome evidence about lung disease.</w:t>
            </w:r>
          </w:p>
          <w:p>
            <w:pPr>
              <w:pStyle w:val="Normal"/>
              <w:widowControl/>
              <w:spacing w:after="55" w:line="240" w:lineRule="auto"/>
              <w:keepNext w:val="0"/>
              <w:keepLines/>
            </w:pPr>
            <w:r>
              <w:rPr>
                <w:sz w:val="21"/>
                <w:szCs w:val="21"/>
              </w:rPr>
              <w:t xml:space="preserve">BJS Open 2020; Table 1–2,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WVkbWFuPC9BdXRob3I+PFllYXI+MjAyMDwvWWVhcj48UmVjTnVtPjE0PC9SZWNOdW0+PERpc3BsYXlUZXh0PltWMTYtMTRdPC9EaXNwbGF5VGV4dD48cmVjb3JkPjxyZWMtbnVtYmVyPjE0PC9yZWMtbnVtYmVyPjxmb3JlaWduLWtleXM+PGtleSBhcHA9IkVOIiBkYi1pZD0iNGE3ZWQxMTMtMzUwNi01ZTAyLWE4YWEtM2FjNTc3MTUwMTY0IiB0aW1lc3RhbXA9IjE3OTMyODM2ODYiPjE0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r>
              <w:br/>
            </w:r>
            <w:hyperlink r:id="rId229">
              <w:r>
                <w:rPr>
                  <w:color w:val="0563C1"/>
                  <w:u w:val="single"/>
                </w:rPr>
                <w:t>Source</w:t>
              </w:r>
            </w:hyperlink>
            <w:r>
              <w:t xml:space="preserve"> · </w:t>
            </w:r>
            <w:hyperlink r:id="rId23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Dueland 2023 · Oslo long-term</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Oslo pooled cohort, 72 listed, 61 transplanted. PET-CT before transplant; prior extrahepatic disease not analysed.</w:t>
            </w:r>
          </w:p>
        </w:tc>
        <w:tc>
          <w:tcPr>
            <w:tcW w:w="3743" w:type="dxa"/>
            <w:vAlign w:val="top"/>
            <w:shd w:fill="FFFFFF"/>
          </w:tcPr>
          <w:p>
            <w:pPr>
              <w:pStyle w:val="Normal"/>
              <w:widowControl/>
              <w:spacing w:after="55" w:line="240" w:lineRule="auto"/>
              <w:keepNext w:val="0"/>
              <w:keepLines/>
            </w:pPr>
            <w:r>
              <w:rPr>
                <w:sz w:val="21"/>
                <w:szCs w:val="21"/>
              </w:rPr>
              <w:t xml:space="preserve">Results: 10 of 72 not transplanted for extrahepatic disease, 7 with hilar node metastasis on frozen section at laparotomy; intention-to-treat 5-year survival 42.6%.</w:t>
            </w:r>
          </w:p>
          <w:p>
            <w:pPr>
              <w:pStyle w:val="Normal"/>
              <w:widowControl/>
              <w:spacing w:after="55" w:line="240" w:lineRule="auto"/>
              <w:keepNext w:val="0"/>
              <w:keepLines/>
            </w:pPr>
            <w:r>
              <w:rPr>
                <w:sz w:val="21"/>
                <w:szCs w:val="21"/>
              </w:rPr>
              <w:t xml:space="preserve">Limits: No control group.</w:t>
            </w:r>
          </w:p>
          <w:p>
            <w:pPr>
              <w:pStyle w:val="Normal"/>
              <w:widowControl/>
              <w:spacing w:after="55" w:line="240" w:lineRule="auto"/>
              <w:keepNext w:val="0"/>
              <w:keepLines/>
            </w:pPr>
            <w:r>
              <w:rPr>
                <w:sz w:val="21"/>
                <w:szCs w:val="21"/>
              </w:rPr>
              <w:t xml:space="preserve">JAMA Surg 2023;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xL2phbWFzdXJnLjIwMjMuMjkzMj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br/>
            </w:r>
            <w:hyperlink r:id="rId231">
              <w:r>
                <w:rPr>
                  <w:color w:val="0563C1"/>
                  <w:u w:val="single"/>
                </w:rPr>
                <w:t>Source</w:t>
              </w:r>
            </w:hyperlink>
            <w:r>
              <w:t xml:space="preserve"> · </w:t>
            </w:r>
            <w:hyperlink r:id="rId23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Hernandez-Alejandro 2022 · North American LDLT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North American living-donor series, 10 transplanted. Liver-confined disease.</w:t>
            </w:r>
          </w:p>
        </w:tc>
        <w:tc>
          <w:tcPr>
            <w:tcW w:w="3743" w:type="dxa"/>
            <w:vAlign w:val="top"/>
            <w:shd w:fill="F1F5F8"/>
          </w:tcPr>
          <w:p>
            <w:pPr>
              <w:pStyle w:val="Normal"/>
              <w:widowControl/>
              <w:spacing w:after="55" w:line="240" w:lineRule="auto"/>
              <w:keepNext w:val="0"/>
              <w:keepLines/>
            </w:pPr>
            <w:r>
              <w:rPr>
                <w:sz w:val="21"/>
                <w:szCs w:val="21"/>
              </w:rPr>
              <w:t xml:space="preserve">Results: 1 of 10 had PET-negative portal nodal metastasis and recurred in the peritoneum at 121 days.</w:t>
            </w:r>
          </w:p>
          <w:p>
            <w:pPr>
              <w:pStyle w:val="Normal"/>
              <w:widowControl/>
              <w:spacing w:after="55" w:line="240" w:lineRule="auto"/>
              <w:keepNext w:val="0"/>
              <w:keepLines/>
            </w:pPr>
            <w:r>
              <w:rPr>
                <w:sz w:val="21"/>
                <w:szCs w:val="21"/>
              </w:rPr>
              <w:t xml:space="preserve">Limits: Ten patients; eTable unavailable.</w:t>
            </w:r>
          </w:p>
          <w:p>
            <w:pPr>
              <w:pStyle w:val="Normal"/>
              <w:widowControl/>
              <w:spacing w:after="55" w:line="240" w:lineRule="auto"/>
              <w:keepNext w:val="0"/>
              <w:keepLines/>
            </w:pPr>
            <w:r>
              <w:rPr>
                <w:sz w:val="21"/>
                <w:szCs w:val="21"/>
              </w:rPr>
              <w:t xml:space="preserve">JAMA Surg 2022; Table 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MDEvamFtYXN1cmcuMjAyMi4wMzAw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r>
              <w:br/>
            </w:r>
            <w:hyperlink r:id="rId233">
              <w:r>
                <w:rPr>
                  <w:color w:val="0563C1"/>
                  <w:u w:val="single"/>
                </w:rPr>
                <w:t>Source</w:t>
              </w:r>
            </w:hyperlink>
            <w:r>
              <w:t xml:space="preserve"> · </w:t>
            </w:r>
            <w:hyperlink r:id="rId23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Hagness 2014 · SECA-I recurrence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SECA-I, 21 recipients. Liver-only disease required.</w:t>
            </w:r>
          </w:p>
        </w:tc>
        <w:tc>
          <w:tcPr>
            <w:tcW w:w="3743" w:type="dxa"/>
            <w:vAlign w:val="top"/>
            <w:shd w:fill="FFFFFF"/>
          </w:tcPr>
          <w:p>
            <w:pPr>
              <w:pStyle w:val="Normal"/>
              <w:widowControl/>
              <w:spacing w:after="55" w:line="240" w:lineRule="auto"/>
              <w:keepNext w:val="0"/>
              <w:keepLines/>
            </w:pPr>
            <w:r>
              <w:rPr>
                <w:sz w:val="21"/>
                <w:szCs w:val="21"/>
              </w:rPr>
              <w:t xml:space="preserve">Results: On retrospective review, 7 had untreated lung metastases already present at transplant; no statistical test reported.</w:t>
            </w:r>
          </w:p>
          <w:p>
            <w:pPr>
              <w:pStyle w:val="Normal"/>
              <w:widowControl/>
              <w:spacing w:after="55" w:line="240" w:lineRule="auto"/>
              <w:keepNext w:val="0"/>
              <w:keepLines/>
            </w:pPr>
            <w:r>
              <w:rPr>
                <w:sz w:val="21"/>
                <w:szCs w:val="21"/>
              </w:rPr>
              <w:t xml:space="preserve">Limits: Not evidence that treated lung disease is safe.</w:t>
            </w:r>
          </w:p>
          <w:p>
            <w:pPr>
              <w:pStyle w:val="Normal"/>
              <w:widowControl/>
              <w:spacing w:after="55" w:line="240" w:lineRule="auto"/>
              <w:keepNext w:val="0"/>
              <w:keepLines/>
            </w:pPr>
            <w:r>
              <w:rPr>
                <w:sz w:val="21"/>
                <w:szCs w:val="21"/>
              </w:rPr>
              <w:t xml:space="preserve">Ann Surg Oncol 2014;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EzLTM0NDktOTwvdXJsPjwvcmVsYXRlZC11cmxzPjwvdXJscz48L3JlY29yZD48L0NpdGU+PC9FbmROb3RlPg==</w:fldData>
              </w:fldChar>
            </w:r>
            <w:r>
              <w:instrText xml:space="preserve"> ADDIN EN.CITE.DATA </w:instrText>
            </w:r>
            <w:r>
              <w:fldChar w:fldCharType="end"/>
            </w:r>
            <w:r>
              <w:fldChar w:fldCharType="separate"/>
            </w:r>
            <w:r>
              <w:t xml:space="preserve">[V16-37]</w:t>
            </w:r>
            <w:r>
              <w:fldChar w:fldCharType="end"/>
            </w:r>
            <w:r>
              <w:br/>
            </w:r>
            <w:hyperlink r:id="rId235">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Dueland 2022 · lung resection after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Oslo, 14 recipients with resected lung relapse after transplant. Post-transplant setting.</w:t>
            </w:r>
          </w:p>
        </w:tc>
        <w:tc>
          <w:tcPr>
            <w:tcW w:w="3743" w:type="dxa"/>
            <w:vAlign w:val="top"/>
            <w:shd w:fill="F1F5F8"/>
          </w:tcPr>
          <w:p>
            <w:pPr>
              <w:pStyle w:val="Normal"/>
              <w:widowControl/>
              <w:spacing w:after="55" w:line="240" w:lineRule="auto"/>
              <w:keepNext w:val="0"/>
              <w:keepLines/>
            </w:pPr>
            <w:r>
              <w:rPr>
                <w:sz w:val="21"/>
                <w:szCs w:val="21"/>
              </w:rPr>
              <w:t xml:space="preserve">Results: 10-year survival 64.5% from first lung resection; 85.7% with liver metabolic tumor volume &lt;70 cm³ vs 25.0% above.</w:t>
            </w:r>
          </w:p>
          <w:p>
            <w:pPr>
              <w:pStyle w:val="Normal"/>
              <w:widowControl/>
              <w:spacing w:after="55" w:line="240" w:lineRule="auto"/>
              <w:keepNext w:val="0"/>
              <w:keepLines/>
            </w:pPr>
            <w:r>
              <w:rPr>
                <w:sz w:val="21"/>
                <w:szCs w:val="21"/>
              </w:rPr>
              <w:t xml:space="preserve">Limits: Selected patients; does not address pre-transplant disease.</w:t>
            </w:r>
          </w:p>
          <w:p>
            <w:pPr>
              <w:pStyle w:val="Normal"/>
              <w:widowControl/>
              <w:spacing w:after="55" w:line="240" w:lineRule="auto"/>
              <w:keepNext w:val="0"/>
              <w:keepLines/>
            </w:pPr>
            <w:r>
              <w:rPr>
                <w:sz w:val="21"/>
                <w:szCs w:val="21"/>
              </w:rPr>
              <w:t xml:space="preserve">Cancers 2022; Results 3.1.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wbWMubmNiaS5ubG0ubmloLmdvdi9hcnRpY2xlcy9QTUM5NTk5NjM4LzwvdXJsPjwvcmVsYXRlZC11cmxzPjwvdXJscz48L3JlY29yZD48L0NpdGU+PC9FbmROb3RlPg==</w:fldData>
              </w:fldChar>
            </w:r>
            <w:r>
              <w:instrText xml:space="preserve"> ADDIN EN.CITE.DATA </w:instrText>
            </w:r>
            <w:r>
              <w:fldChar w:fldCharType="end"/>
            </w:r>
            <w:r>
              <w:fldChar w:fldCharType="separate"/>
            </w:r>
            <w:r>
              <w:t xml:space="preserve">[V16-38]</w:t>
            </w:r>
            <w:r>
              <w:fldChar w:fldCharType="end"/>
            </w:r>
            <w:r>
              <w:br/>
            </w:r>
            <w:hyperlink r:id="rId236">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Fukumitsu 2024 · Japanese LDLT protocol</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Japanese living-donor protocol. Admits ≤3 lung metastases without recurrence for &gt;6 months after treatment; no size limit.</w:t>
            </w:r>
          </w:p>
        </w:tc>
        <w:tc>
          <w:tcPr>
            <w:tcW w:w="3743" w:type="dxa"/>
            <w:vAlign w:val="top"/>
            <w:shd w:fill="FFFFFF"/>
          </w:tcPr>
          <w:p>
            <w:pPr>
              <w:pStyle w:val="Normal"/>
              <w:widowControl/>
              <w:spacing w:after="55" w:line="240" w:lineRule="auto"/>
              <w:keepNext w:val="0"/>
              <w:keepLines/>
            </w:pPr>
            <w:r>
              <w:rPr>
                <w:sz w:val="21"/>
                <w:szCs w:val="21"/>
              </w:rPr>
              <w:t xml:space="preserve">Results: Protocol only.</w:t>
            </w:r>
          </w:p>
          <w:p>
            <w:pPr>
              <w:pStyle w:val="Normal"/>
              <w:widowControl/>
              <w:spacing w:after="55" w:line="240" w:lineRule="auto"/>
              <w:keepNext w:val="0"/>
              <w:keepLines/>
            </w:pPr>
            <w:r>
              <w:rPr>
                <w:sz w:val="21"/>
                <w:szCs w:val="21"/>
              </w:rPr>
              <w:t xml:space="preserve">Limits: No outcomes.</w:t>
            </w:r>
          </w:p>
          <w:p>
            <w:pPr>
              <w:pStyle w:val="Normal"/>
              <w:widowControl/>
              <w:spacing w:after="55" w:line="240" w:lineRule="auto"/>
              <w:keepNext w:val="0"/>
              <w:keepLines/>
            </w:pPr>
            <w:r>
              <w:rPr>
                <w:sz w:val="21"/>
                <w:szCs w:val="21"/>
              </w:rPr>
              <w:t xml:space="preserve">BMJ Open 2024; eligibility.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cG1jLm5jYmkubmxtLm5paC5nb3YvYXJ0aWNsZXMvUE1DMTE1ODAzMTMvPC91cmw+PC9yZWxhdGVkLXVybHM+PC91cmxzPjwvcmVjb3JkPjwvQ2l0ZT48L0VuZE5vdGU+</w:fldData>
              </w:fldChar>
            </w:r>
            <w:r>
              <w:instrText xml:space="preserve"> ADDIN EN.CITE.DATA </w:instrText>
            </w:r>
            <w:r>
              <w:fldChar w:fldCharType="end"/>
            </w:r>
            <w:r>
              <w:fldChar w:fldCharType="separate"/>
            </w:r>
            <w:r>
              <w:t xml:space="preserve">[V16-39]</w:t>
            </w:r>
            <w:r>
              <w:fldChar w:fldCharType="end"/>
            </w:r>
            <w:r>
              <w:br/>
            </w:r>
            <w:hyperlink r:id="rId237">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SECA-III registration (NCT03494946)</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SECA-III randomized trial registration. Resectable lung lesions &lt;15 mm allowed. Excluded: resection of lung or hilar-node metastases within 1 year, of local relapse or other non-hepatic metastasis within 2 years, and any previous bone, CNS or thoracic or abdominal nodal metastasis.</w:t>
            </w:r>
          </w:p>
        </w:tc>
        <w:tc>
          <w:tcPr>
            <w:tcW w:w="3743" w:type="dxa"/>
            <w:vAlign w:val="top"/>
            <w:shd w:fill="F1F5F8"/>
          </w:tcPr>
          <w:p>
            <w:pPr>
              <w:pStyle w:val="Normal"/>
              <w:widowControl/>
              <w:spacing w:after="55" w:line="240" w:lineRule="auto"/>
              <w:keepNext w:val="0"/>
              <w:keepLines/>
            </w:pPr>
            <w:r>
              <w:rPr>
                <w:sz w:val="21"/>
                <w:szCs w:val="21"/>
              </w:rPr>
              <w:t xml:space="preserve">Results: Recruiting.</w:t>
            </w:r>
          </w:p>
          <w:p>
            <w:pPr>
              <w:pStyle w:val="Normal"/>
              <w:widowControl/>
              <w:spacing w:after="55" w:line="240" w:lineRule="auto"/>
              <w:keepNext w:val="0"/>
              <w:keepLines/>
            </w:pPr>
            <w:r>
              <w:rPr>
                <w:sz w:val="21"/>
                <w:szCs w:val="21"/>
              </w:rPr>
              <w:t xml:space="preserve">Limits: No results.</w:t>
            </w:r>
          </w:p>
          <w:p>
            <w:pPr>
              <w:pStyle w:val="Normal"/>
              <w:widowControl/>
              <w:spacing w:after="55" w:line="240" w:lineRule="auto"/>
              <w:keepNext w:val="0"/>
              <w:keepLines/>
            </w:pPr>
            <w:r>
              <w:rPr>
                <w:sz w:val="21"/>
                <w:szCs w:val="21"/>
              </w:rPr>
              <w:t xml:space="preserve">ClinicalTrials.gov NCT03494946.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</w:fldData>
              </w:fldChar>
            </w:r>
            <w:r>
              <w:instrText xml:space="preserve"> ADDIN EN.CITE.DATA </w:instrText>
            </w:r>
            <w:r>
              <w:fldChar w:fldCharType="end"/>
            </w:r>
            <w:r>
              <w:fldChar w:fldCharType="separate"/>
            </w:r>
            <w:r>
              <w:t xml:space="preserve">[V16-40]</w:t>
            </w:r>
            <w:r>
              <w:fldChar w:fldCharType="end"/>
            </w:r>
            <w:r>
              <w:br/>
            </w:r>
            <w:hyperlink r:id="rId238">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PulMiCC 2020</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Randomized trial of lung metastasectomy, 93 patients (29% after liver resection). No other sites than treated liver metastases.</w:t>
            </w:r>
          </w:p>
        </w:tc>
        <w:tc>
          <w:tcPr>
            <w:tcW w:w="3743" w:type="dxa"/>
            <w:vAlign w:val="top"/>
            <w:shd w:fill="FFFFFF"/>
          </w:tcPr>
          <w:p>
            <w:pPr>
              <w:pStyle w:val="Normal"/>
              <w:widowControl/>
              <w:spacing w:after="55" w:line="240" w:lineRule="auto"/>
              <w:keepNext w:val="0"/>
              <w:keepLines/>
            </w:pPr>
            <w:r>
              <w:rPr>
                <w:sz w:val="21"/>
                <w:szCs w:val="21"/>
              </w:rPr>
              <w:t xml:space="preserve">Results: Adjusted HR 0.87 (0.51–1.48); 5-year survival 29.6% without metastasectomy vs 36.4% with.</w:t>
            </w:r>
          </w:p>
          <w:p>
            <w:pPr>
              <w:pStyle w:val="Normal"/>
              <w:widowControl/>
              <w:spacing w:after="55" w:line="240" w:lineRule="auto"/>
              <w:keepNext w:val="0"/>
              <w:keepLines/>
            </w:pPr>
            <w:r>
              <w:rPr>
                <w:sz w:val="21"/>
                <w:szCs w:val="21"/>
              </w:rPr>
              <w:t xml:space="preserve">Limits: Closed at 31% of target; inconclusive.</w:t>
            </w:r>
          </w:p>
          <w:p>
            <w:pPr>
              <w:pStyle w:val="Normal"/>
              <w:widowControl/>
              <w:spacing w:after="55" w:line="240" w:lineRule="auto"/>
              <w:keepNext w:val="0"/>
              <w:keepLines/>
            </w:pPr>
            <w:r>
              <w:rPr>
                <w:sz w:val="21"/>
                <w:szCs w:val="21"/>
              </w:rPr>
              <w:t xml:space="preserve">Colorectal Dis 2020;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Y29kaS4xNTExMzwvdXJsPjwvcmVsYXRlZC11cmxzPjwvdXJscz48L3JlY29yZD48L0NpdGU+PC9FbmROb3RlPg==</w:fldData>
              </w:fldChar>
            </w:r>
            <w:r>
              <w:instrText xml:space="preserve"> ADDIN EN.CITE.DATA </w:instrText>
            </w:r>
            <w:r>
              <w:fldChar w:fldCharType="end"/>
            </w:r>
            <w:r>
              <w:fldChar w:fldCharType="separate"/>
            </w:r>
            <w:r>
              <w:t xml:space="preserve">[V16-41]</w:t>
            </w:r>
            <w:r>
              <w:fldChar w:fldCharType="end"/>
            </w:r>
            <w:r>
              <w:br/>
            </w:r>
            <w:hyperlink r:id="rId239">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Grut 2018 · lung metastasis growth after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Imaging case-control, 11 recipients. Lung metastases after transplant.</w:t>
            </w:r>
          </w:p>
        </w:tc>
        <w:tc>
          <w:tcPr>
            <w:tcW w:w="3743" w:type="dxa"/>
            <w:vAlign w:val="top"/>
            <w:shd w:fill="F1F5F8"/>
          </w:tcPr>
          <w:p>
            <w:pPr>
              <w:pStyle w:val="Normal"/>
              <w:widowControl/>
              <w:spacing w:after="55" w:line="240" w:lineRule="auto"/>
              <w:keepNext w:val="0"/>
              <w:keepLines/>
            </w:pPr>
            <w:r>
              <w:rPr>
                <w:sz w:val="21"/>
                <w:szCs w:val="21"/>
              </w:rPr>
              <w:t xml:space="preserve">Results: Median doubling time 125 vs 130 days (transplant vs controls).</w:t>
            </w:r>
          </w:p>
          <w:p>
            <w:pPr>
              <w:pStyle w:val="Normal"/>
              <w:widowControl/>
              <w:spacing w:after="55" w:line="240" w:lineRule="auto"/>
              <w:keepNext w:val="0"/>
              <w:keepLines/>
            </w:pPr>
            <w:r>
              <w:rPr>
                <w:sz w:val="21"/>
                <w:szCs w:val="21"/>
              </w:rPr>
              <w:t xml:space="preserve">Limits: Very small.</w:t>
            </w:r>
          </w:p>
          <w:p>
            <w:pPr>
              <w:pStyle w:val="Normal"/>
              <w:widowControl/>
              <w:spacing w:after="55" w:line="240" w:lineRule="auto"/>
              <w:keepNext w:val="0"/>
              <w:keepLines/>
            </w:pPr>
            <w:r>
              <w:rPr>
                <w:sz w:val="21"/>
                <w:szCs w:val="21"/>
              </w:rPr>
              <w:t xml:space="preserve">Br J Surg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</w:fldData>
              </w:fldChar>
            </w:r>
            <w:r>
              <w:instrText xml:space="preserve"> ADDIN EN.CITE.DATA </w:instrText>
            </w:r>
            <w:r>
              <w:fldChar w:fldCharType="end"/>
            </w:r>
            <w:r>
              <w:fldChar w:fldCharType="separate"/>
            </w:r>
            <w:r>
              <w:t xml:space="preserve">[V16-42]</w:t>
            </w:r>
            <w:r>
              <w:fldChar w:fldCharType="end"/>
            </w:r>
            <w:r>
              <w:br/>
            </w:r>
            <w:hyperlink r:id="rId240">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The lung-only signal comes from post-transplant relapse and protocol precedent, not from transplantation after treated lung disease. PulMiCC was inconclusive but found 29.6% 5-year survival without metastasectomy, suggesting that lung metastasectomy may select favorable biology rather than cure it.</w:t>
      </w:r>
    </w:p>
    <w:p>
      <w:pPr>
        <w:pStyle w:val="Normal"/>
        <w:widowControl/>
        <w:spacing w:after="120"/>
      </w:pPr>
      <w:r>
        <w:t xml:space="preserve">Certainty: Very low for transplantation after previously treated extrahepatic disease; low for the indirect inference that lung-limited disease behaves indolently after transplant.</w:t>
      </w:r>
    </w:p>
    <w:p>
      <w:pPr>
        <w:pStyle w:val="Normal"/>
        <w:widowControl/>
        <w:spacing w:after="120"/>
      </w:pPr>
      <w:r>
        <w:t xml:space="preserve">What would change the answer: SECA-III or Japanese protocol results in recipients with treated lung metastases.</w:t>
      </w:r>
    </w:p>
    <w:p>
      <w:pPr>
        <w:pStyle w:val="Normal"/>
        <w:widowControl/>
        <w:spacing w:after="120"/>
      </w:pPr>
      <w:r>
        <w:t xml:space="preserve">Meeting question CRLM-B5,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Treatment-intensive conversion and radiographic disappearance could imply safe eligibility or eradication. </w:t>
      </w:r>
      <w:r>
        <w:rPr>
          <w:b/>
        </w:rPr>
        <w:t xml:space="preserve">Correction and reason: </w:t>
      </w:r>
      <w:r>
        <w:t xml:space="preserve">Added failure-to-reach-LT denominators, the pre-LT death after bilobar Y90 and the distinction between microscopic viability, persistent unresectability and proven transplant benefit.</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CRLM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41">
        <w:r>
          <w:rPr>
            <w:color w:val="0563C1"/>
            <w:u w:val="single"/>
          </w:rPr>
          <w:t>Source</w:t>
        </w:r>
      </w:hyperlink>
      <w:r>
        <w:t xml:space="preserve"> | </w:t>
      </w:r>
      <w:hyperlink r:id="rId242">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43">
        <w:r>
          <w:rPr>
            <w:color w:val="0563C1"/>
            <w:u w:val="single"/>
          </w:rPr>
          <w:t>Source</w:t>
        </w:r>
      </w:hyperlink>
      <w:r>
        <w:t xml:space="preserve"> | </w:t>
      </w:r>
      <w:hyperlink r:id="rId244">
        <w:r>
          <w:rPr>
            <w:color w:val="0563C1"/>
            <w:u w:val="single"/>
          </w:rPr>
          <w:t>Full-text access</w:t>
        </w:r>
      </w:hyperlink>
    </w:p>
    <w:p>
      <w:pPr>
        <w:pStyle w:val="Normal"/>
        <w:widowControl/>
        <w:spacing w:after="120"/>
      </w:pPr>
      <w:r>
        <w:t xml:space="preserve"/>
      </w:r>
      <w:r>
        <w:t xml:space="preserve">[V16-3]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245">
        <w:r>
          <w:rPr>
            <w:color w:val="0563C1"/>
            <w:u w:val="single"/>
          </w:rPr>
          <w:t>Source</w:t>
        </w:r>
      </w:hyperlink>
      <w:r>
        <w:t xml:space="preserve"> | </w:t>
      </w:r>
      <w:hyperlink r:id="rId246">
        <w:r>
          <w:rPr>
            <w:color w:val="0563C1"/>
            <w:u w:val="single"/>
          </w:rPr>
          <w:t>Full-text access</w:t>
        </w:r>
      </w:hyperlink>
    </w:p>
    <w:p>
      <w:pPr>
        <w:pStyle w:val="Normal"/>
        <w:widowControl/>
        <w:spacing w:after="120"/>
      </w:pPr>
      <w:r>
        <w:t xml:space="preserve"/>
      </w:r>
      <w:r>
        <w:t xml:space="preserve">[V16-4] Bonney, Glenn K; Chew, Claire Alexandra; Lodge, Peter; et al. Liver transplantation for non-resectable colorectal liver metastases: the International Hepato-Pancreato-Biliary Association consensus guidelines. The lancet. Gastroenterology &amp; hepatology. 2021; 6(11):933-946. </w:t>
      </w:r>
      <w:hyperlink r:id="rId247">
        <w:r>
          <w:rPr>
            <w:color w:val="0563C1"/>
            <w:u w:val="single"/>
          </w:rPr>
          <w:t>Source</w:t>
        </w:r>
      </w:hyperlink>
      <w:r>
        <w:t xml:space="preserve"> | </w:t>
      </w:r>
      <w:hyperlink r:id="rId248">
        <w:r>
          <w:rPr>
            <w:color w:val="0563C1"/>
            <w:u w:val="single"/>
          </w:rPr>
          <w:t>Full-text access</w:t>
        </w:r>
      </w:hyperlink>
    </w:p>
    <w:p>
      <w:pPr>
        <w:pStyle w:val="Normal"/>
        <w:widowControl/>
        <w:spacing w:after="120"/>
      </w:pPr>
      <w:r>
        <w:t xml:space="preserve"/>
      </w:r>
      <w:r>
        <w:t xml:space="preserve">[V16-5] Dove, Lorna; Chadha, Ryan M.; Lai, Jennifer C.; et al. AASLD AST Practice Guideline on adult liver transplantation: Candidate evaluation. Hepatology. 2026; 83(6):1609-1645. </w:t>
      </w:r>
      <w:hyperlink r:id="rId249">
        <w:r>
          <w:rPr>
            <w:color w:val="0563C1"/>
            <w:u w:val="single"/>
          </w:rPr>
          <w:t>Source</w:t>
        </w:r>
      </w:hyperlink>
      <w:r>
        <w:t xml:space="preserve"> | </w:t>
      </w:r>
      <w:hyperlink r:id="rId250">
        <w:r>
          <w:rPr>
            <w:color w:val="0563C1"/>
            <w:u w:val="single"/>
          </w:rPr>
          <w:t>Full-text access</w:t>
        </w:r>
      </w:hyperlink>
    </w:p>
    <w:p>
      <w:pPr>
        <w:pStyle w:val="Normal"/>
        <w:widowControl/>
        <w:spacing w:after="120"/>
      </w:pPr>
      <w:r>
        <w:t xml:space="preserve"/>
      </w:r>
      <w:r>
        <w:t xml:space="preserve">[V16-6] Chandra, Pratik; Preston, William; Herbert, Rebecca; et al. Transplant-Eligible Colorectal Liver Metastasis Patients Treated with Hepatic Artery Infusion Pump – A Retrospective Cohort Study. Annals of Surgery. 2026. </w:t>
      </w:r>
      <w:hyperlink r:id="rId251">
        <w:r>
          <w:rPr>
            <w:color w:val="0563C1"/>
            <w:u w:val="single"/>
          </w:rPr>
          <w:t>Source</w:t>
        </w:r>
      </w:hyperlink>
      <w:r>
        <w:t xml:space="preserve"> | </w:t>
      </w:r>
      <w:hyperlink r:id="rId252">
        <w:r>
          <w:rPr>
            <w:color w:val="0563C1"/>
            <w:u w:val="single"/>
          </w:rPr>
          <w:t>Full-text access</w:t>
        </w:r>
      </w:hyperlink>
    </w:p>
    <w:p>
      <w:pPr>
        <w:pStyle w:val="Normal"/>
        <w:widowControl/>
        <w:spacing w:after="120"/>
      </w:pPr>
      <w:r>
        <w:t xml:space="preserve"/>
      </w:r>
      <w:r>
        <w:t xml:space="preserve">[V16-7] Dueland, Svein. Survival Following Liver Transplantation for Patients With Nonresectable Liver-only Colorectal Metastases. Annals of Surgery. 2020; 271(2):212–218. </w:t>
      </w:r>
      <w:hyperlink r:id="rId253">
        <w:r>
          <w:rPr>
            <w:color w:val="0563C1"/>
            <w:u w:val="single"/>
          </w:rPr>
          <w:t>Source</w:t>
        </w:r>
      </w:hyperlink>
      <w:r>
        <w:t xml:space="preserve"> | </w:t>
      </w:r>
      <w:hyperlink r:id="rId254">
        <w:r>
          <w:rPr>
            <w:color w:val="0563C1"/>
            <w:u w:val="single"/>
          </w:rPr>
          <w:t>Full-text access</w:t>
        </w:r>
      </w:hyperlink>
    </w:p>
    <w:p>
      <w:pPr>
        <w:pStyle w:val="Normal"/>
        <w:widowControl/>
        <w:spacing w:after="120"/>
      </w:pPr>
      <w:r>
        <w:t xml:space="preserve"/>
      </w:r>
      <w:r>
        <w:t xml:space="preserve">[V16-8] Dueland, Svein; Smedman, Tor M.; Syversveen, Trygve; et al. Liver Transplantation for Nonresectable Colorectal Liver Metastases: Ten-year Follow-up and Assessment of Curative Rate in the SECA-II Study. Annals of Surgery. 2026. </w:t>
      </w:r>
      <w:hyperlink r:id="rId255">
        <w:r>
          <w:rPr>
            <w:color w:val="0563C1"/>
            <w:u w:val="single"/>
          </w:rPr>
          <w:t>Source</w:t>
        </w:r>
      </w:hyperlink>
      <w:r>
        <w:t xml:space="preserve"> | </w:t>
      </w:r>
      <w:hyperlink r:id="rId256">
        <w:r>
          <w:rPr>
            <w:color w:val="0563C1"/>
            <w:u w:val="single"/>
          </w:rPr>
          <w:t>Full-text access</w:t>
        </w:r>
      </w:hyperlink>
    </w:p>
    <w:p>
      <w:pPr>
        <w:pStyle w:val="Normal"/>
        <w:widowControl/>
        <w:spacing w:after="120"/>
      </w:pPr>
      <w:r>
        <w:t xml:space="preserve"/>
      </w:r>
      <w:r>
        <w:t xml:space="preserve">[V16-9] Bilhim, Tiago; Böning, Georg; Guiu, Boris; et al. CIRSE Standards of Practice on Portal Vein Embolization and Double Vein Embolization/Liver Venous Deprivation. CardioVascular and Interventional Radiology. 2024; 47(8):1025-1036. </w:t>
      </w:r>
      <w:hyperlink r:id="rId257">
        <w:r>
          <w:rPr>
            <w:color w:val="0563C1"/>
            <w:u w:val="single"/>
          </w:rPr>
          <w:t>Source</w:t>
        </w:r>
      </w:hyperlink>
      <w:r>
        <w:t xml:space="preserve"> | </w:t>
      </w:r>
      <w:hyperlink r:id="rId258">
        <w:r>
          <w:rPr>
            <w:color w:val="0563C1"/>
            <w:u w:val="single"/>
          </w:rPr>
          <w:t>Full-text access</w:t>
        </w:r>
      </w:hyperlink>
    </w:p>
    <w:p>
      <w:pPr>
        <w:pStyle w:val="Normal"/>
        <w:widowControl/>
        <w:spacing w:after="120"/>
      </w:pPr>
      <w:r>
        <w:t xml:space="preserve"/>
      </w:r>
      <w:r>
        <w:t xml:space="preserve">[V16-10] Chávez-Villa, Mariana; Ruffolo, Luis I.; Al-Judaibi, Bandar M.; et al. The High Incidence of Occult Carcinoma in Total Hepatectomy Specimens of Patients Treated for Unresectable Colorectal Liver Metastases With Liver Transplant. Annals of Surgery. 2023; 278(5):e1026-e1034. </w:t>
      </w:r>
      <w:hyperlink r:id="rId259">
        <w:r>
          <w:rPr>
            <w:color w:val="0563C1"/>
            <w:u w:val="single"/>
          </w:rPr>
          <w:t>Source</w:t>
        </w:r>
      </w:hyperlink>
      <w:r>
        <w:t xml:space="preserve"> | </w:t>
      </w:r>
      <w:hyperlink r:id="rId260">
        <w:r>
          <w:rPr>
            <w:color w:val="0563C1"/>
            <w:u w:val="single"/>
          </w:rPr>
          <w:t>Full-text access</w:t>
        </w:r>
      </w:hyperlink>
    </w:p>
    <w:p>
      <w:pPr>
        <w:pStyle w:val="Normal"/>
        <w:widowControl/>
        <w:spacing w:after="120"/>
      </w:pPr>
      <w:r>
        <w:t xml:space="preserve"/>
      </w:r>
      <w:r>
        <w:t xml:space="preserve">[V16-11] Kataoka, Kozo; Mauer, Murielle; Shiozawa, Manabu; et al. Diagnostic Accuracy of Imaging in Assessing Nonviability of Disappearing Colorectal Liver Metastasis. JAMA Surgery. 2025. </w:t>
      </w:r>
      <w:hyperlink r:id="rId261">
        <w:r>
          <w:rPr>
            <w:color w:val="0563C1"/>
            <w:u w:val="single"/>
          </w:rPr>
          <w:t>Source</w:t>
        </w:r>
      </w:hyperlink>
      <w:r>
        <w:t xml:space="preserve"> | </w:t>
      </w:r>
      <w:hyperlink r:id="rId262">
        <w:r>
          <w:rPr>
            <w:color w:val="0563C1"/>
            <w:u w:val="single"/>
          </w:rPr>
          <w:t>Full-text access</w:t>
        </w:r>
      </w:hyperlink>
    </w:p>
    <w:p>
      <w:pPr>
        <w:pStyle w:val="Normal"/>
        <w:widowControl/>
        <w:spacing w:after="120"/>
      </w:pPr>
      <w:r>
        <w:t xml:space="preserve"/>
      </w:r>
      <w:r>
        <w:t xml:space="preserve">[V16-12] Oba, Atsushi; Mise, Yoshihiro; Ito, Hiromichi; et al. Clinical implications of disappearing colorectal liver metastases have changed in the era of hepatocyte-specific MRI and contrast-enhanced intraoperative ultrasonography. HPB. 2018; 20(8):708-714. </w:t>
      </w:r>
      <w:hyperlink r:id="rId263">
        <w:r>
          <w:rPr>
            <w:color w:val="0563C1"/>
            <w:u w:val="single"/>
          </w:rPr>
          <w:t>Source</w:t>
        </w:r>
      </w:hyperlink>
      <w:r>
        <w:t xml:space="preserve"> | </w:t>
      </w:r>
      <w:hyperlink r:id="rId264">
        <w:r>
          <w:rPr>
            <w:color w:val="0563C1"/>
            <w:u w:val="single"/>
          </w:rPr>
          <w:t>Full-text access</w:t>
        </w:r>
      </w:hyperlink>
    </w:p>
    <w:p>
      <w:pPr>
        <w:pStyle w:val="Normal"/>
        <w:widowControl/>
        <w:spacing w:after="120"/>
      </w:pPr>
      <w:r>
        <w:t xml:space="preserve"/>
      </w:r>
      <w:r>
        <w:t xml:space="preserve">[V16-13] Wehrle, Chase J; Fujiki, Masato; Schlegel, Andrea; et al. Intensive locoregional therapy before liver transplantation for colorectal cancer liver metastasis: A novel pretransplant protocol. Liver transplantation : official publication of the American Association for the Study of Liver Diseases and the International Liver Transplantation Society. 2024; 30(12):1238-1249. </w:t>
      </w:r>
      <w:hyperlink r:id="rId265">
        <w:r>
          <w:rPr>
            <w:color w:val="0563C1"/>
            <w:u w:val="single"/>
          </w:rPr>
          <w:t>Source</w:t>
        </w:r>
      </w:hyperlink>
      <w:r>
        <w:t xml:space="preserve"> | </w:t>
      </w:r>
      <w:hyperlink r:id="rId266">
        <w:r>
          <w:rPr>
            <w:color w:val="0563C1"/>
            <w:u w:val="single"/>
          </w:rPr>
          <w:t>Full-text access</w:t>
        </w:r>
      </w:hyperlink>
    </w:p>
    <w:p>
      <w:pPr>
        <w:pStyle w:val="Normal"/>
        <w:widowControl/>
        <w:spacing w:after="120"/>
      </w:pPr>
      <w:r>
        <w:t xml:space="preserve"/>
      </w:r>
      <w:r>
        <w:t xml:space="preserve">[V16-14] Smedman, T M; Line, P-D; Hagness, M; et al. Liver transplantation for unresectable colorectal liver metastases in patients and donors with extended criteria (SECA-II arm D study). BJS open. 2020; 4(3):467-477. </w:t>
      </w:r>
      <w:hyperlink r:id="rId267">
        <w:r>
          <w:rPr>
            <w:color w:val="0563C1"/>
            <w:u w:val="single"/>
          </w:rPr>
          <w:t>Source</w:t>
        </w:r>
      </w:hyperlink>
      <w:r>
        <w:t xml:space="preserve"> | </w:t>
      </w:r>
      <w:hyperlink r:id="rId268">
        <w:r>
          <w:rPr>
            <w:color w:val="0563C1"/>
            <w:u w:val="single"/>
          </w:rPr>
          <w:t>Full-text access</w:t>
        </w:r>
      </w:hyperlink>
    </w:p>
    <w:p>
      <w:pPr>
        <w:pStyle w:val="Normal"/>
        <w:widowControl/>
        <w:spacing w:after="120"/>
      </w:pPr>
      <w:r>
        <w:t xml:space="preserve"/>
      </w:r>
      <w:r>
        <w:t xml:space="preserve">[V16-15] Grut, Harald; Line, Pål-Dag; Syversveen, Trygve; et al. Metabolic tumor volume predicts long-term survival after transplantation for unresectable colorectal liver metastases: 15 years of experience from the SECA study. Annals of nuclear medicine. 2022; 36(12):1073-1081. </w:t>
      </w:r>
      <w:hyperlink r:id="rId269">
        <w:r>
          <w:rPr>
            <w:color w:val="0563C1"/>
            <w:u w:val="single"/>
          </w:rPr>
          <w:t>Source</w:t>
        </w:r>
      </w:hyperlink>
      <w:r>
        <w:t xml:space="preserve"> | </w:t>
      </w:r>
      <w:hyperlink r:id="rId270">
        <w:r>
          <w:rPr>
            <w:color w:val="0563C1"/>
            <w:u w:val="single"/>
          </w:rPr>
          <w:t>Full-text access</w:t>
        </w:r>
      </w:hyperlink>
    </w:p>
    <w:p>
      <w:pPr>
        <w:pStyle w:val="Normal"/>
        <w:widowControl/>
        <w:spacing w:after="120"/>
      </w:pPr>
      <w:r>
        <w:t xml:space="preserve"/>
      </w:r>
      <w:r>
        <w:t xml:space="preserve">[V16-16] Wehrle, Chase J; Chávez-Villa, Mariana; Byrne, Matthew; et al. Pretransplant metabolic tumor volume predicts recurrence following liver transplantation for colorectal metastasis: A multicenter study. Liver transplantation : official publication of the American Association for the Study of Liver Diseases and the International Liver Transplantation Society. 2025; 31(3):298-310. </w:t>
      </w:r>
      <w:hyperlink r:id="rId271">
        <w:r>
          <w:rPr>
            <w:color w:val="0563C1"/>
            <w:u w:val="single"/>
          </w:rPr>
          <w:t>Source</w:t>
        </w:r>
      </w:hyperlink>
      <w:r>
        <w:t xml:space="preserve"> | </w:t>
      </w:r>
      <w:hyperlink r:id="rId272">
        <w:r>
          <w:rPr>
            <w:color w:val="0563C1"/>
            <w:u w:val="single"/>
          </w:rPr>
          <w:t>Full-text access</w:t>
        </w:r>
      </w:hyperlink>
    </w:p>
    <w:p>
      <w:pPr>
        <w:pStyle w:val="Normal"/>
        <w:widowControl/>
        <w:spacing w:after="120"/>
      </w:pPr>
      <w:r>
        <w:t xml:space="preserve"/>
      </w:r>
      <w:r>
        <w:t xml:space="preserve">[V16-17] Wehrle, Chase J; Raj, Roma; Aykun, Nihal; et al. Circulating Tumor DNA in Colorectal Cancer Liver Metastasis: Analysis of Patients Receiving Liver Resection and Transplant. JCO clinical cancer informatics. 2023; 7:e2300111. </w:t>
      </w:r>
      <w:hyperlink r:id="rId273">
        <w:r>
          <w:rPr>
            <w:color w:val="0563C1"/>
            <w:u w:val="single"/>
          </w:rPr>
          <w:t>Source</w:t>
        </w:r>
      </w:hyperlink>
      <w:r>
        <w:t xml:space="preserve"> | </w:t>
      </w:r>
      <w:hyperlink r:id="rId274">
        <w:r>
          <w:rPr>
            <w:color w:val="0563C1"/>
            <w:u w:val="single"/>
          </w:rPr>
          <w:t>Full-text access</w:t>
        </w:r>
      </w:hyperlink>
    </w:p>
    <w:p>
      <w:pPr>
        <w:pStyle w:val="Normal"/>
        <w:widowControl/>
        <w:spacing w:after="120"/>
      </w:pPr>
      <w:r>
        <w:t xml:space="preserve"/>
      </w:r>
      <w:r>
        <w:t xml:space="preserve">[V16-18] Adam, René; Badrudin, David; Chiche, Laurence; et al. Safety and feasibility of chemotherapy followed by liver transplantation for patients with definitely unresectable colorectal liver metastases: insights from the TransMet randomised clinical trial. eClinicalMedicine. 2024; 72:102608. </w:t>
      </w:r>
      <w:hyperlink r:id="rId275">
        <w:r>
          <w:rPr>
            <w:color w:val="0563C1"/>
            <w:u w:val="single"/>
          </w:rPr>
          <w:t>Source</w:t>
        </w:r>
      </w:hyperlink>
      <w:r>
        <w:t xml:space="preserve"> | </w:t>
      </w:r>
      <w:hyperlink r:id="rId276">
        <w:r>
          <w:rPr>
            <w:color w:val="0563C1"/>
            <w:u w:val="single"/>
          </w:rPr>
          <w:t>Full-text access</w:t>
        </w:r>
      </w:hyperlink>
    </w:p>
    <w:p>
      <w:pPr>
        <w:pStyle w:val="Normal"/>
        <w:widowControl/>
        <w:spacing w:after="120"/>
      </w:pPr>
      <w:r>
        <w:t xml:space="preserve"/>
      </w:r>
      <w:r>
        <w:t xml:space="preserve">[V16-19] Rezaee-Zavareh, Mohammad Saeid; Yeo, Yee Hui; Wang, Tielong; et al. Impact of pre-transplant immune checkpoint inhibitor use on post-transplant outcomes in HCC: A systematic review and individual patient data meta-analysis. Journal of Hepatology. 2025; 82(1):107-119. </w:t>
      </w:r>
      <w:hyperlink r:id="rId277">
        <w:r>
          <w:rPr>
            <w:color w:val="0563C1"/>
            <w:u w:val="single"/>
          </w:rPr>
          <w:t>Source</w:t>
        </w:r>
      </w:hyperlink>
      <w:r>
        <w:t xml:space="preserve"> | </w:t>
      </w:r>
      <w:hyperlink r:id="rId278">
        <w:r>
          <w:rPr>
            <w:color w:val="0563C1"/>
            <w:u w:val="single"/>
          </w:rPr>
          <w:t>Full-text access</w:t>
        </w:r>
      </w:hyperlink>
    </w:p>
    <w:p>
      <w:pPr>
        <w:pStyle w:val="Normal"/>
        <w:widowControl/>
        <w:spacing w:after="120"/>
      </w:pPr>
      <w:r>
        <w:t xml:space="preserve"/>
      </w:r>
      <w:r>
        <w:t xml:space="preserve">[V16-20] Strickler JH; Cercek A; Siena S; et al. Tucatinib plus trastuzumab for chemotherapy-refractory, HER2 + , RAS wild-type metastatic colorectal cancer (MOUNTAINEER): final analysis.. Nature communications. 2026; 17(1):1068. </w:t>
      </w:r>
      <w:hyperlink r:id="rId279">
        <w:r>
          <w:rPr>
            <w:color w:val="0563C1"/>
            <w:u w:val="single"/>
          </w:rPr>
          <w:t>Source</w:t>
        </w:r>
      </w:hyperlink>
      <w:r>
        <w:t xml:space="preserve"> | </w:t>
      </w:r>
      <w:hyperlink r:id="rId280">
        <w:r>
          <w:rPr>
            <w:color w:val="0563C1"/>
            <w:u w:val="single"/>
          </w:rPr>
          <w:t>Full-text access</w:t>
        </w:r>
      </w:hyperlink>
    </w:p>
    <w:p>
      <w:pPr>
        <w:pStyle w:val="Normal"/>
        <w:widowControl/>
        <w:spacing w:after="120"/>
      </w:pPr>
      <w:r>
        <w:t xml:space="preserve"/>
      </w:r>
      <w:r>
        <w:t xml:space="preserve">[V16-21] Prager GW; Taieb J; Fakih M; et al. Trifluridine-Tipiracil and Bevacizumab in Refractory Metastatic Colorectal Cancer.. The New England journal of medicine. 2023; 388(18):1657-1667. </w:t>
      </w:r>
      <w:hyperlink r:id="rId281">
        <w:r>
          <w:rPr>
            <w:color w:val="0563C1"/>
            <w:u w:val="single"/>
          </w:rPr>
          <w:t>Source</w:t>
        </w:r>
      </w:hyperlink>
      <w:r>
        <w:t xml:space="preserve"> | </w:t>
      </w:r>
      <w:hyperlink r:id="rId282">
        <w:r>
          <w:rPr>
            <w:color w:val="0563C1"/>
            <w:u w:val="single"/>
          </w:rPr>
          <w:t>Full-text access</w:t>
        </w:r>
      </w:hyperlink>
    </w:p>
    <w:p>
      <w:pPr>
        <w:pStyle w:val="Normal"/>
        <w:widowControl/>
        <w:spacing w:after="120"/>
      </w:pPr>
      <w:r>
        <w:t xml:space="preserve"/>
      </w:r>
      <w:r>
        <w:t xml:space="preserve">[V16-22] Dasari A; Lonardi S; Garcia-Carbonero R; et al. Fruquintinib versus placebo in patients with refractory metastatic colorectal cancer (FRESCO-2): an international, multicentre, randomised, double-blind, phase 3 study.. Lancet (London, England). 2023; 402(10395):41-53. </w:t>
      </w:r>
      <w:hyperlink r:id="rId283">
        <w:r>
          <w:rPr>
            <w:color w:val="0563C1"/>
            <w:u w:val="single"/>
          </w:rPr>
          <w:t>Source</w:t>
        </w:r>
      </w:hyperlink>
      <w:r>
        <w:t xml:space="preserve"> | </w:t>
      </w:r>
      <w:hyperlink r:id="rId284">
        <w:r>
          <w:rPr>
            <w:color w:val="0563C1"/>
            <w:u w:val="single"/>
          </w:rPr>
          <w:t>Full-text access</w:t>
        </w:r>
      </w:hyperlink>
    </w:p>
    <w:p>
      <w:pPr>
        <w:pStyle w:val="Normal"/>
        <w:widowControl/>
        <w:spacing w:after="120"/>
      </w:pPr>
      <w:r>
        <w:t xml:space="preserve"/>
      </w:r>
      <w:r>
        <w:t xml:space="preserve">[V16-23] Kelly, Morgan E.; Truby, Tianna M.; Lai, Jennifer C.; et al. Three Decades of Living Liver Donor Outcomes: A National Cohort Analysis of Patterns in Mortality and Recovery. Journal of Transplantation. 2026; 2026(1):2545887. </w:t>
      </w:r>
      <w:hyperlink r:id="rId285">
        <w:r>
          <w:rPr>
            <w:color w:val="0563C1"/>
            <w:u w:val="single"/>
          </w:rPr>
          <w:t>Source</w:t>
        </w:r>
      </w:hyperlink>
      <w:r>
        <w:t xml:space="preserve"> | </w:t>
      </w:r>
      <w:hyperlink r:id="rId286">
        <w:r>
          <w:rPr>
            <w:color w:val="0563C1"/>
            <w:u w:val="single"/>
          </w:rPr>
          <w:t>Full-text access</w:t>
        </w:r>
      </w:hyperlink>
    </w:p>
    <w:p>
      <w:pPr>
        <w:pStyle w:val="Normal"/>
        <w:widowControl/>
        <w:spacing w:after="120"/>
      </w:pPr>
      <w:r>
        <w:t xml:space="preserve"/>
      </w:r>
      <w:r>
        <w:t xml:space="preserve">[V16-24] US Department of Health and Human Services. 45 CFR 46.111: Criteria for IRB approval of research. . 2018. </w:t>
      </w:r>
      <w:hyperlink r:id="rId287">
        <w:r>
          <w:rPr>
            <w:color w:val="0563C1"/>
            <w:u w:val="single"/>
          </w:rPr>
          <w:t>Source</w:t>
        </w:r>
      </w:hyperlink>
      <w:r>
        <w:t xml:space="preserve"> | Local PDF not available in this update</w:t>
      </w:r>
    </w:p>
    <w:p>
      <w:pPr>
        <w:pStyle w:val="Normal"/>
        <w:widowControl/>
        <w:spacing w:after="120"/>
      </w:pPr>
      <w:r>
        <w:t xml:space="preserve"/>
      </w:r>
      <w:r>
        <w:t xml:space="preserve">[V16-25] OPTN Ethics Committee. Ethical Principles in the Allocation of Human Organs. . 2015. </w:t>
      </w:r>
      <w:hyperlink r:id="rId288">
        <w:r>
          <w:rPr>
            <w:color w:val="0563C1"/>
            <w:u w:val="single"/>
          </w:rPr>
          <w:t>Source</w:t>
        </w:r>
      </w:hyperlink>
      <w:r>
        <w:t xml:space="preserve"> | Local PDF not available in this update</w:t>
      </w:r>
    </w:p>
    <w:p>
      <w:pPr>
        <w:pStyle w:val="Normal"/>
        <w:widowControl/>
        <w:spacing w:after="120"/>
      </w:pPr>
      <w:r>
        <w:t xml:space="preserve"/>
      </w:r>
      <w:r>
        <w:t xml:space="preserve">[V16-26] Llovet, Josep M; Mauro, Ezequiel; Rimassa, Lorenza; et al. Trial design and end points in hepatocellular carcinoma: an EASL-AASLD-ILCA consensus statement. Nature reviews. Clinical oncology. 2026; 23(8):619-647. </w:t>
      </w:r>
      <w:hyperlink r:id="rId289">
        <w:r>
          <w:rPr>
            <w:color w:val="0563C1"/>
            <w:u w:val="single"/>
          </w:rPr>
          <w:t>Source</w:t>
        </w:r>
      </w:hyperlink>
      <w:r>
        <w:t xml:space="preserve"> | </w:t>
      </w:r>
      <w:hyperlink r:id="rId290">
        <w:r>
          <w:rPr>
            <w:color w:val="0563C1"/>
            <w:u w:val="single"/>
          </w:rPr>
          <w:t>Full-text access</w:t>
        </w:r>
      </w:hyperlink>
    </w:p>
    <w:p>
      <w:pPr>
        <w:pStyle w:val="Normal"/>
        <w:widowControl/>
        <w:spacing w:after="120"/>
      </w:pPr>
      <w:r>
        <w:t xml:space="preserve"/>
      </w:r>
      <w:r>
        <w:t xml:space="preserve">[V16-27] Mazzaferro, Vincenzo; Citterio, Davide; Bhoori, Sherrie; et al. Liver transplantation in hepatocellular carcinoma after tumour downstaging (XXL): a randomised, controlled, phase 2b/3 trial. The Lancet Oncology. 2020; 21(7):947-956. </w:t>
      </w:r>
      <w:hyperlink r:id="rId291">
        <w:r>
          <w:rPr>
            <w:color w:val="0563C1"/>
            <w:u w:val="single"/>
          </w:rPr>
          <w:t>Source</w:t>
        </w:r>
      </w:hyperlink>
      <w:r>
        <w:t xml:space="preserve"> | </w:t>
      </w:r>
      <w:hyperlink r:id="rId292">
        <w:r>
          <w:rPr>
            <w:color w:val="0563C1"/>
            <w:u w:val="single"/>
          </w:rPr>
          <w:t>Full-text access</w:t>
        </w:r>
      </w:hyperlink>
    </w:p>
    <w:p>
      <w:pPr>
        <w:pStyle w:val="Normal"/>
        <w:widowControl/>
        <w:spacing w:after="120"/>
      </w:pPr>
      <w:r>
        <w:t xml:space="preserve"/>
      </w:r>
      <w:r>
        <w:t xml:space="preserve">[V16-28] Allen, Elisa; Taylor, Rhiannon; Gimson, Alexander; et al. Transplant benefit-based offering of deceased donor livers in the United Kingdom. Journal of Hepatology. 2024; 81(3):471-478. </w:t>
      </w:r>
      <w:hyperlink r:id="rId293">
        <w:r>
          <w:rPr>
            <w:color w:val="0563C1"/>
            <w:u w:val="single"/>
          </w:rPr>
          <w:t>Source</w:t>
        </w:r>
      </w:hyperlink>
      <w:r>
        <w:t xml:space="preserve"> | </w:t>
      </w:r>
      <w:hyperlink r:id="rId294">
        <w:r>
          <w:rPr>
            <w:color w:val="0563C1"/>
            <w:u w:val="single"/>
          </w:rPr>
          <w:t>Full-text access</w:t>
        </w:r>
      </w:hyperlink>
    </w:p>
    <w:p>
      <w:pPr>
        <w:pStyle w:val="Normal"/>
        <w:widowControl/>
        <w:spacing w:after="120"/>
      </w:pPr>
      <w:r>
        <w:t xml:space="preserve"/>
      </w:r>
      <w:r>
        <w:t xml:space="preserve">[V16-29] Abecassis, M.M.; Fisher, R.A.; Olthoff, K.M.; et al. Complications of Living Donor Hepatic Lobectomy—A Comprehensive Report. American Journal of Transplantation. 2012; 12(5):1208-1217. </w:t>
      </w:r>
      <w:hyperlink r:id="rId295">
        <w:r>
          <w:rPr>
            <w:color w:val="0563C1"/>
            <w:u w:val="single"/>
          </w:rPr>
          <w:t>Source</w:t>
        </w:r>
      </w:hyperlink>
      <w:r>
        <w:t xml:space="preserve"> | </w:t>
      </w:r>
      <w:hyperlink r:id="rId296">
        <w:r>
          <w:rPr>
            <w:color w:val="0563C1"/>
            <w:u w:val="single"/>
          </w:rPr>
          <w:t>Full-text access</w:t>
        </w:r>
      </w:hyperlink>
    </w:p>
    <w:p>
      <w:pPr>
        <w:pStyle w:val="Normal"/>
        <w:widowControl/>
        <w:spacing w:after="120"/>
      </w:pPr>
      <w:r>
        <w:t xml:space="preserve"/>
      </w:r>
      <w:r>
        <w:t xml:space="preserve">[V16-30] DiMartini, A.; Dew, M.A.; Liu, Q.; et al. Social and Financial Outcomes of Living Liver Donation: A Prospective Investigation Within the Adult-to-Adult Living Donor Liver Transplantation Cohort Study 2 (A2ALL-2). American Journal of Transplantation. 2017; 17(4):1081-1096. </w:t>
      </w:r>
      <w:hyperlink r:id="rId297">
        <w:r>
          <w:rPr>
            <w:color w:val="0563C1"/>
            <w:u w:val="single"/>
          </w:rPr>
          <w:t>Source</w:t>
        </w:r>
      </w:hyperlink>
      <w:r>
        <w:t xml:space="preserve"> | </w:t>
      </w:r>
      <w:hyperlink r:id="rId298">
        <w:r>
          <w:rPr>
            <w:color w:val="0563C1"/>
            <w:u w:val="single"/>
          </w:rPr>
          <w:t>Full-text access</w:t>
        </w:r>
      </w:hyperlink>
    </w:p>
    <w:p>
      <w:pPr>
        <w:pStyle w:val="Normal"/>
        <w:widowControl/>
        <w:spacing w:after="120"/>
      </w:pPr>
      <w:r>
        <w:t xml:space="preserve"/>
      </w:r>
      <w:r>
        <w:t xml:space="preserve">[V16-31] Xiao, Jieling; Zeng, Rebecca Wenling; Lim, Wen Hui; et al. The incidence of adverse outcome in donors after living donor liver transplantation: A meta-analysis of 60,829 donors. Liver Transplantation. 2024; 30(5):493-504. </w:t>
      </w:r>
      <w:hyperlink r:id="rId299">
        <w:r>
          <w:rPr>
            <w:color w:val="0563C1"/>
            <w:u w:val="single"/>
          </w:rPr>
          <w:t>Source</w:t>
        </w:r>
      </w:hyperlink>
      <w:r>
        <w:t xml:space="preserve"> | </w:t>
      </w:r>
      <w:hyperlink r:id="rId300">
        <w:r>
          <w:rPr>
            <w:color w:val="0563C1"/>
            <w:u w:val="single"/>
          </w:rPr>
          <w:t>Full-text access</w:t>
        </w:r>
      </w:hyperlink>
    </w:p>
    <w:p>
      <w:pPr>
        <w:pStyle w:val="Normal"/>
        <w:widowControl/>
        <w:spacing w:after="120"/>
      </w:pPr>
      <w:r>
        <w:t xml:space="preserve"/>
      </w:r>
      <w:r>
        <w:t xml:space="preserve">[V16-32] Eldridge, Sandra M; Chan, Claire L; Campbell, Michael J; et al. CONSORT 2010 statement: extension to randomised pilot and feasibility trials. BMJ. 2016; :i5239. </w:t>
      </w:r>
      <w:hyperlink r:id="rId301">
        <w:r>
          <w:rPr>
            <w:color w:val="0563C1"/>
            <w:u w:val="single"/>
          </w:rPr>
          <w:t>Source</w:t>
        </w:r>
      </w:hyperlink>
      <w:r>
        <w:t xml:space="preserve"> | </w:t>
      </w:r>
      <w:hyperlink r:id="rId302">
        <w:r>
          <w:rPr>
            <w:color w:val="0563C1"/>
            <w:u w:val="single"/>
          </w:rPr>
          <w:t>Full-text access</w:t>
        </w:r>
      </w:hyperlink>
    </w:p>
    <w:p>
      <w:pPr>
        <w:pStyle w:val="Normal"/>
        <w:widowControl/>
        <w:spacing w:after="120"/>
      </w:pPr>
      <w:r>
        <w:t xml:space="preserve"/>
      </w:r>
      <w:r>
        <w:t xml:space="preserve">[V16-33]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303">
        <w:r>
          <w:rPr>
            <w:color w:val="0563C1"/>
            <w:u w:val="single"/>
          </w:rPr>
          <w:t>Source</w:t>
        </w:r>
      </w:hyperlink>
      <w:r>
        <w:t xml:space="preserve"> | </w:t>
      </w:r>
      <w:hyperlink r:id="rId304">
        <w:r>
          <w:rPr>
            <w:color w:val="0563C1"/>
            <w:u w:val="single"/>
          </w:rPr>
          <w:t>Full-text access</w:t>
        </w:r>
      </w:hyperlink>
    </w:p>
    <w:p>
      <w:pPr>
        <w:pStyle w:val="Normal"/>
        <w:widowControl/>
        <w:spacing w:after="120"/>
      </w:pPr>
      <w:r>
        <w:t xml:space="preserve"/>
      </w:r>
      <w:r>
        <w:t xml:space="preserve">[V16-34] Yaqub, Sheraz; Busund, Sondre; Smedman, Tor Magnus; et al. Liver transplantation for locally advanced non-resectable intrahepatic cholangiocarcinoma treated with neoadjuvant therapy: early results from the TESLA trial. British Journal of Surgery. 2025. </w:t>
      </w:r>
      <w:hyperlink r:id="rId305">
        <w:r>
          <w:rPr>
            <w:color w:val="0563C1"/>
            <w:u w:val="single"/>
          </w:rPr>
          <w:t>Source</w:t>
        </w:r>
      </w:hyperlink>
      <w:r>
        <w:t xml:space="preserve"> | </w:t>
      </w:r>
      <w:hyperlink r:id="rId306">
        <w:r>
          <w:rPr>
            <w:color w:val="0563C1"/>
            <w:u w:val="single"/>
          </w:rPr>
          <w:t>Full-text access</w:t>
        </w:r>
      </w:hyperlink>
    </w:p>
    <w:p>
      <w:pPr>
        <w:pStyle w:val="Normal"/>
        <w:widowControl/>
        <w:spacing w:after="120"/>
      </w:pPr>
      <w:r>
        <w:t xml:space="preserve"/>
      </w:r>
      <w:r>
        <w:t xml:space="preserve">[V16-35] Dueland, Svein; Smedman, Tor Magnus; Syversveen, Trygve; et al. Long-Term Survival, Prognostic Factors, and Selection of Patients With Colorectal Cancer for Liver Transplant: A Nonrandomized Controlled Trial. JAMA surgery. 2023; 158(9):e232932. </w:t>
      </w:r>
      <w:hyperlink r:id="rId307">
        <w:r>
          <w:rPr>
            <w:color w:val="0563C1"/>
            <w:u w:val="single"/>
          </w:rPr>
          <w:t>Source</w:t>
        </w:r>
      </w:hyperlink>
      <w:r>
        <w:t xml:space="preserve"> | </w:t>
      </w:r>
      <w:hyperlink r:id="rId308">
        <w:r>
          <w:rPr>
            <w:color w:val="0563C1"/>
            <w:u w:val="single"/>
          </w:rPr>
          <w:t>Full-text access</w:t>
        </w:r>
      </w:hyperlink>
    </w:p>
    <w:p>
      <w:pPr>
        <w:pStyle w:val="Normal"/>
        <w:widowControl/>
        <w:spacing w:after="120"/>
      </w:pPr>
      <w:r>
        <w:t xml:space="preserve"/>
      </w:r>
      <w:r>
        <w:t xml:space="preserve">[V16-36] Hernandez-Alejandro, Roberto; Ruffolo, Luis I; Sasaki, Kazunari; et al. Recipient and Donor Outcomes After Living-Donor Liver Transplant for Unresectable Colorectal Liver Metastases. JAMA surgery. 2022; 157(6):524-530. </w:t>
      </w:r>
      <w:hyperlink r:id="rId309">
        <w:r>
          <w:rPr>
            <w:color w:val="0563C1"/>
            <w:u w:val="single"/>
          </w:rPr>
          <w:t>Source</w:t>
        </w:r>
      </w:hyperlink>
      <w:r>
        <w:t xml:space="preserve"> | </w:t>
      </w:r>
      <w:hyperlink r:id="rId310">
        <w:r>
          <w:rPr>
            <w:color w:val="0563C1"/>
            <w:u w:val="single"/>
          </w:rPr>
          <w:t>Full-text access</w:t>
        </w:r>
      </w:hyperlink>
    </w:p>
    <w:p>
      <w:pPr>
        <w:pStyle w:val="Normal"/>
        <w:widowControl/>
        <w:spacing w:after="120"/>
      </w:pPr>
      <w:r>
        <w:t xml:space="preserve"/>
      </w:r>
      <w:r>
        <w:t xml:space="preserve">[V16-37] Hagness, Morten; Foss, Aksel; Egge, Tor Skatvedt; et al. Patterns of recurrence after liver transplantation for nonresectable liver metastases from colorectal cancer. Annals of surgical oncology. 2013; 21(4):1323-9. </w:t>
      </w:r>
      <w:hyperlink r:id="rId311">
        <w:r>
          <w:rPr>
            <w:color w:val="0563C1"/>
            <w:u w:val="single"/>
          </w:rPr>
          <w:t>Source</w:t>
        </w:r>
      </w:hyperlink>
      <w:r>
        <w:t xml:space="preserve"> | Local PDF not available in this update</w:t>
      </w:r>
    </w:p>
    <w:p>
      <w:pPr>
        <w:pStyle w:val="Normal"/>
        <w:widowControl/>
        <w:spacing w:after="120"/>
      </w:pPr>
      <w:r>
        <w:t xml:space="preserve"/>
      </w:r>
      <w:r>
        <w:t xml:space="preserve">[V16-38] Dueland. PET-uptake in liver metastases as method to predict tumor biological behavior in patients transplanted for colorectal liver metastases developing lung recurrence. Cancers. 2022. </w:t>
      </w:r>
      <w:hyperlink r:id="rId312">
        <w:r>
          <w:rPr>
            <w:color w:val="0563C1"/>
            <w:u w:val="single"/>
          </w:rPr>
          <w:t>Source</w:t>
        </w:r>
      </w:hyperlink>
      <w:r>
        <w:t xml:space="preserve"> | Local PDF not available in this update</w:t>
      </w:r>
    </w:p>
    <w:p>
      <w:pPr>
        <w:pStyle w:val="Normal"/>
        <w:widowControl/>
        <w:spacing w:after="120"/>
      </w:pPr>
      <w:r>
        <w:t xml:space="preserve"/>
      </w:r>
      <w:r>
        <w:t xml:space="preserve">[V16-39] Fukumitsu. Living-donor liver transplantation for non-resectable colorectal liver metastases: protocol for a multicentric, single-arm study. BMJ open. 2024. </w:t>
      </w:r>
      <w:hyperlink r:id="rId313">
        <w:r>
          <w:rPr>
            <w:color w:val="0563C1"/>
            <w:u w:val="single"/>
          </w:rPr>
          <w:t>Source</w:t>
        </w:r>
      </w:hyperlink>
      <w:r>
        <w:t xml:space="preserve"> | Local PDF not available in this update</w:t>
      </w:r>
    </w:p>
    <w:p>
      <w:pPr>
        <w:pStyle w:val="Normal"/>
        <w:widowControl/>
        <w:spacing w:after="120"/>
      </w:pPr>
      <w:r>
        <w:t xml:space="preserve"/>
      </w:r>
      <w:r>
        <w:t xml:space="preserve">[V16-40] Oslo University Hospital. A randomized clinical trial comparing overall survival in selected patients with colorectal carcinoma treated by liver transplantation or chemotherapy (SECA-III). ClinicalTrials.gov NCT03494946. 2016. </w:t>
      </w:r>
      <w:hyperlink r:id="rId314">
        <w:r>
          <w:rPr>
            <w:color w:val="0563C1"/>
            <w:u w:val="single"/>
          </w:rPr>
          <w:t>Source</w:t>
        </w:r>
      </w:hyperlink>
      <w:r>
        <w:t xml:space="preserve"> | Local PDF not available in this update</w:t>
      </w:r>
    </w:p>
    <w:p>
      <w:pPr>
        <w:pStyle w:val="Normal"/>
        <w:widowControl/>
        <w:spacing w:after="120"/>
      </w:pPr>
      <w:r>
        <w:t xml:space="preserve"/>
      </w:r>
      <w:r>
        <w:t xml:space="preserve">[V16-41] Milosevic, M; Edwards, J; Tsang, D; et al. Pulmonary Metastasectomy in Colorectal Cancer: updated analysis of 93 randomized patients - control survival is much better than previously assumed. Colorectal disease : the official journal of the Association of Coloproctology of Great Britain and Ireland. 2020; 22(10):1314-1324. </w:t>
      </w:r>
      <w:hyperlink r:id="rId315">
        <w:r>
          <w:rPr>
            <w:color w:val="0563C1"/>
            <w:u w:val="single"/>
          </w:rPr>
          <w:t>Source</w:t>
        </w:r>
      </w:hyperlink>
      <w:r>
        <w:t xml:space="preserve"> | Local PDF not available in this update</w:t>
      </w:r>
    </w:p>
    <w:p>
      <w:pPr>
        <w:pStyle w:val="Normal"/>
        <w:widowControl/>
        <w:spacing w:after="120"/>
      </w:pPr>
      <w:r>
        <w:t xml:space="preserve"/>
      </w:r>
      <w:r>
        <w:t xml:space="preserve">[V16-42] Grut, H; Solberg, S; Seierstad, T; et al. Growth rates of pulmonary metastases after liver transplantation for unresectable colorectal liver metastases. The British journal of surgery. 2017; 105(3):295-301. </w:t>
      </w:r>
      <w:hyperlink r:id="rId31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CRLM-B5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9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abstractNum w:abstractNumId="2">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2"/>
  </w:num>
  <w:abstractNum w:abstractNumId="3">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 Id="rId8" Type="http://schemas.openxmlformats.org/officeDocument/2006/relationships/hyperlink" Target="https://doi.org/10.1016/S0140-6736(24)01595-2" TargetMode="External"/><Relationship Id="rId9" Type="http://schemas.openxmlformats.org/officeDocument/2006/relationships/hyperlink" Target="https://drliuhao.github.io/mh-liver-pathways/evidence-libraries/" TargetMode="External"/><Relationship Id="rId10" Type="http://schemas.openxmlformats.org/officeDocument/2006/relationships/hyperlink" Target="https://doi.org/10.1097/SLA.0000000000007021" TargetMode="External"/><Relationship Id="rId11" Type="http://schemas.openxmlformats.org/officeDocument/2006/relationships/hyperlink" Target="https://drliuhao.github.io/mh-liver-pathways/evidence-libraries/" TargetMode="External"/><Relationship Id="rId12" Type="http://schemas.openxmlformats.org/officeDocument/2006/relationships/hyperlink" Target="https://doi.org/10.1097/SLA.0000000000003404" TargetMode="External"/><Relationship Id="rId13" Type="http://schemas.openxmlformats.org/officeDocument/2006/relationships/hyperlink" Target="https://drliuhao.github.io/mh-liver-pathways/evidence-libraries/" TargetMode="External"/><Relationship Id="rId14" Type="http://schemas.openxmlformats.org/officeDocument/2006/relationships/hyperlink" Target="https://doi.org/10.1097/SLA.0000000000007200" TargetMode="External"/><Relationship Id="rId15" Type="http://schemas.openxmlformats.org/officeDocument/2006/relationships/hyperlink" Target="https://drliuhao.github.io/mh-liver-pathways/evidence-libraries/" TargetMode="External"/><Relationship Id="rId16" Type="http://schemas.openxmlformats.org/officeDocument/2006/relationships/hyperlink" Target="https://doi.org/10.1016/S2468-1253(21)00219-3" TargetMode="External"/><Relationship Id="rId17" Type="http://schemas.openxmlformats.org/officeDocument/2006/relationships/hyperlink" Target="https://drliuhao.github.io/mh-liver-pathways/evidence-libraries/" TargetMode="External"/><Relationship Id="rId18" Type="http://schemas.openxmlformats.org/officeDocument/2006/relationships/hyperlink" Target="https://doi.org/10.1007/s00270-024-03743-8" TargetMode="External"/><Relationship Id="rId19" Type="http://schemas.openxmlformats.org/officeDocument/2006/relationships/hyperlink" Target="https://drliuhao.github.io/mh-liver-pathways/evidence-libraries/" TargetMode="External"/><Relationship Id="rId20" Type="http://schemas.openxmlformats.org/officeDocument/2006/relationships/hyperlink" Target="https://doi.org/10.1016/S0140-6736(24)01595-2" TargetMode="External"/><Relationship Id="rId21" Type="http://schemas.openxmlformats.org/officeDocument/2006/relationships/hyperlink" Target="https://drliuhao.github.io/mh-liver-pathways/evidence-libraries/" TargetMode="External"/><Relationship Id="rId22" Type="http://schemas.openxmlformats.org/officeDocument/2006/relationships/hyperlink" Target="https://doi.org/10.1007/s00270-024-03743-8" TargetMode="External"/><Relationship Id="rId23" Type="http://schemas.openxmlformats.org/officeDocument/2006/relationships/hyperlink" Target="https://drliuhao.github.io/mh-liver-pathways/evidence-libraries/"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rliuhao.github.io/mh-liver-pathways/evidence-libraries/" TargetMode="External"/><Relationship Id="rId26" Type="http://schemas.openxmlformats.org/officeDocument/2006/relationships/hyperlink" Target="https://doi.org/10.1097/SLA.0000000000005803" TargetMode="External"/><Relationship Id="rId27" Type="http://schemas.openxmlformats.org/officeDocument/2006/relationships/hyperlink" Target="https://drliuhao.github.io/mh-liver-pathways/evidence-libraries/" TargetMode="External"/><Relationship Id="rId28" Type="http://schemas.openxmlformats.org/officeDocument/2006/relationships/hyperlink" Target="https://doi.org/10.1001/jamasurg.2025.3600"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doi.org/10.1016/j.hpb.2018.02.377"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097/LVT.0000000000000417"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016/S0140-6736(24)01595-2"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SLA.0000000000005803"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16/S0140-6736(24)01595-2"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97/SLA.0000000000007200"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02/bjs5.50278"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07/s12149-022-01796-8"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97/LVT.0000000000000535"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200/CCI.23.00111"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016/S2468-1253(21)00219-3"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www.hrsa.gov/sites/default/files/hrsa/optn/adult-meld-exception-transplant-oncology-review-guidance.pdf"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pubmed.ncbi.nlm.nih.gov/38721015"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www.hrsa.gov/sites/default/files/hrsa/optn/adult-meld-exception-transplant-oncology-review-guidance.pdf"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02/bjs5.50278"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16/S0140-6736(24)01595-2"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97/SLA.0000000000007200"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02/bjs5.50278"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97/SLA.0000000000007021"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97/LVT.0000000000000417"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www.hrsa.gov/sites/default/files/hrsa/optn/adult-meld-exception-transplant-oncology-review-guidance.pdf"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pubmed.ncbi.nlm.nih.gov/38721015"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16/S0140-6736(24)01595-2"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www.hrsa.gov/sites/default/files/hrsa/optn/optn_policies.pdf"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www.hrsa.gov/sites/default/files/hrsa/optn/adult-meld-exception-transplant-oncology-review-guidance.pdf"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S0140-6736(24)01595-2"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S2468-1253(21)00219-3"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97/HEP.0000000000001644"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97/SLA.0000000000007021"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097/SLA.0000000000003404"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97/SLA.0000000000007200"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07/s00270-024-03743-8"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97/SLA.0000000000005803"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01/jamasurg.2025.3600"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16/j.hpb.2018.02.377"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97/LVT.0000000000000417"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02/bjs5.50278"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07/s12149-022-01796-8"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97/LVT.0000000000000535"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oi.org/10.1200/CCI.23.00111"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pubmed.ncbi.nlm.nih.gov/38721015"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016/j.jhep.2024.06.042"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155/joot/2545887"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ecfr.gov/current/title-45/subtitle-A/subchapter-A/part-46/subpart-A/section-46.111" TargetMode="External"/><Relationship Id="rId133" Type="http://schemas.openxmlformats.org/officeDocument/2006/relationships/hyperlink" Target="https://www.hrsa.gov/optn/professionals/resources/ethical-considerations/ethical-principles-in-the-allocation-of-human-organs" TargetMode="External"/><Relationship Id="rId134" Type="http://schemas.openxmlformats.org/officeDocument/2006/relationships/hyperlink" Target="https://doi.org/10.1038/s41571-026-01160-z"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16/S1470-2045(20)30224-2"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oi.org/10.1016/j.jhep.2024.03.020"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111/j.1600-6143.2011.03972.x"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doi.org/10.1111/ajt.14055"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97/LVT.0000000000000303"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136/bmj.i5239"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3389/ti.2024.13641"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academic.oup.com/bjs/article/112/3/znaf054/8083032"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038/s41467-025-67824-z"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56/NEJMoa2214963"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16/S0140-6736(23)00772-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www.hrsa.gov/sites/default/files/hrsa/optn/optn_policies.pdf"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www.hrsa.gov/sites/default/files/hrsa/optn/adult-meld-exception-transplant-oncology-review-guidance.pdf"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016/S0140-6736(24)01595-2"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016/S2468-1253(21)00219-3"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97/HEP.0000000000001644"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97/SLA.0000000000007021"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97/SLA.0000000000003404"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097/SLA.0000000000007200"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doi.org/10.1007/s00270-024-03743-8"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097/SLA.0000000000005803"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oi.org/10.1001/jamasurg.2025.3600"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doi.org/10.1016/j.hpb.2018.02.377"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doi.org/10.1097/LVT.0000000000000417"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doi.org/10.1002/bjs5.50278"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oi.org/10.1007/s12149-022-01796-8"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1097/LVT.0000000000000535"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doi.org/10.1200/CCI.23.00111"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pubmed.ncbi.nlm.nih.gov/38721015"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16/j.jhep.2024.06.042"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155/joot/2545887"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www.ecfr.gov/current/title-45/subtitle-A/subchapter-A/part-46/subpart-A/section-46.111" TargetMode="External"/><Relationship Id="rId200" Type="http://schemas.openxmlformats.org/officeDocument/2006/relationships/hyperlink" Target="https://www.hrsa.gov/optn/professionals/resources/ethical-considerations/ethical-principles-in-the-allocation-of-human-organs" TargetMode="External"/><Relationship Id="rId201" Type="http://schemas.openxmlformats.org/officeDocument/2006/relationships/hyperlink" Target="https://doi.org/10.1038/s41571-026-01160-z"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doi.org/10.1016/S1470-2045(20)30224-2"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doi.org/10.1016/j.jhep.2024.03.020"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doi.org/10.1111/j.1600-6143.2011.03972.x"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doi.org/10.1111/ajt.14055"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doi.org/10.1097/LVT.0000000000000303"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doi.org/10.1136/bmj.i5239"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doi.org/10.3389/ti.2024.13641"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academic.oup.com/bjs/article/112/3/znaf054/8083032"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38/s41467-025-67824-z"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doi.org/10.1056/NEJMoa2214963"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1016/S0140-6736(23)00772-9"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doi.org/10.1016/S0140-6736(24)01595-2"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16/S2468-1253(21)00219-3"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02/bjs5.50278"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01/jamasurg.2023.2932"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001/jamasurg.2022.0300"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245/s10434-013-3449-9" TargetMode="External"/><Relationship Id="rId236" Type="http://schemas.openxmlformats.org/officeDocument/2006/relationships/hyperlink" Target="https://pmc.ncbi.nlm.nih.gov/articles/PMC9599638/" TargetMode="External"/><Relationship Id="rId237" Type="http://schemas.openxmlformats.org/officeDocument/2006/relationships/hyperlink" Target="https://pmc.ncbi.nlm.nih.gov/articles/PMC11580313/" TargetMode="External"/><Relationship Id="rId238" Type="http://schemas.openxmlformats.org/officeDocument/2006/relationships/hyperlink" Target="https://clinicaltrials.gov/study/NCT03494946" TargetMode="External"/><Relationship Id="rId239" Type="http://schemas.openxmlformats.org/officeDocument/2006/relationships/hyperlink" Target="https://doi.org/10.1111/codi.15113" TargetMode="External"/><Relationship Id="rId240" Type="http://schemas.openxmlformats.org/officeDocument/2006/relationships/hyperlink" Target="https://doi.org/10.1002/bjs.10651" TargetMode="External"/><Relationship Id="rId241" Type="http://schemas.openxmlformats.org/officeDocument/2006/relationships/hyperlink" Target="https://www.hrsa.gov/sites/default/files/hrsa/optn/optn_policies.pdf"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www.hrsa.gov/sites/default/files/hrsa/optn/adult-meld-exception-transplant-oncology-review-guidance.pdf"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016/S0140-6736(24)01595-2"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16/S2468-1253(21)00219-3"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097/HEP.0000000000001644"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1097/SLA.0000000000007021"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doi.org/10.1097/SLA.0000000000003404"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doi.org/10.1097/SLA.0000000000007200"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doi.org/10.1007/s00270-024-03743-8"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doi.org/10.1097/SLA.0000000000005803"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doi.org/10.1001/jamasurg.2025.3600" TargetMode="External"/><Relationship Id="rId262" Type="http://schemas.openxmlformats.org/officeDocument/2006/relationships/hyperlink" Target="https://drliuhao.github.io/mh-liver-pathways/evidence-libraries/" TargetMode="External"/><Relationship Id="rId263" Type="http://schemas.openxmlformats.org/officeDocument/2006/relationships/hyperlink" Target="https://doi.org/10.1016/j.hpb.2018.02.377" TargetMode="External"/><Relationship Id="rId264" Type="http://schemas.openxmlformats.org/officeDocument/2006/relationships/hyperlink" Target="https://drliuhao.github.io/mh-liver-pathways/evidence-libraries/" TargetMode="External"/><Relationship Id="rId265" Type="http://schemas.openxmlformats.org/officeDocument/2006/relationships/hyperlink" Target="https://doi.org/10.1097/LVT.0000000000000417" TargetMode="External"/><Relationship Id="rId266" Type="http://schemas.openxmlformats.org/officeDocument/2006/relationships/hyperlink" Target="https://drliuhao.github.io/mh-liver-pathways/evidence-libraries/" TargetMode="External"/><Relationship Id="rId267" Type="http://schemas.openxmlformats.org/officeDocument/2006/relationships/hyperlink" Target="https://doi.org/10.1002/bjs5.50278" TargetMode="External"/><Relationship Id="rId268" Type="http://schemas.openxmlformats.org/officeDocument/2006/relationships/hyperlink" Target="https://drliuhao.github.io/mh-liver-pathways/evidence-libraries/" TargetMode="External"/><Relationship Id="rId269" Type="http://schemas.openxmlformats.org/officeDocument/2006/relationships/hyperlink" Target="https://doi.org/10.1007/s12149-022-01796-8"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doi.org/10.1097/LVT.0000000000000535"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doi.org/10.1200/CCI.23.00111"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pubmed.ncbi.nlm.nih.gov/38721015"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016/j.jhep.2024.06.042"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doi.org/10.1038/s41467-025-67824-z"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doi.org/10.1056/NEJMoa2214963"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doi.org/10.1016/S0140-6736(23)00772-9"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155/joot/2545887"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www.ecfr.gov/current/title-45/subtitle-A/subchapter-A/part-46/subpart-A/section-46.111" TargetMode="External"/><Relationship Id="rId288" Type="http://schemas.openxmlformats.org/officeDocument/2006/relationships/hyperlink" Target="https://www.hrsa.gov/optn/professionals/resources/ethical-considerations/ethical-principles-in-the-allocation-of-human-organs" TargetMode="External"/><Relationship Id="rId289" Type="http://schemas.openxmlformats.org/officeDocument/2006/relationships/hyperlink" Target="https://doi.org/10.1038/s41571-026-01160-z"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doi.org/10.1016/S1470-2045(20)30224-2" TargetMode="External"/><Relationship Id="rId292" Type="http://schemas.openxmlformats.org/officeDocument/2006/relationships/hyperlink" Target="https://drliuhao.github.io/mh-liver-pathways/evidence-libraries/" TargetMode="External"/><Relationship Id="rId293" Type="http://schemas.openxmlformats.org/officeDocument/2006/relationships/hyperlink" Target="https://doi.org/10.1016/j.jhep.2024.03.020"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doi.org/10.1111/j.1600-6143.2011.03972.x" TargetMode="External"/><Relationship Id="rId296" Type="http://schemas.openxmlformats.org/officeDocument/2006/relationships/hyperlink" Target="https://drliuhao.github.io/mh-liver-pathways/evidence-libraries/" TargetMode="External"/><Relationship Id="rId297" Type="http://schemas.openxmlformats.org/officeDocument/2006/relationships/hyperlink" Target="https://doi.org/10.1111/ajt.14055" TargetMode="External"/><Relationship Id="rId298" Type="http://schemas.openxmlformats.org/officeDocument/2006/relationships/hyperlink" Target="https://drliuhao.github.io/mh-liver-pathways/evidence-libraries/" TargetMode="External"/><Relationship Id="rId299" Type="http://schemas.openxmlformats.org/officeDocument/2006/relationships/hyperlink" Target="https://doi.org/10.1097/LVT.0000000000000303" TargetMode="External"/><Relationship Id="rId300" Type="http://schemas.openxmlformats.org/officeDocument/2006/relationships/hyperlink" Target="https://drliuhao.github.io/mh-liver-pathways/evidence-libraries/" TargetMode="External"/><Relationship Id="rId301" Type="http://schemas.openxmlformats.org/officeDocument/2006/relationships/hyperlink" Target="https://doi.org/10.1136/bmj.i5239" TargetMode="External"/><Relationship Id="rId302" Type="http://schemas.openxmlformats.org/officeDocument/2006/relationships/hyperlink" Target="https://drliuhao.github.io/mh-liver-pathways/evidence-libraries/" TargetMode="External"/><Relationship Id="rId303" Type="http://schemas.openxmlformats.org/officeDocument/2006/relationships/hyperlink" Target="https://doi.org/10.3389/ti.2024.13641" TargetMode="External"/><Relationship Id="rId304" Type="http://schemas.openxmlformats.org/officeDocument/2006/relationships/hyperlink" Target="https://drliuhao.github.io/mh-liver-pathways/evidence-libraries/" TargetMode="External"/><Relationship Id="rId305" Type="http://schemas.openxmlformats.org/officeDocument/2006/relationships/hyperlink" Target="https://academic.oup.com/bjs/article/112/3/znaf054/8083032" TargetMode="External"/><Relationship Id="rId306" Type="http://schemas.openxmlformats.org/officeDocument/2006/relationships/hyperlink" Target="https://drliuhao.github.io/mh-liver-pathways/evidence-libraries/" TargetMode="External"/><Relationship Id="rId307" Type="http://schemas.openxmlformats.org/officeDocument/2006/relationships/hyperlink" Target="https://doi.org/10.1001/jamasurg.2023.2932" TargetMode="External"/><Relationship Id="rId308" Type="http://schemas.openxmlformats.org/officeDocument/2006/relationships/hyperlink" Target="https://drliuhao.github.io/mh-liver-pathways/evidence-libraries/" TargetMode="External"/><Relationship Id="rId309" Type="http://schemas.openxmlformats.org/officeDocument/2006/relationships/hyperlink" Target="https://doi.org/10.1001/jamasurg.2022.0300" TargetMode="External"/><Relationship Id="rId310" Type="http://schemas.openxmlformats.org/officeDocument/2006/relationships/hyperlink" Target="https://drliuhao.github.io/mh-liver-pathways/evidence-libraries/" TargetMode="External"/><Relationship Id="rId311" Type="http://schemas.openxmlformats.org/officeDocument/2006/relationships/hyperlink" Target="https://doi.org/10.1245/s10434-013-3449-9" TargetMode="External"/><Relationship Id="rId312" Type="http://schemas.openxmlformats.org/officeDocument/2006/relationships/hyperlink" Target="https://pmc.ncbi.nlm.nih.gov/articles/PMC9599638/" TargetMode="External"/><Relationship Id="rId313" Type="http://schemas.openxmlformats.org/officeDocument/2006/relationships/hyperlink" Target="https://pmc.ncbi.nlm.nih.gov/articles/PMC11580313/" TargetMode="External"/><Relationship Id="rId314" Type="http://schemas.openxmlformats.org/officeDocument/2006/relationships/hyperlink" Target="https://clinicaltrials.gov/study/NCT03494946" TargetMode="External"/><Relationship Id="rId315" Type="http://schemas.openxmlformats.org/officeDocument/2006/relationships/hyperlink" Target="https://doi.org/10.1111/codi.15113" TargetMode="External"/><Relationship Id="rId316" Type="http://schemas.openxmlformats.org/officeDocument/2006/relationships/hyperlink" Target="https://doi.org/10.1002/bjs.10651" TargetMode="Externa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2026-10-29T14:21:26Z</dcterms:modified>
  <dc:title>UTHealth Houston and Memorial Hermann High Risk Liver Transplant Protocol for Colorectal Liver Metastases V8</dc:title>
  <dc:subject>Investigational CRLM pathway outside NLRB guidance criteria</dc:subject>
  <dc:description>V2 generated 2026-07-23 17:53:12 CDT; evidence corrections documented in 04_review_summary/OpenEvidence_Protocol_Audit_2026-07-23.md.</dc:description>
</cp:coreProperties>
</file>