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Colorectal liver metastases — High-risk pathway: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high-risk pathway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https://drliuhao.github.io/mh-liver-pathways/transplant/crlm/#high-risk</w:t>
      </w:r>
    </w:p>
    <w:p>
      <w:pPr>
        <w:spacing w:after="160"/>
      </w:pPr>
      <w:r>
        <w:rPr>
          <w:b/>
          <w:i w:val="0"/>
        </w:rPr>
        <w:t xml:space="preserve">Companion files: </w:t>
      </w:r>
      <w:r>
        <w:rPr>
          <w:b w:val="0"/>
          <w:i w:val="0"/>
          <w:sz w:val="20"/>
        </w:rPr>
        <w:t xml:space="preserve">Full content: </w:t>
      </w:r>
      <w:r>
        <w:rPr>
          <w:b w:val="0"/>
          <w:i/>
        </w:rPr>
        <w:t>CRLM_5_High_Risk_Pathway.docx</w:t>
      </w:r>
      <w:r>
        <w:rPr>
          <w:b w:val="0"/>
          <w:i w:val="0"/>
          <w:sz w:val="20"/>
        </w:rPr>
        <w:t xml:space="preserve"> · Decision discussion for all settings: </w:t>
      </w:r>
      <w:r>
        <w:rPr>
          <w:b w:val="0"/>
          <w:i/>
        </w:rPr>
        <w:t>CRLM_7_Decision_Discussion.docx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CRLM-B1</w:t>
            </w:r>
          </w:p>
        </w:tc>
        <w:tc>
          <w:tcPr>
            <w:tcW w:type="dxa" w:w="2520"/>
            <w:tcW w:w="3500" w:type="dxa"/>
            <w:shd w:val="clear" w:color="auto" w:fill="F1F5F8"/>
          </w:tcPr>
          <w:p>
            <w:pPr>
              <w:spacing w:after="0"/>
            </w:pPr>
            <w:r>
              <w:rPr>
                <w:b w:val="0"/>
                <w:i w:val="0"/>
                <w:sz w:val="19"/>
              </w:rPr>
              <w:t>What exactly proves persistent unresectability?</w:t>
            </w:r>
          </w:p>
        </w:tc>
        <w:tc>
          <w:tcPr>
            <w:tcW w:type="dxa" w:w="2520"/>
            <w:tcW w:w="3780" w:type="dxa"/>
            <w:shd w:val="clear" w:color="auto" w:fill="F1F5F8"/>
          </w:tcPr>
          <w:p>
            <w:pPr>
              <w:spacing w:after="0"/>
            </w:pPr>
            <w:r>
              <w:rPr>
                <w:b w:val="0"/>
                <w:i w:val="0"/>
                <w:sz w:val="19"/>
              </w:rPr>
              <w:t>Require two expert HPB certifications of persistent unresectability, not a lesion-count shortcut.</w:t>
            </w:r>
          </w:p>
        </w:tc>
        <w:tc>
          <w:tcPr>
            <w:tcW w:type="dxa" w:w="2520"/>
            <w:tcW w:w="1500" w:type="dxa"/>
            <w:shd w:val="clear" w:color="auto" w:fill="F1F5F8"/>
          </w:tcPr>
          <w:p>
            <w:pPr>
              <w:spacing w:after="0"/>
            </w:pPr>
            <w:r>
              <w:rPr>
                <w:b w:val="0"/>
                <w:i w:val="0"/>
                <w:color w:val="5A6069"/>
                <w:sz w:val="18"/>
              </w:rPr>
              <w:t>Review the standard treatment · not activated</w:t>
            </w:r>
          </w:p>
        </w:tc>
      </w:tr>
      <w:tr>
        <w:trPr>
          <w:cantSplit/>
        </w:trPr>
        <w:tc>
          <w:tcPr>
            <w:tcW w:type="dxa" w:w="2520"/>
            <w:tcW w:w="1300" w:type="dxa"/>
            <w:shd w:val="clear" w:color="auto" w:fill="FFFFFF"/>
          </w:tcPr>
          <w:p>
            <w:pPr>
              <w:spacing w:after="0"/>
            </w:pPr>
            <w:r>
              <w:rPr>
                <w:b/>
                <w:i w:val="0"/>
                <w:sz w:val="19"/>
              </w:rPr>
              <w:t>CRLM-B2</w:t>
            </w:r>
          </w:p>
        </w:tc>
        <w:tc>
          <w:tcPr>
            <w:tcW w:type="dxa" w:w="2520"/>
            <w:tcW w:w="3500" w:type="dxa"/>
            <w:shd w:val="clear" w:color="auto" w:fill="FFFFFF"/>
          </w:tcPr>
          <w:p>
            <w:pPr>
              <w:spacing w:after="0"/>
            </w:pPr>
            <w:r>
              <w:rPr>
                <w:b w:val="0"/>
                <w:i w:val="0"/>
                <w:sz w:val="19"/>
              </w:rPr>
              <w:t>How do we handle PET-negative/disappearing lesions or radiographic NED?</w:t>
            </w:r>
          </w:p>
        </w:tc>
        <w:tc>
          <w:tcPr>
            <w:tcW w:type="dxa" w:w="2520"/>
            <w:tcW w:w="3780" w:type="dxa"/>
            <w:shd w:val="clear" w:color="auto" w:fill="FFFFFF"/>
          </w:tcPr>
          <w:p>
            <w:pPr>
              <w:spacing w:after="0"/>
            </w:pPr>
            <w:r>
              <w:rPr>
                <w:b w:val="0"/>
                <w:i w:val="0"/>
                <w:sz w:val="19"/>
              </w:rPr>
              <w:t>Do not activate LT solely for presumed microscopic disease in radiographic NED; separate residual cancer from treatment-related liver failure.</w:t>
            </w:r>
          </w:p>
        </w:tc>
        <w:tc>
          <w:tcPr>
            <w:tcW w:type="dxa" w:w="2520"/>
            <w:tcW w:w="1500" w:type="dxa"/>
            <w:shd w:val="clear" w:color="auto" w:fill="FFFFFF"/>
          </w:tcPr>
          <w:p>
            <w:pPr>
              <w:spacing w:after="0"/>
            </w:pPr>
            <w:r>
              <w:rPr>
                <w:b w:val="0"/>
                <w:i w:val="0"/>
                <w:color w:val="5A6069"/>
                <w:sz w:val="18"/>
              </w:rPr>
              <w:t>No transplant for presumed microscopic disease · not activated</w:t>
            </w:r>
          </w:p>
        </w:tc>
      </w:tr>
      <w:tr>
        <w:trPr>
          <w:cantSplit/>
        </w:trPr>
        <w:tc>
          <w:tcPr>
            <w:tcW w:type="dxa" w:w="2520"/>
            <w:tcW w:w="1300" w:type="dxa"/>
            <w:shd w:val="clear" w:color="auto" w:fill="F1F5F8"/>
          </w:tcPr>
          <w:p>
            <w:pPr>
              <w:spacing w:after="0"/>
            </w:pPr>
            <w:r>
              <w:rPr>
                <w:b/>
                <w:i w:val="0"/>
                <w:sz w:val="19"/>
              </w:rPr>
              <w:t>CRLM-B3</w:t>
            </w:r>
          </w:p>
        </w:tc>
        <w:tc>
          <w:tcPr>
            <w:tcW w:type="dxa" w:w="2520"/>
            <w:tcW w:w="3500" w:type="dxa"/>
            <w:shd w:val="clear" w:color="auto" w:fill="F1F5F8"/>
          </w:tcPr>
          <w:p>
            <w:pPr>
              <w:spacing w:after="0"/>
            </w:pPr>
            <w:r>
              <w:rPr>
                <w:b w:val="0"/>
                <w:i w:val="0"/>
                <w:sz w:val="19"/>
              </w:rPr>
              <w:t>Which molecular or extrahepatic expansions should be studied?</w:t>
            </w:r>
          </w:p>
        </w:tc>
        <w:tc>
          <w:tcPr>
            <w:tcW w:type="dxa" w:w="2520"/>
            <w:tcW w:w="3780" w:type="dxa"/>
            <w:shd w:val="clear" w:color="auto" w:fill="F1F5F8"/>
          </w:tcPr>
          <w:p>
            <w:pPr>
              <w:spacing w:after="0"/>
            </w:pPr>
            <w:r>
              <w:rPr>
                <w:b w:val="0"/>
                <w:i w:val="0"/>
                <w:sz w:val="19"/>
              </w:rPr>
              <w:t>Do not open molecular expansions initially; permit KRAS-mutant disease when all other selected criteria are met. Previous extrahepatic disease follows CRLM-B5.</w:t>
            </w:r>
          </w:p>
        </w:tc>
        <w:tc>
          <w:tcPr>
            <w:tcW w:type="dxa" w:w="2520"/>
            <w:tcW w:w="1500" w:type="dxa"/>
            <w:shd w:val="clear" w:color="auto" w:fill="F1F5F8"/>
          </w:tcPr>
          <w:p>
            <w:pPr>
              <w:spacing w:after="0"/>
            </w:pPr>
            <w:r>
              <w:rPr>
                <w:b w:val="0"/>
                <w:i w:val="0"/>
                <w:color w:val="5A6069"/>
                <w:sz w:val="18"/>
              </w:rPr>
              <w:t>Initial selection and expansion limits · not activated</w:t>
            </w:r>
          </w:p>
        </w:tc>
      </w:tr>
      <w:tr>
        <w:trPr>
          <w:cantSplit/>
        </w:trPr>
        <w:tc>
          <w:tcPr>
            <w:tcW w:type="dxa" w:w="2520"/>
            <w:tcW w:w="1300" w:type="dxa"/>
            <w:shd w:val="clear" w:color="auto" w:fill="FFFFFF"/>
          </w:tcPr>
          <w:p>
            <w:pPr>
              <w:spacing w:after="0"/>
            </w:pPr>
            <w:r>
              <w:rPr>
                <w:b/>
                <w:i w:val="0"/>
                <w:sz w:val="19"/>
              </w:rPr>
              <w:t>CRLM-B4</w:t>
            </w:r>
          </w:p>
        </w:tc>
        <w:tc>
          <w:tcPr>
            <w:tcW w:type="dxa" w:w="2520"/>
            <w:tcW w:w="3500" w:type="dxa"/>
            <w:shd w:val="clear" w:color="auto" w:fill="FFFFFF"/>
          </w:tcPr>
          <w:p>
            <w:pPr>
              <w:spacing w:after="0"/>
            </w:pPr>
            <w:r>
              <w:rPr>
                <w:b w:val="0"/>
                <w:i w:val="0"/>
                <w:sz w:val="19"/>
              </w:rPr>
              <w:t>How much recurrence/graft use is acceptable for the observed survival benefit?</w:t>
            </w:r>
          </w:p>
        </w:tc>
        <w:tc>
          <w:tcPr>
            <w:tcW w:type="dxa" w:w="2520"/>
            <w:tcW w:w="3780" w:type="dxa"/>
            <w:shd w:val="clear" w:color="auto" w:fill="FFFFFF"/>
          </w:tcPr>
          <w:p>
            <w:pPr>
              <w:spacing w:after="0"/>
            </w:pPr>
            <w:r>
              <w:rPr>
                <w:b w:val="0"/>
                <w:i w:val="0"/>
                <w:sz w:val="19"/>
              </w:rPr>
              <w:t>Accept that recurrence may coexist with meaningful survival benefit, but plan one graft and account for recurrence treatment and all additional graft use.</w:t>
            </w:r>
          </w:p>
        </w:tc>
        <w:tc>
          <w:tcPr>
            <w:tcW w:type="dxa" w:w="2520"/>
            <w:tcW w:w="1500" w:type="dxa"/>
            <w:shd w:val="clear" w:color="auto" w:fill="FFFFFF"/>
          </w:tcPr>
          <w:p>
            <w:pPr>
              <w:spacing w:after="0"/>
            </w:pPr>
            <w:r>
              <w:rPr>
                <w:b w:val="0"/>
                <w:i w:val="0"/>
                <w:color w:val="5A6069"/>
                <w:sz w:val="18"/>
              </w:rPr>
              <w:t>Review expected benefit · not activated</w:t>
            </w:r>
          </w:p>
        </w:tc>
      </w:tr>
      <w:tr>
        <w:trPr>
          <w:cantSplit/>
        </w:trPr>
        <w:tc>
          <w:tcPr>
            <w:tcW w:type="dxa" w:w="2520"/>
            <w:tcW w:w="1300" w:type="dxa"/>
            <w:shd w:val="clear" w:color="auto" w:fill="F1F5F8"/>
          </w:tcPr>
          <w:p>
            <w:pPr>
              <w:spacing w:after="0"/>
            </w:pPr>
            <w:r>
              <w:rPr>
                <w:b/>
                <w:i w:val="0"/>
                <w:sz w:val="19"/>
              </w:rPr>
              <w:t>CRLM-B5</w:t>
            </w:r>
          </w:p>
        </w:tc>
        <w:tc>
          <w:tcPr>
            <w:tcW w:type="dxa" w:w="2520"/>
            <w:tcW w:w="3500" w:type="dxa"/>
            <w:shd w:val="clear" w:color="auto" w:fill="F1F5F8"/>
          </w:tcPr>
          <w:p>
            <w:pPr>
              <w:spacing w:after="0"/>
            </w:pPr>
            <w:r>
              <w:rPr>
                <w:b w:val="0"/>
                <w:i w:val="0"/>
                <w:sz w:val="19"/>
              </w:rPr>
              <w:t>Should a lung-only study stratum be opened for completely treated pulmonary metastases, and if so with which interval and biology limits? All other previously treated extrahepatic sites stay closed.</w:t>
            </w:r>
          </w:p>
        </w:tc>
        <w:tc>
          <w:tcPr>
            <w:tcW w:type="dxa" w:w="2520"/>
            <w:tcW w:w="3780" w:type="dxa"/>
            <w:shd w:val="clear" w:color="auto" w:fill="F1F5F8"/>
          </w:tcPr>
          <w:p>
            <w:pPr>
              <w:spacing w:after="0"/>
            </w:pPr>
            <w:r>
              <w:rPr>
                <w:b w:val="0"/>
                <w:i w:val="0"/>
                <w:sz w:val="19"/>
              </w:rPr>
              <w:t>Keep previously treated extrahepatic disease closed in the initial CRLM pathway. Propose one narrow study stratum for limited, completely treated lung-only metastases; every other site stays closed.</w:t>
            </w:r>
          </w:p>
        </w:tc>
        <w:tc>
          <w:tcPr>
            <w:tcW w:type="dxa" w:w="2520"/>
            <w:tcW w:w="1500" w:type="dxa"/>
            <w:shd w:val="clear" w:color="auto" w:fill="F1F5F8"/>
          </w:tcPr>
          <w:p>
            <w:pPr>
              <w:spacing w:after="0"/>
            </w:pPr>
            <w:r>
              <w:rPr>
                <w:b w:val="0"/>
                <w:i w:val="0"/>
                <w:color w:val="5A6069"/>
                <w:sz w:val="18"/>
              </w:rPr>
              <w:t>Closed · lung-only study proposed · not activated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CRLM-B1 — Confirm that complete resection is not feasible</w:t>
      </w:r>
    </w:p>
    <w:p>
      <w:pPr>
        <w:spacing w:after="80"/>
      </w:pPr>
      <w:r>
        <w:rPr>
          <w:b w:val="0"/>
          <w:i w:val="0"/>
          <w:color w:val="5A6069"/>
          <w:sz w:val="18"/>
        </w:rPr>
        <w:t>Review the standard treatment · not activated · High-risk review</w:t>
      </w:r>
    </w:p>
    <w:p>
      <w:pPr>
        <w:spacing w:after="80"/>
      </w:pPr>
      <w:r>
        <w:rPr>
          <w:b/>
          <w:i w:val="0"/>
        </w:rPr>
        <w:t xml:space="preserve">Question: </w:t>
      </w:r>
      <w:r>
        <w:rPr>
          <w:b w:val="0"/>
          <w:i w:val="0"/>
        </w:rPr>
        <w:t>What exactly proves persistent unresectability?</w:t>
      </w:r>
    </w:p>
    <w:p>
      <w:pPr>
        <w:spacing w:after="80"/>
      </w:pPr>
      <w:r>
        <w:rPr>
          <w:b/>
          <w:i w:val="0"/>
        </w:rPr>
        <w:t xml:space="preserve">When it applies: </w:t>
      </w:r>
      <w:r>
        <w:rPr>
          <w:b w:val="0"/>
          <w:i w:val="0"/>
        </w:rPr>
        <w:t>Confirm persistent unresectability after reviewing all realistic approaches to complete tumor clearance.</w:t>
      </w:r>
    </w:p>
    <w:p>
      <w:pPr>
        <w:spacing w:after="80"/>
      </w:pPr>
      <w:r>
        <w:rPr>
          <w:b/>
          <w:i w:val="0"/>
        </w:rPr>
        <w:t xml:space="preserve">Where it is decided: </w:t>
      </w:r>
      <w:hyperlink r:id="rId6">
        <w:r>
          <w:rPr>
            <w:color w:val="0563C1"/>
            <w:u w:val="single"/>
          </w:rPr>
          <w:t xml:space="preserve">Confirm unresectability</w:t>
        </w:r>
      </w:hyperlink>
    </w:p>
    <w:p>
      <w:pPr>
        <w:spacing w:after="120"/>
      </w:pPr>
      <w:r>
        <w:rPr>
          <w:b/>
          <w:i w:val="0"/>
          <w:sz w:val="18"/>
        </w:rPr>
        <w:t xml:space="preserve">Web page: </w:t>
      </w:r>
      <w:hyperlink r:id="rId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“at least two expert liver surgeons” Independent expert unresectability assessment was part of the trial, not inferred from tumor count.</w:t>
            </w:r>
          </w:p>
        </w:tc>
        <w:tc>
          <w:tcPr>
            <w:tcW w:type="dxa" w:w="3360"/>
            <w:tcW w:w="2400" w:type="dxa"/>
            <w:shd w:val="clear" w:color="auto" w:fill="F1F5F8"/>
          </w:tcPr>
          <w:p>
            <w:pPr>
              <w:spacing w:after="0"/>
            </w:pPr>
            <w:r>
              <w:rPr>
                <w:b w:val="0"/>
                <w:i w:val="0"/>
                <w:color w:val="5A6069"/>
                <w:sz w:val="18"/>
              </w:rPr>
              <w:t>Published PDF p3 / journal p1109, Procedures</w:t>
            </w:r>
          </w:p>
        </w:tc>
      </w:tr>
      <w:tr>
        <w:trPr>
          <w:cantSplit/>
        </w:trPr>
        <w:tc>
          <w:tcPr>
            <w:tcW w:type="dxa" w:w="3360"/>
            <w:tcW w:w="2200" w:type="dxa"/>
            <w:shd w:val="clear" w:color="auto" w:fill="FFFFFF"/>
          </w:tcPr>
          <w:p>
            <w:pPr>
              <w:spacing w:after="0"/>
            </w:pPr>
            <w:r>
              <w:rPr>
                <w:b/>
                <w:i w:val="0"/>
                <w:sz w:val="19"/>
              </w:rPr>
              <w:t>Bilhim 2024</w:t>
            </w:r>
          </w:p>
        </w:tc>
        <w:tc>
          <w:tcPr>
            <w:tcW w:type="dxa" w:w="3360"/>
            <w:tcW w:w="5480" w:type="dxa"/>
            <w:shd w:val="clear" w:color="auto" w:fill="FFFFFF"/>
          </w:tcPr>
          <w:p>
            <w:pPr>
              <w:spacing w:after="0"/>
            </w:pPr>
            <w:r>
              <w:rPr>
                <w:b w:val="0"/>
                <w:i w:val="0"/>
                <w:sz w:val="19"/>
              </w:rPr>
              <w:t>“does not estimate the function and regenerative capacity of FLR” CT volume alone does not establish function. Table 2 gives &gt;20%, &gt;30% and &gt;40% suggested resection thresholds for normal, chemotherapy-exposed and cirrhotic/cholestatic liver respectively.</w:t>
            </w:r>
          </w:p>
        </w:tc>
        <w:tc>
          <w:tcPr>
            <w:tcW w:type="dxa" w:w="3360"/>
            <w:tcW w:w="2400" w:type="dxa"/>
            <w:shd w:val="clear" w:color="auto" w:fill="FFFFFF"/>
          </w:tcPr>
          <w:p>
            <w:pPr>
              <w:spacing w:after="0"/>
            </w:pPr>
            <w:r>
              <w:rPr>
                <w:b w:val="0"/>
                <w:i w:val="0"/>
                <w:color w:val="5A6069"/>
                <w:sz w:val="18"/>
              </w:rPr>
              <w:t>CIRSE 2024, Indications and Contra-Indications; thresholds in Table 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TransMet 2024</w:t>
            </w:r>
          </w:p>
        </w:tc>
        <w:tc>
          <w:tcPr>
            <w:tcW w:type="dxa" w:w="3360"/>
            <w:tcW w:w="3900" w:type="dxa"/>
            <w:shd w:val="clear" w:color="auto" w:fill="F1F5F8"/>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1F5F8"/>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FFFFF"/>
          </w:tcPr>
          <w:p>
            <w:pPr>
              <w:spacing w:after="0"/>
            </w:pPr>
            <w:r>
              <w:rPr>
                <w:b/>
                <w:i w:val="0"/>
                <w:sz w:val="19"/>
              </w:rPr>
              <w:t>Chandra 2026 · HAIP comparator</w:t>
            </w:r>
          </w:p>
        </w:tc>
        <w:tc>
          <w:tcPr>
            <w:tcW w:type="dxa" w:w="3360"/>
            <w:tcW w:w="3900" w:type="dxa"/>
            <w:shd w:val="clear" w:color="auto" w:fill="FFFFFF"/>
          </w:tcPr>
          <w:p>
            <w:pPr>
              <w:spacing w:after="0"/>
            </w:pPr>
            <w:r>
              <w:rPr>
                <w:b w:val="0"/>
                <w:i w:val="0"/>
                <w:sz w:val="19"/>
              </w:rPr>
              <w:t>Single-centre retrospective HAIP cohort: 1,110 patients treated in 2006–2016, 483 initially unresectable after exclusions; 83 met modified transplant criteria, but only 23 were pretreated, chemotherapy-controlled transplant-like candidates. Selected patients had liver-confined disease without progression on pre-HAIP chemotherapy. The study modified SECA/TransMet criteria: PET, molecular profile, CEA and standardized RECIST response were not mandatory, and primary resection could occur during/after HAIP. Applying at least one year from CRC diagnosis to HAIP left only five of 483 patients. Unresectability considered adequate functional remnant, vascular/biliary preservation and intraoperative ultrasound, not lesion number alone.</w:t>
            </w:r>
          </w:p>
        </w:tc>
        <w:tc>
          <w:tcPr>
            <w:tcW w:type="dxa" w:w="3360"/>
            <w:tcW w:w="4180" w:type="dxa"/>
            <w:shd w:val="clear" w:color="auto" w:fill="FFFFFF"/>
          </w:tcPr>
          <w:p>
            <w:pPr>
              <w:spacing w:after="0"/>
            </w:pPr>
            <w:r>
              <w:rPr>
                <w:b w:val="0"/>
                <w:i w:val="0"/>
                <w:sz w:val="19"/>
              </w:rPr>
              <w:t>Time zero was HAIP placement, not a common LT-versus-HAIP eligibility date. In the 23 selected pretreated patients, 18/23 (78%) converted to resection; only 10/18 were R0, and 17/18 recurred, with salvage treatment in 15. Median follow-up was 97.7 months; median OS 61 months (95% CI 36–92), five-year OS 53% (36–79), PFS 13 months (9.6–22), hepatic PFS 16 months (11–61). Median treatment comprised five HAIP cycles and nine systemic cycles. Biliary sclerosis requiring stents occurred in 3/23 (13%); one pump-arterial dissection required revision.</w:t>
            </w:r>
          </w:p>
          <w:p>
            <w:pPr>
              <w:spacing w:after="0"/>
            </w:pPr>
            <w:r>
              <w:rPr>
                <w:b w:val="0"/>
                <w:i/>
                <w:sz w:val="19"/>
              </w:rPr>
              <w:t>Limits: Selection from a large denominator, modified eligibility, expert-centre availability, retrospective ascertainment and a different time origin prohibit equivalence claims against TransMet. The high conversion rate is clinically important counterevidence to declaring unresectability before specialist conversion review. It does not make HAIP compulsory or establish that its toxicities are an indication to create for LT.</w:t>
            </w:r>
          </w:p>
          <w:p>
            <w:pPr>
              <w:spacing w:after="0"/>
            </w:pPr>
            <w:r>
              <w:rPr>
                <w:b w:val="0"/>
                <w:i w:val="0"/>
                <w:color w:val="5A6069"/>
                <w:sz w:val="18"/>
              </w:rPr>
              <w:t>Complete accepted manuscript, PDF pp.6–11: cohort derivation, modified criteria, conversion, survival and adverse events; subsequent tables.</w:t>
            </w:r>
          </w:p>
        </w:tc>
      </w:tr>
      <w:tr>
        <w:trPr>
          <w:cantSplit/>
        </w:trPr>
        <w:tc>
          <w:tcPr>
            <w:tcW w:type="dxa" w:w="3360"/>
            <w:tcW w:w="2000" w:type="dxa"/>
            <w:shd w:val="clear" w:color="auto" w:fill="F1F5F8"/>
          </w:tcPr>
          <w:p>
            <w:pPr>
              <w:spacing w:after="0"/>
            </w:pPr>
            <w:r>
              <w:rPr>
                <w:b/>
                <w:i w:val="0"/>
                <w:sz w:val="19"/>
              </w:rPr>
              <w:t>Dueland 2020 · SECA-II</w:t>
            </w:r>
          </w:p>
        </w:tc>
        <w:tc>
          <w:tcPr>
            <w:tcW w:type="dxa" w:w="3360"/>
            <w:tcW w:w="3900" w:type="dxa"/>
            <w:shd w:val="clear" w:color="auto" w:fill="F1F5F8"/>
          </w:tcPr>
          <w:p>
            <w:pPr>
              <w:spacing w:after="0"/>
            </w:pPr>
            <w:r>
              <w:rPr>
                <w:b w:val="0"/>
                <w:i w:val="0"/>
                <w:sz w:val="19"/>
              </w:rPr>
              <w:t>Prospective single-centre SECA-II initial report, 15 highly selected recipients transplanted 2012–2016, without a randomized non-LT comparator. R0 primary; ECOG 0–1; liver-only disease with no prior extrahepatic metastases; at least one year from diagnosis to listing; at least 10% chemotherapy response. Additional size/number and response restrictions applied. All 15 had Oslo score 0–1. Median largest lesion at LT 24 mm, number five; only one KRAS-mutated case. Median wait 29 days, no wait-list dropout.</w:t>
            </w:r>
          </w:p>
        </w:tc>
        <w:tc>
          <w:tcPr>
            <w:tcW w:type="dxa" w:w="3360"/>
            <w:tcW w:w="4180" w:type="dxa"/>
            <w:shd w:val="clear" w:color="auto" w:fill="F1F5F8"/>
          </w:tcPr>
          <w:p>
            <w:pPr>
              <w:spacing w:after="0"/>
            </w:pPr>
            <w:r>
              <w:rPr>
                <w:b w:val="0"/>
                <w:i w:val="0"/>
                <w:sz w:val="19"/>
              </w:rPr>
              <w:t>Time zero LT. Median follow-up 36 months (range 5–60). Reported one-, three-, five-year OS 100%, 83%, 83%; sparse five-year tail. Median DFS 13.7 months, with one-, two-, three-year DFS 53%, 44%, 35%. Eight patients recurred, six in lung. Seven of 15 had Clavien-Dindo IIIa–IVa complications requiring intervention. No adjuvant chemotherapy.</w:t>
            </w:r>
          </w:p>
          <w:p>
            <w:pPr>
              <w:spacing w:after="0"/>
            </w:pPr>
            <w:r>
              <w:rPr>
                <w:b w:val="0"/>
                <w:i/>
                <w:sz w:val="19"/>
              </w:rPr>
              <w:t>Limits: The 15-patient cohort is included in the later 25-patient SECA-II report, not independent corroboration. Selected response, low burden and short wait strongly limit generalizability. The better OS than DFS demonstrates salvage opportunities but not that recurrence is harmless. A 10% response criterion is not the same as the current NLRB &gt;10% growth exclusion or standard RECIST 1.1 progression.</w:t>
            </w:r>
          </w:p>
          <w:p>
            <w:pPr>
              <w:spacing w:after="0"/>
            </w:pPr>
            <w:r>
              <w:rPr>
                <w:b w:val="0"/>
                <w:i w:val="0"/>
                <w:color w:val="5A6069"/>
                <w:sz w:val="18"/>
              </w:rPr>
              <w:t>Ann Surg 2020;271:212–218; local seven-page PDF, pp.1–3 eligibility/Table 1 and pp.4–6 survival/recurrence/complications.</w:t>
            </w:r>
          </w:p>
        </w:tc>
      </w:tr>
      <w:tr>
        <w:trPr>
          <w:cantSplit/>
        </w:trPr>
        <w:tc>
          <w:tcPr>
            <w:tcW w:type="dxa" w:w="3360"/>
            <w:tcW w:w="2000" w:type="dxa"/>
            <w:shd w:val="clear" w:color="auto" w:fill="FFFFFF"/>
          </w:tcPr>
          <w:p>
            <w:pPr>
              <w:spacing w:after="0"/>
            </w:pPr>
            <w:r>
              <w:rPr>
                <w:b/>
                <w:i w:val="0"/>
                <w:sz w:val="19"/>
              </w:rPr>
              <w:t>Dueland 2026 · SECA-II ten-year</w:t>
            </w:r>
          </w:p>
        </w:tc>
        <w:tc>
          <w:tcPr>
            <w:tcW w:type="dxa" w:w="3360"/>
            <w:tcW w:w="3900" w:type="dxa"/>
            <w:shd w:val="clear" w:color="auto" w:fill="FFFFFF"/>
          </w:tcPr>
          <w:p>
            <w:pPr>
              <w:spacing w:after="0"/>
            </w:pPr>
            <w:r>
              <w:rPr>
                <w:b w:val="0"/>
                <w:i w:val="0"/>
                <w:sz w:val="19"/>
              </w:rPr>
              <w:t>Prospective SECA-II extended follow-up, 25 recipients from April 2012 to November 2023; analysis cutoff 1 January 2025. Includes the original SECA-II cohort. All grafted under SECA-II included. At least one year diagnosis to inclusion and no progression required; one inadvertently transplanted patient had progression on a scan not available to the transplant centre. One early postoperative death was included in survival analyses but excluded from other analyses, so baseline Table 1 denominator is 24. Among these 24, median largest lesion 24 mm (4–48), CEA 3.5 (1–33), PET MTV 7.3 cm³ (0–139); only two MTV &gt;70, two KRAS-mutated, one right-sided ascending primary and one pN2. Oslo scores 0/1/2 were 9/13/2.</w:t>
            </w:r>
          </w:p>
        </w:tc>
        <w:tc>
          <w:tcPr>
            <w:tcW w:type="dxa" w:w="3360"/>
            <w:tcW w:w="4180" w:type="dxa"/>
            <w:shd w:val="clear" w:color="auto" w:fill="FFFFFF"/>
          </w:tcPr>
          <w:p>
            <w:pPr>
              <w:spacing w:after="0"/>
            </w:pPr>
            <w:r>
              <w:rPr>
                <w:b w:val="0"/>
                <w:i w:val="0"/>
                <w:sz w:val="19"/>
              </w:rPr>
              <w:t>Time zero LT; median follow-up of survivors 97.2 months. Median OS 128.2 months (95% CI 74.8–181.6); five- and ten-year OS 77.8% and 51.5%. Median RFS 24.3 months; 12/25 relapsed, six initially lung-only. Median post-recurrence survival 62.9 months (25.7–101.1); nine had surgery as first recurrence treatment, but only three were classified curative-intent at that first treatment. Twelve had no recurrence over median 74 months; four exceeded ten years without recurrence. Four patients died of metastases more than five years after LT. Reported serious complications: five grade IIIa, three IIIb, one grade V hepatic-artery-thrombosis death.</w:t>
            </w:r>
          </w:p>
          <w:p>
            <w:pPr>
              <w:spacing w:after="0"/>
            </w:pPr>
            <w:r>
              <w:rPr>
                <w:b w:val="0"/>
                <w:i/>
                <w:sz w:val="19"/>
              </w:rPr>
              <w:t>Limits: No contemporaneous control and only 25 recipients; highly favorable biology cannot justify broad expansion. Abstract speculates up to 15 potentially cured, body p.5 says up to 13; neither is an observed, validated cure fraction. Use observed survival/recurrence instead. The discussion's assertion that RFS is not valid for efficacy should not erase recurrence burden, treatment harms or QoL; RFS is insufficient alone, not unimportant. Updated survival supersedes rather than adds an independent 83% SECA-II estimate.</w:t>
            </w:r>
          </w:p>
          <w:p>
            <w:pPr>
              <w:spacing w:after="0"/>
            </w:pPr>
            <w:r>
              <w:rPr>
                <w:b w:val="0"/>
                <w:i w:val="0"/>
                <w:color w:val="5A6069"/>
                <w:sz w:val="18"/>
              </w:rPr>
              <w:t>Ann Surg 2026 early report DOI 10.1097/SLA.0000000000007200; PDF p.2 methods/time origins and early-death handling; p.3 Table 1 and outcomes; pp.4–5 salvage, late death, cure-count discrepancy and complications.</w:t>
            </w:r>
          </w:p>
        </w:tc>
      </w:tr>
      <w:tr>
        <w:trPr>
          <w:cantSplit/>
        </w:trPr>
        <w:tc>
          <w:tcPr>
            <w:tcW w:type="dxa" w:w="3360"/>
            <w:tcW w:w="2000" w:type="dxa"/>
            <w:shd w:val="clear" w:color="auto" w:fill="F1F5F8"/>
          </w:tcPr>
          <w:p>
            <w:pPr>
              <w:spacing w:after="0"/>
            </w:pPr>
            <w:r>
              <w:rPr>
                <w:b/>
                <w:i w:val="0"/>
                <w:sz w:val="19"/>
              </w:rPr>
              <w:t>IHPBA 2021</w:t>
            </w:r>
          </w:p>
        </w:tc>
        <w:tc>
          <w:tcPr>
            <w:tcW w:type="dxa" w:w="3360"/>
            <w:tcW w:w="3900" w:type="dxa"/>
            <w:shd w:val="clear" w:color="auto" w:fill="F1F5F8"/>
          </w:tcPr>
          <w:p>
            <w:pPr>
              <w:spacing w:after="0"/>
            </w:pPr>
            <w:r>
              <w:rPr>
                <w:b w:val="0"/>
                <w:i w:val="0"/>
                <w:sz w:val="19"/>
              </w:rPr>
              <w:t>2021 international multidisciplinary consensus; not a prospective eligibility-strategy trial. Distinguishes technical unresectability, biology and organ-allocation ethics. Recommends BRAF V600E exclusion; RAS mutation alone is not an absolute exclusion. MSI-H/dMMR cases should receive effective systemic options and are not routinely recommended for LT.</w:t>
            </w:r>
          </w:p>
        </w:tc>
        <w:tc>
          <w:tcPr>
            <w:tcW w:type="dxa" w:w="3360"/>
            <w:tcW w:w="4180" w:type="dxa"/>
            <w:shd w:val="clear" w:color="auto" w:fill="F1F5F8"/>
          </w:tcPr>
          <w:p>
            <w:pPr>
              <w:spacing w:after="0"/>
            </w:pPr>
            <w:r>
              <w:rPr>
                <w:b w:val="0"/>
                <w:i w:val="0"/>
                <w:sz w:val="19"/>
              </w:rPr>
              <w:t>No original randomized outcome denominator. Consensus suggests response/observation, CEA trajectory and PET burden (MTV 70 cm³/TLG 260) as risk criteria. Rising CEA &gt;80 is treated more adversely than falling CEA.</w:t>
            </w:r>
          </w:p>
          <w:p>
            <w:pPr>
              <w:spacing w:after="0"/>
            </w:pPr>
            <w:r>
              <w:rPr>
                <w:b w:val="0"/>
                <w:i/>
                <w:sz w:val="19"/>
              </w:rPr>
              <w:t>Limits: Expert recommendations differ from current NLRB wording and TransMet criteria; do not merge them into a falsely universal threshold. Non-V600E BRAF is not thereby proven safe for LT, and contemporary guidance requests BRAF-wild-type tumours.</w:t>
            </w:r>
          </w:p>
          <w:p>
            <w:pPr>
              <w:spacing w:after="0"/>
            </w:pPr>
            <w:r>
              <w:rPr>
                <w:b w:val="0"/>
                <w:i w:val="0"/>
                <w:color w:val="5A6069"/>
                <w:sz w:val="18"/>
              </w:rPr>
              <w:t>Lancet Gastroenterol Hepatol 2021;6:933–946; full PDF selection, molecular, PET and tumour-response statements.</w:t>
            </w:r>
          </w:p>
        </w:tc>
      </w:tr>
      <w:tr>
        <w:trPr>
          <w:cantSplit/>
        </w:trPr>
        <w:tc>
          <w:tcPr>
            <w:tcW w:type="dxa" w:w="3360"/>
            <w:tcW w:w="2000" w:type="dxa"/>
            <w:shd w:val="clear" w:color="auto" w:fill="FFFFFF"/>
          </w:tcPr>
          <w:p>
            <w:pPr>
              <w:spacing w:after="0"/>
            </w:pPr>
            <w:r>
              <w:rPr>
                <w:b/>
                <w:i w:val="0"/>
                <w:sz w:val="19"/>
              </w:rPr>
              <w:t>Bilhim 2024</w:t>
            </w:r>
          </w:p>
        </w:tc>
        <w:tc>
          <w:tcPr>
            <w:tcW w:type="dxa" w:w="3360"/>
            <w:tcW w:w="3900" w:type="dxa"/>
            <w:shd w:val="clear" w:color="auto" w:fill="FFFFFF"/>
          </w:tcPr>
          <w:p>
            <w:pPr>
              <w:spacing w:after="0"/>
            </w:pPr>
            <w:r>
              <w:rPr>
                <w:b w:val="0"/>
                <w:i w:val="0"/>
                <w:sz w:val="19"/>
              </w:rPr>
              <w:t>CIRSE consensus standards for portal-vein embolization and liver venous deprivation, 2024; not a transplant-versus-resection comparative trial. Assesses future liver remnant volume and function, vascular/biliary anatomy, parenchymal quality and capacity for hypertrophy before major hepatectomy.</w:t>
            </w:r>
          </w:p>
        </w:tc>
        <w:tc>
          <w:tcPr>
            <w:tcW w:type="dxa" w:w="3360"/>
            <w:tcW w:w="4180" w:type="dxa"/>
            <w:shd w:val="clear" w:color="auto" w:fill="FFFFFF"/>
          </w:tcPr>
          <w:p>
            <w:pPr>
              <w:spacing w:after="0"/>
            </w:pPr>
            <w:r>
              <w:rPr>
                <w:b w:val="0"/>
                <w:i w:val="0"/>
                <w:sz w:val="19"/>
              </w:rPr>
              <w:t>Frequently used planning benchmarks are approximately &gt;20% normal parenchyma, &gt;30% chemotherapy-exposed/injured liver and &gt;40% cirrhosis. These are resection-risk benchmarks, not an LT eligibility test or a guarantee of safe resection.</w:t>
            </w:r>
          </w:p>
          <w:p>
            <w:pPr>
              <w:spacing w:after="0"/>
            </w:pPr>
            <w:r>
              <w:rPr>
                <w:b w:val="0"/>
                <w:i/>
                <w:sz w:val="19"/>
              </w:rPr>
              <w:t>Limits: Volume cannot substitute for function, and the relevant injury severity differs by patient. Failure of a numerical FLR threshold alone does not establish persistent oncological unresectability if PVE/LVD, staged or parenchymal-sparing treatment remains feasible.</w:t>
            </w:r>
          </w:p>
          <w:p>
            <w:pPr>
              <w:spacing w:after="0"/>
            </w:pPr>
            <w:r>
              <w:rPr>
                <w:b w:val="0"/>
                <w:i w:val="0"/>
                <w:color w:val="5A6069"/>
                <w:sz w:val="18"/>
              </w:rPr>
              <w:t>Cardiovasc Intervent Radiol 2024;47:1025–1036; complete PDF patient selection/FLR assessment.</w:t>
            </w:r>
          </w:p>
        </w:tc>
      </w:tr>
    </w:tbl>
    <w:p>
      <w:pPr>
        <w:spacing w:after="40"/>
      </w:pPr>
    </w:p>
    <w:p>
      <w:pPr>
        <w:pStyle w:val="Heading3"/>
        <w:keepNext/>
        <w:spacing w:before="120" w:after="80"/>
      </w:pPr>
      <w:r>
        <w:rPr>
          <w:b w:val="0"/>
          <w:i w:val="0"/>
        </w:rPr>
        <w:t>Our proposed selection (OPEN)</w:t>
      </w:r>
    </w:p>
    <w:p>
      <w:pPr>
        <w:spacing w:after="80"/>
      </w:pPr>
      <w:r>
        <w:rPr>
          <w:b w:val="0"/>
          <w:i w:val="0"/>
        </w:rPr>
        <w:t>Require two expert HPB certifications of persistent unresectability, not a lesion-count shortcut.</w:t>
      </w:r>
    </w:p>
    <w:p>
      <w:pPr>
        <w:numPr>
          <w:ilvl w:val="0"/>
          <w:numId w:val="5"/>
        </w:numPr>
        <w:spacing w:after="40"/>
      </w:pPr>
      <w:r>
        <w:rPr>
          <w:b w:val="0"/>
          <w:i w:val="0"/>
        </w:rPr>
        <w:t>Proposed requirements: two HPB surgeons, including one who is not the proposed transplant surgeon, agree that complete nontransplant clearance is infeasible. Include radiology, oncology and an ablation/HAI-capable clinician; disagreement is HOLD with independent external review.</w:t>
      </w:r>
    </w:p>
    <w:p>
      <w:pPr>
        <w:numPr>
          <w:ilvl w:val="0"/>
          <w:numId w:val="5"/>
        </w:numPr>
        <w:spacing w:after="40"/>
      </w:pPr>
      <w:r>
        <w:rPr>
          <w:b w:val="0"/>
          <w:i w:val="0"/>
        </w:rPr>
        <w:t>Review parenchymal-sparing, staged, combined resection/ablation and hypertrophy-assisted options. Use FLR benchmarks of about 20% in normal liver, 30% in chemotherapy-injured liver and 40% in cirrhosis to assess resection—not as automatic LT criteria. Assess function, inflow, outflow and biliary drainage as well as volume.</w:t>
      </w:r>
    </w:p>
    <w:p>
      <w:pPr>
        <w:numPr>
          <w:ilvl w:val="0"/>
          <w:numId w:val="5"/>
        </w:numPr>
        <w:spacing w:after="40"/>
      </w:pPr>
      <w:r>
        <w:rPr>
          <w:b w:val="0"/>
          <w:i w:val="0"/>
        </w:rPr>
        <w:t>Renew certification after meaningful response or material treatment change and within 30 days before a final decision to proceed with transplantation. Restage approximately every eight weeks on active treatment. Consider HAI conversion when appropriate; do not mandate HAI treatment for every patient.</w:t>
      </w:r>
    </w:p>
    <w:p>
      <w:pPr>
        <w:spacing w:after="80"/>
      </w:pPr>
      <w:r>
        <w:rPr>
          <w:b/>
          <w:i w:val="0"/>
        </w:rPr>
        <w:t xml:space="preserve">Why: </w:t>
      </w:r>
      <w:r>
        <w:rPr>
          <w:b w:val="0"/>
          <w:i w:val="0"/>
        </w:rPr>
        <w:t>The best evidence supports LT only after a credible expert determination that complete, safe hepatic clearance cannot be achieved. TransMet excluded equivocal unresectability and used independent adjudication. The HAIP series shows that a subset labelled transplant-like can convert, but does not prove mandatory HAIP or equal survival. Long-term SECA-II supports durable benefit in narrowly selected unresectable disease, not a shortcut around reconstruction, ablation or FLR review.</w:t>
      </w:r>
    </w:p>
    <w:p>
      <w:pPr>
        <w:spacing w:after="80"/>
      </w:pPr>
      <w:r>
        <w:rPr>
          <w:b/>
          <w:i w:val="0"/>
        </w:rPr>
        <w:t xml:space="preserve">Against, or uncertain: </w:t>
      </w:r>
      <w:r>
        <w:rPr>
          <w:b w:val="0"/>
          <w:i w:val="0"/>
        </w:rPr>
        <w:t>Many initially unresectable patients can be converted; HAIP brought 18/23 highly selected pretreated patients to resection, although most recurred and only 10/18 were R0. A high lesion count, bilobar distribution, chemotherapy injury or a low raw FLR alone is insufficient. Conversely, mandatory repeated conversion attempts can expose patients to biliary injury and progression without validated benefit.</w:t>
      </w:r>
    </w:p>
    <w:p>
      <w:pPr>
        <w:spacing w:after="80"/>
      </w:pPr>
      <w:r>
        <w:rPr>
          <w:b/>
          <w:i w:val="0"/>
        </w:rPr>
        <w:t xml:space="preserve">Certainty: </w:t>
      </w:r>
      <w:r>
        <w:rPr>
          <w:b w:val="0"/>
          <w:i w:val="0"/>
        </w:rPr>
        <w:t>Moderate-to-high certainty for the TransMet treatment strategy in its restricted randomized population; low certainty for an individual unresectability threshold, comparative HAIP effect, and broad expansions. FLR cutoffs are technical risk guidance, not predictive LT-benefit biomarkers.</w:t>
      </w:r>
    </w:p>
    <w:p>
      <w:pPr>
        <w:spacing w:after="80"/>
      </w:pPr>
      <w:r>
        <w:rPr>
          <w:b/>
          <w:i w:val="0"/>
        </w:rPr>
        <w:t xml:space="preserve">Tests and records: </w:t>
      </w:r>
      <w:r>
        <w:rPr>
          <w:b w:val="0"/>
          <w:i w:val="0"/>
        </w:rPr>
        <w:t>Pretreatment/current lesion maps including disappearing sites; contrast liver MRI and systemic staging; volumetry/function; vascular/biliary map; prior treatments; signed alternative-clearance assessment. Obtain a specialized conversion/HAIP opinion when clinically appropriate and accessible; document why it is omitted otherwise. A mandatory opinion is not a requirement to expose every patient to HAIP.</w:t>
      </w:r>
    </w:p>
    <w:p>
      <w:pPr>
        <w:spacing w:after="80"/>
      </w:pPr>
      <w:r>
        <w:rPr>
          <w:b/>
          <w:i w:val="0"/>
        </w:rPr>
        <w:t xml:space="preserve">Allocation: </w:t>
      </w:r>
      <w:r>
        <w:rPr>
          <w:b w:val="0"/>
          <w:i w:val="0"/>
        </w:rPr>
        <w:t>Persistent unresectability is a clinical finding; the separate NLRB molecular, timing, imaging and response requirements still apply if exception review is pursued.</w:t>
      </w:r>
    </w:p>
    <w:p>
      <w:pPr>
        <w:spacing w:after="40"/>
      </w:pPr>
      <w:r>
        <w:rPr>
          <w:b/>
          <w:i w:val="0"/>
        </w:rPr>
        <w:t xml:space="preserve">Basis for the proposed thresholds: </w:t>
      </w:r>
    </w:p>
    <w:p>
      <w:pPr>
        <w:numPr>
          <w:ilvl w:val="0"/>
          <w:numId w:val="5"/>
        </w:numPr>
        <w:spacing w:after="40"/>
      </w:pPr>
      <w:r>
        <w:rPr>
          <w:b w:val="0"/>
          <w:i w:val="0"/>
        </w:rPr>
        <w:t>20/30/40% FLR values originate in hepatectomy planning, not validated LT-selection trials. Two reviewers and reassessment within 30 days before activation, with imaging about every eight weeks during treatment, are proposed local workflow intervals. The national exception application requires its own current staging intervals; a 30-day local review does not replace them.</w:t>
      </w:r>
    </w:p>
    <w:p>
      <w:pPr>
        <w:pStyle w:val="Heading3"/>
        <w:keepNext/>
        <w:spacing w:before="120" w:after="80"/>
      </w:pPr>
      <w:r>
        <w:rPr>
          <w:b w:val="0"/>
          <w:i w:val="0"/>
        </w:rPr>
        <w:t>CRLM-B1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CRLM-B2 — No tumor is visible after treatment</w:t>
      </w:r>
    </w:p>
    <w:p>
      <w:pPr>
        <w:spacing w:after="80"/>
      </w:pPr>
      <w:r>
        <w:rPr>
          <w:b w:val="0"/>
          <w:i w:val="0"/>
          <w:color w:val="5A6069"/>
          <w:sz w:val="18"/>
        </w:rPr>
        <w:t>No transplant for presumed microscopic disease · not activated · High-risk review</w:t>
      </w:r>
    </w:p>
    <w:p>
      <w:pPr>
        <w:spacing w:after="80"/>
      </w:pPr>
      <w:r>
        <w:rPr>
          <w:b/>
          <w:i w:val="0"/>
        </w:rPr>
        <w:t xml:space="preserve">Question: </w:t>
      </w:r>
      <w:r>
        <w:rPr>
          <w:b w:val="0"/>
          <w:i w:val="0"/>
        </w:rPr>
        <w:t>How do we handle PET-negative/disappearing lesions or radiographic NED?</w:t>
      </w:r>
    </w:p>
    <w:p>
      <w:pPr>
        <w:spacing w:after="80"/>
      </w:pPr>
      <w:r>
        <w:rPr>
          <w:b/>
          <w:i w:val="0"/>
        </w:rPr>
        <w:t xml:space="preserve">When it applies: </w:t>
      </w:r>
      <w:r>
        <w:rPr>
          <w:b w:val="0"/>
          <w:i w:val="0"/>
        </w:rPr>
        <w:t>No visible tumor after treatment is a reason to reassess the indication; presumed microscopic disease alone does not justify transplantation.</w:t>
      </w:r>
    </w:p>
    <w:p>
      <w:pPr>
        <w:spacing w:after="80"/>
      </w:pPr>
      <w:r>
        <w:rPr>
          <w:b/>
          <w:i w:val="0"/>
        </w:rPr>
        <w:t xml:space="preserve">Where it is decided: </w:t>
      </w:r>
      <w:hyperlink r:id="rId10">
        <w:r>
          <w:rPr>
            <w:color w:val="0563C1"/>
            <w:u w:val="single"/>
          </w:rPr>
          <w:t xml:space="preserve">Treat and observe</w:t>
        </w:r>
      </w:hyperlink>
      <w:r>
        <w:rPr>
          <w:b w:val="0"/>
          <w:i w:val="0"/>
        </w:rPr>
        <w:t xml:space="preserve"> · </w:t>
      </w:r>
      <w:hyperlink r:id="rId11">
        <w:r>
          <w:rPr>
            <w:color w:val="0563C1"/>
            <w:u w:val="single"/>
          </w:rPr>
          <w:t xml:space="preserve">Restage for transplant</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Chávez-Villa 2023 · occult disease</w:t>
            </w:r>
          </w:p>
        </w:tc>
        <w:tc>
          <w:tcPr>
            <w:tcW w:type="dxa" w:w="3360"/>
            <w:tcW w:w="5480" w:type="dxa"/>
            <w:shd w:val="clear" w:color="auto" w:fill="F1F5F8"/>
          </w:tcPr>
          <w:p>
            <w:pPr>
              <w:spacing w:after="0"/>
            </w:pPr>
            <w:r>
              <w:rPr>
                <w:b w:val="0"/>
                <w:i w:val="0"/>
                <w:sz w:val="19"/>
              </w:rPr>
              <w:t>“4 (57.1%) of the 7 patients who demonstrated complete radiographic response harbored viable carcinoma on explant pathology.” Imaging can miss viable tumor; this selected series does not prove comparative benefit from transplanting all NED patients.</w:t>
            </w:r>
          </w:p>
        </w:tc>
        <w:tc>
          <w:tcPr>
            <w:tcW w:type="dxa" w:w="3360"/>
            <w:tcW w:w="2400" w:type="dxa"/>
            <w:shd w:val="clear" w:color="auto" w:fill="F1F5F8"/>
          </w:tcPr>
          <w:p>
            <w:pPr>
              <w:spacing w:after="0"/>
            </w:pPr>
            <w:r>
              <w:rPr>
                <w:b w:val="0"/>
                <w:i w:val="0"/>
                <w:color w:val="5A6069"/>
                <w:sz w:val="18"/>
              </w:rPr>
              <w:t>Published PDF p1 / journal pe1026, abstract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Chávez-Villa 2023 · occult disease</w:t>
            </w:r>
          </w:p>
        </w:tc>
        <w:tc>
          <w:tcPr>
            <w:tcW w:type="dxa" w:w="3360"/>
            <w:tcW w:w="3900" w:type="dxa"/>
            <w:shd w:val="clear" w:color="auto" w:fill="F1F5F8"/>
          </w:tcPr>
          <w:p>
            <w:pPr>
              <w:spacing w:after="0"/>
            </w:pPr>
            <w:r>
              <w:rPr>
                <w:b w:val="0"/>
                <w:i w:val="0"/>
                <w:sz w:val="19"/>
              </w:rPr>
              <w:t>Retrospective radiology–explant study of 14 selected LT recipients; eight indications were unresectable disease and six treatment-associated liver failure/biliary complications. Median 11 original lesions and 24 chemotherapy cycles; extensive systemic/local therapy. Seven had PET-defined complete radiographic response. This was a transplanted-only, highly selected sample.</w:t>
            </w:r>
          </w:p>
        </w:tc>
        <w:tc>
          <w:tcPr>
            <w:tcW w:type="dxa" w:w="3360"/>
            <w:tcW w:w="4180" w:type="dxa"/>
            <w:shd w:val="clear" w:color="auto" w:fill="F1F5F8"/>
          </w:tcPr>
          <w:p>
            <w:pPr>
              <w:spacing w:after="0"/>
            </w:pPr>
            <w:r>
              <w:rPr>
                <w:b w:val="0"/>
                <w:i w:val="0"/>
                <w:sz w:val="19"/>
              </w:rPr>
              <w:t>Explant contained viable carcinoma in 11/14; nine had additional lesions not accounted for on pre-LT imaging. Four of seven imaging complete responders still had viable tumour. The three pathological complete responders were all in the liver-failure indication group.</w:t>
            </w:r>
          </w:p>
          <w:p>
            <w:pPr>
              <w:spacing w:after="0"/>
            </w:pPr>
            <w:r>
              <w:rPr>
                <w:b w:val="0"/>
                <w:i/>
                <w:sz w:val="19"/>
              </w:rPr>
              <w:t>Limits: Demonstrates imperfect imaging negative predictive value, not that every scar remains viable or that prophylactic LT improves survival for radiographic NED. No non-LT or observation comparator; complete-response definition and treatment injury matter. Likely overlap with subsequent US protocols.</w:t>
            </w:r>
          </w:p>
          <w:p>
            <w:pPr>
              <w:spacing w:after="0"/>
            </w:pPr>
            <w:r>
              <w:rPr>
                <w:b w:val="0"/>
                <w:i w:val="0"/>
                <w:color w:val="5A6069"/>
                <w:sz w:val="18"/>
              </w:rPr>
              <w:t>Ann Surg 2023;278:e1026–e1034; full PDF methods, radiology/explant correlation tables, Results and Discussion.</w:t>
            </w:r>
          </w:p>
        </w:tc>
      </w:tr>
      <w:tr>
        <w:trPr>
          <w:cantSplit/>
        </w:trPr>
        <w:tc>
          <w:tcPr>
            <w:tcW w:type="dxa" w:w="3360"/>
            <w:tcW w:w="2000" w:type="dxa"/>
            <w:shd w:val="clear" w:color="auto" w:fill="FFFFFF"/>
          </w:tcPr>
          <w:p>
            <w:pPr>
              <w:spacing w:after="0"/>
            </w:pPr>
            <w:r>
              <w:rPr>
                <w:b/>
                <w:i w:val="0"/>
                <w:sz w:val="19"/>
              </w:rPr>
              <w:t>Kataoka 2025 · DREAM</w:t>
            </w:r>
          </w:p>
        </w:tc>
        <w:tc>
          <w:tcPr>
            <w:tcW w:type="dxa" w:w="3360"/>
            <w:tcW w:w="3900" w:type="dxa"/>
            <w:shd w:val="clear" w:color="auto" w:fill="FFFFFF"/>
          </w:tcPr>
          <w:p>
            <w:pPr>
              <w:spacing w:after="0"/>
            </w:pPr>
            <w:r>
              <w:rPr>
                <w:b w:val="0"/>
                <w:i w:val="0"/>
                <w:sz w:val="19"/>
              </w:rPr>
              <w:t>Prospective international DREAM diagnostic study at 21 centres: 233 registered initially unresectable/borderline CRLM patients, 112 planned conversion surgery, 109 operated. Primary diagnostic analysis had 152 evaluable CT-plus-MRI disappearing lesions from 44 patients. Post-treatment CT plus MRI (diffusion, T1/T2 and contrast); disappearance on both defined confirmed DLM. Reference was pathology for resected sites or no site recurrence over two years for unresected sites. Fifty-one confirmed lesions were non-evaluable, including deaths and incomplete imaging follow-up.</w:t>
            </w:r>
          </w:p>
        </w:tc>
        <w:tc>
          <w:tcPr>
            <w:tcW w:type="dxa" w:w="3360"/>
            <w:tcW w:w="4180" w:type="dxa"/>
            <w:shd w:val="clear" w:color="auto" w:fill="FFFFFF"/>
          </w:tcPr>
          <w:p>
            <w:pPr>
              <w:spacing w:after="0"/>
            </w:pPr>
            <w:r>
              <w:rPr>
                <w:b w:val="0"/>
                <w:i w:val="0"/>
                <w:sz w:val="19"/>
              </w:rPr>
              <w:t>Nonviability NPV was 62.5% (95/152; 90% CI 50.8–74.2), failing the prespecified &gt;85% benchmark; CT-alone NPV 52.9%. Resected confirmed DLM: 50/88 nonviable; left-behind: 45/64 without site recurrence. In the n=45 R0/1, no-extrahepatic-disease subgroup, resecting all confirmed DLM (19 patients) versus leaving at least one (26) yielded DFS HR 0.92 (95% CI 0.48–1.77), OS HR 0.80 (0.21–3.08), with time measured after surgery; survival comparisons were not powered or randomized. Median follow-up 26.1 months.</w:t>
            </w:r>
          </w:p>
          <w:p>
            <w:pPr>
              <w:spacing w:after="0"/>
            </w:pPr>
            <w:r>
              <w:rPr>
                <w:b w:val="0"/>
                <w:i/>
                <w:sz w:val="19"/>
              </w:rPr>
              <w:t>Limits: Lesion-level diagnostic probability is not patient-level benefit. Two-year non-recurrence is not pathology; evaluability selection and noncentral imaging review are limitations. Neither disappearance equals cure nor uncertain viability requires removal/LT. A nonsignificant survival comparison is not equivalence or evidence that resection is futile.</w:t>
            </w:r>
          </w:p>
          <w:p>
            <w:pPr>
              <w:spacing w:after="0"/>
            </w:pPr>
            <w:r>
              <w:rPr>
                <w:b w:val="0"/>
                <w:i w:val="0"/>
                <w:color w:val="5A6069"/>
                <w:sz w:val="18"/>
              </w:rPr>
              <w:t>JAMA Surg 2025 DOI10.1001/jamasurg.2025.3600; PDF E1–E3 design/endpoint; E5 Figure 1 and survival; E7 Figure 4/limitations.</w:t>
            </w:r>
          </w:p>
        </w:tc>
      </w:tr>
      <w:tr>
        <w:trPr>
          <w:cantSplit/>
        </w:trPr>
        <w:tc>
          <w:tcPr>
            <w:tcW w:type="dxa" w:w="3360"/>
            <w:tcW w:w="2000" w:type="dxa"/>
            <w:shd w:val="clear" w:color="auto" w:fill="F1F5F8"/>
          </w:tcPr>
          <w:p>
            <w:pPr>
              <w:spacing w:after="0"/>
            </w:pPr>
            <w:r>
              <w:rPr>
                <w:b/>
                <w:i w:val="0"/>
                <w:sz w:val="19"/>
              </w:rPr>
              <w:t>Oba 2018 · disappearing lesions</w:t>
            </w:r>
          </w:p>
        </w:tc>
        <w:tc>
          <w:tcPr>
            <w:tcW w:type="dxa" w:w="3360"/>
            <w:tcW w:w="3900" w:type="dxa"/>
            <w:shd w:val="clear" w:color="auto" w:fill="F1F5F8"/>
          </w:tcPr>
          <w:p>
            <w:pPr>
              <w:spacing w:after="0"/>
            </w:pPr>
            <w:r>
              <w:rPr>
                <w:b w:val="0"/>
                <w:i w:val="0"/>
                <w:sz w:val="19"/>
              </w:rPr>
              <w:t>Retrospective hepatectomy imaging series, 184 patients, 59 with 275 CT-disappearing metastases; primary published abstract verified, full PDF pending. Hepatocyte-specific MRI followed by contrast-enhanced intraoperative ultrasound (CE-IOUS); surgically selected population, unlike an all-transplant referral cohort.</w:t>
            </w:r>
          </w:p>
        </w:tc>
        <w:tc>
          <w:tcPr>
            <w:tcW w:type="dxa" w:w="3360"/>
            <w:tcW w:w="4180" w:type="dxa"/>
            <w:shd w:val="clear" w:color="auto" w:fill="F1F5F8"/>
          </w:tcPr>
          <w:p>
            <w:pPr>
              <w:spacing w:after="0"/>
            </w:pPr>
            <w:r>
              <w:rPr>
                <w:b w:val="0"/>
                <w:i w:val="0"/>
                <w:sz w:val="19"/>
              </w:rPr>
              <w:t>MRI identified 71 CT-disappearing lesions, of which 65 were viable; CE-IOUS found 94 additional lesions. Of 110 undetected by both modalities, 68 were resected and three viable (4%); among 42 left behind, six recurred (14%) over median 27 months.</w:t>
            </w:r>
          </w:p>
          <w:p>
            <w:pPr>
              <w:spacing w:after="0"/>
            </w:pPr>
            <w:r>
              <w:rPr>
                <w:b w:val="0"/>
                <w:i/>
                <w:sz w:val="19"/>
              </w:rPr>
              <w:t>Limits: Lesion-level retrospective selection and assay sequence differ from DREAM. More sensitive imaging can identify residual disease, but these data do not prove that every original site must be resected or that NED warrants LT.</w:t>
            </w:r>
          </w:p>
          <w:p>
            <w:pPr>
              <w:spacing w:after="0"/>
            </w:pPr>
            <w:r>
              <w:rPr>
                <w:b w:val="0"/>
                <w:i w:val="0"/>
                <w:color w:val="5A6069"/>
                <w:sz w:val="18"/>
              </w:rPr>
              <w:t>HPB 2018;20:708–714; DOI10.1016/j.hpb.2018.02.377; PMID29534862 abstract.</w:t>
            </w:r>
          </w:p>
        </w:tc>
      </w:tr>
      <w:tr>
        <w:trPr>
          <w:cantSplit/>
        </w:trPr>
        <w:tc>
          <w:tcPr>
            <w:tcW w:type="dxa" w:w="3360"/>
            <w:tcW w:w="2000" w:type="dxa"/>
            <w:shd w:val="clear" w:color="auto" w:fill="FFFFFF"/>
          </w:tcPr>
          <w:p>
            <w:pPr>
              <w:spacing w:after="0"/>
            </w:pPr>
            <w:r>
              <w:rPr>
                <w:b/>
                <w:i w:val="0"/>
                <w:sz w:val="19"/>
              </w:rPr>
              <w:t>Wehrle 2024 · intensive LRT</w:t>
            </w:r>
          </w:p>
        </w:tc>
        <w:tc>
          <w:tcPr>
            <w:tcW w:type="dxa" w:w="3360"/>
            <w:tcW w:w="3900" w:type="dxa"/>
            <w:shd w:val="clear" w:color="auto" w:fill="FFFFFF"/>
          </w:tcPr>
          <w:p>
            <w:pPr>
              <w:spacing w:after="0"/>
            </w:pPr>
            <w:r>
              <w:rPr>
                <w:b w:val="0"/>
                <w:i w:val="0"/>
                <w:sz w:val="19"/>
              </w:rPr>
              <w:t>Single-centre intensive pre-LT locoregional-treatment protocol: 27 evaluated, 16 included, nine transplanted (seven living donor). Abstract-only verification. Median 16 systemic cycles (10–40); Y90 in five, ablation in four, resection in four and HAIP in three. Five grafted patients had no detectable disease and four had treatment-induced cirrhosis.</w:t>
            </w:r>
          </w:p>
        </w:tc>
        <w:tc>
          <w:tcPr>
            <w:tcW w:type="dxa" w:w="3360"/>
            <w:tcW w:w="4180" w:type="dxa"/>
            <w:shd w:val="clear" w:color="auto" w:fill="FFFFFF"/>
          </w:tcPr>
          <w:p>
            <w:pPr>
              <w:spacing w:after="0"/>
            </w:pPr>
            <w:r>
              <w:rPr>
                <w:b w:val="0"/>
                <w:i w:val="0"/>
                <w:sz w:val="19"/>
              </w:rPr>
              <w:t>Median follow-up 700 days; three recurrences. Reported RFS one year 6/8 (75%) and two years 3/5 (60%) reflects very small mature denominators.</w:t>
            </w:r>
          </w:p>
          <w:p>
            <w:pPr>
              <w:spacing w:after="0"/>
            </w:pPr>
            <w:r>
              <w:rPr>
                <w:b w:val="0"/>
                <w:i/>
                <w:sz w:val="19"/>
              </w:rPr>
              <w:t>Limits: This is actual published experience with NED/injury routes, so it must not be described as nonexistent; it is not controlled proof of benefit or a universal cycle-count requirement. Patients likely overlap occult-explant/PET/ctDNA cohorts. Do not intensify treatment to manufacture liver failure.</w:t>
            </w:r>
          </w:p>
          <w:p>
            <w:pPr>
              <w:spacing w:after="0"/>
            </w:pPr>
            <w:r>
              <w:rPr>
                <w:b w:val="0"/>
                <w:i w:val="0"/>
                <w:color w:val="5A6069"/>
                <w:sz w:val="18"/>
              </w:rPr>
              <w:t>Liver Transpl 2024;30:1238–1249; PMID38833301 published abstract; complete methods pending.</w:t>
            </w:r>
          </w:p>
        </w:tc>
      </w:tr>
      <w:tr>
        <w:trPr>
          <w:cantSplit/>
        </w:trPr>
        <w:tc>
          <w:tcPr>
            <w:tcW w:type="dxa" w:w="3360"/>
            <w:tcW w:w="2000" w:type="dxa"/>
            <w:shd w:val="clear" w:color="auto" w:fill="F1F5F8"/>
          </w:tcPr>
          <w:p>
            <w:pPr>
              <w:spacing w:after="0"/>
            </w:pPr>
            <w:r>
              <w:rPr>
                <w:b/>
                <w:i w:val="0"/>
                <w:sz w:val="19"/>
              </w:rPr>
              <w:t>TransMet 2024</w:t>
            </w:r>
          </w:p>
        </w:tc>
        <w:tc>
          <w:tcPr>
            <w:tcW w:type="dxa" w:w="3360"/>
            <w:tcW w:w="3900" w:type="dxa"/>
            <w:shd w:val="clear" w:color="auto" w:fill="F1F5F8"/>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1F5F8"/>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bl>
    <w:p>
      <w:pPr>
        <w:spacing w:after="40"/>
      </w:pPr>
    </w:p>
    <w:p>
      <w:pPr>
        <w:pStyle w:val="Heading3"/>
        <w:keepNext/>
        <w:spacing w:before="120" w:after="80"/>
      </w:pPr>
      <w:r>
        <w:rPr>
          <w:b w:val="0"/>
          <w:i w:val="0"/>
        </w:rPr>
        <w:t>Our proposed selection (OPEN)</w:t>
      </w:r>
    </w:p>
    <w:p>
      <w:pPr>
        <w:spacing w:after="80"/>
      </w:pPr>
      <w:r>
        <w:rPr>
          <w:b w:val="0"/>
          <w:i w:val="0"/>
        </w:rPr>
        <w:t>Do not activate LT solely for presumed microscopic disease in radiographic NED; separate residual cancer from treatment-related liver failure.</w:t>
      </w:r>
    </w:p>
    <w:p>
      <w:pPr>
        <w:numPr>
          <w:ilvl w:val="0"/>
          <w:numId w:val="5"/>
        </w:numPr>
        <w:spacing w:after="40"/>
      </w:pPr>
      <w:r>
        <w:rPr>
          <w:b w:val="0"/>
          <w:i w:val="0"/>
        </w:rPr>
        <w:t>Residual unresectable disease: convincing viable/suspicious disease on appropriate cross-sectional imaging may proceed to B1 review even if PET is negative. PET negativity alone does not prove cure.</w:t>
      </w:r>
    </w:p>
    <w:p>
      <w:pPr>
        <w:numPr>
          <w:ilvl w:val="0"/>
          <w:numId w:val="5"/>
        </w:numPr>
        <w:spacing w:after="40"/>
      </w:pPr>
      <w:r>
        <w:rPr>
          <w:b w:val="0"/>
          <w:i w:val="0"/>
        </w:rPr>
        <w:t>Radiographic NED/occult-residual-risk: no convincing remaining disease on high-quality staging. Maintain the original lesion map, continue appropriate oncology care and reassess in about eight weeks; LT for presumed microscopic risk requires a separately approved NED study.</w:t>
      </w:r>
    </w:p>
    <w:p>
      <w:pPr>
        <w:numPr>
          <w:ilvl w:val="0"/>
          <w:numId w:val="5"/>
        </w:numPr>
        <w:spacing w:after="40"/>
      </w:pPr>
      <w:r>
        <w:rPr>
          <w:b w:val="0"/>
          <w:i w:val="0"/>
        </w:rPr>
        <w:t>Irreversible treatment-related liver failure: evaluate a separate liver-failure indication with independent hepatology and oncologic-suitability review. Do not relabel it active unresectable cancer. Do not stop effective treatment to provoke recurrence or biopsy every scar.</w:t>
      </w:r>
    </w:p>
    <w:p>
      <w:pPr>
        <w:numPr>
          <w:ilvl w:val="0"/>
          <w:numId w:val="5"/>
        </w:numPr>
        <w:spacing w:after="40"/>
      </w:pPr>
      <w:r>
        <w:rPr>
          <w:b w:val="0"/>
          <w:i w:val="0"/>
        </w:rPr>
        <w:t>Keep all original lesion sites mapped. Disappearance does not establish eradication, but uncertain microscopic viability alone does not establish persistent unresectability or transplant benefit; diagnostic accuracy and treatment benefit are different questions.</w:t>
      </w:r>
    </w:p>
    <w:p>
      <w:pPr>
        <w:spacing w:after="80"/>
      </w:pPr>
      <w:r>
        <w:rPr>
          <w:b/>
          <w:i w:val="0"/>
        </w:rPr>
        <w:t xml:space="preserve">Why: </w:t>
      </w:r>
      <w:r>
        <w:rPr>
          <w:b w:val="0"/>
          <w:i w:val="0"/>
        </w:rPr>
        <w:t>CT/MRI/PET negativity cannot reliably establish pathological eradication. However, uncertain residual microscopic disease also does not automatically establish clinically meaningful persistent unresectability or an LT benefit. DREAM provides the crucial balance: substantial residual risk despite disappearance, but no adequately powered proof that removing every invisible site improves survival. The small US LT series is genuine NED/injury experience but remains selected and uncontrolled.</w:t>
      </w:r>
    </w:p>
    <w:p>
      <w:pPr>
        <w:spacing w:after="80"/>
      </w:pPr>
      <w:r>
        <w:rPr>
          <w:b/>
          <w:i w:val="0"/>
        </w:rPr>
        <w:t xml:space="preserve">Against, or uncertain: </w:t>
      </w:r>
      <w:r>
        <w:rPr>
          <w:b w:val="0"/>
          <w:i w:val="0"/>
        </w:rPr>
        <w:t>Some disappearing lesions are genuinely nonviable: DREAM classified 95/152 CT-plus-MRI disappearing lesions as nonviable by pathology or two-year observation; Oba found only 3/68 viable lesions after negative MRI plus CE-IOUS. Conversely, 4/7 complete imaging responders in the explant series had viable cancer. Both prevent a binary 'all scars count' or 'none count' rule. NED patients with preserved liver function lack comparative evidence of benefit from prophylactic LT.</w:t>
      </w:r>
    </w:p>
    <w:p>
      <w:pPr>
        <w:spacing w:after="80"/>
      </w:pPr>
      <w:r>
        <w:rPr>
          <w:b/>
          <w:i w:val="0"/>
        </w:rPr>
        <w:t xml:space="preserve">Certainty: </w:t>
      </w:r>
      <w:r>
        <w:rPr>
          <w:b w:val="0"/>
          <w:i w:val="0"/>
        </w:rPr>
        <w:t>Moderate certainty that imaging disappearance does not reliably prove nonviability; low certainty about the best lesion-management strategy; very low certainty for LT in true radiographic NED or treatment-injury subgroups. Explant findings are diagnostic, not a causal efficacy comparison.</w:t>
      </w:r>
    </w:p>
    <w:p>
      <w:pPr>
        <w:spacing w:after="80"/>
      </w:pPr>
      <w:r>
        <w:rPr>
          <w:b/>
          <w:i w:val="0"/>
        </w:rPr>
        <w:t xml:space="preserve">Tests and records: </w:t>
      </w:r>
      <w:r>
        <w:rPr>
          <w:b w:val="0"/>
          <w:i w:val="0"/>
        </w:rPr>
        <w:t>Expert comparison of pretreatment and current liver MRI/CT; systemic staging; treatment dates and PET interpretation; liver reserve; separate adjudication of NED versus suspicious residual sites.</w:t>
      </w:r>
    </w:p>
    <w:p>
      <w:pPr>
        <w:spacing w:after="80"/>
      </w:pPr>
      <w:r>
        <w:rPr>
          <w:b/>
          <w:i w:val="0"/>
        </w:rPr>
        <w:t xml:space="preserve">Allocation: </w:t>
      </w:r>
      <w:r>
        <w:rPr>
          <w:b w:val="0"/>
          <w:i w:val="0"/>
        </w:rPr>
        <w:t>A separate liver-failure indication does not automatically meet the CRLM exception pathway. Obtain case-specific clinical and allocation adjudication.</w:t>
      </w:r>
    </w:p>
    <w:p>
      <w:pPr>
        <w:spacing w:after="40"/>
      </w:pPr>
      <w:r>
        <w:rPr>
          <w:b/>
          <w:i w:val="0"/>
        </w:rPr>
        <w:t xml:space="preserve">Basis for the proposed thresholds: </w:t>
      </w:r>
    </w:p>
    <w:p>
      <w:pPr>
        <w:numPr>
          <w:ilvl w:val="0"/>
          <w:numId w:val="5"/>
        </w:numPr>
        <w:spacing w:after="40"/>
      </w:pPr>
      <w:r>
        <w:rPr>
          <w:b w:val="0"/>
          <w:i w:val="0"/>
        </w:rPr>
        <w:t>No validated chemotherapy-cycle minimum, scar count, PET-negative interval, ctDNA-negativity requirement or NED duration establishes LT benefit. Proposed approximately eight-week imaging while on active treatment is local workflow, adjustable for clinical need; more sensitive imaging/CE-IOUS informs resection planning but is not a transplant clearance test.</w:t>
      </w:r>
    </w:p>
    <w:p>
      <w:pPr>
        <w:pStyle w:val="Heading3"/>
        <w:keepNext/>
        <w:spacing w:before="120" w:after="80"/>
      </w:pPr>
      <w:r>
        <w:rPr>
          <w:b w:val="0"/>
          <w:i w:val="0"/>
        </w:rPr>
        <w:t>CRLM-B2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CRLM-B3 — Molecular findings and other initial limits</w:t>
      </w:r>
    </w:p>
    <w:p>
      <w:pPr>
        <w:spacing w:after="80"/>
      </w:pPr>
      <w:r>
        <w:rPr>
          <w:b w:val="0"/>
          <w:i w:val="0"/>
          <w:color w:val="5A6069"/>
          <w:sz w:val="18"/>
        </w:rPr>
        <w:t>Initial selection and expansion limits · not activated · High-risk review</w:t>
      </w:r>
    </w:p>
    <w:p>
      <w:pPr>
        <w:spacing w:after="80"/>
      </w:pPr>
      <w:r>
        <w:rPr>
          <w:b/>
          <w:i w:val="0"/>
        </w:rPr>
        <w:t xml:space="preserve">Question: </w:t>
      </w:r>
      <w:r>
        <w:rPr>
          <w:b w:val="0"/>
          <w:i w:val="0"/>
        </w:rPr>
        <w:t>Which molecular or extrahepatic expansions should be studied?</w:t>
      </w:r>
    </w:p>
    <w:p>
      <w:pPr>
        <w:spacing w:after="80"/>
      </w:pPr>
      <w:r>
        <w:rPr>
          <w:b/>
          <w:i w:val="0"/>
        </w:rPr>
        <w:t xml:space="preserve">When it applies: </w:t>
      </w:r>
      <w:r>
        <w:rPr>
          <w:b w:val="0"/>
          <w:i w:val="0"/>
        </w:rPr>
        <w:t>Review molecular markers, CEA, primary-tumor margins and treatment timing. Previous extrahepatic disease has its own review (CRLM-B5).</w:t>
      </w:r>
    </w:p>
    <w:p>
      <w:pPr>
        <w:spacing w:after="80"/>
      </w:pPr>
      <w:r>
        <w:rPr>
          <w:b/>
          <w:i w:val="0"/>
        </w:rPr>
        <w:t xml:space="preserve">Where it is decided: </w:t>
      </w:r>
      <w:hyperlink r:id="rId13">
        <w:r>
          <w:rPr>
            <w:color w:val="0563C1"/>
            <w:u w:val="single"/>
          </w:rPr>
          <w:t xml:space="preserve">Review molecular markers and CEA</w:t>
        </w:r>
      </w:hyperlink>
      <w:r>
        <w:rPr>
          <w:b w:val="0"/>
          <w:i w:val="0"/>
        </w:rPr>
        <w:t xml:space="preserve"> · </w:t>
      </w:r>
      <w:hyperlink r:id="rId14">
        <w:r>
          <w:rPr>
            <w:color w:val="0563C1"/>
            <w:u w:val="single"/>
          </w:rPr>
          <w:t xml:space="preserve">Confirm primary treatment and timing</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“BRAF wild type, microsatellite stable” Molecular guidance is more specific than simply “favorable biology”; KRAS is not stated as a blanket exclusion.</w:t>
            </w:r>
          </w:p>
        </w:tc>
        <w:tc>
          <w:tcPr>
            <w:tcW w:type="dxa" w:w="3360"/>
            <w:tcW w:w="2400" w:type="dxa"/>
            <w:shd w:val="clear" w:color="auto" w:fill="F1F5F8"/>
          </w:tcPr>
          <w:p>
            <w:pPr>
              <w:spacing w:after="0"/>
            </w:pPr>
            <w:r>
              <w:rPr>
                <w:b w:val="0"/>
                <w:i w:val="0"/>
                <w:color w:val="5A6069"/>
                <w:sz w:val="18"/>
              </w:rPr>
              <w:t>December 2025 oncology guidance p9, initial CRLM exception criteria</w:t>
            </w:r>
          </w:p>
        </w:tc>
      </w:tr>
      <w:tr>
        <w:trPr>
          <w:cantSplit/>
        </w:trPr>
        <w:tc>
          <w:tcPr>
            <w:tcW w:type="dxa" w:w="3360"/>
            <w:tcW w:w="2200" w:type="dxa"/>
            <w:shd w:val="clear" w:color="auto" w:fill="FFFFFF"/>
          </w:tcPr>
          <w:p>
            <w:pPr>
              <w:spacing w:after="0"/>
            </w:pPr>
            <w:r>
              <w:rPr>
                <w:b/>
                <w:i w:val="0"/>
                <w:sz w:val="19"/>
              </w:rPr>
              <w:t>SECA-II arm D</w:t>
            </w:r>
          </w:p>
        </w:tc>
        <w:tc>
          <w:tcPr>
            <w:tcW w:type="dxa" w:w="3360"/>
            <w:tcW w:w="5480" w:type="dxa"/>
            <w:shd w:val="clear" w:color="auto" w:fill="FFFFFF"/>
          </w:tcPr>
          <w:p>
            <w:pPr>
              <w:spacing w:after="0"/>
            </w:pPr>
            <w:r>
              <w:rPr>
                <w:b w:val="0"/>
                <w:i w:val="0"/>
                <w:sz w:val="19"/>
              </w:rPr>
              <w:t>“Median disease-free and overall survival was 4 and 18 months respectively.” Poor outcomes after multiple simultaneous relaxations caution against broad expansion; the study does not isolate any one criterion’s causal effect.</w:t>
            </w:r>
          </w:p>
        </w:tc>
        <w:tc>
          <w:tcPr>
            <w:tcW w:type="dxa" w:w="3360"/>
            <w:tcW w:w="2400" w:type="dxa"/>
            <w:shd w:val="clear" w:color="auto" w:fill="FFFFFF"/>
          </w:tcPr>
          <w:p>
            <w:pPr>
              <w:spacing w:after="0"/>
            </w:pPr>
            <w:r>
              <w:rPr>
                <w:b w:val="0"/>
                <w:i w:val="0"/>
                <w:color w:val="5A6069"/>
                <w:sz w:val="18"/>
              </w:rPr>
              <w:t>Published PDF p1 / journal p467, abstract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TransMet 2024</w:t>
            </w:r>
          </w:p>
        </w:tc>
        <w:tc>
          <w:tcPr>
            <w:tcW w:type="dxa" w:w="3360"/>
            <w:tcW w:w="3900" w:type="dxa"/>
            <w:shd w:val="clear" w:color="auto" w:fill="F1F5F8"/>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1F5F8"/>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FFFFF"/>
          </w:tcPr>
          <w:p>
            <w:pPr>
              <w:spacing w:after="0"/>
            </w:pPr>
            <w:r>
              <w:rPr>
                <w:b/>
                <w:i w:val="0"/>
                <w:sz w:val="19"/>
              </w:rPr>
              <w:t>Dueland 2026 · SECA-II ten-year</w:t>
            </w:r>
          </w:p>
        </w:tc>
        <w:tc>
          <w:tcPr>
            <w:tcW w:type="dxa" w:w="3360"/>
            <w:tcW w:w="3900" w:type="dxa"/>
            <w:shd w:val="clear" w:color="auto" w:fill="FFFFFF"/>
          </w:tcPr>
          <w:p>
            <w:pPr>
              <w:spacing w:after="0"/>
            </w:pPr>
            <w:r>
              <w:rPr>
                <w:b w:val="0"/>
                <w:i w:val="0"/>
                <w:sz w:val="19"/>
              </w:rPr>
              <w:t>Prospective SECA-II extended follow-up, 25 recipients from April 2012 to November 2023; analysis cutoff 1 January 2025. Includes the original SECA-II cohort. All grafted under SECA-II included. At least one year diagnosis to inclusion and no progression required; one inadvertently transplanted patient had progression on a scan not available to the transplant centre. One early postoperative death was included in survival analyses but excluded from other analyses, so baseline Table 1 denominator is 24. Among these 24, median largest lesion 24 mm (4–48), CEA 3.5 (1–33), PET MTV 7.3 cm³ (0–139); only two MTV &gt;70, two KRAS-mutated, one right-sided ascending primary and one pN2. Oslo scores 0/1/2 were 9/13/2.</w:t>
            </w:r>
          </w:p>
        </w:tc>
        <w:tc>
          <w:tcPr>
            <w:tcW w:type="dxa" w:w="3360"/>
            <w:tcW w:w="4180" w:type="dxa"/>
            <w:shd w:val="clear" w:color="auto" w:fill="FFFFFF"/>
          </w:tcPr>
          <w:p>
            <w:pPr>
              <w:spacing w:after="0"/>
            </w:pPr>
            <w:r>
              <w:rPr>
                <w:b w:val="0"/>
                <w:i w:val="0"/>
                <w:sz w:val="19"/>
              </w:rPr>
              <w:t>Time zero LT; median follow-up of survivors 97.2 months. Median OS 128.2 months (95% CI 74.8–181.6); five- and ten-year OS 77.8% and 51.5%. Median RFS 24.3 months; 12/25 relapsed, six initially lung-only. Median post-recurrence survival 62.9 months (25.7–101.1); nine had surgery as first recurrence treatment, but only three were classified curative-intent at that first treatment. Twelve had no recurrence over median 74 months; four exceeded ten years without recurrence. Four patients died of metastases more than five years after LT. Reported serious complications: five grade IIIa, three IIIb, one grade V hepatic-artery-thrombosis death.</w:t>
            </w:r>
          </w:p>
          <w:p>
            <w:pPr>
              <w:spacing w:after="0"/>
            </w:pPr>
            <w:r>
              <w:rPr>
                <w:b w:val="0"/>
                <w:i/>
                <w:sz w:val="19"/>
              </w:rPr>
              <w:t>Limits: No contemporaneous control and only 25 recipients; highly favorable biology cannot justify broad expansion. Abstract speculates up to 15 potentially cured, body p.5 says up to 13; neither is an observed, validated cure fraction. Use observed survival/recurrence instead. The discussion's assertion that RFS is not valid for efficacy should not erase recurrence burden, treatment harms or QoL; RFS is insufficient alone, not unimportant. Updated survival supersedes rather than adds an independent 83% SECA-II estimate.</w:t>
            </w:r>
          </w:p>
          <w:p>
            <w:pPr>
              <w:spacing w:after="0"/>
            </w:pPr>
            <w:r>
              <w:rPr>
                <w:b w:val="0"/>
                <w:i w:val="0"/>
                <w:color w:val="5A6069"/>
                <w:sz w:val="18"/>
              </w:rPr>
              <w:t>Ann Surg 2026 early report DOI 10.1097/SLA.0000000000007200; PDF p.2 methods/time origins and early-death handling; p.3 Table 1 and outcomes; pp.4–5 salvage, late death, cure-count discrepancy and complications.</w:t>
            </w:r>
          </w:p>
        </w:tc>
      </w:tr>
      <w:tr>
        <w:trPr>
          <w:cantSplit/>
        </w:trPr>
        <w:tc>
          <w:tcPr>
            <w:tcW w:type="dxa" w:w="3360"/>
            <w:tcW w:w="2000" w:type="dxa"/>
            <w:shd w:val="clear" w:color="auto" w:fill="F1F5F8"/>
          </w:tcPr>
          <w:p>
            <w:pPr>
              <w:spacing w:after="0"/>
            </w:pPr>
            <w:r>
              <w:rPr>
                <w:b/>
                <w:i w:val="0"/>
                <w:sz w:val="19"/>
              </w:rPr>
              <w:t>SECA-II arm D</w:t>
            </w:r>
          </w:p>
        </w:tc>
        <w:tc>
          <w:tcPr>
            <w:tcW w:type="dxa" w:w="3360"/>
            <w:tcW w:w="3900" w:type="dxa"/>
            <w:shd w:val="clear" w:color="auto" w:fill="F1F5F8"/>
          </w:tcPr>
          <w:p>
            <w:pPr>
              <w:spacing w:after="0"/>
            </w:pPr>
            <w:r>
              <w:rPr>
                <w:b w:val="0"/>
                <w:i w:val="0"/>
                <w:sz w:val="19"/>
              </w:rPr>
              <w:t>Prospective SECA-II arm D expanded-criteria cohort, ten recipients, without control. Expanded both recipient and donor criteria, including resectable pulmonary metastases and omission of previous stringent response/time restrictions. Eight had pN2 primaries, six poorly differentiated or signet-ring pathology, five right-sided cancers; median 20 liver lesions and largest diameter 59 mm. This was a bundle of adverse features, not an isolated prior-lung-metastasis experiment.</w:t>
            </w:r>
          </w:p>
        </w:tc>
        <w:tc>
          <w:tcPr>
            <w:tcW w:type="dxa" w:w="3360"/>
            <w:tcW w:w="4180" w:type="dxa"/>
            <w:shd w:val="clear" w:color="auto" w:fill="F1F5F8"/>
          </w:tcPr>
          <w:p>
            <w:pPr>
              <w:spacing w:after="0"/>
            </w:pPr>
            <w:r>
              <w:rPr>
                <w:b w:val="0"/>
                <w:i w:val="0"/>
                <w:sz w:val="19"/>
              </w:rPr>
              <w:t>From LT, median DFS four months and median OS 18 months. Rapid recurrence and limited survival contrast with strictly selected SECA-II, despite use of donor grafts intended to broaden access.</w:t>
            </w:r>
          </w:p>
          <w:p>
            <w:pPr>
              <w:spacing w:after="0"/>
            </w:pPr>
            <w:r>
              <w:rPr>
                <w:b w:val="0"/>
                <w:i/>
                <w:sz w:val="19"/>
              </w:rPr>
              <w:t>Limits: Very small and uncontrolled; simultaneous biologic, anatomic and donor expansions prevent estimating the independent effect of prior pulmonary disease, BRAF status, grade or donor quality. Negative experience argues against opening several expansions at once, not that every single deviation has proven futility.</w:t>
            </w:r>
          </w:p>
          <w:p>
            <w:pPr>
              <w:spacing w:after="0"/>
            </w:pPr>
            <w:r>
              <w:rPr>
                <w:b w:val="0"/>
                <w:i w:val="0"/>
                <w:color w:val="5A6069"/>
                <w:sz w:val="18"/>
              </w:rPr>
              <w:t>BJS Open 2020;4:467–477; full text methods, Tables 1–3 and survival figures.</w:t>
            </w:r>
          </w:p>
        </w:tc>
      </w:tr>
      <w:tr>
        <w:trPr>
          <w:cantSplit/>
        </w:trPr>
        <w:tc>
          <w:tcPr>
            <w:tcW w:type="dxa" w:w="3360"/>
            <w:tcW w:w="2000" w:type="dxa"/>
            <w:shd w:val="clear" w:color="auto" w:fill="FFFFFF"/>
          </w:tcPr>
          <w:p>
            <w:pPr>
              <w:spacing w:after="0"/>
            </w:pPr>
            <w:r>
              <w:rPr>
                <w:b/>
                <w:i w:val="0"/>
                <w:sz w:val="19"/>
              </w:rPr>
              <w:t>Grut 2022 · MTV</w:t>
            </w:r>
          </w:p>
        </w:tc>
        <w:tc>
          <w:tcPr>
            <w:tcW w:type="dxa" w:w="3360"/>
            <w:tcW w:w="3900" w:type="dxa"/>
            <w:shd w:val="clear" w:color="auto" w:fill="FFFFFF"/>
          </w:tcPr>
          <w:p>
            <w:pPr>
              <w:spacing w:after="0"/>
            </w:pPr>
            <w:r>
              <w:rPr>
                <w:b w:val="0"/>
                <w:i w:val="0"/>
                <w:sz w:val="19"/>
              </w:rPr>
              <w:t>Retrospective prognostic analysis of 40 SECA recipients (23 SECA-I, 17 SECA-II); overlapping, not a new transplant efficacy cohort. Pretransplant FDG-PET MTV quantified across liver lesions. Outcome-derived ROC cutoff 66.09 cm³ was rounded to 70; TLG cutoff was 238.8, not identical to IHPBA's 260 recommendation. PET timing relative to chemotherapy and LT affects measurement.</w:t>
            </w:r>
          </w:p>
        </w:tc>
        <w:tc>
          <w:tcPr>
            <w:tcW w:type="dxa" w:w="3360"/>
            <w:tcW w:w="4180" w:type="dxa"/>
            <w:shd w:val="clear" w:color="auto" w:fill="FFFFFF"/>
          </w:tcPr>
          <w:p>
            <w:pPr>
              <w:spacing w:after="0"/>
            </w:pPr>
            <w:r>
              <w:rPr>
                <w:b w:val="0"/>
                <w:i w:val="0"/>
                <w:sz w:val="19"/>
              </w:rPr>
              <w:t>MTV &lt;70 group n=26 versus higher MTV n=14: five-year OS 76% versus 21%, ten-year OS 50% versus 7%, measured from LT. This is a prognostic association in transplanted patients.</w:t>
            </w:r>
          </w:p>
          <w:p>
            <w:pPr>
              <w:spacing w:after="0"/>
            </w:pPr>
            <w:r>
              <w:rPr>
                <w:b w:val="0"/>
                <w:i/>
                <w:sz w:val="19"/>
              </w:rPr>
              <w:t>Limits: Data-derived cutoff, small sample, SECA overlap and no non-LT interaction test. Reducing MTV below 70 with treatment has not been shown to cause improved LT benefit; PET negativity cannot certify microscopic eradication.</w:t>
            </w:r>
          </w:p>
          <w:p>
            <w:pPr>
              <w:spacing w:after="0"/>
            </w:pPr>
            <w:r>
              <w:rPr>
                <w:b w:val="0"/>
                <w:i w:val="0"/>
                <w:color w:val="5A6069"/>
                <w:sz w:val="18"/>
              </w:rPr>
              <w:t>Ann Nucl Med 2022;36:1073–1081; Methods ROC/cutoffs, Results survival tables/figures and PET-timing discussion.</w:t>
            </w:r>
          </w:p>
        </w:tc>
      </w:tr>
      <w:tr>
        <w:trPr>
          <w:cantSplit/>
        </w:trPr>
        <w:tc>
          <w:tcPr>
            <w:tcW w:type="dxa" w:w="3360"/>
            <w:tcW w:w="2000" w:type="dxa"/>
            <w:shd w:val="clear" w:color="auto" w:fill="F1F5F8"/>
          </w:tcPr>
          <w:p>
            <w:pPr>
              <w:spacing w:after="0"/>
            </w:pPr>
            <w:r>
              <w:rPr>
                <w:b/>
                <w:i w:val="0"/>
                <w:sz w:val="19"/>
              </w:rPr>
              <w:t>Wehrle 2025 · PET</w:t>
            </w:r>
          </w:p>
        </w:tc>
        <w:tc>
          <w:tcPr>
            <w:tcW w:type="dxa" w:w="3360"/>
            <w:tcW w:w="3900" w:type="dxa"/>
            <w:shd w:val="clear" w:color="auto" w:fill="F1F5F8"/>
          </w:tcPr>
          <w:p>
            <w:pPr>
              <w:spacing w:after="0"/>
            </w:pPr>
            <w:r>
              <w:rPr>
                <w:b w:val="0"/>
                <w:i w:val="0"/>
                <w:sz w:val="19"/>
              </w:rPr>
              <w:t>Two-US-centre retrospective study of 26 recipients, 2017–2023; 24 received living-donor grafts. Published abstract reviewed; complete PDF unavailable in searched depots/Downloads. Highly selected CRLM recipients with pre-LT PET, not an unselected screening cohort. Possible institutional and patient overlap with US intensive-LRT, occult-explant and ctDNA reports.</w:t>
            </w:r>
          </w:p>
        </w:tc>
        <w:tc>
          <w:tcPr>
            <w:tcW w:type="dxa" w:w="3360"/>
            <w:tcW w:w="4180" w:type="dxa"/>
            <w:shd w:val="clear" w:color="auto" w:fill="F1F5F8"/>
          </w:tcPr>
          <w:p>
            <w:pPr>
              <w:spacing w:after="0"/>
            </w:pPr>
            <w:r>
              <w:rPr>
                <w:b w:val="0"/>
                <w:i w:val="0"/>
                <w:sz w:val="19"/>
              </w:rPr>
              <w:t>Eight recurrences; median follow-up 609 days. Abstract reports two-year OS 11/13 and RFS 8/13 among those reaching that follow-up, and median RFS 0.83 versus 4.1 years with MTV at least 70 versus below 70.</w:t>
            </w:r>
          </w:p>
          <w:p>
            <w:pPr>
              <w:spacing w:after="0"/>
            </w:pPr>
            <w:r>
              <w:rPr>
                <w:b w:val="0"/>
                <w:i/>
                <w:sz w:val="19"/>
              </w:rPr>
              <w:t>Limits: Small, short follow-up and abstract numerical/CI inconsistencies. Do not reproduce its inconsistent hazard ratio or call the 70-cm³ rule prospectively validated. Retrieve full methods before using for a binding operational cutoff.</w:t>
            </w:r>
          </w:p>
          <w:p>
            <w:pPr>
              <w:spacing w:after="0"/>
            </w:pPr>
            <w:r>
              <w:rPr>
                <w:b w:val="0"/>
                <w:i w:val="0"/>
                <w:color w:val="5A6069"/>
                <w:sz w:val="18"/>
              </w:rPr>
              <w:t>Liver Transpl 2025;31:298–310; PubMed PMID39526884 abstract only.</w:t>
            </w:r>
          </w:p>
        </w:tc>
      </w:tr>
      <w:tr>
        <w:trPr>
          <w:cantSplit/>
        </w:trPr>
        <w:tc>
          <w:tcPr>
            <w:tcW w:type="dxa" w:w="3360"/>
            <w:tcW w:w="2000" w:type="dxa"/>
            <w:shd w:val="clear" w:color="auto" w:fill="FFFFFF"/>
          </w:tcPr>
          <w:p>
            <w:pPr>
              <w:spacing w:after="0"/>
            </w:pPr>
            <w:r>
              <w:rPr>
                <w:b/>
                <w:i w:val="0"/>
                <w:sz w:val="19"/>
              </w:rPr>
              <w:t>Wehrle 2023 · ctDNA</w:t>
            </w:r>
          </w:p>
        </w:tc>
        <w:tc>
          <w:tcPr>
            <w:tcW w:type="dxa" w:w="3360"/>
            <w:tcW w:w="3900" w:type="dxa"/>
            <w:shd w:val="clear" w:color="auto" w:fill="FFFFFF"/>
          </w:tcPr>
          <w:p>
            <w:pPr>
              <w:spacing w:after="0"/>
            </w:pPr>
            <w:r>
              <w:rPr>
                <w:b w:val="0"/>
                <w:i w:val="0"/>
                <w:sz w:val="19"/>
              </w:rPr>
              <w:t>Observational mixed resection/LT cohort, 52 patients with ctDNA data, 34 preoperative and 18 postoperative tests; only nine paired samples. Abstract-only verification. Guardant360 profiling, variable timing; the 29 mutation types reported are not 29 patients. Not a ctDNA-directed LT eligibility trial.</w:t>
            </w:r>
          </w:p>
        </w:tc>
        <w:tc>
          <w:tcPr>
            <w:tcW w:type="dxa" w:w="3360"/>
            <w:tcW w:w="4180" w:type="dxa"/>
            <w:shd w:val="clear" w:color="auto" w:fill="FFFFFF"/>
          </w:tcPr>
          <w:p>
            <w:pPr>
              <w:spacing w:after="0"/>
            </w:pPr>
            <w:r>
              <w:rPr>
                <w:b w:val="0"/>
                <w:i w:val="0"/>
                <w:sz w:val="19"/>
              </w:rPr>
              <w:t>All nine paired patients were ctDNA-positive preoperatively; three remained positive postoperatively. Abstract reports postoperative recurrence 57% versus 0% by ctDNA status (P=0.0419).</w:t>
            </w:r>
          </w:p>
          <w:p>
            <w:pPr>
              <w:spacing w:after="0"/>
            </w:pPr>
            <w:r>
              <w:rPr>
                <w:b w:val="0"/>
                <w:i/>
                <w:sz w:val="19"/>
              </w:rPr>
              <w:t>Limits: Small numbers, mixed operations, incomplete pairs, possible overlap with other centre cohorts and no strategy comparison. Association supports research and risk discussion, not mandatory negative ctDNA, empirical treatment until negative, or declaring cure from a negative result.</w:t>
            </w:r>
          </w:p>
          <w:p>
            <w:pPr>
              <w:spacing w:after="0"/>
            </w:pPr>
            <w:r>
              <w:rPr>
                <w:b w:val="0"/>
                <w:i w:val="0"/>
                <w:color w:val="5A6069"/>
                <w:sz w:val="18"/>
              </w:rPr>
              <w:t>JCO Clin Cancer Inform 2023;7:e2300111; PubMed PMID37820293 abstract only.</w:t>
            </w:r>
          </w:p>
        </w:tc>
      </w:tr>
      <w:tr>
        <w:trPr>
          <w:cantSplit/>
        </w:trPr>
        <w:tc>
          <w:tcPr>
            <w:tcW w:type="dxa" w:w="3360"/>
            <w:tcW w:w="2000" w:type="dxa"/>
            <w:shd w:val="clear" w:color="auto" w:fill="F1F5F8"/>
          </w:tcPr>
          <w:p>
            <w:pPr>
              <w:spacing w:after="0"/>
            </w:pPr>
            <w:r>
              <w:rPr>
                <w:b/>
                <w:i w:val="0"/>
                <w:sz w:val="19"/>
              </w:rPr>
              <w:t>IHPBA 2021</w:t>
            </w:r>
          </w:p>
        </w:tc>
        <w:tc>
          <w:tcPr>
            <w:tcW w:type="dxa" w:w="3360"/>
            <w:tcW w:w="3900" w:type="dxa"/>
            <w:shd w:val="clear" w:color="auto" w:fill="F1F5F8"/>
          </w:tcPr>
          <w:p>
            <w:pPr>
              <w:spacing w:after="0"/>
            </w:pPr>
            <w:r>
              <w:rPr>
                <w:b w:val="0"/>
                <w:i w:val="0"/>
                <w:sz w:val="19"/>
              </w:rPr>
              <w:t>2021 international multidisciplinary consensus; not a prospective eligibility-strategy trial. Distinguishes technical unresectability, biology and organ-allocation ethics. Recommends BRAF V600E exclusion; RAS mutation alone is not an absolute exclusion. MSI-H/dMMR cases should receive effective systemic options and are not routinely recommended for LT.</w:t>
            </w:r>
          </w:p>
        </w:tc>
        <w:tc>
          <w:tcPr>
            <w:tcW w:type="dxa" w:w="3360"/>
            <w:tcW w:w="4180" w:type="dxa"/>
            <w:shd w:val="clear" w:color="auto" w:fill="F1F5F8"/>
          </w:tcPr>
          <w:p>
            <w:pPr>
              <w:spacing w:after="0"/>
            </w:pPr>
            <w:r>
              <w:rPr>
                <w:b w:val="0"/>
                <w:i w:val="0"/>
                <w:sz w:val="19"/>
              </w:rPr>
              <w:t>No original randomized outcome denominator. Consensus suggests response/observation, CEA trajectory and PET burden (MTV 70 cm³/TLG 260) as risk criteria. Rising CEA &gt;80 is treated more adversely than falling CEA.</w:t>
            </w:r>
          </w:p>
          <w:p>
            <w:pPr>
              <w:spacing w:after="0"/>
            </w:pPr>
            <w:r>
              <w:rPr>
                <w:b w:val="0"/>
                <w:i/>
                <w:sz w:val="19"/>
              </w:rPr>
              <w:t>Limits: Expert recommendations differ from current NLRB wording and TransMet criteria; do not merge them into a falsely universal threshold. Non-V600E BRAF is not thereby proven safe for LT, and contemporary guidance requests BRAF-wild-type tumours.</w:t>
            </w:r>
          </w:p>
          <w:p>
            <w:pPr>
              <w:spacing w:after="0"/>
            </w:pPr>
            <w:r>
              <w:rPr>
                <w:b w:val="0"/>
                <w:i w:val="0"/>
                <w:color w:val="5A6069"/>
                <w:sz w:val="18"/>
              </w:rPr>
              <w:t>Lancet Gastroenterol Hepatol 2021;6:933–946; full PDF selection, molecular, PET and tumour-response statements.</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Official Adult MELD Exceptions for Transplant Oncology guidance, December 2025 posting checked 24 October 2026. Allocation-review guidance, not national clinical policy or proof of efficacy. CRLM: BRAF wild type, microsatellite stable, R0 primary, at least 12 months from CRLM diagnosis and six months chemotherapy control; pretreatment largest lesion not &gt;10 cm; no post-primary-resection extrahepatic disease, including nodes outside the primary field. Initial CEA exclusion is &gt;80 ng/mL; extensions require &lt;80. NET: known portal-drained GEP primary, well-differentiated G1/G2, Ki-67 &lt;20%, primary and extrahepatic disease resected with at least six months NED; no active extrahepatic disease. Lung/bone/other solid-organ metastasis history is a permanent exception-guidance exclusion.</w:t>
            </w:r>
          </w:p>
        </w:tc>
        <w:tc>
          <w:tcPr>
            <w:tcW w:type="dxa" w:w="3360"/>
            <w:tcW w:w="4180" w:type="dxa"/>
            <w:shd w:val="clear" w:color="auto" w:fill="FFFFFF"/>
          </w:tcPr>
          <w:p>
            <w:pPr>
              <w:spacing w:after="0"/>
            </w:pPr>
            <w:r>
              <w:rPr>
                <w:b w:val="0"/>
                <w:i w:val="0"/>
                <w:sz w:val="19"/>
              </w:rPr>
              <w:t>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spacing w:after="0"/>
            </w:pPr>
            <w:r>
              <w:rPr>
                <w:b w:val="0"/>
                <w:i/>
                <w:sz w:val="19"/>
              </w:rPr>
              <w:t>Limits: 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p>
            <w:pPr>
              <w:spacing w:after="0"/>
            </w:pPr>
            <w:r>
              <w:rPr>
                <w:b w:val="0"/>
                <w:i w:val="0"/>
                <w:color w:val="5A6069"/>
                <w:sz w:val="18"/>
              </w:rPr>
              <w:t>Official PDF NET pp.8–9; CRLM pp.9–10; introduction on purpose/status.</w:t>
            </w:r>
          </w:p>
        </w:tc>
      </w:tr>
    </w:tbl>
    <w:p>
      <w:pPr>
        <w:spacing w:after="40"/>
      </w:pPr>
    </w:p>
    <w:p>
      <w:pPr>
        <w:pStyle w:val="Heading3"/>
        <w:keepNext/>
        <w:spacing w:before="120" w:after="80"/>
      </w:pPr>
      <w:r>
        <w:rPr>
          <w:b w:val="0"/>
          <w:i w:val="0"/>
        </w:rPr>
        <w:t>Our proposed selection (OPEN)</w:t>
      </w:r>
    </w:p>
    <w:p>
      <w:pPr>
        <w:spacing w:after="80"/>
      </w:pPr>
      <w:r>
        <w:rPr>
          <w:b w:val="0"/>
          <w:i w:val="0"/>
        </w:rPr>
        <w:t>Do not open molecular expansions initially; permit KRAS-mutant disease when all other selected criteria are met. Previous extrahepatic disease follows CRLM-B5.</w:t>
      </w:r>
    </w:p>
    <w:p>
      <w:pPr>
        <w:numPr>
          <w:ilvl w:val="0"/>
          <w:numId w:val="5"/>
        </w:numPr>
        <w:spacing w:after="40"/>
      </w:pPr>
      <w:r>
        <w:rPr>
          <w:b w:val="0"/>
          <w:i w:val="0"/>
        </w:rPr>
        <w:t>Initial proposed exclusions: BRAF-mutant disease, MSI-H/dMMR disease, R1 primary margins, pretreatment liver lesion &gt;10 cm, or progression despite treatment. Previous extrahepatic disease is addressed separately in CRLM-B5. Preserve these as separate research questions; do not combine several relaxations.</w:t>
      </w:r>
    </w:p>
    <w:p>
      <w:pPr>
        <w:numPr>
          <w:ilvl w:val="0"/>
          <w:numId w:val="5"/>
        </w:numPr>
        <w:spacing w:after="40"/>
      </w:pPr>
      <w:r>
        <w:rPr>
          <w:b w:val="0"/>
          <w:i w:val="0"/>
        </w:rPr>
        <w:t>Proposed CEA requirement: strictly &lt;80 ng/mL, including initial activation. Repeat a borderline/unexpected result and review the trajectory; a falling value still ≥80 does not clear this local rule.</w:t>
      </w:r>
    </w:p>
    <w:p>
      <w:pPr>
        <w:numPr>
          <w:ilvl w:val="0"/>
          <w:numId w:val="5"/>
        </w:numPr>
        <w:spacing w:after="40"/>
      </w:pPr>
      <w:r>
        <w:rPr>
          <w:b w:val="0"/>
          <w:i w:val="0"/>
        </w:rPr>
        <w:t>Require ≥6 months of documented control and the applicable ≥12-month CRLM-diagnosis interval. Report ordinary RECIST separately from the NLRB &gt;10% wording; new lesions or concerning growth are HOLD pending central measurement review.</w:t>
      </w:r>
    </w:p>
    <w:p>
      <w:pPr>
        <w:numPr>
          <w:ilvl w:val="0"/>
          <w:numId w:val="5"/>
        </w:numPr>
        <w:spacing w:after="40"/>
      </w:pPr>
      <w:r>
        <w:rPr>
          <w:b w:val="0"/>
          <w:i w:val="0"/>
        </w:rPr>
        <w:t>Confirmed progression resets the proposed six-month control clock after subsequent effective treatment; one improved scan is insufficient. Use the actual application imaging/CEA windows. Do not delay indicated primary surgery to manufacture eligibility.</w:t>
      </w:r>
    </w:p>
    <w:p>
      <w:pPr>
        <w:spacing w:after="80"/>
      </w:pPr>
      <w:r>
        <w:rPr>
          <w:b/>
          <w:i w:val="0"/>
        </w:rPr>
        <w:t xml:space="preserve">Why: </w:t>
      </w:r>
      <w:r>
        <w:rPr>
          <w:b w:val="0"/>
          <w:i w:val="0"/>
        </w:rPr>
        <w:t>BRAF-wild-type, controlled liver-only disease with a cleared primary has the strongest treatment evidence. KRAS mutation alone was allowed in TransMet (17/47 assigned LT), so a blanket KRAS ban would exceed evidence; that does not prove every molecular subgroup derives equal benefit. Arm D is a warning against stacking expansions. PET/Oslo/CEA markers forecast prognosis in recipients but have not demonstrated that crossing a threshold changes the incremental benefit of LT over modern non-LT care.</w:t>
      </w:r>
    </w:p>
    <w:p>
      <w:pPr>
        <w:spacing w:after="80"/>
      </w:pPr>
      <w:r>
        <w:rPr>
          <w:b/>
          <w:i w:val="0"/>
        </w:rPr>
        <w:t xml:space="preserve">Against, or uncertain: </w:t>
      </w:r>
      <w:r>
        <w:rPr>
          <w:b w:val="0"/>
          <w:i w:val="0"/>
        </w:rPr>
        <w:t>IHPBA specifically excludes BRAF V600E, whereas NLRB requests BRAF wild type; non-V600E cases are therefore a true guideline/research gap, not automatically eligible. TransMet accepted CEA &lt;80 OR a ≥50% decline, unlike the draft strict &lt;80 rule. SECA-II's excellent long-term outcomes mostly occurred with CEA ≤33, small lesions and low MTV; they cannot establish safety at every nominal upper limit. Negative ctDNA has not been validated to rescue other exclusion criteria.</w:t>
      </w:r>
    </w:p>
    <w:p>
      <w:pPr>
        <w:spacing w:after="80"/>
      </w:pPr>
      <w:r>
        <w:rPr>
          <w:b/>
          <w:i w:val="0"/>
        </w:rPr>
        <w:t xml:space="preserve">Certainty: </w:t>
      </w:r>
      <w:r>
        <w:rPr>
          <w:b w:val="0"/>
          <w:i w:val="0"/>
        </w:rPr>
        <w:t>Moderate-to-high for narrow TransMet eligibility; low/very low for non-V600E BRAF, prior pulmonary disease, R1 primary, ECOG 2, or ctDNA-directed selection. Prognostic association does not equal predictive treatment-benefit validation. Allocation criteria have authoritative administrative status but are not randomized cutoff evidence.</w:t>
      </w:r>
    </w:p>
    <w:p>
      <w:pPr>
        <w:spacing w:after="80"/>
      </w:pPr>
      <w:r>
        <w:rPr>
          <w:b/>
          <w:i w:val="0"/>
        </w:rPr>
        <w:t xml:space="preserve">Tests and records: </w:t>
      </w:r>
      <w:r>
        <w:rPr>
          <w:b w:val="0"/>
          <w:i w:val="0"/>
        </w:rPr>
        <w:t>Primary R0 pathology; BRAF, RAS and MMR/MSI; original maximum lesion diameter; complete EHD history; dated CEA; dated response and primary/CRLM diagnosis; current staging.</w:t>
      </w:r>
    </w:p>
    <w:p>
      <w:pPr>
        <w:spacing w:after="80"/>
      </w:pPr>
      <w:r>
        <w:rPr>
          <w:b/>
          <w:i w:val="0"/>
        </w:rPr>
        <w:t xml:space="preserve">Allocation: </w:t>
      </w:r>
      <w:r>
        <w:rPr>
          <w:b w:val="0"/>
          <w:i w:val="0"/>
        </w:rPr>
        <w:t>National guidance, study criteria and local choices remain separate. Confirm current NLRB wording at application and do not substitute RECIST for an expressly different guidance threshold.</w:t>
      </w:r>
    </w:p>
    <w:p>
      <w:pPr>
        <w:spacing w:after="40"/>
      </w:pPr>
      <w:r>
        <w:rPr>
          <w:b/>
          <w:i w:val="0"/>
        </w:rPr>
        <w:t xml:space="preserve">Basis for the proposed thresholds: </w:t>
      </w:r>
    </w:p>
    <w:p>
      <w:pPr>
        <w:numPr>
          <w:ilvl w:val="0"/>
          <w:numId w:val="5"/>
        </w:numPr>
        <w:spacing w:after="40"/>
      </w:pPr>
      <w:r>
        <w:rPr>
          <w:b w:val="0"/>
          <w:i w:val="0"/>
        </w:rPr>
        <w:t>Current NLRB contains six-month/12-month/10-cm/CEA requirements and &gt;10% growth wording. TransMet used at least three months control and a CEA-decline alternative. Oslo &gt;5.5 cm, CEA &gt;80, &lt;2 years and progression are prognostic score components; MTV ~70 is data-derived; TLG 260 is consensus, not the same as Grut's 238.8. Resetting a six-month clock after confirmed progression and requiring repeat CEA are proposed local safeguards, not validated rescue rules.</w:t>
      </w:r>
    </w:p>
    <w:p>
      <w:pPr>
        <w:pStyle w:val="Heading3"/>
        <w:keepNext/>
        <w:spacing w:before="120" w:after="80"/>
      </w:pPr>
      <w:r>
        <w:rPr>
          <w:b w:val="0"/>
          <w:i w:val="0"/>
        </w:rPr>
        <w:t>CRLM-B3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CRLM-B4 — Expected benefit, recurrence and graft use</w:t>
      </w:r>
    </w:p>
    <w:p>
      <w:pPr>
        <w:spacing w:after="80"/>
      </w:pPr>
      <w:r>
        <w:rPr>
          <w:b w:val="0"/>
          <w:i w:val="0"/>
          <w:color w:val="5A6069"/>
          <w:sz w:val="18"/>
        </w:rPr>
        <w:t>Review expected benefit · not activated · High-risk review</w:t>
      </w:r>
    </w:p>
    <w:p>
      <w:pPr>
        <w:spacing w:after="80"/>
      </w:pPr>
      <w:r>
        <w:rPr>
          <w:b/>
          <w:i w:val="0"/>
        </w:rPr>
        <w:t xml:space="preserve">Question: </w:t>
      </w:r>
      <w:r>
        <w:rPr>
          <w:b w:val="0"/>
          <w:i w:val="0"/>
        </w:rPr>
        <w:t>How much recurrence/graft use is acceptable for the observed survival benefit?</w:t>
      </w:r>
    </w:p>
    <w:p>
      <w:pPr>
        <w:spacing w:after="80"/>
      </w:pPr>
      <w:r>
        <w:rPr>
          <w:b/>
          <w:i w:val="0"/>
        </w:rPr>
        <w:t xml:space="preserve">When it applies: </w:t>
      </w:r>
      <w:r>
        <w:rPr>
          <w:b w:val="0"/>
          <w:i w:val="0"/>
        </w:rPr>
        <w:t>Compare expected benefit with continued nontransplant treatment and discuss recurrence and future graft use.</w:t>
      </w:r>
    </w:p>
    <w:p>
      <w:pPr>
        <w:spacing w:after="80"/>
      </w:pPr>
      <w:r>
        <w:rPr>
          <w:b/>
          <w:i w:val="0"/>
        </w:rPr>
        <w:t xml:space="preserve">Where it is decided: </w:t>
      </w:r>
      <w:hyperlink r:id="rId16">
        <w:r>
          <w:rPr>
            <w:color w:val="0563C1"/>
            <w:u w:val="single"/>
          </w:rPr>
          <w:t xml:space="preserve">Request and renew the MELD exception</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“three (8%) of 36 patients who received a transplant were retransplanted” Additional graft use is real. The 36 per-protocol recipients differ from the 40-recipient safety population.</w:t>
            </w:r>
          </w:p>
        </w:tc>
        <w:tc>
          <w:tcPr>
            <w:tcW w:type="dxa" w:w="3360"/>
            <w:tcW w:w="2400" w:type="dxa"/>
            <w:shd w:val="clear" w:color="auto" w:fill="F1F5F8"/>
          </w:tcPr>
          <w:p>
            <w:pPr>
              <w:spacing w:after="0"/>
            </w:pPr>
            <w:r>
              <w:rPr>
                <w:b w:val="0"/>
                <w:i w:val="0"/>
                <w:color w:val="5A6069"/>
                <w:sz w:val="18"/>
              </w:rPr>
              <w:t>Published PDF p9 / journal p1115,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TransMet 2024</w:t>
            </w:r>
          </w:p>
        </w:tc>
        <w:tc>
          <w:tcPr>
            <w:tcW w:type="dxa" w:w="3360"/>
            <w:tcW w:w="3900" w:type="dxa"/>
            <w:shd w:val="clear" w:color="auto" w:fill="F1F5F8"/>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1F5F8"/>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FFFFF"/>
          </w:tcPr>
          <w:p>
            <w:pPr>
              <w:spacing w:after="0"/>
            </w:pPr>
            <w:r>
              <w:rPr>
                <w:b/>
                <w:i w:val="0"/>
                <w:sz w:val="19"/>
              </w:rPr>
              <w:t>Dueland 2026 · SECA-II ten-year</w:t>
            </w:r>
          </w:p>
        </w:tc>
        <w:tc>
          <w:tcPr>
            <w:tcW w:type="dxa" w:w="3360"/>
            <w:tcW w:w="3900" w:type="dxa"/>
            <w:shd w:val="clear" w:color="auto" w:fill="FFFFFF"/>
          </w:tcPr>
          <w:p>
            <w:pPr>
              <w:spacing w:after="0"/>
            </w:pPr>
            <w:r>
              <w:rPr>
                <w:b w:val="0"/>
                <w:i w:val="0"/>
                <w:sz w:val="19"/>
              </w:rPr>
              <w:t>Prospective SECA-II extended follow-up, 25 recipients from April 2012 to November 2023; analysis cutoff 1 January 2025. Includes the original SECA-II cohort. All grafted under SECA-II included. At least one year diagnosis to inclusion and no progression required; one inadvertently transplanted patient had progression on a scan not available to the transplant centre. One early postoperative death was included in survival analyses but excluded from other analyses, so baseline Table 1 denominator is 24. Among these 24, median largest lesion 24 mm (4–48), CEA 3.5 (1–33), PET MTV 7.3 cm³ (0–139); only two MTV &gt;70, two KRAS-mutated, one right-sided ascending primary and one pN2. Oslo scores 0/1/2 were 9/13/2.</w:t>
            </w:r>
          </w:p>
        </w:tc>
        <w:tc>
          <w:tcPr>
            <w:tcW w:type="dxa" w:w="3360"/>
            <w:tcW w:w="4180" w:type="dxa"/>
            <w:shd w:val="clear" w:color="auto" w:fill="FFFFFF"/>
          </w:tcPr>
          <w:p>
            <w:pPr>
              <w:spacing w:after="0"/>
            </w:pPr>
            <w:r>
              <w:rPr>
                <w:b w:val="0"/>
                <w:i w:val="0"/>
                <w:sz w:val="19"/>
              </w:rPr>
              <w:t>Time zero LT; median follow-up of survivors 97.2 months. Median OS 128.2 months (95% CI 74.8–181.6); five- and ten-year OS 77.8% and 51.5%. Median RFS 24.3 months; 12/25 relapsed, six initially lung-only. Median post-recurrence survival 62.9 months (25.7–101.1); nine had surgery as first recurrence treatment, but only three were classified curative-intent at that first treatment. Twelve had no recurrence over median 74 months; four exceeded ten years without recurrence. Four patients died of metastases more than five years after LT. Reported serious complications: five grade IIIa, three IIIb, one grade V hepatic-artery-thrombosis death.</w:t>
            </w:r>
          </w:p>
          <w:p>
            <w:pPr>
              <w:spacing w:after="0"/>
            </w:pPr>
            <w:r>
              <w:rPr>
                <w:b w:val="0"/>
                <w:i/>
                <w:sz w:val="19"/>
              </w:rPr>
              <w:t>Limits: No contemporaneous control and only 25 recipients; highly favorable biology cannot justify broad expansion. Abstract speculates up to 15 potentially cured, body p.5 says up to 13; neither is an observed, validated cure fraction. Use observed survival/recurrence instead. The discussion's assertion that RFS is not valid for efficacy should not erase recurrence burden, treatment harms or QoL; RFS is insufficient alone, not unimportant. Updated survival supersedes rather than adds an independent 83% SECA-II estimate.</w:t>
            </w:r>
          </w:p>
          <w:p>
            <w:pPr>
              <w:spacing w:after="0"/>
            </w:pPr>
            <w:r>
              <w:rPr>
                <w:b w:val="0"/>
                <w:i w:val="0"/>
                <w:color w:val="5A6069"/>
                <w:sz w:val="18"/>
              </w:rPr>
              <w:t>Ann Surg 2026 early report DOI 10.1097/SLA.0000000000007200; PDF p.2 methods/time origins and early-death handling; p.3 Table 1 and outcomes; pp.4–5 salvage, late death, cure-count discrepancy and complications.</w:t>
            </w:r>
          </w:p>
        </w:tc>
      </w:tr>
      <w:tr>
        <w:trPr>
          <w:cantSplit/>
        </w:trPr>
        <w:tc>
          <w:tcPr>
            <w:tcW w:type="dxa" w:w="3360"/>
            <w:tcW w:w="2000" w:type="dxa"/>
            <w:shd w:val="clear" w:color="auto" w:fill="F1F5F8"/>
          </w:tcPr>
          <w:p>
            <w:pPr>
              <w:spacing w:after="0"/>
            </w:pPr>
            <w:r>
              <w:rPr>
                <w:b/>
                <w:i w:val="0"/>
                <w:sz w:val="19"/>
              </w:rPr>
              <w:t>SECA-II arm D</w:t>
            </w:r>
          </w:p>
        </w:tc>
        <w:tc>
          <w:tcPr>
            <w:tcW w:type="dxa" w:w="3360"/>
            <w:tcW w:w="3900" w:type="dxa"/>
            <w:shd w:val="clear" w:color="auto" w:fill="F1F5F8"/>
          </w:tcPr>
          <w:p>
            <w:pPr>
              <w:spacing w:after="0"/>
            </w:pPr>
            <w:r>
              <w:rPr>
                <w:b w:val="0"/>
                <w:i w:val="0"/>
                <w:sz w:val="19"/>
              </w:rPr>
              <w:t>Prospective SECA-II arm D expanded-criteria cohort, ten recipients, without control. Expanded both recipient and donor criteria, including resectable pulmonary metastases and omission of previous stringent response/time restrictions. Eight had pN2 primaries, six poorly differentiated or signet-ring pathology, five right-sided cancers; median 20 liver lesions and largest diameter 59 mm. This was a bundle of adverse features, not an isolated prior-lung-metastasis experiment.</w:t>
            </w:r>
          </w:p>
        </w:tc>
        <w:tc>
          <w:tcPr>
            <w:tcW w:type="dxa" w:w="3360"/>
            <w:tcW w:w="4180" w:type="dxa"/>
            <w:shd w:val="clear" w:color="auto" w:fill="F1F5F8"/>
          </w:tcPr>
          <w:p>
            <w:pPr>
              <w:spacing w:after="0"/>
            </w:pPr>
            <w:r>
              <w:rPr>
                <w:b w:val="0"/>
                <w:i w:val="0"/>
                <w:sz w:val="19"/>
              </w:rPr>
              <w:t>From LT, median DFS four months and median OS 18 months. Rapid recurrence and limited survival contrast with strictly selected SECA-II, despite use of donor grafts intended to broaden access.</w:t>
            </w:r>
          </w:p>
          <w:p>
            <w:pPr>
              <w:spacing w:after="0"/>
            </w:pPr>
            <w:r>
              <w:rPr>
                <w:b w:val="0"/>
                <w:i/>
                <w:sz w:val="19"/>
              </w:rPr>
              <w:t>Limits: Very small and uncontrolled; simultaneous biologic, anatomic and donor expansions prevent estimating the independent effect of prior pulmonary disease, BRAF status, grade or donor quality. Negative experience argues against opening several expansions at once, not that every single deviation has proven futility.</w:t>
            </w:r>
          </w:p>
          <w:p>
            <w:pPr>
              <w:spacing w:after="0"/>
            </w:pPr>
            <w:r>
              <w:rPr>
                <w:b w:val="0"/>
                <w:i w:val="0"/>
                <w:color w:val="5A6069"/>
                <w:sz w:val="18"/>
              </w:rPr>
              <w:t>BJS Open 2020;4:467–477; full text methods, Tables 1–3 and survival figures.</w:t>
            </w:r>
          </w:p>
        </w:tc>
      </w:tr>
      <w:tr>
        <w:trPr>
          <w:cantSplit/>
        </w:trPr>
        <w:tc>
          <w:tcPr>
            <w:tcW w:type="dxa" w:w="3360"/>
            <w:tcW w:w="2000" w:type="dxa"/>
            <w:shd w:val="clear" w:color="auto" w:fill="FFFFFF"/>
          </w:tcPr>
          <w:p>
            <w:pPr>
              <w:spacing w:after="0"/>
            </w:pPr>
            <w:r>
              <w:rPr>
                <w:b/>
                <w:i w:val="0"/>
                <w:sz w:val="19"/>
              </w:rPr>
              <w:t>Chandra 2026 · HAIP comparator</w:t>
            </w:r>
          </w:p>
        </w:tc>
        <w:tc>
          <w:tcPr>
            <w:tcW w:type="dxa" w:w="3360"/>
            <w:tcW w:w="3900" w:type="dxa"/>
            <w:shd w:val="clear" w:color="auto" w:fill="FFFFFF"/>
          </w:tcPr>
          <w:p>
            <w:pPr>
              <w:spacing w:after="0"/>
            </w:pPr>
            <w:r>
              <w:rPr>
                <w:b w:val="0"/>
                <w:i w:val="0"/>
                <w:sz w:val="19"/>
              </w:rPr>
              <w:t>Single-centre retrospective HAIP cohort: 1,110 patients treated in 2006–2016, 483 initially unresectable after exclusions; 83 met modified transplant criteria, but only 23 were pretreated, chemotherapy-controlled transplant-like candidates. Selected patients had liver-confined disease without progression on pre-HAIP chemotherapy. The study modified SECA/TransMet criteria: PET, molecular profile, CEA and standardized RECIST response were not mandatory, and primary resection could occur during/after HAIP. Applying at least one year from CRC diagnosis to HAIP left only five of 483 patients. Unresectability considered adequate functional remnant, vascular/biliary preservation and intraoperative ultrasound, not lesion number alone.</w:t>
            </w:r>
          </w:p>
        </w:tc>
        <w:tc>
          <w:tcPr>
            <w:tcW w:type="dxa" w:w="3360"/>
            <w:tcW w:w="4180" w:type="dxa"/>
            <w:shd w:val="clear" w:color="auto" w:fill="FFFFFF"/>
          </w:tcPr>
          <w:p>
            <w:pPr>
              <w:spacing w:after="0"/>
            </w:pPr>
            <w:r>
              <w:rPr>
                <w:b w:val="0"/>
                <w:i w:val="0"/>
                <w:sz w:val="19"/>
              </w:rPr>
              <w:t>Time zero was HAIP placement, not a common LT-versus-HAIP eligibility date. In the 23 selected pretreated patients, 18/23 (78%) converted to resection; only 10/18 were R0, and 17/18 recurred, with salvage treatment in 15. Median follow-up was 97.7 months; median OS 61 months (95% CI 36–92), five-year OS 53% (36–79), PFS 13 months (9.6–22), hepatic PFS 16 months (11–61). Median treatment comprised five HAIP cycles and nine systemic cycles. Biliary sclerosis requiring stents occurred in 3/23 (13%); one pump-arterial dissection required revision.</w:t>
            </w:r>
          </w:p>
          <w:p>
            <w:pPr>
              <w:spacing w:after="0"/>
            </w:pPr>
            <w:r>
              <w:rPr>
                <w:b w:val="0"/>
                <w:i/>
                <w:sz w:val="19"/>
              </w:rPr>
              <w:t>Limits: Selection from a large denominator, modified eligibility, expert-centre availability, retrospective ascertainment and a different time origin prohibit equivalence claims against TransMet. The high conversion rate is clinically important counterevidence to declaring unresectability before specialist conversion review. It does not make HAIP compulsory or establish that its toxicities are an indication to create for LT.</w:t>
            </w:r>
          </w:p>
          <w:p>
            <w:pPr>
              <w:spacing w:after="0"/>
            </w:pPr>
            <w:r>
              <w:rPr>
                <w:b w:val="0"/>
                <w:i w:val="0"/>
                <w:color w:val="5A6069"/>
                <w:sz w:val="18"/>
              </w:rPr>
              <w:t>Complete accepted manuscript, PDF pp.6–11: cohort derivation, modified criteria, conversion, survival and adverse events; subsequent tables.</w:t>
            </w:r>
          </w:p>
        </w:tc>
      </w:tr>
      <w:tr>
        <w:trPr>
          <w:cantSplit/>
        </w:trPr>
        <w:tc>
          <w:tcPr>
            <w:tcW w:type="dxa" w:w="3360"/>
            <w:tcW w:w="2000" w:type="dxa"/>
            <w:shd w:val="clear" w:color="auto" w:fill="F1F5F8"/>
          </w:tcPr>
          <w:p>
            <w:pPr>
              <w:spacing w:after="0"/>
            </w:pPr>
            <w:r>
              <w:rPr>
                <w:b/>
                <w:i w:val="0"/>
                <w:sz w:val="19"/>
              </w:rPr>
              <w:t>Wehrle 2024 · intensive LRT</w:t>
            </w:r>
          </w:p>
        </w:tc>
        <w:tc>
          <w:tcPr>
            <w:tcW w:type="dxa" w:w="3360"/>
            <w:tcW w:w="3900" w:type="dxa"/>
            <w:shd w:val="clear" w:color="auto" w:fill="F1F5F8"/>
          </w:tcPr>
          <w:p>
            <w:pPr>
              <w:spacing w:after="0"/>
            </w:pPr>
            <w:r>
              <w:rPr>
                <w:b w:val="0"/>
                <w:i w:val="0"/>
                <w:sz w:val="19"/>
              </w:rPr>
              <w:t>Single-centre intensive pre-LT locoregional-treatment protocol: 27 evaluated, 16 included, nine transplanted (seven living donor). Abstract-only verification. Median 16 systemic cycles (10–40); Y90 in five, ablation in four, resection in four and HAIP in three. Five grafted patients had no detectable disease and four had treatment-induced cirrhosis.</w:t>
            </w:r>
          </w:p>
        </w:tc>
        <w:tc>
          <w:tcPr>
            <w:tcW w:type="dxa" w:w="3360"/>
            <w:tcW w:w="4180" w:type="dxa"/>
            <w:shd w:val="clear" w:color="auto" w:fill="F1F5F8"/>
          </w:tcPr>
          <w:p>
            <w:pPr>
              <w:spacing w:after="0"/>
            </w:pPr>
            <w:r>
              <w:rPr>
                <w:b w:val="0"/>
                <w:i w:val="0"/>
                <w:sz w:val="19"/>
              </w:rPr>
              <w:t>Median follow-up 700 days; three recurrences. Reported RFS one year 6/8 (75%) and two years 3/5 (60%) reflects very small mature denominators.</w:t>
            </w:r>
          </w:p>
          <w:p>
            <w:pPr>
              <w:spacing w:after="0"/>
            </w:pPr>
            <w:r>
              <w:rPr>
                <w:b w:val="0"/>
                <w:i/>
                <w:sz w:val="19"/>
              </w:rPr>
              <w:t>Limits: This is actual published experience with NED/injury routes, so it must not be described as nonexistent; it is not controlled proof of benefit or a universal cycle-count requirement. Patients likely overlap occult-explant/PET/ctDNA cohorts. Do not intensify treatment to manufacture liver failure.</w:t>
            </w:r>
          </w:p>
          <w:p>
            <w:pPr>
              <w:spacing w:after="0"/>
            </w:pPr>
            <w:r>
              <w:rPr>
                <w:b w:val="0"/>
                <w:i w:val="0"/>
                <w:color w:val="5A6069"/>
                <w:sz w:val="18"/>
              </w:rPr>
              <w:t>Liver Transpl 2024;30:1238–1249; PMID38833301 published abstract; complete methods pending.</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Official Adult MELD Exceptions for Transplant Oncology guidance, December 2025 posting checked 24 October 2026. Allocation-review guidance, not national clinical policy or proof of efficacy. CRLM: BRAF wild type, microsatellite stable, R0 primary, at least 12 months from CRLM diagnosis and six months chemotherapy control; pretreatment largest lesion not &gt;10 cm; no post-primary-resection extrahepatic disease, including nodes outside the primary field. Initial CEA exclusion is &gt;80 ng/mL; extensions require &lt;80. NET: known portal-drained GEP primary, well-differentiated G1/G2, Ki-67 &lt;20%, primary and extrahepatic disease resected with at least six months NED; no active extrahepatic disease. Lung/bone/other solid-organ metastasis history is a permanent exception-guidance exclusion.</w:t>
            </w:r>
          </w:p>
        </w:tc>
        <w:tc>
          <w:tcPr>
            <w:tcW w:type="dxa" w:w="3360"/>
            <w:tcW w:w="4180" w:type="dxa"/>
            <w:shd w:val="clear" w:color="auto" w:fill="FFFFFF"/>
          </w:tcPr>
          <w:p>
            <w:pPr>
              <w:spacing w:after="0"/>
            </w:pPr>
            <w:r>
              <w:rPr>
                <w:b w:val="0"/>
                <w:i w:val="0"/>
                <w:sz w:val="19"/>
              </w:rPr>
              <w:t>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spacing w:after="0"/>
            </w:pPr>
            <w:r>
              <w:rPr>
                <w:b w:val="0"/>
                <w:i/>
                <w:sz w:val="19"/>
              </w:rPr>
              <w:t>Limits: 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p>
            <w:pPr>
              <w:spacing w:after="0"/>
            </w:pPr>
            <w:r>
              <w:rPr>
                <w:b w:val="0"/>
                <w:i w:val="0"/>
                <w:color w:val="5A6069"/>
                <w:sz w:val="18"/>
              </w:rPr>
              <w:t>Official PDF NET pp.8–9; CRLM pp.9–10; introduction on purpose/status.</w:t>
            </w:r>
          </w:p>
        </w:tc>
      </w:tr>
    </w:tbl>
    <w:p>
      <w:pPr>
        <w:spacing w:after="40"/>
      </w:pPr>
    </w:p>
    <w:p>
      <w:pPr>
        <w:pStyle w:val="Heading3"/>
        <w:keepNext/>
        <w:spacing w:before="120" w:after="80"/>
      </w:pPr>
      <w:r>
        <w:rPr>
          <w:b w:val="0"/>
          <w:i w:val="0"/>
        </w:rPr>
        <w:t>Our proposed selection (OPEN)</w:t>
      </w:r>
    </w:p>
    <w:p>
      <w:pPr>
        <w:spacing w:after="80"/>
      </w:pPr>
      <w:r>
        <w:rPr>
          <w:b w:val="0"/>
          <w:i w:val="0"/>
        </w:rPr>
        <w:t>Accept that recurrence may coexist with meaningful survival benefit, but plan one graft and account for recurrence treatment and all additional graft use.</w:t>
      </w:r>
    </w:p>
    <w:p>
      <w:pPr>
        <w:numPr>
          <w:ilvl w:val="0"/>
          <w:numId w:val="5"/>
        </w:numPr>
        <w:spacing w:after="40"/>
      </w:pPr>
      <w:r>
        <w:rPr>
          <w:b w:val="0"/>
          <w:i w:val="0"/>
        </w:rPr>
        <w:t>Before considering transplantation: a patient-specific benefit comparison against accessible non-LT care, feasible recurrence-treatment options, and a realistic local wait/treatment plan. Reassess about every eight weeks while waiting; no unsupported maximum-wait exclusion is imposed.</w:t>
      </w:r>
    </w:p>
    <w:p>
      <w:pPr>
        <w:numPr>
          <w:ilvl w:val="0"/>
          <w:numId w:val="5"/>
        </w:numPr>
        <w:spacing w:after="40"/>
      </w:pPr>
      <w:r>
        <w:rPr>
          <w:b w:val="0"/>
          <w:i w:val="0"/>
        </w:rPr>
        <w:t>Plan one graft per recipient; no planned retransplantation for oncologic recurrence. Rescue of early nononcologic graft failure remains a separate standard transplant/allocation decision and is never promised or withheld by this rule.</w:t>
      </w:r>
    </w:p>
    <w:p>
      <w:pPr>
        <w:numPr>
          <w:ilvl w:val="0"/>
          <w:numId w:val="5"/>
        </w:numPr>
        <w:spacing w:after="40"/>
      </w:pPr>
      <w:r>
        <w:rPr>
          <w:b w:val="0"/>
          <w:i w:val="0"/>
        </w:rPr>
        <w:t>No low recurrence-rate/RFS cutoff is substituted for survival or quality-of-life benefit. Record all-screened outcomes, recurrence treatment burden, time off therapy, graft loss/retransplantation and functional recovery. Apply the one-event early safety pause in ALLOC-B4 to newly activated experimental cohorts.</w:t>
      </w:r>
    </w:p>
    <w:p>
      <w:pPr>
        <w:spacing w:after="80"/>
      </w:pPr>
      <w:r>
        <w:rPr>
          <w:b/>
          <w:i w:val="0"/>
        </w:rPr>
        <w:t xml:space="preserve">Why: </w:t>
      </w:r>
      <w:r>
        <w:rPr>
          <w:b w:val="0"/>
          <w:i w:val="0"/>
        </w:rPr>
        <w:t>The relevant endpoint is the entire strategy from a shared eligibility/randomization date: access to a first graft, wait-list progression, perioperative death, graft failure, recurrence, salvage treatment, long-term survival and QoL. Recurrence does not erase all benefit, but is a substantial burden; SECA-II shows both long post-recurrence survival and late metastatic death. TransMet's 56.6% ITT survival is the appropriate randomized headline, with 73.3% PP provided only secondarily.</w:t>
      </w:r>
    </w:p>
    <w:p>
      <w:pPr>
        <w:spacing w:after="80"/>
      </w:pPr>
      <w:r>
        <w:rPr>
          <w:b/>
          <w:i w:val="0"/>
        </w:rPr>
        <w:t xml:space="preserve">Against, or uncertain: </w:t>
      </w:r>
      <w:r>
        <w:rPr>
          <w:b w:val="0"/>
          <w:i w:val="0"/>
        </w:rPr>
        <w:t>TransMet's nine progression dropouts and three retransplants show why post-LT survival alone is inadequate. The 2026 SECA-II ten-year OS was 51.5%, not its five-year 77.8%; four metastatic deaths occurred after five years. Arm D's 18-month median OS cautions against assuming every expanded candidate obtains sufficient benefit. Selected HAIP/conversion patients can have durable survival without a graft, but cross-study comparisons cannot calculate an individual's LT gain.</w:t>
      </w:r>
    </w:p>
    <w:p>
      <w:pPr>
        <w:spacing w:after="80"/>
      </w:pPr>
      <w:r>
        <w:rPr>
          <w:b/>
          <w:i w:val="0"/>
        </w:rPr>
        <w:t xml:space="preserve">Certainty: </w:t>
      </w:r>
      <w:r>
        <w:rPr>
          <w:b w:val="0"/>
          <w:i w:val="0"/>
        </w:rPr>
        <w:t>Moderate-to-high for a survival advantage in selected TransMet patients; low for an individual numerical benefit model, long-wait extrapolation, high-risk graft strategies or predetermined retransplant policy. Long-term SECA-II is informative but small and uncontrolled.</w:t>
      </w:r>
    </w:p>
    <w:p>
      <w:pPr>
        <w:spacing w:after="80"/>
      </w:pPr>
      <w:r>
        <w:rPr>
          <w:b/>
          <w:i w:val="0"/>
        </w:rPr>
        <w:t xml:space="preserve">Tests and records: </w:t>
      </w:r>
      <w:r>
        <w:rPr>
          <w:b w:val="0"/>
          <w:i w:val="0"/>
        </w:rPr>
        <w:t>Contemporary comparator; current fitness/control; recurrence options; local access estimate; patient priorities; graft-use and follow-up plan.</w:t>
      </w:r>
    </w:p>
    <w:p>
      <w:pPr>
        <w:spacing w:after="80"/>
      </w:pPr>
      <w:r>
        <w:rPr>
          <w:b/>
          <w:i w:val="0"/>
        </w:rPr>
        <w:t xml:space="preserve">Allocation: </w:t>
      </w:r>
      <w:r>
        <w:rPr>
          <w:b w:val="0"/>
          <w:i w:val="0"/>
        </w:rPr>
        <w:t>Do not promise trial survival where waiting/access differ materially. Count all grafts and downstream allocation consequences, including LDLT recipients who later need DDLT.</w:t>
      </w:r>
    </w:p>
    <w:p>
      <w:pPr>
        <w:spacing w:after="40"/>
      </w:pPr>
      <w:r>
        <w:rPr>
          <w:b/>
          <w:i w:val="0"/>
        </w:rPr>
        <w:t xml:space="preserve">Basis for the proposed thresholds: </w:t>
      </w:r>
    </w:p>
    <w:p>
      <w:pPr>
        <w:numPr>
          <w:ilvl w:val="0"/>
          <w:numId w:val="5"/>
        </w:numPr>
        <w:spacing w:after="40"/>
      </w:pPr>
      <w:r>
        <w:rPr>
          <w:b w:val="0"/>
          <w:i w:val="0"/>
        </w:rPr>
        <w:t>No validated minimum RFS, individual five-year benefit percentage or fixed number of salvage operations establishes acceptable LT value. The two-year/three-year thresholds sometimes used in economic models are not recipient-selection validation. One planned graft and safety-review triggers are institutional ethical/operational proposals.</w:t>
      </w:r>
    </w:p>
    <w:p>
      <w:pPr>
        <w:pStyle w:val="Heading3"/>
        <w:keepNext/>
        <w:spacing w:before="120" w:after="80"/>
      </w:pPr>
      <w:r>
        <w:rPr>
          <w:b w:val="0"/>
          <w:i w:val="0"/>
        </w:rPr>
        <w:t>CRLM-B4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CRLM-B5 — Previously treated extrahepatic disease</w:t>
      </w:r>
    </w:p>
    <w:p>
      <w:pPr>
        <w:spacing w:after="80"/>
      </w:pPr>
      <w:r>
        <w:rPr>
          <w:b w:val="0"/>
          <w:i w:val="0"/>
          <w:color w:val="5A6069"/>
          <w:sz w:val="18"/>
        </w:rPr>
        <w:t>Closed · lung-only study proposed · not activated · High-risk review</w:t>
      </w:r>
    </w:p>
    <w:p>
      <w:pPr>
        <w:spacing w:after="80"/>
      </w:pPr>
      <w:r>
        <w:rPr>
          <w:b/>
          <w:i w:val="0"/>
        </w:rPr>
        <w:t xml:space="preserve">Question: </w:t>
      </w:r>
      <w:r>
        <w:rPr>
          <w:b w:val="0"/>
          <w:i w:val="0"/>
        </w:rPr>
        <w:t>Should a lung-only study stratum be opened for completely treated pulmonary metastases, and if so with which interval and biology limits? All other previously treated extrahepatic sites stay closed.</w:t>
      </w:r>
    </w:p>
    <w:p>
      <w:pPr>
        <w:spacing w:after="80"/>
      </w:pPr>
      <w:r>
        <w:rPr>
          <w:b/>
          <w:i w:val="0"/>
        </w:rPr>
        <w:t xml:space="preserve">When it applies: </w:t>
      </w:r>
      <w:r>
        <w:rPr>
          <w:b w:val="0"/>
          <w:i w:val="0"/>
        </w:rPr>
        <w:t>Use when colorectal cancer has involved any site outside the liver (after primary resection, removed together with the primary, or as local relapse), including disease later resected, ablated, irradiated or in response to treatment.</w:t>
      </w:r>
    </w:p>
    <w:p>
      <w:pPr>
        <w:spacing w:after="80"/>
      </w:pPr>
      <w:r>
        <w:rPr>
          <w:b/>
          <w:i w:val="0"/>
        </w:rPr>
        <w:t xml:space="preserve">Where it is decided: </w:t>
      </w:r>
      <w:hyperlink r:id="rId18">
        <w:r>
          <w:rPr>
            <w:color w:val="0563C1"/>
            <w:u w:val="single"/>
          </w:rPr>
          <w:t xml:space="preserve">Stage the disease</w:t>
        </w:r>
      </w:hyperlink>
      <w:r>
        <w:rPr>
          <w:b w:val="0"/>
          <w:i w:val="0"/>
        </w:rPr>
        <w:t xml:space="preserve"> · </w:t>
      </w:r>
      <w:hyperlink r:id="rId11">
        <w:r>
          <w:rPr>
            <w:color w:val="0563C1"/>
            <w:u w:val="single"/>
          </w:rPr>
          <w:t xml:space="preserve">Restage for transplant</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TransMet 2024</w:t>
            </w:r>
          </w:p>
        </w:tc>
        <w:tc>
          <w:tcPr>
            <w:tcW w:type="dxa" w:w="3360"/>
            <w:tcW w:w="3900" w:type="dxa"/>
            <w:shd w:val="clear" w:color="auto" w:fill="F1F5F8"/>
          </w:tcPr>
          <w:p>
            <w:pPr>
              <w:spacing w:after="0"/>
            </w:pPr>
            <w:r>
              <w:rPr>
                <w:b w:val="0"/>
                <w:i w:val="0"/>
                <w:sz w:val="19"/>
              </w:rPr>
              <w:t>Multicentre randomized trial of liver transplantation plus chemotherapy versus chemotherapy alone; 94 randomized. Required no extrahepatic disease and excluded prior or current extrahepatic disease and local recurrence.</w:t>
            </w:r>
          </w:p>
        </w:tc>
        <w:tc>
          <w:tcPr>
            <w:tcW w:type="dxa" w:w="3360"/>
            <w:tcW w:w="4180" w:type="dxa"/>
            <w:shd w:val="clear" w:color="auto" w:fill="F1F5F8"/>
          </w:tcPr>
          <w:p>
            <w:pPr>
              <w:spacing w:after="0"/>
            </w:pPr>
            <w:r>
              <w:rPr>
                <w:b w:val="0"/>
                <w:i w:val="0"/>
                <w:sz w:val="19"/>
              </w:rPr>
              <w:t>Five-year overall survival 56.6% versus 12.6% by intention to treat (HR 0.37).</w:t>
            </w:r>
          </w:p>
          <w:p>
            <w:pPr>
              <w:spacing w:after="0"/>
            </w:pPr>
            <w:r>
              <w:rPr>
                <w:b w:val="0"/>
                <w:i/>
                <w:sz w:val="19"/>
              </w:rPr>
              <w:t>Limits: Provides no data on patients with previous extrahepatic disease; its benefit cannot be extrapolated to them.</w:t>
            </w:r>
          </w:p>
          <w:p>
            <w:pPr>
              <w:spacing w:after="0"/>
            </w:pPr>
            <w:r>
              <w:rPr>
                <w:b w:val="0"/>
                <w:i w:val="0"/>
                <w:color w:val="5A6069"/>
                <w:sz w:val="18"/>
              </w:rPr>
              <w:t>Lancet 2024; eligibility criteria in Methods.</w:t>
            </w:r>
          </w:p>
        </w:tc>
      </w:tr>
      <w:tr>
        <w:trPr>
          <w:cantSplit/>
        </w:trPr>
        <w:tc>
          <w:tcPr>
            <w:tcW w:type="dxa" w:w="3360"/>
            <w:tcW w:w="2000" w:type="dxa"/>
            <w:shd w:val="clear" w:color="auto" w:fill="FFFFFF"/>
          </w:tcPr>
          <w:p>
            <w:pPr>
              <w:spacing w:after="0"/>
            </w:pPr>
            <w:r>
              <w:rPr>
                <w:b/>
                <w:i w:val="0"/>
                <w:sz w:val="19"/>
              </w:rPr>
              <w:t>IHPBA 2021</w:t>
            </w:r>
          </w:p>
        </w:tc>
        <w:tc>
          <w:tcPr>
            <w:tcW w:type="dxa" w:w="3360"/>
            <w:tcW w:w="3900" w:type="dxa"/>
            <w:shd w:val="clear" w:color="auto" w:fill="FFFFFF"/>
          </w:tcPr>
          <w:p>
            <w:pPr>
              <w:spacing w:after="0"/>
            </w:pPr>
            <w:r>
              <w:rPr>
                <w:b w:val="0"/>
                <w:i w:val="0"/>
                <w:sz w:val="19"/>
              </w:rPr>
              <w:t>2021 international Delphi consensus on transplantation for non-resectable colorectal liver metastases. Statement 9: there is no evidence to support transplantation in patients who initially present with or subsequently develop extrahepatic or extracolonic metastases. Statements 10–12: high-resolution chest CT and FDG PET-CT to rule out extrahepatic disease; nodal sampling when suspicion is high and PET is inconclusive.</w:t>
            </w:r>
          </w:p>
        </w:tc>
        <w:tc>
          <w:tcPr>
            <w:tcW w:type="dxa" w:w="3360"/>
            <w:tcW w:w="4180" w:type="dxa"/>
            <w:shd w:val="clear" w:color="auto" w:fill="FFFFFF"/>
          </w:tcPr>
          <w:p>
            <w:pPr>
              <w:spacing w:after="0"/>
            </w:pPr>
            <w:r>
              <w:rPr>
                <w:b w:val="0"/>
                <w:i w:val="0"/>
                <w:sz w:val="19"/>
              </w:rPr>
              <w:t>Statement 41: isolated pulmonary recurrence after transplantation should be considered for resection. The text notes that many lung recurrences were retrospectively visible at transplantation and do not grow faster under immunosuppression.</w:t>
            </w:r>
          </w:p>
          <w:p>
            <w:pPr>
              <w:spacing w:after="0"/>
            </w:pPr>
            <w:r>
              <w:rPr>
                <w:b w:val="0"/>
                <w:i/>
                <w:sz w:val="19"/>
              </w:rPr>
              <w:t>Limits: Expert consensus. It treats extrahepatic disease as a sign of disseminated disease and does not separately address completely treated lung-only disease.</w:t>
            </w:r>
          </w:p>
          <w:p>
            <w:pPr>
              <w:spacing w:after="0"/>
            </w:pPr>
            <w:r>
              <w:rPr>
                <w:b w:val="0"/>
                <w:i w:val="0"/>
                <w:color w:val="5A6069"/>
                <w:sz w:val="18"/>
              </w:rPr>
              <w:t>Lancet Gastroenterol Hepatol 2021;6:933–946; statements 9–12 and 41, recurrence discussion.</w:t>
            </w:r>
          </w:p>
        </w:tc>
      </w:tr>
      <w:tr>
        <w:trPr>
          <w:cantSplit/>
        </w:trPr>
        <w:tc>
          <w:tcPr>
            <w:tcW w:type="dxa" w:w="3360"/>
            <w:tcW w:w="2000" w:type="dxa"/>
            <w:shd w:val="clear" w:color="auto" w:fill="F1F5F8"/>
          </w:tcPr>
          <w:p>
            <w:pPr>
              <w:spacing w:after="0"/>
            </w:pPr>
            <w:r>
              <w:rPr>
                <w:b/>
                <w:i w:val="0"/>
                <w:sz w:val="19"/>
              </w:rPr>
              <w:t>SECA-II arm D</w:t>
            </w:r>
          </w:p>
        </w:tc>
        <w:tc>
          <w:tcPr>
            <w:tcW w:type="dxa" w:w="3360"/>
            <w:tcW w:w="3900" w:type="dxa"/>
            <w:shd w:val="clear" w:color="auto" w:fill="F1F5F8"/>
          </w:tcPr>
          <w:p>
            <w:pPr>
              <w:spacing w:after="0"/>
            </w:pPr>
            <w:r>
              <w:rPr>
                <w:b w:val="0"/>
                <w:i w:val="0"/>
                <w:sz w:val="19"/>
              </w:rPr>
              <w:t>Prospective SECA-II arm D expanded-criteria cohort; ten recipients. Unlike SECA-I and SECA-II, patients with resectable pulmonary metastases or previous resection of pulmonary metastases were eligible. One recipient had a pulmonary metastasis resected eight years before transplantation (node-negative sigmoid primary, at most two liver metastases).</w:t>
            </w:r>
          </w:p>
        </w:tc>
        <w:tc>
          <w:tcPr>
            <w:tcW w:type="dxa" w:w="3360"/>
            <w:tcW w:w="4180" w:type="dxa"/>
            <w:shd w:val="clear" w:color="auto" w:fill="F1F5F8"/>
          </w:tcPr>
          <w:p>
            <w:pPr>
              <w:spacing w:after="0"/>
            </w:pPr>
            <w:r>
              <w:rPr>
                <w:b w:val="0"/>
                <w:i w:val="0"/>
                <w:sz w:val="19"/>
              </w:rPr>
              <w:t>Only two of ten were recurrence-free (23 and 26 months); one was the recipient with the previously resected lung metastasis. A second recipient had an ovarian metastasis removed with the primary 14 months before transplantation and relapsed in the lung at 5 months. Overall median DFS 4 months and OS 18 months; the lung was the first relapse site in six.</w:t>
            </w:r>
          </w:p>
          <w:p>
            <w:pPr>
              <w:spacing w:after="0"/>
            </w:pPr>
            <w:r>
              <w:rPr>
                <w:b w:val="0"/>
                <w:i/>
                <w:sz w:val="19"/>
              </w:rPr>
              <w:t>Limits: One relevant patient within a cohort that combined several adverse biological, anatomical and donor features; it cannot estimate the effect of prior lung disease.</w:t>
            </w:r>
          </w:p>
          <w:p>
            <w:pPr>
              <w:spacing w:after="0"/>
            </w:pPr>
            <w:r>
              <w:rPr>
                <w:b w:val="0"/>
                <w:i w:val="0"/>
                <w:color w:val="5A6069"/>
                <w:sz w:val="18"/>
              </w:rPr>
              <w:t>BJS Open 2020;4:467–477; Methods, Table 2 (patient 1) and Discussion.</w:t>
            </w:r>
          </w:p>
        </w:tc>
      </w:tr>
      <w:tr>
        <w:trPr>
          <w:cantSplit/>
        </w:trPr>
        <w:tc>
          <w:tcPr>
            <w:tcW w:type="dxa" w:w="3360"/>
            <w:tcW w:w="2000" w:type="dxa"/>
            <w:shd w:val="clear" w:color="auto" w:fill="FFFFFF"/>
          </w:tcPr>
          <w:p>
            <w:pPr>
              <w:spacing w:after="0"/>
            </w:pPr>
            <w:r>
              <w:rPr>
                <w:b/>
                <w:i w:val="0"/>
                <w:sz w:val="19"/>
              </w:rPr>
              <w:t>Hagness · SECA-I recurrence</w:t>
            </w:r>
          </w:p>
        </w:tc>
        <w:tc>
          <w:tcPr>
            <w:tcW w:type="dxa" w:w="3360"/>
            <w:tcW w:w="3900" w:type="dxa"/>
            <w:shd w:val="clear" w:color="auto" w:fill="FFFFFF"/>
          </w:tcPr>
          <w:p>
            <w:pPr>
              <w:spacing w:after="0"/>
            </w:pPr>
            <w:r>
              <w:rPr>
                <w:b w:val="0"/>
                <w:i w:val="0"/>
                <w:sz w:val="19"/>
              </w:rPr>
              <w:t>Prospective SECA-I cohort, 21 recipients; recurrence-pattern analysis with re-review of pre-transplant chest CT. Liver-only disease was required at inclusion.</w:t>
            </w:r>
          </w:p>
        </w:tc>
        <w:tc>
          <w:tcPr>
            <w:tcW w:type="dxa" w:w="3360"/>
            <w:tcW w:w="4180" w:type="dxa"/>
            <w:shd w:val="clear" w:color="auto" w:fill="FFFFFF"/>
          </w:tcPr>
          <w:p>
            <w:pPr>
              <w:spacing w:after="0"/>
            </w:pPr>
            <w:r>
              <w:rPr>
                <w:b w:val="0"/>
                <w:i w:val="0"/>
                <w:sz w:val="19"/>
              </w:rPr>
              <w:t>Thirteen of 16 single-site first recurrences were pulmonary; on retrospective review, 7 recipients already had untreated pulmonary metastases at transplantation and 6 were among the longest survivors.</w:t>
            </w:r>
          </w:p>
          <w:p>
            <w:pPr>
              <w:spacing w:after="0"/>
            </w:pPr>
            <w:r>
              <w:rPr>
                <w:b w:val="0"/>
                <w:i/>
                <w:sz w:val="19"/>
              </w:rPr>
              <w:t>Limits: Small cohort; the lesions were untreated and found retrospectively; no statistical test; not evidence that treated lung disease is safe.</w:t>
            </w:r>
          </w:p>
          <w:p>
            <w:pPr>
              <w:spacing w:after="0"/>
            </w:pPr>
            <w:r>
              <w:rPr>
                <w:b w:val="0"/>
                <w:i w:val="0"/>
                <w:color w:val="5A6069"/>
                <w:sz w:val="18"/>
              </w:rPr>
              <w:t>Ann Surg Oncol 2014; Results (full text).</w:t>
            </w:r>
          </w:p>
        </w:tc>
      </w:tr>
      <w:tr>
        <w:trPr>
          <w:cantSplit/>
        </w:trPr>
        <w:tc>
          <w:tcPr>
            <w:tcW w:type="dxa" w:w="3360"/>
            <w:tcW w:w="2000" w:type="dxa"/>
            <w:shd w:val="clear" w:color="auto" w:fill="F1F5F8"/>
          </w:tcPr>
          <w:p>
            <w:pPr>
              <w:spacing w:after="0"/>
            </w:pPr>
            <w:r>
              <w:rPr>
                <w:b/>
                <w:i w:val="0"/>
                <w:sz w:val="19"/>
              </w:rPr>
              <w:t>Grut · lung metastasis growth</w:t>
            </w:r>
          </w:p>
        </w:tc>
        <w:tc>
          <w:tcPr>
            <w:tcW w:type="dxa" w:w="3360"/>
            <w:tcW w:w="3900" w:type="dxa"/>
            <w:shd w:val="clear" w:color="auto" w:fill="F1F5F8"/>
          </w:tcPr>
          <w:p>
            <w:pPr>
              <w:spacing w:after="0"/>
            </w:pPr>
            <w:r>
              <w:rPr>
                <w:b w:val="0"/>
                <w:i w:val="0"/>
                <w:sz w:val="19"/>
              </w:rPr>
              <w:t>Case–control imaging study: 11 SECA recipients with 18 resected lung metastases versus 12 non-transplanted rectal cancer controls. Lung metastases arising after transplantation.</w:t>
            </w:r>
          </w:p>
        </w:tc>
        <w:tc>
          <w:tcPr>
            <w:tcW w:type="dxa" w:w="3360"/>
            <w:tcW w:w="4180" w:type="dxa"/>
            <w:shd w:val="clear" w:color="auto" w:fill="F1F5F8"/>
          </w:tcPr>
          <w:p>
            <w:pPr>
              <w:spacing w:after="0"/>
            </w:pPr>
            <w:r>
              <w:rPr>
                <w:b w:val="0"/>
                <w:i w:val="0"/>
                <w:sz w:val="19"/>
              </w:rPr>
              <w:t>Median tumour-volume doubling time 125 versus 130 days by diameter; five-year overall survival after first pulmonary resection 51% in the transplant group.</w:t>
            </w:r>
          </w:p>
          <w:p>
            <w:pPr>
              <w:spacing w:after="0"/>
            </w:pPr>
            <w:r>
              <w:rPr>
                <w:b w:val="0"/>
                <w:i/>
                <w:sz w:val="19"/>
              </w:rPr>
              <w:t>Limits: Small selected groups; addresses growth after transplantation, not eligibility after previous lung disease.</w:t>
            </w:r>
          </w:p>
          <w:p>
            <w:pPr>
              <w:spacing w:after="0"/>
            </w:pPr>
            <w:r>
              <w:rPr>
                <w:b w:val="0"/>
                <w:i w:val="0"/>
                <w:color w:val="5A6069"/>
                <w:sz w:val="18"/>
              </w:rPr>
              <w:t>Br J Surg; abstract.</w:t>
            </w:r>
          </w:p>
        </w:tc>
      </w:tr>
      <w:tr>
        <w:trPr>
          <w:cantSplit/>
        </w:trPr>
        <w:tc>
          <w:tcPr>
            <w:tcW w:type="dxa" w:w="3360"/>
            <w:tcW w:w="2000" w:type="dxa"/>
            <w:shd w:val="clear" w:color="auto" w:fill="FFFFFF"/>
          </w:tcPr>
          <w:p>
            <w:pPr>
              <w:spacing w:after="0"/>
            </w:pPr>
            <w:r>
              <w:rPr>
                <w:b/>
                <w:i w:val="0"/>
                <w:sz w:val="19"/>
              </w:rPr>
              <w:t>Dueland 2022 · lung resection after LT</w:t>
            </w:r>
          </w:p>
        </w:tc>
        <w:tc>
          <w:tcPr>
            <w:tcW w:type="dxa" w:w="3360"/>
            <w:tcW w:w="3900" w:type="dxa"/>
            <w:shd w:val="clear" w:color="auto" w:fill="FFFFFF"/>
          </w:tcPr>
          <w:p>
            <w:pPr>
              <w:spacing w:after="0"/>
            </w:pPr>
            <w:r>
              <w:rPr>
                <w:b w:val="0"/>
                <w:i w:val="0"/>
                <w:sz w:val="19"/>
              </w:rPr>
              <w:t>Oslo cohort: 14 of 55 recipients whose first relapse was pulmonary and treated by resection. Pre-transplant liver PET metabolic tumour volume (MTV) used for stratification.</w:t>
            </w:r>
          </w:p>
        </w:tc>
        <w:tc>
          <w:tcPr>
            <w:tcW w:type="dxa" w:w="3360"/>
            <w:tcW w:w="4180" w:type="dxa"/>
            <w:shd w:val="clear" w:color="auto" w:fill="FFFFFF"/>
          </w:tcPr>
          <w:p>
            <w:pPr>
              <w:spacing w:after="0"/>
            </w:pPr>
            <w:r>
              <w:rPr>
                <w:b w:val="0"/>
                <w:i w:val="0"/>
                <w:sz w:val="19"/>
              </w:rPr>
              <w:t>Ten-year overall survival from lung resection 64.5%; 85.7% with MTV &lt;70 cm³ versus 25.0% above. Eight had no evidence of disease 7–131 months after lung resection.</w:t>
            </w:r>
          </w:p>
          <w:p>
            <w:pPr>
              <w:spacing w:after="0"/>
            </w:pPr>
            <w:r>
              <w:rPr>
                <w:b w:val="0"/>
                <w:i/>
                <w:sz w:val="19"/>
              </w:rPr>
              <w:t>Limits: Post-transplant recurrence in a small selected group; does not test transplantation after treated lung disease.</w:t>
            </w:r>
          </w:p>
          <w:p>
            <w:pPr>
              <w:spacing w:after="0"/>
            </w:pPr>
            <w:r>
              <w:rPr>
                <w:b w:val="0"/>
                <w:i w:val="0"/>
                <w:color w:val="5A6069"/>
                <w:sz w:val="18"/>
              </w:rPr>
              <w:t>Cancers 2022;14:5042; Results.</w:t>
            </w:r>
          </w:p>
        </w:tc>
      </w:tr>
      <w:tr>
        <w:trPr>
          <w:cantSplit/>
        </w:trPr>
        <w:tc>
          <w:tcPr>
            <w:tcW w:type="dxa" w:w="3360"/>
            <w:tcW w:w="2000" w:type="dxa"/>
            <w:shd w:val="clear" w:color="auto" w:fill="F1F5F8"/>
          </w:tcPr>
          <w:p>
            <w:pPr>
              <w:spacing w:after="0"/>
            </w:pPr>
            <w:r>
              <w:rPr>
                <w:b/>
                <w:i w:val="0"/>
                <w:sz w:val="19"/>
              </w:rPr>
              <w:t>SECA-III registration</w:t>
            </w:r>
          </w:p>
        </w:tc>
        <w:tc>
          <w:tcPr>
            <w:tcW w:type="dxa" w:w="3360"/>
            <w:tcW w:w="3900" w:type="dxa"/>
            <w:shd w:val="clear" w:color="auto" w:fill="F1F5F8"/>
          </w:tcPr>
          <w:p>
            <w:pPr>
              <w:spacing w:after="0"/>
            </w:pPr>
            <w:r>
              <w:rPr>
                <w:b w:val="0"/>
                <w:i w:val="0"/>
                <w:sz w:val="19"/>
              </w:rPr>
              <w:t>Oslo randomized trial of transplantation versus chemotherapy or other treatment after progression on, or intolerance of, first-line chemotherapy; target 30. Allows resectable lung lesions, all &lt;15 mm. Excludes previous resection of local relapse or non-hepatic metastasis within the last 2 years or resection of pulmonary or liver hilus lymph node metastases in the last year, and previously diagnosed bone, CNS or thoracic/abdominal nodal metastases.</w:t>
            </w:r>
          </w:p>
        </w:tc>
        <w:tc>
          <w:tcPr>
            <w:tcW w:type="dxa" w:w="3360"/>
            <w:tcW w:w="4180" w:type="dxa"/>
            <w:shd w:val="clear" w:color="auto" w:fill="F1F5F8"/>
          </w:tcPr>
          <w:p>
            <w:pPr>
              <w:spacing w:after="0"/>
            </w:pPr>
            <w:r>
              <w:rPr>
                <w:b w:val="0"/>
                <w:i w:val="0"/>
                <w:sz w:val="19"/>
              </w:rPr>
              <w:t>Recruiting; no results posted.</w:t>
            </w:r>
          </w:p>
          <w:p>
            <w:pPr>
              <w:spacing w:after="0"/>
            </w:pPr>
            <w:r>
              <w:rPr>
                <w:b w:val="0"/>
                <w:i/>
                <w:sz w:val="19"/>
              </w:rPr>
              <w:t>Limits: Registry wording for a different population (progression on first-line therapy); eligibility may change.</w:t>
            </w:r>
          </w:p>
          <w:p>
            <w:pPr>
              <w:spacing w:after="0"/>
            </w:pPr>
            <w:r>
              <w:rPr>
                <w:b w:val="0"/>
                <w:i w:val="0"/>
                <w:color w:val="5A6069"/>
                <w:sz w:val="18"/>
              </w:rPr>
              <w:t>ClinicalTrials.gov NCT03494946, eligibility criteria (current version).</w:t>
            </w:r>
          </w:p>
        </w:tc>
      </w:tr>
      <w:tr>
        <w:trPr>
          <w:cantSplit/>
        </w:trPr>
        <w:tc>
          <w:tcPr>
            <w:tcW w:type="dxa" w:w="3360"/>
            <w:tcW w:w="2000" w:type="dxa"/>
            <w:shd w:val="clear" w:color="auto" w:fill="FFFFFF"/>
          </w:tcPr>
          <w:p>
            <w:pPr>
              <w:spacing w:after="0"/>
            </w:pPr>
            <w:r>
              <w:rPr>
                <w:b/>
                <w:i w:val="0"/>
                <w:sz w:val="19"/>
              </w:rPr>
              <w:t>Fukumitsu 2024 · Japanese LDLT protocol</w:t>
            </w:r>
          </w:p>
        </w:tc>
        <w:tc>
          <w:tcPr>
            <w:tcW w:type="dxa" w:w="3360"/>
            <w:tcW w:w="3900" w:type="dxa"/>
            <w:shd w:val="clear" w:color="auto" w:fill="FFFFFF"/>
          </w:tcPr>
          <w:p>
            <w:pPr>
              <w:spacing w:after="0"/>
            </w:pPr>
            <w:r>
              <w:rPr>
                <w:b w:val="0"/>
                <w:i w:val="0"/>
                <w:sz w:val="19"/>
              </w:rPr>
              <w:t>Japanese multicentre single-arm living-donor transplantation protocol (11 university hospitals; target 23). No distant metastasis except the liver, but patients with no more than three lung metastases and no recurrence for more than six months after treatment are eligible; RAS and BRAF mutations are not exclusions; central eligibility review. No size limit is set.</w:t>
            </w:r>
          </w:p>
        </w:tc>
        <w:tc>
          <w:tcPr>
            <w:tcW w:type="dxa" w:w="3360"/>
            <w:tcW w:w="4180" w:type="dxa"/>
            <w:shd w:val="clear" w:color="auto" w:fill="FFFFFF"/>
          </w:tcPr>
          <w:p>
            <w:pPr>
              <w:spacing w:after="0"/>
            </w:pPr>
            <w:r>
              <w:rPr>
                <w:b w:val="0"/>
                <w:i w:val="0"/>
                <w:sz w:val="19"/>
              </w:rPr>
              <w:t>Protocol only; outcomes not yet reported.</w:t>
            </w:r>
          </w:p>
          <w:p>
            <w:pPr>
              <w:spacing w:after="0"/>
            </w:pPr>
            <w:r>
              <w:rPr>
                <w:b w:val="0"/>
                <w:i/>
                <w:sz w:val="19"/>
              </w:rPr>
              <w:t>Limits: The authors describe the criteria as relatively broad; no control arm.</w:t>
            </w:r>
          </w:p>
          <w:p>
            <w:pPr>
              <w:spacing w:after="0"/>
            </w:pPr>
            <w:r>
              <w:rPr>
                <w:b w:val="0"/>
                <w:i w:val="0"/>
                <w:color w:val="5A6069"/>
                <w:sz w:val="18"/>
              </w:rPr>
              <w:t>BMJ Open 2024; eligibility criteria and strengths/limitations.</w:t>
            </w:r>
          </w:p>
        </w:tc>
      </w:tr>
      <w:tr>
        <w:trPr>
          <w:cantSplit/>
        </w:trPr>
        <w:tc>
          <w:tcPr>
            <w:tcW w:type="dxa" w:w="3360"/>
            <w:tcW w:w="2000" w:type="dxa"/>
            <w:shd w:val="clear" w:color="auto" w:fill="F1F5F8"/>
          </w:tcPr>
          <w:p>
            <w:pPr>
              <w:spacing w:after="0"/>
            </w:pPr>
            <w:r>
              <w:rPr>
                <w:b/>
                <w:i w:val="0"/>
                <w:sz w:val="19"/>
              </w:rPr>
              <w:t>PulMiCC 2020</w:t>
            </w:r>
          </w:p>
        </w:tc>
        <w:tc>
          <w:tcPr>
            <w:tcW w:type="dxa" w:w="3360"/>
            <w:tcW w:w="3900" w:type="dxa"/>
            <w:shd w:val="clear" w:color="auto" w:fill="F1F5F8"/>
          </w:tcPr>
          <w:p>
            <w:pPr>
              <w:spacing w:after="0"/>
            </w:pPr>
            <w:r>
              <w:rPr>
                <w:b w:val="0"/>
                <w:i w:val="0"/>
                <w:sz w:val="19"/>
              </w:rPr>
              <w:t>Randomized trial of pulmonary metastasectomy versus no metastasectomy; 93 randomized at 14 hospitals. One to six resectable lung metastases at a median 2.7 years after colorectal resection; 29% had prior liver metastasectomy.</w:t>
            </w:r>
          </w:p>
        </w:tc>
        <w:tc>
          <w:tcPr>
            <w:tcW w:type="dxa" w:w="3360"/>
            <w:tcW w:w="4180" w:type="dxa"/>
            <w:shd w:val="clear" w:color="auto" w:fill="F1F5F8"/>
          </w:tcPr>
          <w:p>
            <w:pPr>
              <w:spacing w:after="0"/>
            </w:pPr>
            <w:r>
              <w:rPr>
                <w:b w:val="0"/>
                <w:i w:val="0"/>
                <w:sz w:val="19"/>
              </w:rPr>
              <w:t>Adjusted hazard ratio for death within five years 0.87 (0.51–1.48; unadjusted 0.93, 0.56–1.56); five-year survival 36.4% with metastasectomy versus 29.6% without.</w:t>
            </w:r>
          </w:p>
          <w:p>
            <w:pPr>
              <w:spacing w:after="0"/>
            </w:pPr>
            <w:r>
              <w:rPr>
                <w:b w:val="0"/>
                <w:i/>
                <w:sz w:val="19"/>
              </w:rPr>
              <w:t>Limits: Closed at 31% of the planned 300; inconclusive; not a transplant population.</w:t>
            </w:r>
          </w:p>
          <w:p>
            <w:pPr>
              <w:spacing w:after="0"/>
            </w:pPr>
            <w:r>
              <w:rPr>
                <w:b w:val="0"/>
                <w:i w:val="0"/>
                <w:color w:val="5A6069"/>
                <w:sz w:val="18"/>
              </w:rPr>
              <w:t>Colorectal Dis 2020; Results (full text).</w:t>
            </w:r>
          </w:p>
        </w:tc>
      </w:tr>
      <w:tr>
        <w:trPr>
          <w:cantSplit/>
        </w:trPr>
        <w:tc>
          <w:tcPr>
            <w:tcW w:type="dxa" w:w="3360"/>
            <w:tcW w:w="2000" w:type="dxa"/>
            <w:shd w:val="clear" w:color="auto" w:fill="FFFFFF"/>
          </w:tcPr>
          <w:p>
            <w:pPr>
              <w:spacing w:after="0"/>
            </w:pPr>
            <w:r>
              <w:rPr>
                <w:b/>
                <w:i w:val="0"/>
                <w:sz w:val="19"/>
              </w:rPr>
              <w:t>Salah 2014 · lung metastasectomy after liver resection</w:t>
            </w:r>
          </w:p>
        </w:tc>
        <w:tc>
          <w:tcPr>
            <w:tcW w:type="dxa" w:w="3360"/>
            <w:tcW w:w="3900" w:type="dxa"/>
            <w:shd w:val="clear" w:color="auto" w:fill="FFFFFF"/>
          </w:tcPr>
          <w:p>
            <w:pPr>
              <w:spacing w:after="0"/>
            </w:pPr>
            <w:r>
              <w:rPr>
                <w:b w:val="0"/>
                <w:i w:val="0"/>
                <w:sz w:val="19"/>
              </w:rPr>
              <w:t>Pooled individual-patient analysis of 146 patients undergoing pulmonary metastasectomy after previous curative liver resection (five studies). Lung metastases detected a median 23 months after liver resection.</w:t>
            </w:r>
          </w:p>
        </w:tc>
        <w:tc>
          <w:tcPr>
            <w:tcW w:type="dxa" w:w="3360"/>
            <w:tcW w:w="4180" w:type="dxa"/>
            <w:shd w:val="clear" w:color="auto" w:fill="FFFFFF"/>
          </w:tcPr>
          <w:p>
            <w:pPr>
              <w:spacing w:after="0"/>
            </w:pPr>
            <w:r>
              <w:rPr>
                <w:b w:val="0"/>
                <w:i w:val="0"/>
                <w:sz w:val="19"/>
              </w:rPr>
              <w:t>Five-year overall survival 54.4% and recurrence-free survival 29.3% from lung resection; thoracic lymph-node involvement was the only independent adverse factor (HR 4.86, 95% CI 1.56–15.14).</w:t>
            </w:r>
          </w:p>
          <w:p>
            <w:pPr>
              <w:spacing w:after="0"/>
            </w:pPr>
            <w:r>
              <w:rPr>
                <w:b w:val="0"/>
                <w:i/>
                <w:sz w:val="19"/>
              </w:rPr>
              <w:t>Limits: Retrospective selected surgical series; not transplant recipients.</w:t>
            </w:r>
          </w:p>
          <w:p>
            <w:pPr>
              <w:spacing w:after="0"/>
            </w:pPr>
            <w:r>
              <w:rPr>
                <w:b w:val="0"/>
                <w:i w:val="0"/>
                <w:color w:val="5A6069"/>
                <w:sz w:val="18"/>
              </w:rPr>
              <w:t>Ann Surg Oncol; abstract.</w:t>
            </w:r>
          </w:p>
        </w:tc>
      </w:tr>
      <w:tr>
        <w:trPr>
          <w:cantSplit/>
        </w:trPr>
        <w:tc>
          <w:tcPr>
            <w:tcW w:type="dxa" w:w="3360"/>
            <w:tcW w:w="2000" w:type="dxa"/>
            <w:shd w:val="clear" w:color="auto" w:fill="F1F5F8"/>
          </w:tcPr>
          <w:p>
            <w:pPr>
              <w:spacing w:after="0"/>
            </w:pPr>
            <w:r>
              <w:rPr>
                <w:b/>
                <w:i w:val="0"/>
                <w:sz w:val="19"/>
              </w:rPr>
              <w:t>Hwang 2014 · resection with extrahepatic disease</w:t>
            </w:r>
          </w:p>
        </w:tc>
        <w:tc>
          <w:tcPr>
            <w:tcW w:type="dxa" w:w="3360"/>
            <w:tcW w:w="3900" w:type="dxa"/>
            <w:shd w:val="clear" w:color="auto" w:fill="F1F5F8"/>
          </w:tcPr>
          <w:p>
            <w:pPr>
              <w:spacing w:after="0"/>
            </w:pPr>
            <w:r>
              <w:rPr>
                <w:b w:val="0"/>
                <w:i w:val="0"/>
                <w:sz w:val="19"/>
              </w:rPr>
              <w:t>Systematic review of liver resection for CRLM with extrahepatic disease: 50 studies, 3481 patients. Hepatic resection in the presence of extrahepatic disease; heterogeneous timing and treatment.</w:t>
            </w:r>
          </w:p>
        </w:tc>
        <w:tc>
          <w:tcPr>
            <w:tcW w:type="dxa" w:w="3360"/>
            <w:tcW w:w="4180" w:type="dxa"/>
            <w:shd w:val="clear" w:color="auto" w:fill="F1F5F8"/>
          </w:tcPr>
          <w:p>
            <w:pPr>
              <w:spacing w:after="0"/>
            </w:pPr>
            <w:r>
              <w:rPr>
                <w:b w:val="0"/>
                <w:i w:val="0"/>
                <w:sz w:val="19"/>
              </w:rPr>
              <w:t>Median survival by extrahepatic site: lung 45 months, portal or para-aortic nodes 26 months, peritoneum 29 months.</w:t>
            </w:r>
          </w:p>
          <w:p>
            <w:pPr>
              <w:spacing w:after="0"/>
            </w:pPr>
            <w:r>
              <w:rPr>
                <w:b w:val="0"/>
                <w:i/>
                <w:sz w:val="19"/>
              </w:rPr>
              <w:t>Limits: Non-transplant, heterogeneous observational studies.</w:t>
            </w:r>
          </w:p>
          <w:p>
            <w:pPr>
              <w:spacing w:after="0"/>
            </w:pPr>
            <w:r>
              <w:rPr>
                <w:b w:val="0"/>
                <w:i w:val="0"/>
                <w:color w:val="5A6069"/>
                <w:sz w:val="18"/>
              </w:rPr>
              <w:t>Eur J Cancer 2014; abstract.</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Official OPTN/NLRB guidance: Adult MELD Exceptions for Transplant Oncology. CRLM exclusions for an initial exception: extrahepatic disease after primary tumor resection (including lymphadenopathy outside the primary lymph-node resection) and local relapse. Extension requires no development of extrahepatic disease. Staging: CT/MRI of chest, abdomen and pelvis and PET within one month of the initial request.</w:t>
            </w:r>
          </w:p>
        </w:tc>
        <w:tc>
          <w:tcPr>
            <w:tcW w:type="dxa" w:w="3360"/>
            <w:tcW w:w="4180" w:type="dxa"/>
            <w:shd w:val="clear" w:color="auto" w:fill="FFFFFF"/>
          </w:tcPr>
          <w:p>
            <w:pPr>
              <w:spacing w:after="0"/>
            </w:pPr>
            <w:r>
              <w:rPr>
                <w:b w:val="0"/>
                <w:i w:val="0"/>
                <w:sz w:val="19"/>
              </w:rPr>
              <w:t>Allocation guidance; no outcome data.</w:t>
            </w:r>
          </w:p>
          <w:p>
            <w:pPr>
              <w:spacing w:after="0"/>
            </w:pPr>
            <w:r>
              <w:rPr>
                <w:b w:val="0"/>
                <w:i/>
                <w:sz w:val="19"/>
              </w:rPr>
              <w:t>Limits: Governs MELD-exception review, not clinical suitability or living-donor eligibility.</w:t>
            </w:r>
          </w:p>
          <w:p>
            <w:pPr>
              <w:spacing w:after="0"/>
            </w:pPr>
            <w:r>
              <w:rPr>
                <w:b w:val="0"/>
                <w:i w:val="0"/>
                <w:color w:val="5A6069"/>
                <w:sz w:val="18"/>
              </w:rPr>
              <w:t>Official PDF, CRLM section.</w:t>
            </w:r>
          </w:p>
        </w:tc>
      </w:tr>
      <w:tr>
        <w:trPr>
          <w:cantSplit/>
        </w:trPr>
        <w:tc>
          <w:tcPr>
            <w:tcW w:type="dxa" w:w="3360"/>
            <w:tcW w:w="2000" w:type="dxa"/>
            <w:shd w:val="clear" w:color="auto" w:fill="F1F5F8"/>
          </w:tcPr>
          <w:p>
            <w:pPr>
              <w:spacing w:after="0"/>
            </w:pPr>
            <w:r>
              <w:rPr>
                <w:b/>
                <w:i w:val="0"/>
                <w:sz w:val="19"/>
              </w:rPr>
              <w:t>Dueland 2023 · Oslo long-term</w:t>
            </w:r>
          </w:p>
        </w:tc>
        <w:tc>
          <w:tcPr>
            <w:tcW w:type="dxa" w:w="3360"/>
            <w:tcW w:w="3900" w:type="dxa"/>
            <w:shd w:val="clear" w:color="auto" w:fill="F1F5F8"/>
          </w:tcPr>
          <w:p>
            <w:pPr>
              <w:spacing w:after="0"/>
            </w:pPr>
            <w:r>
              <w:rPr>
                <w:b w:val="0"/>
                <w:i w:val="0"/>
                <w:sz w:val="19"/>
              </w:rPr>
              <w:t>Oslo pooled cohort; 72 listed, 61 transplanted. PET-CT before transplantation; prior extrahepatic disease not analysed.</w:t>
            </w:r>
          </w:p>
        </w:tc>
        <w:tc>
          <w:tcPr>
            <w:tcW w:type="dxa" w:w="3360"/>
            <w:tcW w:w="4180" w:type="dxa"/>
            <w:shd w:val="clear" w:color="auto" w:fill="F1F5F8"/>
          </w:tcPr>
          <w:p>
            <w:pPr>
              <w:spacing w:after="0"/>
            </w:pPr>
            <w:r>
              <w:rPr>
                <w:b w:val="0"/>
                <w:i w:val="0"/>
                <w:sz w:val="19"/>
              </w:rPr>
              <w:t>10 of 72 listed were not transplanted because of extrahepatic disease, 7 with hilar nodal metastasis on frozen section at laparotomy; intention-to-treat 5-year survival 42.6%.</w:t>
            </w:r>
          </w:p>
          <w:p>
            <w:pPr>
              <w:spacing w:after="0"/>
            </w:pPr>
            <w:r>
              <w:rPr>
                <w:b w:val="0"/>
                <w:i/>
                <w:sz w:val="19"/>
              </w:rPr>
              <w:t>Limits: No control group.</w:t>
            </w:r>
          </w:p>
          <w:p>
            <w:pPr>
              <w:spacing w:after="0"/>
            </w:pPr>
            <w:r>
              <w:rPr>
                <w:b w:val="0"/>
                <w:i w:val="0"/>
                <w:color w:val="5A6069"/>
                <w:sz w:val="18"/>
              </w:rPr>
              <w:t>JAMA Surg 2023; Results (full text).</w:t>
            </w:r>
          </w:p>
        </w:tc>
      </w:tr>
      <w:tr>
        <w:trPr>
          <w:cantSplit/>
        </w:trPr>
        <w:tc>
          <w:tcPr>
            <w:tcW w:type="dxa" w:w="3360"/>
            <w:tcW w:w="2000" w:type="dxa"/>
            <w:shd w:val="clear" w:color="auto" w:fill="FFFFFF"/>
          </w:tcPr>
          <w:p>
            <w:pPr>
              <w:spacing w:after="0"/>
            </w:pPr>
            <w:r>
              <w:rPr>
                <w:b/>
                <w:i w:val="0"/>
                <w:sz w:val="19"/>
              </w:rPr>
              <w:t>Hernandez-Alejandro 2022 · North American LDLT</w:t>
            </w:r>
          </w:p>
        </w:tc>
        <w:tc>
          <w:tcPr>
            <w:tcW w:type="dxa" w:w="3360"/>
            <w:tcW w:w="3900" w:type="dxa"/>
            <w:shd w:val="clear" w:color="auto" w:fill="FFFFFF"/>
          </w:tcPr>
          <w:p>
            <w:pPr>
              <w:spacing w:after="0"/>
            </w:pPr>
            <w:r>
              <w:rPr>
                <w:b w:val="0"/>
                <w:i w:val="0"/>
                <w:sz w:val="19"/>
              </w:rPr>
              <w:t>North American living-donor series; 91 evaluated, 10 transplanted. Liver-confined disease with sustained control; abdominal exploration before the donor operation.</w:t>
            </w:r>
          </w:p>
        </w:tc>
        <w:tc>
          <w:tcPr>
            <w:tcW w:type="dxa" w:w="3360"/>
            <w:tcW w:w="4180" w:type="dxa"/>
            <w:shd w:val="clear" w:color="auto" w:fill="FFFFFF"/>
          </w:tcPr>
          <w:p>
            <w:pPr>
              <w:spacing w:after="0"/>
            </w:pPr>
            <w:r>
              <w:rPr>
                <w:b w:val="0"/>
                <w:i w:val="0"/>
                <w:sz w:val="19"/>
              </w:rPr>
              <w:t>1 of 10 had PET-negative portal nodal metastasis in the explant and recurred in the peritoneum at 121 days.</w:t>
            </w:r>
          </w:p>
          <w:p>
            <w:pPr>
              <w:spacing w:after="0"/>
            </w:pPr>
            <w:r>
              <w:rPr>
                <w:b w:val="0"/>
                <w:i/>
                <w:sz w:val="19"/>
              </w:rPr>
              <w:t>Limits: Ten patients.</w:t>
            </w:r>
          </w:p>
          <w:p>
            <w:pPr>
              <w:spacing w:after="0"/>
            </w:pPr>
            <w:r>
              <w:rPr>
                <w:b w:val="0"/>
                <w:i w:val="0"/>
                <w:color w:val="5A6069"/>
                <w:sz w:val="18"/>
              </w:rPr>
              <w:t>JAMA Surg 2022; Table 4 and Results (full text).</w:t>
            </w:r>
          </w:p>
        </w:tc>
      </w:tr>
    </w:tbl>
    <w:p>
      <w:pPr>
        <w:spacing w:after="40"/>
      </w:pPr>
    </w:p>
    <w:p>
      <w:pPr>
        <w:pStyle w:val="Heading3"/>
        <w:keepNext/>
        <w:spacing w:before="120" w:after="80"/>
      </w:pPr>
      <w:r>
        <w:rPr>
          <w:b w:val="0"/>
          <w:i w:val="0"/>
        </w:rPr>
        <w:t>Our proposed selection (OPEN)</w:t>
      </w:r>
    </w:p>
    <w:p>
      <w:pPr>
        <w:spacing w:after="80"/>
      </w:pPr>
      <w:r>
        <w:rPr>
          <w:b w:val="0"/>
          <w:i w:val="0"/>
        </w:rPr>
        <w:t>Keep previously treated extrahepatic disease closed in the initial CRLM pathway. Propose one narrow study stratum for limited, completely treated lung-only metastases; every other site stays closed.</w:t>
      </w:r>
    </w:p>
    <w:p>
      <w:pPr>
        <w:numPr>
          <w:ilvl w:val="0"/>
          <w:numId w:val="5"/>
        </w:numPr>
        <w:spacing w:after="40"/>
      </w:pPr>
      <w:r>
        <w:rPr>
          <w:b w:val="0"/>
          <w:i w:val="0"/>
        </w:rPr>
        <w:t>Default: extrahepatic metastasis after primary resection (including nodes outside the primary resection field), extrahepatic metastasis removed with the primary, and local relapse are outside the initial pathway, even after resection, ablation, radiotherapy or complete response. Response to systemic therapy alone never counts as clearance.</w:t>
      </w:r>
    </w:p>
    <w:p>
      <w:pPr>
        <w:numPr>
          <w:ilvl w:val="0"/>
          <w:numId w:val="5"/>
        </w:numPr>
        <w:spacing w:after="40"/>
      </w:pPr>
      <w:r>
        <w:rPr>
          <w:b w:val="0"/>
          <w:i w:val="0"/>
        </w:rPr>
        <w:t>Proposed lung-only study stratum (not active; needs its own protocol, institutional and IRB approval, and a living-donor or individually reviewed allocation route): pulmonary metastases only, at most three lesions in total, each completely treated with curative intent (R0 resection preferred; stereotactic radiotherapy or ablation only with documented local control), no thoracic nodal involvement on pathology or PET-CT, and no recurrence outside the liver for ≥12 months after the last lung treatment.</w:t>
      </w:r>
    </w:p>
    <w:p>
      <w:pPr>
        <w:numPr>
          <w:ilvl w:val="0"/>
          <w:numId w:val="5"/>
        </w:numPr>
        <w:spacing w:after="40"/>
      </w:pPr>
      <w:r>
        <w:rPr>
          <w:b w:val="0"/>
          <w:i w:val="0"/>
        </w:rPr>
        <w:t>The stratum adds no other relaxation: every CRLM-B3 limit still applies (BRAF wild type, MSS/pMMR, R0 primary, CEA &lt;80 ng/mL, no pretreatment liver lesion &gt;10 cm, documented disease control), and chest CT and PET-CT within one month show no disease outside the liver. Do not combine it with another expansion.</w:t>
      </w:r>
    </w:p>
    <w:p>
      <w:pPr>
        <w:numPr>
          <w:ilvl w:val="0"/>
          <w:numId w:val="5"/>
        </w:numPr>
        <w:spacing w:after="40"/>
      </w:pPr>
      <w:r>
        <w:rPr>
          <w:b w:val="0"/>
          <w:i w:val="0"/>
        </w:rPr>
        <w:t>Hilar nodes: frozen section of hilar nodes before implantation, and before donor hepatectomy in living donation; a positive node ends the transplant. In Oslo, 7 of 72 listed patients were stopped at laparotomy for hilar nodal metastasis.</w:t>
      </w:r>
    </w:p>
    <w:p>
      <w:pPr>
        <w:numPr>
          <w:ilvl w:val="0"/>
          <w:numId w:val="5"/>
        </w:numPr>
        <w:spacing w:after="40"/>
      </w:pPr>
      <w:r>
        <w:rPr>
          <w:b w:val="0"/>
          <w:i w:val="0"/>
        </w:rPr>
        <w:t>Closed, with no proposed stratum: nodal disease outside the primary resection field; peritoneal, ovarian, adrenal, bone, brain or other non-lung sites; local relapse; more than three lung lesions; thoracic nodal involvement; or recurrence after lung treatment. A new or indeterminate extrahepatic lesion during evaluation or on the waiting list is HOLD for characterization and restaging; it does not enter the stratum.</w:t>
      </w:r>
    </w:p>
    <w:p>
      <w:pPr>
        <w:spacing w:after="80"/>
      </w:pPr>
      <w:r>
        <w:rPr>
          <w:b/>
          <w:i w:val="0"/>
        </w:rPr>
        <w:t xml:space="preserve">Why: </w:t>
      </w:r>
      <w:r>
        <w:rPr>
          <w:b w:val="0"/>
          <w:i w:val="0"/>
        </w:rPr>
        <w:t>Lung-limited colorectal metastasis is the most indolent extrahepatic pattern, and the transplant experience points the same way. On retrospective review of SECA-I chest CT, 7 of 21 recipients already had untreated pulmonary metastases at transplantation, and 6 of them were among the longest survivors; no statistical test was reported. Lung metastases after transplantation grew no faster than in non-transplanted controls (median doubling time 125 versus 130 days), and the 14 Oslo recipients whose lung recurrence was resected had 64.5% ten-year survival from lung resection. IHPBA advises that isolated pulmonary recurrence after transplantation be considered for resection. Newer protocols admit limited, treated lung disease: SECA-III excludes recent resection of non-hepatic metastases and any previous bone, CNS or thoracic or abdominal nodal metastasis, and a Japanese living-donor study accepts up to three treated lung metastases without recurrence for more than six months. This supports studying a lung-only stratum, not opening it.</w:t>
      </w:r>
    </w:p>
    <w:p>
      <w:pPr>
        <w:spacing w:after="80"/>
      </w:pPr>
      <w:r>
        <w:rPr>
          <w:b/>
          <w:i w:val="0"/>
        </w:rPr>
        <w:t xml:space="preserve">Against, or uncertain: </w:t>
      </w:r>
      <w:r>
        <w:rPr>
          <w:b w:val="0"/>
          <w:i w:val="0"/>
        </w:rPr>
        <w:t>Direct evidence is one patient. In SECA-II arm D, the recipient whose lung metastasis had been resected eight years earlier was recurrence-free at 23 months, but the arm overall did poorly (median DFS 4 months, OS 18 months) because several adverse features were combined. IHPBA states there is no evidence to support transplantation in patients who present with or subsequently develop extrahepatic metastases; TransMet excluded prior or current extrahepatic disease and local recurrence; and NLRB excludes post-resection extrahepatic disease. In PulMiCC, lung metastasectomy did not clearly improve survival (HR 0.93, 95% CI 0.56–1.56), so successful lung treatment may select favourable biology rather than cure it. After liver resection, nodal and peritoneal extrahepatic disease had markedly shorter survival than lung disease (median 26 and 29 versus 45 months).</w:t>
      </w:r>
    </w:p>
    <w:p>
      <w:pPr>
        <w:spacing w:after="80"/>
      </w:pPr>
      <w:r>
        <w:rPr>
          <w:b/>
          <w:i w:val="0"/>
        </w:rPr>
        <w:t xml:space="preserve">Certainty: </w:t>
      </w:r>
      <w:r>
        <w:rPr>
          <w:b w:val="0"/>
          <w:i w:val="0"/>
        </w:rPr>
        <w:t>Very low for transplantation after previously treated extrahepatic disease (one reported recipient); low for the indirect inference that lung-limited disease behaves indolently after transplantation; no transplant evidence for previous nodal, peritoneal or other sites.</w:t>
      </w:r>
    </w:p>
    <w:p>
      <w:pPr>
        <w:spacing w:after="80"/>
      </w:pPr>
      <w:r>
        <w:rPr>
          <w:b/>
          <w:i w:val="0"/>
        </w:rPr>
        <w:t xml:space="preserve">Tests and records: </w:t>
      </w:r>
      <w:r>
        <w:rPr>
          <w:b w:val="0"/>
          <w:i w:val="0"/>
        </w:rPr>
        <w:t>Dated history of every extrahepatic site: imaging, operative and pathology reports, radiotherapy or ablation records and margins; thoracic nodal status; number and size of lung lesions; interval from primary resection to lung disease and from the last lung treatment to evaluation; chest CT and PET-CT within one month; dated CEA series. Plan intraoperative hilar node frozen section before implantation (and before donor hepatectomy).</w:t>
      </w:r>
    </w:p>
    <w:p>
      <w:pPr>
        <w:spacing w:after="80"/>
      </w:pPr>
      <w:r>
        <w:rPr>
          <w:b/>
          <w:i w:val="0"/>
        </w:rPr>
        <w:t xml:space="preserve">Allocation: </w:t>
      </w:r>
      <w:r>
        <w:rPr>
          <w:b w:val="0"/>
          <w:i w:val="0"/>
        </w:rPr>
        <w:t>NLRB guidance excludes extrahepatic disease after primary tumor resection (including lymphadenopathy outside the primary lymph-node resection) and local relapse from an initial CRLM MELD exception, and requires no development of extrahepatic disease for extension. A standardized deceased-donor exception is therefore not available. The lung-only stratum would need living-donor transplantation within an approved study or an individual NLRB request that states the deviation; this proposal implies neither.</w:t>
      </w:r>
    </w:p>
    <w:p>
      <w:pPr>
        <w:spacing w:after="40"/>
      </w:pPr>
      <w:r>
        <w:rPr>
          <w:b/>
          <w:i w:val="0"/>
        </w:rPr>
        <w:t xml:space="preserve">Basis for the proposed thresholds: </w:t>
      </w:r>
    </w:p>
    <w:p>
      <w:pPr>
        <w:numPr>
          <w:ilvl w:val="0"/>
          <w:numId w:val="5"/>
        </w:numPr>
        <w:spacing w:after="40"/>
      </w:pPr>
      <w:r>
        <w:rPr>
          <w:b w:val="0"/>
          <w:i w:val="0"/>
        </w:rPr>
        <w:t>At most three lung lesions follows the Japanese living-donor protocol. Twelve months without recurrence after lung treatment sits between that protocol (more than six months) and SECA-III, which excludes resection of non-hepatic metastases within the last two years and of pulmonary or liver-hilum lymph-node metastases within the last year. Excluding thoracic nodal involvement reflects its strong adverse effect after lung metastasectomy in patients with previously resected liver metastases (HR 4.86). None of these limits has been tested in transplant recipients.</w:t>
      </w:r>
    </w:p>
    <w:p>
      <w:pPr>
        <w:pStyle w:val="Heading3"/>
        <w:keepNext/>
        <w:spacing w:before="120" w:after="80"/>
      </w:pPr>
      <w:r>
        <w:rPr>
          <w:b w:val="0"/>
          <w:i w:val="0"/>
        </w:rPr>
        <w:t>CRLM-B5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Shared approval requirements (all pathways)</w:t>
      </w:r>
    </w:p>
    <w:p>
      <w:pPr>
        <w:spacing w:after="80"/>
      </w:pPr>
      <w:r>
        <w:rPr>
          <w:b w:val="0"/>
          <w:i w:val="0"/>
        </w:rPr>
        <w:t>Recipient selection, allocation, donor protection and institutional study approval are separate decisions. These apply to every high-risk proposal.</w:t>
      </w:r>
    </w:p>
    <w:p>
      <w:pPr>
        <w:pStyle w:val="Heading2"/>
        <w:keepNext/>
        <w:spacing w:before="20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3"/>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3"/>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3"/>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3"/>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3"/>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3"/>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3"/>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3"/>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24">
        <w:r>
          <w:rPr>
            <w:color w:val="0563C1"/>
            <w:u w:val="single"/>
            <w:sz w:val="19"/>
          </w:rPr>
          <w:t xml:space="preserve">PubMed</w:t>
        </w:r>
      </w:hyperlink>
      <w:r>
        <w:rPr>
          <w:b w:val="0"/>
          <w:i w:val="0"/>
          <w:sz w:val="19"/>
        </w:rPr>
        <w:t xml:space="preserve"> · </w:t>
      </w:r>
      <w:hyperlink r:id="rId25">
        <w:r>
          <w:rPr>
            <w:color w:val="0563C1"/>
            <w:u w:val="single"/>
            <w:sz w:val="19"/>
          </w:rPr>
          <w:t xml:space="preserve">Journal</w:t>
        </w:r>
      </w:hyperlink>
      <w:r>
        <w:rPr>
          <w:b w:val="0"/>
          <w:i w:val="0"/>
          <w:sz w:val="19"/>
        </w:rPr>
        <w:t xml:space="preserve"> · </w:t>
      </w:r>
      <w:hyperlink r:id="rId26">
        <w:r>
          <w:rPr>
            <w:color w:val="0563C1"/>
            <w:u w:val="single"/>
            <w:sz w:val="19"/>
          </w:rPr>
          <w:t xml:space="preserve">Free full text</w:t>
        </w:r>
      </w:hyperlink>
      <w:r>
        <w:rPr>
          <w:b w:val="0"/>
          <w:i w:val="0"/>
          <w:sz w:val="19"/>
        </w:rPr>
        <w:t xml:space="preserve"> · </w:t>
      </w:r>
      <w:hyperlink r:id="rId27">
        <w:r>
          <w:rPr>
            <w:color w:val="0563C1"/>
            <w:u w:val="single"/>
            <w:sz w:val="19"/>
          </w:rPr>
          <w:t xml:space="preserve">Source</w:t>
        </w:r>
      </w:hyperlink>
      <w:r>
        <w:rPr>
          <w:b w:val="0"/>
          <w:i w:val="0"/>
          <w:sz w:val="19"/>
        </w:rPr>
        <w:t xml:space="preserve"> · </w:t>
      </w:r>
      <w:hyperlink r:id="rId28">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29">
        <w:r>
          <w:rPr>
            <w:color w:val="0563C1"/>
            <w:u w:val="single"/>
            <w:sz w:val="19"/>
          </w:rPr>
          <w:t xml:space="preserve">PubMed</w:t>
        </w:r>
      </w:hyperlink>
      <w:r>
        <w:rPr>
          <w:b w:val="0"/>
          <w:i w:val="0"/>
          <w:sz w:val="19"/>
        </w:rPr>
        <w:t xml:space="preserve"> · </w:t>
      </w:r>
      <w:hyperlink r:id="rId30">
        <w:r>
          <w:rPr>
            <w:color w:val="0563C1"/>
            <w:u w:val="single"/>
            <w:sz w:val="19"/>
          </w:rPr>
          <w:t xml:space="preserve">Journal</w:t>
        </w:r>
      </w:hyperlink>
      <w:r>
        <w:rPr>
          <w:b w:val="0"/>
          <w:i w:val="0"/>
          <w:sz w:val="19"/>
        </w:rPr>
        <w:t xml:space="preserve"> · </w:t>
      </w:r>
      <w:hyperlink r:id="rId31">
        <w:r>
          <w:rPr>
            <w:color w:val="0563C1"/>
            <w:u w:val="single"/>
            <w:sz w:val="19"/>
          </w:rPr>
          <w:t xml:space="preserve">TMC library</w:t>
        </w:r>
      </w:hyperlink>
    </w:p>
    <w:p>
      <w:pPr>
        <w:spacing w:after="60"/>
      </w:pPr>
      <w:r>
        <w:rPr>
          <w:b/>
          <w:i w:val="0"/>
          <w:sz w:val="19"/>
        </w:rPr>
        <w:t>Bilhim 2024</w:t>
      </w:r>
      <w:r>
        <w:rPr>
          <w:b w:val="0"/>
          <w:i w:val="0"/>
          <w:sz w:val="19"/>
        </w:rPr>
        <w:t xml:space="preserve"> — CIRSE Standards of Practice on Portal Vein Embolization and Double Vein Embolization/Liver Venous Deprivation</w:t>
      </w:r>
      <w:r>
        <w:rPr>
          <w:b w:val="0"/>
          <w:i w:val="0"/>
          <w:sz w:val="19"/>
        </w:rPr>
        <w:t xml:space="preserve">  </w:t>
      </w:r>
      <w:hyperlink r:id="rId32">
        <w:r>
          <w:rPr>
            <w:color w:val="0563C1"/>
            <w:u w:val="single"/>
            <w:sz w:val="19"/>
          </w:rPr>
          <w:t xml:space="preserve">PubMed</w:t>
        </w:r>
      </w:hyperlink>
      <w:r>
        <w:rPr>
          <w:b w:val="0"/>
          <w:i w:val="0"/>
          <w:sz w:val="19"/>
        </w:rPr>
        <w:t xml:space="preserve"> · </w:t>
      </w:r>
      <w:hyperlink r:id="rId33">
        <w:r>
          <w:rPr>
            <w:color w:val="0563C1"/>
            <w:u w:val="single"/>
            <w:sz w:val="19"/>
          </w:rPr>
          <w:t xml:space="preserve">Journal</w:t>
        </w:r>
      </w:hyperlink>
      <w:r>
        <w:rPr>
          <w:b w:val="0"/>
          <w:i w:val="0"/>
          <w:sz w:val="19"/>
        </w:rPr>
        <w:t xml:space="preserve"> · </w:t>
      </w:r>
      <w:hyperlink r:id="rId34">
        <w:r>
          <w:rPr>
            <w:color w:val="0563C1"/>
            <w:u w:val="single"/>
            <w:sz w:val="19"/>
          </w:rPr>
          <w:t xml:space="preserve">Free full text</w:t>
        </w:r>
      </w:hyperlink>
      <w:r>
        <w:rPr>
          <w:b w:val="0"/>
          <w:i w:val="0"/>
          <w:sz w:val="19"/>
        </w:rPr>
        <w:t xml:space="preserve"> · </w:t>
      </w:r>
      <w:hyperlink r:id="rId35">
        <w:r>
          <w:rPr>
            <w:color w:val="0563C1"/>
            <w:u w:val="single"/>
            <w:sz w:val="19"/>
          </w:rPr>
          <w:t xml:space="preserve">Source</w:t>
        </w:r>
      </w:hyperlink>
      <w:r>
        <w:rPr>
          <w:b w:val="0"/>
          <w:i w:val="0"/>
          <w:sz w:val="19"/>
        </w:rPr>
        <w:t xml:space="preserve"> · </w:t>
      </w:r>
      <w:hyperlink r:id="rId36">
        <w:r>
          <w:rPr>
            <w:color w:val="0563C1"/>
            <w:u w:val="single"/>
            <w:sz w:val="19"/>
          </w:rPr>
          <w:t xml:space="preserve">TMC library</w:t>
        </w:r>
      </w:hyperlink>
    </w:p>
    <w:p>
      <w:pPr>
        <w:spacing w:after="60"/>
      </w:pPr>
      <w:r>
        <w:rPr>
          <w:b/>
          <w:i w:val="0"/>
          <w:sz w:val="19"/>
        </w:rPr>
        <w:t>Chandra 2026 · HAIP comparator</w:t>
      </w:r>
      <w:r>
        <w:rPr>
          <w:b w:val="0"/>
          <w:i w:val="0"/>
          <w:sz w:val="19"/>
        </w:rPr>
        <w:t xml:space="preserve"> — Transplant-Eligible Colorectal Liver Metastasis Patients Treated with Hepatic Artery Infusion Pump – A Retrospective Cohort Study</w:t>
      </w:r>
      <w:r>
        <w:rPr>
          <w:b w:val="0"/>
          <w:i w:val="0"/>
          <w:sz w:val="19"/>
        </w:rPr>
        <w:t xml:space="preserve">  </w:t>
      </w:r>
      <w:hyperlink r:id="rId37">
        <w:r>
          <w:rPr>
            <w:color w:val="0563C1"/>
            <w:u w:val="single"/>
            <w:sz w:val="19"/>
          </w:rPr>
          <w:t xml:space="preserve">PubMed</w:t>
        </w:r>
      </w:hyperlink>
      <w:r>
        <w:rPr>
          <w:b w:val="0"/>
          <w:i w:val="0"/>
          <w:sz w:val="19"/>
        </w:rPr>
        <w:t xml:space="preserve"> · </w:t>
      </w:r>
      <w:hyperlink r:id="rId38">
        <w:r>
          <w:rPr>
            <w:color w:val="0563C1"/>
            <w:u w:val="single"/>
            <w:sz w:val="19"/>
          </w:rPr>
          <w:t xml:space="preserve">Journal</w:t>
        </w:r>
      </w:hyperlink>
      <w:r>
        <w:rPr>
          <w:b w:val="0"/>
          <w:i w:val="0"/>
          <w:sz w:val="19"/>
        </w:rPr>
        <w:t xml:space="preserve"> · </w:t>
      </w:r>
      <w:hyperlink r:id="rId39">
        <w:r>
          <w:rPr>
            <w:color w:val="0563C1"/>
            <w:u w:val="single"/>
            <w:sz w:val="19"/>
          </w:rPr>
          <w:t xml:space="preserve">TMC library</w:t>
        </w:r>
      </w:hyperlink>
    </w:p>
    <w:p>
      <w:pPr>
        <w:spacing w:after="60"/>
      </w:pPr>
      <w:r>
        <w:rPr>
          <w:b/>
          <w:i w:val="0"/>
          <w:sz w:val="19"/>
        </w:rPr>
        <w:t>Chávez-Villa 2023 · occult disease</w:t>
      </w:r>
      <w:r>
        <w:rPr>
          <w:b w:val="0"/>
          <w:i w:val="0"/>
          <w:sz w:val="19"/>
        </w:rPr>
        <w:t xml:space="preserve"> — The High Incidence of Occult Carcinoma in Total Hepatectomy Specimens of Patients Treated for Unresectable Colorectal Liver Metastases With Liver Transplant</w:t>
      </w:r>
      <w:r>
        <w:rPr>
          <w:b w:val="0"/>
          <w:i w:val="0"/>
          <w:sz w:val="19"/>
        </w:rPr>
        <w:t xml:space="preserve">  </w:t>
      </w:r>
      <w:hyperlink r:id="rId40">
        <w:r>
          <w:rPr>
            <w:color w:val="0563C1"/>
            <w:u w:val="single"/>
            <w:sz w:val="19"/>
          </w:rPr>
          <w:t xml:space="preserve">PubMed</w:t>
        </w:r>
      </w:hyperlink>
      <w:r>
        <w:rPr>
          <w:b w:val="0"/>
          <w:i w:val="0"/>
          <w:sz w:val="19"/>
        </w:rPr>
        <w:t xml:space="preserve"> · </w:t>
      </w:r>
      <w:hyperlink r:id="rId41">
        <w:r>
          <w:rPr>
            <w:color w:val="0563C1"/>
            <w:u w:val="single"/>
            <w:sz w:val="19"/>
          </w:rPr>
          <w:t xml:space="preserve">Journal</w:t>
        </w:r>
      </w:hyperlink>
      <w:r>
        <w:rPr>
          <w:b w:val="0"/>
          <w:i w:val="0"/>
          <w:sz w:val="19"/>
        </w:rPr>
        <w:t xml:space="preserve"> · </w:t>
      </w:r>
      <w:hyperlink r:id="rId42">
        <w:r>
          <w:rPr>
            <w:color w:val="0563C1"/>
            <w:u w:val="single"/>
            <w:sz w:val="19"/>
          </w:rPr>
          <w:t xml:space="preserve">Free full text</w:t>
        </w:r>
      </w:hyperlink>
      <w:r>
        <w:rPr>
          <w:b w:val="0"/>
          <w:i w:val="0"/>
          <w:sz w:val="19"/>
        </w:rPr>
        <w:t xml:space="preserve"> · </w:t>
      </w:r>
      <w:hyperlink r:id="rId43">
        <w:r>
          <w:rPr>
            <w:color w:val="0563C1"/>
            <w:u w:val="single"/>
            <w:sz w:val="19"/>
          </w:rPr>
          <w:t xml:space="preserve">Source</w:t>
        </w:r>
      </w:hyperlink>
      <w:r>
        <w:rPr>
          <w:b w:val="0"/>
          <w:i w:val="0"/>
          <w:sz w:val="19"/>
        </w:rPr>
        <w:t xml:space="preserve"> · </w:t>
      </w:r>
      <w:hyperlink r:id="rId44">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45">
        <w:r>
          <w:rPr>
            <w:color w:val="0563C1"/>
            <w:u w:val="single"/>
            <w:sz w:val="19"/>
          </w:rPr>
          <w:t xml:space="preserve">PubMed</w:t>
        </w:r>
      </w:hyperlink>
      <w:r>
        <w:rPr>
          <w:b w:val="0"/>
          <w:i w:val="0"/>
          <w:sz w:val="19"/>
        </w:rPr>
        <w:t xml:space="preserve"> · </w:t>
      </w:r>
      <w:hyperlink r:id="rId46">
        <w:r>
          <w:rPr>
            <w:color w:val="0563C1"/>
            <w:u w:val="single"/>
            <w:sz w:val="19"/>
          </w:rPr>
          <w:t xml:space="preserve">Journal</w:t>
        </w:r>
      </w:hyperlink>
      <w:r>
        <w:rPr>
          <w:b w:val="0"/>
          <w:i w:val="0"/>
          <w:sz w:val="19"/>
        </w:rPr>
        <w:t xml:space="preserve"> · </w:t>
      </w:r>
      <w:hyperlink r:id="rId47">
        <w:r>
          <w:rPr>
            <w:color w:val="0563C1"/>
            <w:u w:val="single"/>
            <w:sz w:val="19"/>
          </w:rPr>
          <w:t xml:space="preserve">Free full text</w:t>
        </w:r>
      </w:hyperlink>
      <w:r>
        <w:rPr>
          <w:b w:val="0"/>
          <w:i w:val="0"/>
          <w:sz w:val="19"/>
        </w:rPr>
        <w:t xml:space="preserve"> · </w:t>
      </w:r>
      <w:hyperlink r:id="rId48">
        <w:r>
          <w:rPr>
            <w:color w:val="0563C1"/>
            <w:u w:val="single"/>
            <w:sz w:val="19"/>
          </w:rPr>
          <w:t xml:space="preserve">Source</w:t>
        </w:r>
      </w:hyperlink>
      <w:r>
        <w:rPr>
          <w:b w:val="0"/>
          <w:i w:val="0"/>
          <w:sz w:val="19"/>
        </w:rPr>
        <w:t xml:space="preserve"> · </w:t>
      </w:r>
      <w:hyperlink r:id="rId49">
        <w:r>
          <w:rPr>
            <w:color w:val="0563C1"/>
            <w:u w:val="single"/>
            <w:sz w:val="19"/>
          </w:rPr>
          <w:t xml:space="preserve">TMC library</w:t>
        </w:r>
      </w:hyperlink>
    </w:p>
    <w:p>
      <w:pPr>
        <w:spacing w:after="60"/>
      </w:pPr>
      <w:r>
        <w:rPr>
          <w:b/>
          <w:i w:val="0"/>
          <w:sz w:val="19"/>
        </w:rPr>
        <w:t>Dueland 2020 · SECA-II</w:t>
      </w:r>
      <w:r>
        <w:rPr>
          <w:b w:val="0"/>
          <w:i w:val="0"/>
          <w:sz w:val="19"/>
        </w:rPr>
        <w:t xml:space="preserve"> — Survival Following Liver Transplantation for Patients With Nonresectable Liver-only Colorectal Metastases</w:t>
      </w:r>
      <w:r>
        <w:rPr>
          <w:b w:val="0"/>
          <w:i w:val="0"/>
          <w:sz w:val="19"/>
        </w:rPr>
        <w:t xml:space="preserve">  </w:t>
      </w:r>
      <w:hyperlink r:id="rId50">
        <w:r>
          <w:rPr>
            <w:color w:val="0563C1"/>
            <w:u w:val="single"/>
            <w:sz w:val="19"/>
          </w:rPr>
          <w:t xml:space="preserve">PubMed</w:t>
        </w:r>
      </w:hyperlink>
      <w:r>
        <w:rPr>
          <w:b w:val="0"/>
          <w:i w:val="0"/>
          <w:sz w:val="19"/>
        </w:rPr>
        <w:t xml:space="preserve"> · </w:t>
      </w:r>
      <w:hyperlink r:id="rId51">
        <w:r>
          <w:rPr>
            <w:color w:val="0563C1"/>
            <w:u w:val="single"/>
            <w:sz w:val="19"/>
          </w:rPr>
          <w:t xml:space="preserve">Journal</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Dueland 2022 · lung resection after LT</w:t>
      </w:r>
      <w:r>
        <w:rPr>
          <w:b w:val="0"/>
          <w:i w:val="0"/>
          <w:sz w:val="19"/>
        </w:rPr>
        <w:t xml:space="preserve"> — PET-uptake in liver metastases as method to predict tumor biological behavior in patients transplanted for colorectal liver metastases developing lung recurrence</w:t>
      </w:r>
      <w:r>
        <w:rPr>
          <w:b w:val="0"/>
          <w:i w:val="0"/>
          <w:sz w:val="19"/>
        </w:rPr>
        <w:t xml:space="preserve">  </w:t>
      </w:r>
      <w:hyperlink r:id="rId53">
        <w:r>
          <w:rPr>
            <w:color w:val="0563C1"/>
            <w:u w:val="single"/>
            <w:sz w:val="19"/>
          </w:rPr>
          <w:t xml:space="preserve">PubMed</w:t>
        </w:r>
      </w:hyperlink>
      <w:r>
        <w:rPr>
          <w:b w:val="0"/>
          <w:i w:val="0"/>
          <w:sz w:val="19"/>
        </w:rPr>
        <w:t xml:space="preserve"> · </w:t>
      </w:r>
      <w:hyperlink r:id="rId54">
        <w:r>
          <w:rPr>
            <w:color w:val="0563C1"/>
            <w:u w:val="single"/>
            <w:sz w:val="19"/>
          </w:rPr>
          <w:t xml:space="preserve">Journal</w:t>
        </w:r>
      </w:hyperlink>
      <w:r>
        <w:rPr>
          <w:b w:val="0"/>
          <w:i w:val="0"/>
          <w:sz w:val="19"/>
        </w:rPr>
        <w:t xml:space="preserve"> · </w:t>
      </w:r>
      <w:hyperlink r:id="rId55">
        <w:r>
          <w:rPr>
            <w:color w:val="0563C1"/>
            <w:u w:val="single"/>
            <w:sz w:val="19"/>
          </w:rPr>
          <w:t xml:space="preserve">Source</w:t>
        </w:r>
      </w:hyperlink>
      <w:r>
        <w:rPr>
          <w:b w:val="0"/>
          <w:i w:val="0"/>
          <w:sz w:val="19"/>
        </w:rPr>
        <w:t xml:space="preserve"> · </w:t>
      </w:r>
      <w:hyperlink r:id="rId56">
        <w:r>
          <w:rPr>
            <w:color w:val="0563C1"/>
            <w:u w:val="single"/>
            <w:sz w:val="19"/>
          </w:rPr>
          <w:t xml:space="preserve">TMC library</w:t>
        </w:r>
      </w:hyperlink>
    </w:p>
    <w:p>
      <w:pPr>
        <w:spacing w:after="60"/>
      </w:pPr>
      <w:r>
        <w:rPr>
          <w:b/>
          <w:i w:val="0"/>
          <w:sz w:val="19"/>
        </w:rPr>
        <w:t>Dueland 2023 · Oslo long-term</w:t>
      </w:r>
      <w:r>
        <w:rPr>
          <w:b w:val="0"/>
          <w:i w:val="0"/>
          <w:sz w:val="19"/>
        </w:rPr>
        <w:t xml:space="preserve"> — Long-Term Survival, Prognostic Factors, and Selection of Patients With Colorectal Cancer for Liver Transplant: A Nonrandomized Controlled Trial</w:t>
      </w:r>
      <w:r>
        <w:rPr>
          <w:b w:val="0"/>
          <w:i w:val="0"/>
          <w:sz w:val="19"/>
        </w:rPr>
        <w:t xml:space="preserve">  </w:t>
      </w:r>
      <w:hyperlink r:id="rId57">
        <w:r>
          <w:rPr>
            <w:color w:val="0563C1"/>
            <w:u w:val="single"/>
            <w:sz w:val="19"/>
          </w:rPr>
          <w:t xml:space="preserve">PubMed</w:t>
        </w:r>
      </w:hyperlink>
      <w:r>
        <w:rPr>
          <w:b w:val="0"/>
          <w:i w:val="0"/>
          <w:sz w:val="19"/>
        </w:rPr>
        <w:t xml:space="preserve"> · </w:t>
      </w:r>
      <w:hyperlink r:id="rId58">
        <w:r>
          <w:rPr>
            <w:color w:val="0563C1"/>
            <w:u w:val="single"/>
            <w:sz w:val="19"/>
          </w:rPr>
          <w:t xml:space="preserve">Journal</w:t>
        </w:r>
      </w:hyperlink>
      <w:r>
        <w:rPr>
          <w:b w:val="0"/>
          <w:i w:val="0"/>
          <w:sz w:val="19"/>
        </w:rPr>
        <w:t xml:space="preserve"> · </w:t>
      </w:r>
      <w:hyperlink r:id="rId59">
        <w:r>
          <w:rPr>
            <w:color w:val="0563C1"/>
            <w:u w:val="single"/>
            <w:sz w:val="19"/>
          </w:rPr>
          <w:t xml:space="preserve">TMC library</w:t>
        </w:r>
      </w:hyperlink>
    </w:p>
    <w:p>
      <w:pPr>
        <w:spacing w:after="60"/>
      </w:pPr>
      <w:r>
        <w:rPr>
          <w:b/>
          <w:i w:val="0"/>
          <w:sz w:val="19"/>
        </w:rPr>
        <w:t>Dueland 2026 · SECA-II ten-year</w:t>
      </w:r>
      <w:r>
        <w:rPr>
          <w:b w:val="0"/>
          <w:i w:val="0"/>
          <w:sz w:val="19"/>
        </w:rPr>
        <w:t xml:space="preserve"> — Liver Transplantation for Nonresectable Colorectal Liver Metastases: Ten-year Follow-up and Assessment of Curative Rate in the SECA-II Study</w:t>
      </w:r>
      <w:r>
        <w:rPr>
          <w:b w:val="0"/>
          <w:i w:val="0"/>
          <w:sz w:val="19"/>
        </w:rPr>
        <w:t xml:space="preserve">  </w:t>
      </w:r>
      <w:hyperlink r:id="rId60">
        <w:r>
          <w:rPr>
            <w:color w:val="0563C1"/>
            <w:u w:val="single"/>
            <w:sz w:val="19"/>
          </w:rPr>
          <w:t xml:space="preserve">PubMed</w:t>
        </w:r>
      </w:hyperlink>
      <w:r>
        <w:rPr>
          <w:b w:val="0"/>
          <w:i w:val="0"/>
          <w:sz w:val="19"/>
        </w:rPr>
        <w:t xml:space="preserve"> · </w:t>
      </w:r>
      <w:hyperlink r:id="rId61">
        <w:r>
          <w:rPr>
            <w:color w:val="0563C1"/>
            <w:u w:val="single"/>
            <w:sz w:val="19"/>
          </w:rPr>
          <w:t xml:space="preserve">Journal</w:t>
        </w:r>
      </w:hyperlink>
      <w:r>
        <w:rPr>
          <w:b w:val="0"/>
          <w:i w:val="0"/>
          <w:sz w:val="19"/>
        </w:rPr>
        <w:t xml:space="preserve"> · </w:t>
      </w:r>
      <w:hyperlink r:id="rId62">
        <w:r>
          <w:rPr>
            <w:color w:val="0563C1"/>
            <w:u w:val="single"/>
            <w:sz w:val="19"/>
          </w:rPr>
          <w:t xml:space="preserve">Source</w:t>
        </w:r>
      </w:hyperlink>
      <w:r>
        <w:rPr>
          <w:b w:val="0"/>
          <w:i w:val="0"/>
          <w:sz w:val="19"/>
        </w:rPr>
        <w:t xml:space="preserve"> · </w:t>
      </w:r>
      <w:hyperlink r:id="rId63">
        <w:r>
          <w:rPr>
            <w:color w:val="0563C1"/>
            <w:u w:val="single"/>
            <w:sz w:val="19"/>
          </w:rPr>
          <w:t xml:space="preserve">TMC library</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64">
        <w:r>
          <w:rPr>
            <w:color w:val="0563C1"/>
            <w:u w:val="single"/>
            <w:sz w:val="19"/>
          </w:rPr>
          <w:t xml:space="preserve">PubMed</w:t>
        </w:r>
      </w:hyperlink>
      <w:r>
        <w:rPr>
          <w:b w:val="0"/>
          <w:i w:val="0"/>
          <w:sz w:val="19"/>
        </w:rPr>
        <w:t xml:space="preserve"> · </w:t>
      </w:r>
      <w:hyperlink r:id="rId65">
        <w:r>
          <w:rPr>
            <w:color w:val="0563C1"/>
            <w:u w:val="single"/>
            <w:sz w:val="19"/>
          </w:rPr>
          <w:t xml:space="preserve">Journal</w:t>
        </w:r>
      </w:hyperlink>
      <w:r>
        <w:rPr>
          <w:b w:val="0"/>
          <w:i w:val="0"/>
          <w:sz w:val="19"/>
        </w:rPr>
        <w:t xml:space="preserve"> · </w:t>
      </w:r>
      <w:hyperlink r:id="rId66">
        <w:r>
          <w:rPr>
            <w:color w:val="0563C1"/>
            <w:u w:val="single"/>
            <w:sz w:val="19"/>
          </w:rPr>
          <w:t xml:space="preserve">Free full text</w:t>
        </w:r>
      </w:hyperlink>
      <w:r>
        <w:rPr>
          <w:b w:val="0"/>
          <w:i w:val="0"/>
          <w:sz w:val="19"/>
        </w:rPr>
        <w:t xml:space="preserve"> · </w:t>
      </w:r>
      <w:hyperlink r:id="rId67">
        <w:r>
          <w:rPr>
            <w:color w:val="0563C1"/>
            <w:u w:val="single"/>
            <w:sz w:val="19"/>
          </w:rPr>
          <w:t xml:space="preserve">Source</w:t>
        </w:r>
      </w:hyperlink>
      <w:r>
        <w:rPr>
          <w:b w:val="0"/>
          <w:i w:val="0"/>
          <w:sz w:val="19"/>
        </w:rPr>
        <w:t xml:space="preserve"> · </w:t>
      </w:r>
      <w:hyperlink r:id="rId68">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69">
        <w:r>
          <w:rPr>
            <w:color w:val="0563C1"/>
            <w:u w:val="single"/>
            <w:sz w:val="19"/>
          </w:rPr>
          <w:t xml:space="preserve">PubMed</w:t>
        </w:r>
      </w:hyperlink>
      <w:r>
        <w:rPr>
          <w:b w:val="0"/>
          <w:i w:val="0"/>
          <w:sz w:val="19"/>
        </w:rPr>
        <w:t xml:space="preserve"> · </w:t>
      </w:r>
      <w:hyperlink r:id="rId70">
        <w:r>
          <w:rPr>
            <w:color w:val="0563C1"/>
            <w:u w:val="single"/>
            <w:sz w:val="19"/>
          </w:rPr>
          <w:t xml:space="preserve">Journal</w:t>
        </w:r>
      </w:hyperlink>
      <w:r>
        <w:rPr>
          <w:b w:val="0"/>
          <w:i w:val="0"/>
          <w:sz w:val="19"/>
        </w:rPr>
        <w:t xml:space="preserve"> · </w:t>
      </w:r>
      <w:hyperlink r:id="rId71">
        <w:r>
          <w:rPr>
            <w:color w:val="0563C1"/>
            <w:u w:val="single"/>
            <w:sz w:val="19"/>
          </w:rPr>
          <w:t xml:space="preserve">Source</w:t>
        </w:r>
      </w:hyperlink>
      <w:r>
        <w:rPr>
          <w:b w:val="0"/>
          <w:i w:val="0"/>
          <w:sz w:val="19"/>
        </w:rPr>
        <w:t xml:space="preserve"> · </w:t>
      </w:r>
      <w:hyperlink r:id="rId72">
        <w:r>
          <w:rPr>
            <w:color w:val="0563C1"/>
            <w:u w:val="single"/>
            <w:sz w:val="19"/>
          </w:rPr>
          <w:t xml:space="preserve">TMC library</w:t>
        </w:r>
      </w:hyperlink>
    </w:p>
    <w:p>
      <w:pPr>
        <w:spacing w:after="60"/>
      </w:pPr>
      <w:r>
        <w:rPr>
          <w:b/>
          <w:i w:val="0"/>
          <w:sz w:val="19"/>
        </w:rPr>
        <w:t>Fukumitsu 2024 · Japanese LDLT protocol</w:t>
      </w:r>
      <w:r>
        <w:rPr>
          <w:b w:val="0"/>
          <w:i w:val="0"/>
          <w:sz w:val="19"/>
        </w:rPr>
        <w:t xml:space="preserve"> — Living-donor liver transplantation for non-resectable colorectal liver metastases: protocol for a multicentric, single-arm study</w:t>
      </w:r>
      <w:r>
        <w:rPr>
          <w:b w:val="0"/>
          <w:i w:val="0"/>
          <w:sz w:val="19"/>
        </w:rPr>
        <w:t xml:space="preserve">  </w:t>
      </w:r>
      <w:hyperlink r:id="rId73">
        <w:r>
          <w:rPr>
            <w:color w:val="0563C1"/>
            <w:u w:val="single"/>
            <w:sz w:val="19"/>
          </w:rPr>
          <w:t xml:space="preserve">PubMed</w:t>
        </w:r>
      </w:hyperlink>
      <w:r>
        <w:rPr>
          <w:b w:val="0"/>
          <w:i w:val="0"/>
          <w:sz w:val="19"/>
        </w:rPr>
        <w:t xml:space="preserve"> · </w:t>
      </w:r>
      <w:hyperlink r:id="rId74">
        <w:r>
          <w:rPr>
            <w:color w:val="0563C1"/>
            <w:u w:val="single"/>
            <w:sz w:val="19"/>
          </w:rPr>
          <w:t xml:space="preserve">Journal</w:t>
        </w:r>
      </w:hyperlink>
      <w:r>
        <w:rPr>
          <w:b w:val="0"/>
          <w:i w:val="0"/>
          <w:sz w:val="19"/>
        </w:rPr>
        <w:t xml:space="preserve"> · </w:t>
      </w:r>
      <w:hyperlink r:id="rId75">
        <w:r>
          <w:rPr>
            <w:color w:val="0563C1"/>
            <w:u w:val="single"/>
            <w:sz w:val="19"/>
          </w:rPr>
          <w:t xml:space="preserve">Source</w:t>
        </w:r>
      </w:hyperlink>
      <w:r>
        <w:rPr>
          <w:b w:val="0"/>
          <w:i w:val="0"/>
          <w:sz w:val="19"/>
        </w:rPr>
        <w:t xml:space="preserve"> · </w:t>
      </w:r>
      <w:hyperlink r:id="rId76">
        <w:r>
          <w:rPr>
            <w:color w:val="0563C1"/>
            <w:u w:val="single"/>
            <w:sz w:val="19"/>
          </w:rPr>
          <w:t xml:space="preserve">TMC library</w:t>
        </w:r>
      </w:hyperlink>
    </w:p>
    <w:p>
      <w:pPr>
        <w:spacing w:after="60"/>
      </w:pPr>
      <w:r>
        <w:rPr>
          <w:b/>
          <w:i w:val="0"/>
          <w:sz w:val="19"/>
        </w:rPr>
        <w:t>Grut 2022 · MTV</w:t>
      </w:r>
      <w:r>
        <w:rPr>
          <w:b w:val="0"/>
          <w:i w:val="0"/>
          <w:sz w:val="19"/>
        </w:rPr>
        <w:t xml:space="preserve"> — Metabolic tumor volume predicts long-term survival after transplantation for unresectable colorectal liver metastases: 15 years of experience from the SECA study</w:t>
      </w:r>
      <w:r>
        <w:rPr>
          <w:b w:val="0"/>
          <w:i w:val="0"/>
          <w:sz w:val="19"/>
        </w:rPr>
        <w:t xml:space="preserve">  </w:t>
      </w:r>
      <w:hyperlink r:id="rId77">
        <w:r>
          <w:rPr>
            <w:color w:val="0563C1"/>
            <w:u w:val="single"/>
            <w:sz w:val="19"/>
          </w:rPr>
          <w:t xml:space="preserve">PubMed</w:t>
        </w:r>
      </w:hyperlink>
      <w:r>
        <w:rPr>
          <w:b w:val="0"/>
          <w:i w:val="0"/>
          <w:sz w:val="19"/>
        </w:rPr>
        <w:t xml:space="preserve"> · </w:t>
      </w:r>
      <w:hyperlink r:id="rId78">
        <w:r>
          <w:rPr>
            <w:color w:val="0563C1"/>
            <w:u w:val="single"/>
            <w:sz w:val="19"/>
          </w:rPr>
          <w:t xml:space="preserve">Journal</w:t>
        </w:r>
      </w:hyperlink>
      <w:r>
        <w:rPr>
          <w:b w:val="0"/>
          <w:i w:val="0"/>
          <w:sz w:val="19"/>
        </w:rPr>
        <w:t xml:space="preserve"> · </w:t>
      </w:r>
      <w:hyperlink r:id="rId79">
        <w:r>
          <w:rPr>
            <w:color w:val="0563C1"/>
            <w:u w:val="single"/>
            <w:sz w:val="19"/>
          </w:rPr>
          <w:t xml:space="preserve">Free full text</w:t>
        </w:r>
      </w:hyperlink>
      <w:r>
        <w:rPr>
          <w:b w:val="0"/>
          <w:i w:val="0"/>
          <w:sz w:val="19"/>
        </w:rPr>
        <w:t xml:space="preserve"> · </w:t>
      </w:r>
      <w:hyperlink r:id="rId80">
        <w:r>
          <w:rPr>
            <w:color w:val="0563C1"/>
            <w:u w:val="single"/>
            <w:sz w:val="19"/>
          </w:rPr>
          <w:t xml:space="preserve">Source</w:t>
        </w:r>
      </w:hyperlink>
      <w:r>
        <w:rPr>
          <w:b w:val="0"/>
          <w:i w:val="0"/>
          <w:sz w:val="19"/>
        </w:rPr>
        <w:t xml:space="preserve"> · </w:t>
      </w:r>
      <w:hyperlink r:id="rId81">
        <w:r>
          <w:rPr>
            <w:color w:val="0563C1"/>
            <w:u w:val="single"/>
            <w:sz w:val="19"/>
          </w:rPr>
          <w:t xml:space="preserve">TMC library</w:t>
        </w:r>
      </w:hyperlink>
    </w:p>
    <w:p>
      <w:pPr>
        <w:spacing w:after="60"/>
      </w:pPr>
      <w:r>
        <w:rPr>
          <w:b/>
          <w:i w:val="0"/>
          <w:sz w:val="19"/>
        </w:rPr>
        <w:t>Grut · lung metastasis growth</w:t>
      </w:r>
      <w:r>
        <w:rPr>
          <w:b w:val="0"/>
          <w:i w:val="0"/>
          <w:sz w:val="19"/>
        </w:rPr>
        <w:t xml:space="preserve"> — Growth rates of pulmonary metastases after liver transplantation for unresectable colorectal liver metastases</w:t>
      </w:r>
      <w:r>
        <w:rPr>
          <w:b w:val="0"/>
          <w:i w:val="0"/>
          <w:sz w:val="19"/>
        </w:rPr>
        <w:t xml:space="preserve">  </w:t>
      </w:r>
      <w:hyperlink r:id="rId82">
        <w:r>
          <w:rPr>
            <w:color w:val="0563C1"/>
            <w:u w:val="single"/>
            <w:sz w:val="19"/>
          </w:rPr>
          <w:t xml:space="preserve">PubMed</w:t>
        </w:r>
      </w:hyperlink>
      <w:r>
        <w:rPr>
          <w:b w:val="0"/>
          <w:i w:val="0"/>
          <w:sz w:val="19"/>
        </w:rPr>
        <w:t xml:space="preserve"> · </w:t>
      </w:r>
      <w:hyperlink r:id="rId83">
        <w:r>
          <w:rPr>
            <w:color w:val="0563C1"/>
            <w:u w:val="single"/>
            <w:sz w:val="19"/>
          </w:rPr>
          <w:t xml:space="preserve">Journal</w:t>
        </w:r>
      </w:hyperlink>
      <w:r>
        <w:rPr>
          <w:b w:val="0"/>
          <w:i w:val="0"/>
          <w:sz w:val="19"/>
        </w:rPr>
        <w:t xml:space="preserve"> · </w:t>
      </w:r>
      <w:hyperlink r:id="rId84">
        <w:r>
          <w:rPr>
            <w:color w:val="0563C1"/>
            <w:u w:val="single"/>
            <w:sz w:val="19"/>
          </w:rPr>
          <w:t xml:space="preserve">TMC library</w:t>
        </w:r>
      </w:hyperlink>
    </w:p>
    <w:p>
      <w:pPr>
        <w:spacing w:after="60"/>
      </w:pPr>
      <w:r>
        <w:rPr>
          <w:b/>
          <w:i w:val="0"/>
          <w:sz w:val="19"/>
        </w:rPr>
        <w:t>Hagness · SECA-I recurrence</w:t>
      </w:r>
      <w:r>
        <w:rPr>
          <w:b w:val="0"/>
          <w:i w:val="0"/>
          <w:sz w:val="19"/>
        </w:rPr>
        <w:t xml:space="preserve"> — Patterns of recurrence after liver transplantation for nonresectable liver metastases from colorectal cancer</w:t>
      </w:r>
      <w:r>
        <w:rPr>
          <w:b w:val="0"/>
          <w:i w:val="0"/>
          <w:sz w:val="19"/>
        </w:rPr>
        <w:t xml:space="preserve">  </w:t>
      </w:r>
      <w:hyperlink r:id="rId85">
        <w:r>
          <w:rPr>
            <w:color w:val="0563C1"/>
            <w:u w:val="single"/>
            <w:sz w:val="19"/>
          </w:rPr>
          <w:t xml:space="preserve">PubMed</w:t>
        </w:r>
      </w:hyperlink>
      <w:r>
        <w:rPr>
          <w:b w:val="0"/>
          <w:i w:val="0"/>
          <w:sz w:val="19"/>
        </w:rPr>
        <w:t xml:space="preserve"> · </w:t>
      </w:r>
      <w:hyperlink r:id="rId86">
        <w:r>
          <w:rPr>
            <w:color w:val="0563C1"/>
            <w:u w:val="single"/>
            <w:sz w:val="19"/>
          </w:rPr>
          <w:t xml:space="preserve">Journal</w:t>
        </w:r>
      </w:hyperlink>
      <w:r>
        <w:rPr>
          <w:b w:val="0"/>
          <w:i w:val="0"/>
          <w:sz w:val="19"/>
        </w:rPr>
        <w:t xml:space="preserve"> · </w:t>
      </w:r>
      <w:hyperlink r:id="rId87">
        <w:r>
          <w:rPr>
            <w:color w:val="0563C1"/>
            <w:u w:val="single"/>
            <w:sz w:val="19"/>
          </w:rPr>
          <w:t xml:space="preserve">Source</w:t>
        </w:r>
      </w:hyperlink>
      <w:r>
        <w:rPr>
          <w:b w:val="0"/>
          <w:i w:val="0"/>
          <w:sz w:val="19"/>
        </w:rPr>
        <w:t xml:space="preserve"> · </w:t>
      </w:r>
      <w:hyperlink r:id="rId88">
        <w:r>
          <w:rPr>
            <w:color w:val="0563C1"/>
            <w:u w:val="single"/>
            <w:sz w:val="19"/>
          </w:rPr>
          <w:t xml:space="preserve">TMC library</w:t>
        </w:r>
      </w:hyperlink>
    </w:p>
    <w:p>
      <w:pPr>
        <w:spacing w:after="60"/>
      </w:pPr>
      <w:r>
        <w:rPr>
          <w:b/>
          <w:i w:val="0"/>
          <w:sz w:val="19"/>
        </w:rPr>
        <w:t>Hernandez-Alejandro 2022 · North American LDLT</w:t>
      </w:r>
      <w:r>
        <w:rPr>
          <w:b w:val="0"/>
          <w:i w:val="0"/>
          <w:sz w:val="19"/>
        </w:rPr>
        <w:t xml:space="preserve"> — Recipient and Donor Outcomes After Living-Donor Liver Transplant for Unresectable Colorectal Liver Metastases</w:t>
      </w:r>
      <w:r>
        <w:rPr>
          <w:b w:val="0"/>
          <w:i w:val="0"/>
          <w:sz w:val="19"/>
        </w:rPr>
        <w:t xml:space="preserve">  </w:t>
      </w:r>
      <w:hyperlink r:id="rId89">
        <w:r>
          <w:rPr>
            <w:color w:val="0563C1"/>
            <w:u w:val="single"/>
            <w:sz w:val="19"/>
          </w:rPr>
          <w:t xml:space="preserve">PubMed</w:t>
        </w:r>
      </w:hyperlink>
      <w:r>
        <w:rPr>
          <w:b w:val="0"/>
          <w:i w:val="0"/>
          <w:sz w:val="19"/>
        </w:rPr>
        <w:t xml:space="preserve"> · </w:t>
      </w:r>
      <w:hyperlink r:id="rId90">
        <w:r>
          <w:rPr>
            <w:color w:val="0563C1"/>
            <w:u w:val="single"/>
            <w:sz w:val="19"/>
          </w:rPr>
          <w:t xml:space="preserve">Journal</w:t>
        </w:r>
      </w:hyperlink>
      <w:r>
        <w:rPr>
          <w:b w:val="0"/>
          <w:i w:val="0"/>
          <w:sz w:val="19"/>
        </w:rPr>
        <w:t xml:space="preserve"> · </w:t>
      </w:r>
      <w:hyperlink r:id="rId91">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92">
        <w:r>
          <w:rPr>
            <w:color w:val="0563C1"/>
            <w:u w:val="single"/>
            <w:sz w:val="19"/>
          </w:rPr>
          <w:t xml:space="preserve">Source</w:t>
        </w:r>
      </w:hyperlink>
    </w:p>
    <w:p>
      <w:pPr>
        <w:spacing w:after="60"/>
      </w:pPr>
      <w:r>
        <w:rPr>
          <w:b/>
          <w:i w:val="0"/>
          <w:sz w:val="19"/>
        </w:rPr>
        <w:t>Hwang 2014 · resection with extrahepatic disease</w:t>
      </w:r>
      <w:r>
        <w:rPr>
          <w:b w:val="0"/>
          <w:i w:val="0"/>
          <w:sz w:val="19"/>
        </w:rPr>
        <w:t xml:space="preserve"> — Systematic review of outcomes of patients undergoing resection for colorectal liver metastases in the setting of extra hepatic disease</w:t>
      </w:r>
      <w:r>
        <w:rPr>
          <w:b w:val="0"/>
          <w:i w:val="0"/>
          <w:sz w:val="19"/>
        </w:rPr>
        <w:t xml:space="preserve">  </w:t>
      </w:r>
      <w:hyperlink r:id="rId93">
        <w:r>
          <w:rPr>
            <w:color w:val="0563C1"/>
            <w:u w:val="single"/>
            <w:sz w:val="19"/>
          </w:rPr>
          <w:t xml:space="preserve">PubMed</w:t>
        </w:r>
      </w:hyperlink>
      <w:r>
        <w:rPr>
          <w:b w:val="0"/>
          <w:i w:val="0"/>
          <w:sz w:val="19"/>
        </w:rPr>
        <w:t xml:space="preserve"> · </w:t>
      </w:r>
      <w:hyperlink r:id="rId94">
        <w:r>
          <w:rPr>
            <w:color w:val="0563C1"/>
            <w:u w:val="single"/>
            <w:sz w:val="19"/>
          </w:rPr>
          <w:t xml:space="preserve">Journal</w:t>
        </w:r>
      </w:hyperlink>
      <w:r>
        <w:rPr>
          <w:b w:val="0"/>
          <w:i w:val="0"/>
          <w:sz w:val="19"/>
        </w:rPr>
        <w:t xml:space="preserve"> · </w:t>
      </w:r>
      <w:hyperlink r:id="rId95">
        <w:r>
          <w:rPr>
            <w:color w:val="0563C1"/>
            <w:u w:val="single"/>
            <w:sz w:val="19"/>
          </w:rPr>
          <w:t xml:space="preserve">TMC library</w:t>
        </w:r>
      </w:hyperlink>
    </w:p>
    <w:p>
      <w:pPr>
        <w:spacing w:after="60"/>
      </w:pPr>
      <w:r>
        <w:rPr>
          <w:b/>
          <w:i w:val="0"/>
          <w:sz w:val="19"/>
        </w:rPr>
        <w:t>IHPBA 2021</w:t>
      </w:r>
      <w:r>
        <w:rPr>
          <w:b w:val="0"/>
          <w:i w:val="0"/>
          <w:sz w:val="19"/>
        </w:rPr>
        <w:t xml:space="preserve"> — Liver transplantation for non-resectable colorectal liver metastases: the International Hepato-Pancreato-Biliary Association consensus guidelines</w:t>
      </w:r>
      <w:r>
        <w:rPr>
          <w:b w:val="0"/>
          <w:i w:val="0"/>
          <w:sz w:val="19"/>
        </w:rPr>
        <w:t xml:space="preserve">  </w:t>
      </w:r>
      <w:hyperlink r:id="rId96">
        <w:r>
          <w:rPr>
            <w:color w:val="0563C1"/>
            <w:u w:val="single"/>
            <w:sz w:val="19"/>
          </w:rPr>
          <w:t xml:space="preserve">PubMed</w:t>
        </w:r>
      </w:hyperlink>
      <w:r>
        <w:rPr>
          <w:b w:val="0"/>
          <w:i w:val="0"/>
          <w:sz w:val="19"/>
        </w:rPr>
        <w:t xml:space="preserve"> · </w:t>
      </w:r>
      <w:hyperlink r:id="rId97">
        <w:r>
          <w:rPr>
            <w:color w:val="0563C1"/>
            <w:u w:val="single"/>
            <w:sz w:val="19"/>
          </w:rPr>
          <w:t xml:space="preserve">Journal</w:t>
        </w:r>
      </w:hyperlink>
      <w:r>
        <w:rPr>
          <w:b w:val="0"/>
          <w:i w:val="0"/>
          <w:sz w:val="19"/>
        </w:rPr>
        <w:t xml:space="preserve"> · </w:t>
      </w:r>
      <w:hyperlink r:id="rId98">
        <w:r>
          <w:rPr>
            <w:color w:val="0563C1"/>
            <w:u w:val="single"/>
            <w:sz w:val="19"/>
          </w:rPr>
          <w:t xml:space="preserve">TMC library</w:t>
        </w:r>
      </w:hyperlink>
    </w:p>
    <w:p>
      <w:pPr>
        <w:spacing w:after="60"/>
      </w:pPr>
      <w:r>
        <w:rPr>
          <w:b/>
          <w:i w:val="0"/>
          <w:sz w:val="19"/>
        </w:rPr>
        <w:t>Kataoka 2025 · DREAM</w:t>
      </w:r>
      <w:r>
        <w:rPr>
          <w:b w:val="0"/>
          <w:i w:val="0"/>
          <w:sz w:val="19"/>
        </w:rPr>
        <w:t xml:space="preserve"> — Diagnostic Accuracy of Imaging in Assessing Nonviability of Disappearing Colorectal Liver Metastasis</w:t>
      </w:r>
      <w:r>
        <w:rPr>
          <w:b w:val="0"/>
          <w:i w:val="0"/>
          <w:sz w:val="19"/>
        </w:rPr>
        <w:t xml:space="preserve">  </w:t>
      </w:r>
      <w:hyperlink r:id="rId99">
        <w:r>
          <w:rPr>
            <w:color w:val="0563C1"/>
            <w:u w:val="single"/>
            <w:sz w:val="19"/>
          </w:rPr>
          <w:t xml:space="preserve">PubMed</w:t>
        </w:r>
      </w:hyperlink>
      <w:r>
        <w:rPr>
          <w:b w:val="0"/>
          <w:i w:val="0"/>
          <w:sz w:val="19"/>
        </w:rPr>
        <w:t xml:space="preserve"> · </w:t>
      </w:r>
      <w:hyperlink r:id="rId100">
        <w:r>
          <w:rPr>
            <w:color w:val="0563C1"/>
            <w:u w:val="single"/>
            <w:sz w:val="19"/>
          </w:rPr>
          <w:t xml:space="preserve">Journal</w:t>
        </w:r>
      </w:hyperlink>
      <w:r>
        <w:rPr>
          <w:b w:val="0"/>
          <w:i w:val="0"/>
          <w:sz w:val="19"/>
        </w:rPr>
        <w:t xml:space="preserve"> · </w:t>
      </w:r>
      <w:hyperlink r:id="rId101">
        <w:r>
          <w:rPr>
            <w:color w:val="0563C1"/>
            <w:u w:val="single"/>
            <w:sz w:val="19"/>
          </w:rPr>
          <w:t xml:space="preserve">Source</w:t>
        </w:r>
      </w:hyperlink>
      <w:r>
        <w:rPr>
          <w:b w:val="0"/>
          <w:i w:val="0"/>
          <w:sz w:val="19"/>
        </w:rPr>
        <w:t xml:space="preserve"> · </w:t>
      </w:r>
      <w:hyperlink r:id="rId102">
        <w:r>
          <w:rPr>
            <w:color w:val="0563C1"/>
            <w:u w:val="single"/>
            <w:sz w:val="19"/>
          </w:rPr>
          <w:t xml:space="preserve">TMC library</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103">
        <w:r>
          <w:rPr>
            <w:color w:val="0563C1"/>
            <w:u w:val="single"/>
            <w:sz w:val="19"/>
          </w:rPr>
          <w:t xml:space="preserve">PubMed</w:t>
        </w:r>
      </w:hyperlink>
      <w:r>
        <w:rPr>
          <w:b w:val="0"/>
          <w:i w:val="0"/>
          <w:sz w:val="19"/>
        </w:rPr>
        <w:t xml:space="preserve"> · </w:t>
      </w:r>
      <w:hyperlink r:id="rId104">
        <w:r>
          <w:rPr>
            <w:color w:val="0563C1"/>
            <w:u w:val="single"/>
            <w:sz w:val="19"/>
          </w:rPr>
          <w:t xml:space="preserve">Journal</w:t>
        </w:r>
      </w:hyperlink>
      <w:r>
        <w:rPr>
          <w:b w:val="0"/>
          <w:i w:val="0"/>
          <w:sz w:val="19"/>
        </w:rPr>
        <w:t xml:space="preserve"> · </w:t>
      </w:r>
      <w:hyperlink r:id="rId105">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106">
        <w:r>
          <w:rPr>
            <w:color w:val="0563C1"/>
            <w:u w:val="single"/>
            <w:sz w:val="19"/>
          </w:rPr>
          <w:t xml:space="preserve">Source</w:t>
        </w:r>
      </w:hyperlink>
    </w:p>
    <w:p>
      <w:pPr>
        <w:spacing w:after="60"/>
      </w:pPr>
      <w:r>
        <w:rPr>
          <w:b/>
          <w:i w:val="0"/>
          <w:sz w:val="19"/>
        </w:rPr>
        <w:t>Oba 2018 · disappearing lesions</w:t>
      </w:r>
      <w:r>
        <w:rPr>
          <w:b w:val="0"/>
          <w:i w:val="0"/>
          <w:sz w:val="19"/>
        </w:rPr>
        <w:t xml:space="preserve"> — Clinical implications of disappearing colorectal liver metastases have changed in the era of hepatocyte-specific MRI and contrast-enhanced intraoperative ultrasonography</w:t>
      </w:r>
      <w:r>
        <w:rPr>
          <w:b w:val="0"/>
          <w:i w:val="0"/>
          <w:sz w:val="19"/>
        </w:rPr>
        <w:t xml:space="preserve">  </w:t>
      </w:r>
      <w:hyperlink r:id="rId107">
        <w:r>
          <w:rPr>
            <w:color w:val="0563C1"/>
            <w:u w:val="single"/>
            <w:sz w:val="19"/>
          </w:rPr>
          <w:t xml:space="preserve">PubMed</w:t>
        </w:r>
      </w:hyperlink>
      <w:r>
        <w:rPr>
          <w:b w:val="0"/>
          <w:i w:val="0"/>
          <w:sz w:val="19"/>
        </w:rPr>
        <w:t xml:space="preserve"> · </w:t>
      </w:r>
      <w:hyperlink r:id="rId108">
        <w:r>
          <w:rPr>
            <w:color w:val="0563C1"/>
            <w:u w:val="single"/>
            <w:sz w:val="19"/>
          </w:rPr>
          <w:t xml:space="preserve">Journal</w:t>
        </w:r>
      </w:hyperlink>
      <w:r>
        <w:rPr>
          <w:b w:val="0"/>
          <w:i w:val="0"/>
          <w:sz w:val="19"/>
        </w:rPr>
        <w:t xml:space="preserve"> · </w:t>
      </w:r>
      <w:hyperlink r:id="rId109">
        <w:r>
          <w:rPr>
            <w:color w:val="0563C1"/>
            <w:u w:val="single"/>
            <w:sz w:val="19"/>
          </w:rPr>
          <w:t xml:space="preserve">TMC library</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110">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111">
        <w:r>
          <w:rPr>
            <w:color w:val="0563C1"/>
            <w:u w:val="single"/>
            <w:sz w:val="19"/>
          </w:rPr>
          <w:t xml:space="preserve">Source</w:t>
        </w:r>
      </w:hyperlink>
    </w:p>
    <w:p>
      <w:pPr>
        <w:spacing w:after="60"/>
      </w:pPr>
      <w:r>
        <w:rPr>
          <w:b/>
          <w:i w:val="0"/>
          <w:sz w:val="19"/>
        </w:rPr>
        <w:t>PulMiCC 2020</w:t>
      </w:r>
      <w:r>
        <w:rPr>
          <w:b w:val="0"/>
          <w:i w:val="0"/>
          <w:sz w:val="19"/>
        </w:rPr>
        <w:t xml:space="preserve"> — Pulmonary metastasectomy in colorectal cancer: updated analysis of 93 randomized patients - control survival is much better than previously assumed</w:t>
      </w:r>
      <w:r>
        <w:rPr>
          <w:b w:val="0"/>
          <w:i w:val="0"/>
          <w:sz w:val="19"/>
        </w:rPr>
        <w:t xml:space="preserve">  </w:t>
      </w:r>
      <w:hyperlink r:id="rId112">
        <w:r>
          <w:rPr>
            <w:color w:val="0563C1"/>
            <w:u w:val="single"/>
            <w:sz w:val="19"/>
          </w:rPr>
          <w:t xml:space="preserve">PubMed</w:t>
        </w:r>
      </w:hyperlink>
      <w:r>
        <w:rPr>
          <w:b w:val="0"/>
          <w:i w:val="0"/>
          <w:sz w:val="19"/>
        </w:rPr>
        <w:t xml:space="preserve"> · </w:t>
      </w:r>
      <w:hyperlink r:id="rId113">
        <w:r>
          <w:rPr>
            <w:color w:val="0563C1"/>
            <w:u w:val="single"/>
            <w:sz w:val="19"/>
          </w:rPr>
          <w:t xml:space="preserve">Journal</w:t>
        </w:r>
      </w:hyperlink>
      <w:r>
        <w:rPr>
          <w:b w:val="0"/>
          <w:i w:val="0"/>
          <w:sz w:val="19"/>
        </w:rPr>
        <w:t xml:space="preserve"> · </w:t>
      </w:r>
      <w:hyperlink r:id="rId114">
        <w:r>
          <w:rPr>
            <w:color w:val="0563C1"/>
            <w:u w:val="single"/>
            <w:sz w:val="19"/>
          </w:rPr>
          <w:t xml:space="preserve">Source</w:t>
        </w:r>
      </w:hyperlink>
      <w:r>
        <w:rPr>
          <w:b w:val="0"/>
          <w:i w:val="0"/>
          <w:sz w:val="19"/>
        </w:rPr>
        <w:t xml:space="preserve"> · </w:t>
      </w:r>
      <w:hyperlink r:id="rId115">
        <w:r>
          <w:rPr>
            <w:color w:val="0563C1"/>
            <w:u w:val="single"/>
            <w:sz w:val="19"/>
          </w:rPr>
          <w:t xml:space="preserve">TMC library</w:t>
        </w:r>
      </w:hyperlink>
    </w:p>
    <w:p>
      <w:pPr>
        <w:spacing w:after="60"/>
      </w:pPr>
      <w:r>
        <w:rPr>
          <w:b/>
          <w:i w:val="0"/>
          <w:sz w:val="19"/>
        </w:rPr>
        <w:t>Salah 2014 · lung metastasectomy after liver resection</w:t>
      </w:r>
      <w:r>
        <w:rPr>
          <w:b w:val="0"/>
          <w:i w:val="0"/>
          <w:sz w:val="19"/>
        </w:rPr>
        <w:t xml:space="preserve"> — Pulmonary metastasectomy in colorectal cancer patients with previously resected liver metastasis: pooled analysis</w:t>
      </w:r>
      <w:r>
        <w:rPr>
          <w:b w:val="0"/>
          <w:i w:val="0"/>
          <w:sz w:val="19"/>
        </w:rPr>
        <w:t xml:space="preserve">  </w:t>
      </w:r>
      <w:hyperlink r:id="rId116">
        <w:r>
          <w:rPr>
            <w:color w:val="0563C1"/>
            <w:u w:val="single"/>
            <w:sz w:val="19"/>
          </w:rPr>
          <w:t xml:space="preserve">PubMed</w:t>
        </w:r>
      </w:hyperlink>
      <w:r>
        <w:rPr>
          <w:b w:val="0"/>
          <w:i w:val="0"/>
          <w:sz w:val="19"/>
        </w:rPr>
        <w:t xml:space="preserve"> · </w:t>
      </w:r>
      <w:hyperlink r:id="rId117">
        <w:r>
          <w:rPr>
            <w:color w:val="0563C1"/>
            <w:u w:val="single"/>
            <w:sz w:val="19"/>
          </w:rPr>
          <w:t xml:space="preserve">Journal</w:t>
        </w:r>
      </w:hyperlink>
      <w:r>
        <w:rPr>
          <w:b w:val="0"/>
          <w:i w:val="0"/>
          <w:sz w:val="19"/>
        </w:rPr>
        <w:t xml:space="preserve"> · </w:t>
      </w:r>
      <w:hyperlink r:id="rId118">
        <w:r>
          <w:rPr>
            <w:color w:val="0563C1"/>
            <w:u w:val="single"/>
            <w:sz w:val="19"/>
          </w:rPr>
          <w:t xml:space="preserve">TMC library</w:t>
        </w:r>
      </w:hyperlink>
    </w:p>
    <w:p>
      <w:pPr>
        <w:spacing w:after="60"/>
      </w:pPr>
      <w:r>
        <w:rPr>
          <w:b/>
          <w:i w:val="0"/>
          <w:sz w:val="19"/>
        </w:rPr>
        <w:t>SECA-II arm D</w:t>
      </w:r>
      <w:r>
        <w:rPr>
          <w:b w:val="0"/>
          <w:i w:val="0"/>
          <w:sz w:val="19"/>
        </w:rPr>
        <w:t xml:space="preserve"> — Liver transplantation for unresectable colorectal liver metastases in patients and donors with extended criteria (SECA-II arm D study)</w:t>
      </w:r>
      <w:r>
        <w:rPr>
          <w:b w:val="0"/>
          <w:i w:val="0"/>
          <w:sz w:val="19"/>
        </w:rPr>
        <w:t xml:space="preserve">  </w:t>
      </w:r>
      <w:hyperlink r:id="rId119">
        <w:r>
          <w:rPr>
            <w:color w:val="0563C1"/>
            <w:u w:val="single"/>
            <w:sz w:val="19"/>
          </w:rPr>
          <w:t xml:space="preserve">PubMed</w:t>
        </w:r>
      </w:hyperlink>
      <w:r>
        <w:rPr>
          <w:b w:val="0"/>
          <w:i w:val="0"/>
          <w:sz w:val="19"/>
        </w:rPr>
        <w:t xml:space="preserve"> · </w:t>
      </w:r>
      <w:hyperlink r:id="rId120">
        <w:r>
          <w:rPr>
            <w:color w:val="0563C1"/>
            <w:u w:val="single"/>
            <w:sz w:val="19"/>
          </w:rPr>
          <w:t xml:space="preserve">Journal</w:t>
        </w:r>
      </w:hyperlink>
      <w:r>
        <w:rPr>
          <w:b w:val="0"/>
          <w:i w:val="0"/>
          <w:sz w:val="19"/>
        </w:rPr>
        <w:t xml:space="preserve"> · </w:t>
      </w:r>
      <w:hyperlink r:id="rId121">
        <w:r>
          <w:rPr>
            <w:color w:val="0563C1"/>
            <w:u w:val="single"/>
            <w:sz w:val="19"/>
          </w:rPr>
          <w:t xml:space="preserve">Free full text</w:t>
        </w:r>
      </w:hyperlink>
      <w:r>
        <w:rPr>
          <w:b w:val="0"/>
          <w:i w:val="0"/>
          <w:sz w:val="19"/>
        </w:rPr>
        <w:t xml:space="preserve"> · </w:t>
      </w:r>
      <w:hyperlink r:id="rId122">
        <w:r>
          <w:rPr>
            <w:color w:val="0563C1"/>
            <w:u w:val="single"/>
            <w:sz w:val="19"/>
          </w:rPr>
          <w:t xml:space="preserve">Source</w:t>
        </w:r>
      </w:hyperlink>
      <w:r>
        <w:rPr>
          <w:b w:val="0"/>
          <w:i w:val="0"/>
          <w:sz w:val="19"/>
        </w:rPr>
        <w:t xml:space="preserve"> · </w:t>
      </w:r>
      <w:hyperlink r:id="rId123">
        <w:r>
          <w:rPr>
            <w:color w:val="0563C1"/>
            <w:u w:val="single"/>
            <w:sz w:val="19"/>
          </w:rPr>
          <w:t xml:space="preserve">TMC library</w:t>
        </w:r>
      </w:hyperlink>
    </w:p>
    <w:p>
      <w:pPr>
        <w:spacing w:after="60"/>
      </w:pPr>
      <w:r>
        <w:rPr>
          <w:b/>
          <w:i w:val="0"/>
          <w:sz w:val="19"/>
        </w:rPr>
        <w:t>SECA-III registration</w:t>
      </w:r>
      <w:r>
        <w:rPr>
          <w:b w:val="0"/>
          <w:i w:val="0"/>
          <w:sz w:val="19"/>
        </w:rPr>
        <w:t xml:space="preserve"> — A randomized clinical trial comparing overall survival in selected patients with colorectal carcinoma treated by liver transplantation or chemotherapy (SECA-III)</w:t>
      </w:r>
      <w:r>
        <w:rPr>
          <w:b w:val="0"/>
          <w:i w:val="0"/>
          <w:sz w:val="19"/>
        </w:rPr>
        <w:t xml:space="preserve">  </w:t>
      </w:r>
      <w:hyperlink r:id="rId124">
        <w:r>
          <w:rPr>
            <w:color w:val="0563C1"/>
            <w:u w:val="single"/>
            <w:sz w:val="19"/>
          </w:rPr>
          <w:t xml:space="preserve">Source</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125">
        <w:r>
          <w:rPr>
            <w:color w:val="0563C1"/>
            <w:u w:val="single"/>
            <w:sz w:val="19"/>
          </w:rPr>
          <w:t xml:space="preserve">PubMed</w:t>
        </w:r>
      </w:hyperlink>
      <w:r>
        <w:rPr>
          <w:b w:val="0"/>
          <w:i w:val="0"/>
          <w:sz w:val="19"/>
        </w:rPr>
        <w:t xml:space="preserve"> · </w:t>
      </w:r>
      <w:hyperlink r:id="rId126">
        <w:r>
          <w:rPr>
            <w:color w:val="0563C1"/>
            <w:u w:val="single"/>
            <w:sz w:val="19"/>
          </w:rPr>
          <w:t xml:space="preserve">Journal</w:t>
        </w:r>
      </w:hyperlink>
      <w:r>
        <w:rPr>
          <w:b w:val="0"/>
          <w:i w:val="0"/>
          <w:sz w:val="19"/>
        </w:rPr>
        <w:t xml:space="preserve"> · </w:t>
      </w:r>
      <w:hyperlink r:id="rId127">
        <w:r>
          <w:rPr>
            <w:color w:val="0563C1"/>
            <w:u w:val="single"/>
            <w:sz w:val="19"/>
          </w:rPr>
          <w:t xml:space="preserve">Free full text</w:t>
        </w:r>
      </w:hyperlink>
      <w:r>
        <w:rPr>
          <w:b w:val="0"/>
          <w:i w:val="0"/>
          <w:sz w:val="19"/>
        </w:rPr>
        <w:t xml:space="preserve"> · </w:t>
      </w:r>
      <w:hyperlink r:id="rId128">
        <w:r>
          <w:rPr>
            <w:color w:val="0563C1"/>
            <w:u w:val="single"/>
            <w:sz w:val="19"/>
          </w:rPr>
          <w:t xml:space="preserve">Source</w:t>
        </w:r>
      </w:hyperlink>
      <w:r>
        <w:rPr>
          <w:b w:val="0"/>
          <w:i w:val="0"/>
          <w:sz w:val="19"/>
        </w:rPr>
        <w:t xml:space="preserve"> · </w:t>
      </w:r>
      <w:hyperlink r:id="rId129">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130">
        <w:r>
          <w:rPr>
            <w:color w:val="0563C1"/>
            <w:u w:val="single"/>
            <w:sz w:val="19"/>
          </w:rPr>
          <w:t xml:space="preserve">PubMed</w:t>
        </w:r>
      </w:hyperlink>
      <w:r>
        <w:rPr>
          <w:b w:val="0"/>
          <w:i w:val="0"/>
          <w:sz w:val="19"/>
        </w:rPr>
        <w:t xml:space="preserve"> · </w:t>
      </w:r>
      <w:hyperlink r:id="rId131">
        <w:r>
          <w:rPr>
            <w:color w:val="0563C1"/>
            <w:u w:val="single"/>
            <w:sz w:val="19"/>
          </w:rPr>
          <w:t xml:space="preserve">Journal</w:t>
        </w:r>
      </w:hyperlink>
      <w:r>
        <w:rPr>
          <w:b w:val="0"/>
          <w:i w:val="0"/>
          <w:sz w:val="19"/>
        </w:rPr>
        <w:t xml:space="preserve"> · </w:t>
      </w:r>
      <w:hyperlink r:id="rId132">
        <w:r>
          <w:rPr>
            <w:color w:val="0563C1"/>
            <w:u w:val="single"/>
            <w:sz w:val="19"/>
          </w:rPr>
          <w:t xml:space="preserve">TMC library</w:t>
        </w:r>
      </w:hyperlink>
    </w:p>
    <w:p>
      <w:pPr>
        <w:spacing w:after="60"/>
      </w:pPr>
      <w:r>
        <w:rPr>
          <w:b/>
          <w:i w:val="0"/>
          <w:sz w:val="19"/>
        </w:rPr>
        <w:t>Wehrle 2023 · ctDNA</w:t>
      </w:r>
      <w:r>
        <w:rPr>
          <w:b w:val="0"/>
          <w:i w:val="0"/>
          <w:sz w:val="19"/>
        </w:rPr>
        <w:t xml:space="preserve"> — Circulating Tumor DNA in Colorectal Cancer Liver Metastasis: Analysis of Patients Receiving Liver Resection and Transplant</w:t>
      </w:r>
      <w:r>
        <w:rPr>
          <w:b w:val="0"/>
          <w:i w:val="0"/>
          <w:sz w:val="19"/>
        </w:rPr>
        <w:t xml:space="preserve">  </w:t>
      </w:r>
      <w:hyperlink r:id="rId133">
        <w:r>
          <w:rPr>
            <w:color w:val="0563C1"/>
            <w:u w:val="single"/>
            <w:sz w:val="19"/>
          </w:rPr>
          <w:t xml:space="preserve">PubMed</w:t>
        </w:r>
      </w:hyperlink>
      <w:r>
        <w:rPr>
          <w:b w:val="0"/>
          <w:i w:val="0"/>
          <w:sz w:val="19"/>
        </w:rPr>
        <w:t xml:space="preserve"> · </w:t>
      </w:r>
      <w:hyperlink r:id="rId134">
        <w:r>
          <w:rPr>
            <w:color w:val="0563C1"/>
            <w:u w:val="single"/>
            <w:sz w:val="19"/>
          </w:rPr>
          <w:t xml:space="preserve">Journal</w:t>
        </w:r>
      </w:hyperlink>
      <w:r>
        <w:rPr>
          <w:b w:val="0"/>
          <w:i w:val="0"/>
          <w:sz w:val="19"/>
        </w:rPr>
        <w:t xml:space="preserve"> · </w:t>
      </w:r>
      <w:hyperlink r:id="rId135">
        <w:r>
          <w:rPr>
            <w:color w:val="0563C1"/>
            <w:u w:val="single"/>
            <w:sz w:val="19"/>
          </w:rPr>
          <w:t xml:space="preserve">TMC library</w:t>
        </w:r>
      </w:hyperlink>
    </w:p>
    <w:p>
      <w:pPr>
        <w:spacing w:after="60"/>
      </w:pPr>
      <w:r>
        <w:rPr>
          <w:b/>
          <w:i w:val="0"/>
          <w:sz w:val="19"/>
        </w:rPr>
        <w:t>Wehrle 2024 · intensive LRT</w:t>
      </w:r>
      <w:r>
        <w:rPr>
          <w:b w:val="0"/>
          <w:i w:val="0"/>
          <w:sz w:val="19"/>
        </w:rPr>
        <w:t xml:space="preserve"> — Intensive locoregional therapy before liver transplantation for colorectal cancer liver metastasis: A novel pretransplant protocol</w:t>
      </w:r>
      <w:r>
        <w:rPr>
          <w:b w:val="0"/>
          <w:i w:val="0"/>
          <w:sz w:val="19"/>
        </w:rPr>
        <w:t xml:space="preserve">  </w:t>
      </w:r>
      <w:hyperlink r:id="rId136">
        <w:r>
          <w:rPr>
            <w:color w:val="0563C1"/>
            <w:u w:val="single"/>
            <w:sz w:val="19"/>
          </w:rPr>
          <w:t xml:space="preserve">PubMed</w:t>
        </w:r>
      </w:hyperlink>
      <w:r>
        <w:rPr>
          <w:b w:val="0"/>
          <w:i w:val="0"/>
          <w:sz w:val="19"/>
        </w:rPr>
        <w:t xml:space="preserve"> · </w:t>
      </w:r>
      <w:hyperlink r:id="rId137">
        <w:r>
          <w:rPr>
            <w:color w:val="0563C1"/>
            <w:u w:val="single"/>
            <w:sz w:val="19"/>
          </w:rPr>
          <w:t xml:space="preserve">Journal</w:t>
        </w:r>
      </w:hyperlink>
      <w:r>
        <w:rPr>
          <w:b w:val="0"/>
          <w:i w:val="0"/>
          <w:sz w:val="19"/>
        </w:rPr>
        <w:t xml:space="preserve"> · </w:t>
      </w:r>
      <w:hyperlink r:id="rId138">
        <w:r>
          <w:rPr>
            <w:color w:val="0563C1"/>
            <w:u w:val="single"/>
            <w:sz w:val="19"/>
          </w:rPr>
          <w:t xml:space="preserve">TMC library</w:t>
        </w:r>
      </w:hyperlink>
    </w:p>
    <w:p>
      <w:pPr>
        <w:spacing w:after="60"/>
      </w:pPr>
      <w:r>
        <w:rPr>
          <w:b/>
          <w:i w:val="0"/>
          <w:sz w:val="19"/>
        </w:rPr>
        <w:t>Wehrle 2025 · PET</w:t>
      </w:r>
      <w:r>
        <w:rPr>
          <w:b w:val="0"/>
          <w:i w:val="0"/>
          <w:sz w:val="19"/>
        </w:rPr>
        <w:t xml:space="preserve"> — Pretransplant metabolic tumor volume predicts recurrence following liver transplantation for colorectal metastasis: A multicenter study</w:t>
      </w:r>
      <w:r>
        <w:rPr>
          <w:b w:val="0"/>
          <w:i w:val="0"/>
          <w:sz w:val="19"/>
        </w:rPr>
        <w:t xml:space="preserve">  </w:t>
      </w:r>
      <w:hyperlink r:id="rId139">
        <w:r>
          <w:rPr>
            <w:color w:val="0563C1"/>
            <w:u w:val="single"/>
            <w:sz w:val="19"/>
          </w:rPr>
          <w:t xml:space="preserve">PubMed</w:t>
        </w:r>
      </w:hyperlink>
      <w:r>
        <w:rPr>
          <w:b w:val="0"/>
          <w:i w:val="0"/>
          <w:sz w:val="19"/>
        </w:rPr>
        <w:t xml:space="preserve"> · </w:t>
      </w:r>
      <w:hyperlink r:id="rId140">
        <w:r>
          <w:rPr>
            <w:color w:val="0563C1"/>
            <w:u w:val="single"/>
            <w:sz w:val="19"/>
          </w:rPr>
          <w:t xml:space="preserve">Journal</w:t>
        </w:r>
      </w:hyperlink>
      <w:r>
        <w:rPr>
          <w:b w:val="0"/>
          <w:i w:val="0"/>
          <w:sz w:val="19"/>
        </w:rPr>
        <w:t xml:space="preserve"> · </w:t>
      </w:r>
      <w:hyperlink r:id="rId141">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142">
        <w:r>
          <w:rPr>
            <w:color w:val="0563C1"/>
            <w:u w:val="single"/>
            <w:sz w:val="19"/>
          </w:rPr>
          <w:t xml:space="preserve">PubMed</w:t>
        </w:r>
      </w:hyperlink>
      <w:r>
        <w:rPr>
          <w:b w:val="0"/>
          <w:i w:val="0"/>
          <w:sz w:val="19"/>
        </w:rPr>
        <w:t xml:space="preserve"> · </w:t>
      </w:r>
      <w:hyperlink r:id="rId143">
        <w:r>
          <w:rPr>
            <w:color w:val="0563C1"/>
            <w:u w:val="single"/>
            <w:sz w:val="19"/>
          </w:rPr>
          <w:t xml:space="preserve">Journal</w:t>
        </w:r>
      </w:hyperlink>
      <w:r>
        <w:rPr>
          <w:b w:val="0"/>
          <w:i w:val="0"/>
          <w:sz w:val="19"/>
        </w:rPr>
        <w:t xml:space="preserve"> · </w:t>
      </w:r>
      <w:hyperlink r:id="rId144">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145">
        <w:r>
          <w:rPr>
            <w:color w:val="0563C1"/>
            <w:u w:val="single"/>
            <w:sz w:val="19"/>
          </w:rPr>
          <w:t xml:space="preserve">PubMed</w:t>
        </w:r>
      </w:hyperlink>
      <w:r>
        <w:rPr>
          <w:b w:val="0"/>
          <w:i w:val="0"/>
          <w:sz w:val="19"/>
        </w:rPr>
        <w:t xml:space="preserve"> · </w:t>
      </w:r>
      <w:hyperlink r:id="rId146">
        <w:r>
          <w:rPr>
            <w:color w:val="0563C1"/>
            <w:u w:val="single"/>
            <w:sz w:val="19"/>
          </w:rPr>
          <w:t xml:space="preserve">Journal</w:t>
        </w:r>
      </w:hyperlink>
      <w:r>
        <w:rPr>
          <w:b w:val="0"/>
          <w:i w:val="0"/>
          <w:sz w:val="19"/>
        </w:rPr>
        <w:t xml:space="preserve"> · </w:t>
      </w:r>
      <w:hyperlink r:id="rId147">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148">
        <w:r>
          <w:rPr>
            <w:color w:val="0563C1"/>
            <w:u w:val="single"/>
            <w:sz w:val="19"/>
          </w:rPr>
          <w:t xml:space="preserve">PubMed</w:t>
        </w:r>
      </w:hyperlink>
      <w:r>
        <w:rPr>
          <w:b w:val="0"/>
          <w:i w:val="0"/>
          <w:sz w:val="19"/>
        </w:rPr>
        <w:t xml:space="preserve"> · </w:t>
      </w:r>
      <w:hyperlink r:id="rId149">
        <w:r>
          <w:rPr>
            <w:color w:val="0563C1"/>
            <w:u w:val="single"/>
            <w:sz w:val="19"/>
          </w:rPr>
          <w:t xml:space="preserve">Journal</w:t>
        </w:r>
      </w:hyperlink>
      <w:r>
        <w:rPr>
          <w:b w:val="0"/>
          <w:i w:val="0"/>
          <w:sz w:val="19"/>
        </w:rPr>
        <w:t xml:space="preserve"> · </w:t>
      </w:r>
      <w:hyperlink r:id="rId150">
        <w:r>
          <w:rPr>
            <w:color w:val="0563C1"/>
            <w:u w:val="single"/>
            <w:sz w:val="19"/>
          </w:rPr>
          <w:t xml:space="preserve">Free full text</w:t>
        </w:r>
      </w:hyperlink>
      <w:r>
        <w:rPr>
          <w:b w:val="0"/>
          <w:i w:val="0"/>
          <w:sz w:val="19"/>
        </w:rPr>
        <w:t xml:space="preserve"> · </w:t>
      </w:r>
      <w:hyperlink r:id="rId151">
        <w:r>
          <w:rPr>
            <w:color w:val="0563C1"/>
            <w:u w:val="single"/>
            <w:sz w:val="19"/>
          </w:rPr>
          <w:t xml:space="preserve">Source</w:t>
        </w:r>
      </w:hyperlink>
      <w:r>
        <w:rPr>
          <w:b w:val="0"/>
          <w:i w:val="0"/>
          <w:sz w:val="19"/>
        </w:rPr>
        <w:t xml:space="preserve"> · </w:t>
      </w:r>
      <w:hyperlink r:id="rId152">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transplant/crlm/#unresectability" TargetMode="External"/><Relationship Id="rId9" Type="http://schemas.openxmlformats.org/officeDocument/2006/relationships/hyperlink" Target="https://drliuhao.github.io/mh-liver-pathways/transplant/crlm/#high-risk-crlm-b1" TargetMode="External"/><Relationship Id="rId10" Type="http://schemas.openxmlformats.org/officeDocument/2006/relationships/hyperlink" Target="https://drliuhao.github.io/mh-liver-pathways/transplant/crlm/#control" TargetMode="External"/><Relationship Id="rId11" Type="http://schemas.openxmlformats.org/officeDocument/2006/relationships/hyperlink" Target="https://drliuhao.github.io/mh-liver-pathways/transplant/crlm/#restaging" TargetMode="External"/><Relationship Id="rId12" Type="http://schemas.openxmlformats.org/officeDocument/2006/relationships/hyperlink" Target="https://drliuhao.github.io/mh-liver-pathways/transplant/crlm/#high-risk-crlm-b2" TargetMode="External"/><Relationship Id="rId13" Type="http://schemas.openxmlformats.org/officeDocument/2006/relationships/hyperlink" Target="https://drliuhao.github.io/mh-liver-pathways/transplant/crlm/#biology" TargetMode="External"/><Relationship Id="rId14" Type="http://schemas.openxmlformats.org/officeDocument/2006/relationships/hyperlink" Target="https://drliuhao.github.io/mh-liver-pathways/transplant/crlm/#clocks" TargetMode="External"/><Relationship Id="rId15" Type="http://schemas.openxmlformats.org/officeDocument/2006/relationships/hyperlink" Target="https://drliuhao.github.io/mh-liver-pathways/transplant/crlm/#high-risk-crlm-b3" TargetMode="External"/><Relationship Id="rId16" Type="http://schemas.openxmlformats.org/officeDocument/2006/relationships/hyperlink" Target="https://drliuhao.github.io/mh-liver-pathways/transplant/crlm/#review" TargetMode="External"/><Relationship Id="rId17" Type="http://schemas.openxmlformats.org/officeDocument/2006/relationships/hyperlink" Target="https://drliuhao.github.io/mh-liver-pathways/transplant/crlm/#high-risk-crlm-b4" TargetMode="External"/><Relationship Id="rId18" Type="http://schemas.openxmlformats.org/officeDocument/2006/relationships/hyperlink" Target="https://drliuhao.github.io/mh-liver-pathways/transplant/crlm/#map-disease" TargetMode="External"/><Relationship Id="rId19" Type="http://schemas.openxmlformats.org/officeDocument/2006/relationships/hyperlink" Target="https://drliuhao.github.io/mh-liver-pathways/transplant/crlm/#high-risk-crlm-b5" TargetMode="External"/><Relationship Id="rId20" Type="http://schemas.openxmlformats.org/officeDocument/2006/relationships/hyperlink" Target="https://drliuhao.github.io/mh-liver-pathways/transplant/crlm/#high-risk-alloc-b1" TargetMode="External"/><Relationship Id="rId21" Type="http://schemas.openxmlformats.org/officeDocument/2006/relationships/hyperlink" Target="https://drliuhao.github.io/mh-liver-pathways/transplant/crlm/#high-risk-alloc-b2" TargetMode="External"/><Relationship Id="rId22" Type="http://schemas.openxmlformats.org/officeDocument/2006/relationships/hyperlink" Target="https://drliuhao.github.io/mh-liver-pathways/transplant/crlm/#high-risk-alloc-b3" TargetMode="External"/><Relationship Id="rId23" Type="http://schemas.openxmlformats.org/officeDocument/2006/relationships/hyperlink" Target="https://drliuhao.github.io/mh-liver-pathways/transplant/crlm/#high-risk-alloc-b4" TargetMode="External"/><Relationship Id="rId24" Type="http://schemas.openxmlformats.org/officeDocument/2006/relationships/hyperlink" Target="https://pubmed.ncbi.nlm.nih.gov/22335782/" TargetMode="External"/><Relationship Id="rId25" Type="http://schemas.openxmlformats.org/officeDocument/2006/relationships/hyperlink" Target="https://doi.org/10.1111/j.1600-6143.2011.03972.x" TargetMode="External"/><Relationship Id="rId26" Type="http://schemas.openxmlformats.org/officeDocument/2006/relationships/hyperlink" Target="https://pmc.ncbi.nlm.nih.gov/articles/PMC3732171/pdf/nihms-491154.pdf" TargetMode="External"/><Relationship Id="rId27" Type="http://schemas.openxmlformats.org/officeDocument/2006/relationships/hyperlink" Target="https://pmc.ncbi.nlm.nih.gov/articles/PMC3732171/" TargetMode="External"/><Relationship Id="rId28" Type="http://schemas.openxmlformats.org/officeDocument/2006/relationships/hyperlink" Target="https://thslc-houston.primo.exlibrisgroup.com/discovery/search?vid=01TEXASHEALTH_HOUSTON%3ATMC_INST&amp;query=any,contains,10.1111%2Fj.1600-6143.2011.03972.x&amp;lang=en" TargetMode="External"/><Relationship Id="rId29" Type="http://schemas.openxmlformats.org/officeDocument/2006/relationships/hyperlink" Target="https://pubmed.ncbi.nlm.nih.gov/38521169/" TargetMode="External"/><Relationship Id="rId30" Type="http://schemas.openxmlformats.org/officeDocument/2006/relationships/hyperlink" Target="https://doi.org/10.1016/j.jhep.2024.03.020" TargetMode="External"/><Relationship Id="rId31" Type="http://schemas.openxmlformats.org/officeDocument/2006/relationships/hyperlink" Target="https://thslc-houston.primo.exlibrisgroup.com/discovery/search?vid=01TEXASHEALTH_HOUSTON%3ATMC_INST&amp;query=any,contains,10.1016%2Fj.jhep.2024.03.020&amp;lang=en" TargetMode="External"/><Relationship Id="rId32" Type="http://schemas.openxmlformats.org/officeDocument/2006/relationships/hyperlink" Target="https://pubmed.ncbi.nlm.nih.gov/38884781/" TargetMode="External"/><Relationship Id="rId33" Type="http://schemas.openxmlformats.org/officeDocument/2006/relationships/hyperlink" Target="https://doi.org/10.1007/s00270-024-03743-8" TargetMode="External"/><Relationship Id="rId34" Type="http://schemas.openxmlformats.org/officeDocument/2006/relationships/hyperlink" Target="https://pmc.ncbi.nlm.nih.gov/articles/PMC11303578/pdf/270_2024_Article_3743.pdf" TargetMode="External"/><Relationship Id="rId35" Type="http://schemas.openxmlformats.org/officeDocument/2006/relationships/hyperlink" Target="https://pmc.ncbi.nlm.nih.gov/articles/PMC11303578/" TargetMode="External"/><Relationship Id="rId36" Type="http://schemas.openxmlformats.org/officeDocument/2006/relationships/hyperlink" Target="https://thslc-houston.primo.exlibrisgroup.com/discovery/search?vid=01TEXASHEALTH_HOUSTON%3ATMC_INST&amp;query=any,contains,10.1007%2Fs00270-024-03743-8&amp;lang=en" TargetMode="External"/><Relationship Id="rId37" Type="http://schemas.openxmlformats.org/officeDocument/2006/relationships/hyperlink" Target="https://pubmed.ncbi.nlm.nih.gov/41630086/" TargetMode="External"/><Relationship Id="rId38" Type="http://schemas.openxmlformats.org/officeDocument/2006/relationships/hyperlink" Target="https://doi.org/10.1097/SLA.0000000000007021" TargetMode="External"/><Relationship Id="rId39" Type="http://schemas.openxmlformats.org/officeDocument/2006/relationships/hyperlink" Target="https://thslc-houston.primo.exlibrisgroup.com/discovery/search?vid=01TEXASHEALTH_HOUSTON%3ATMC_INST&amp;query=any,contains,10.1097%2FSLA.0000000000007021&amp;lang=en" TargetMode="External"/><Relationship Id="rId40" Type="http://schemas.openxmlformats.org/officeDocument/2006/relationships/hyperlink" Target="https://pubmed.ncbi.nlm.nih.gov/36692112/" TargetMode="External"/><Relationship Id="rId41" Type="http://schemas.openxmlformats.org/officeDocument/2006/relationships/hyperlink" Target="https://doi.org/10.1097/SLA.0000000000005803" TargetMode="External"/><Relationship Id="rId42" Type="http://schemas.openxmlformats.org/officeDocument/2006/relationships/hyperlink" Target="https://pmc.ncbi.nlm.nih.gov/articles/PMC10549889/pdf/sla-278-e1026.pdf" TargetMode="External"/><Relationship Id="rId43" Type="http://schemas.openxmlformats.org/officeDocument/2006/relationships/hyperlink" Target="https://pmc.ncbi.nlm.nih.gov/articles/PMC10549889/" TargetMode="External"/><Relationship Id="rId44" Type="http://schemas.openxmlformats.org/officeDocument/2006/relationships/hyperlink" Target="https://thslc-houston.primo.exlibrisgroup.com/discovery/search?vid=01TEXASHEALTH_HOUSTON%3ATMC_INST&amp;query=any,contains,10.1097%2FSLA.0000000000005803&amp;lang=en" TargetMode="External"/><Relationship Id="rId45" Type="http://schemas.openxmlformats.org/officeDocument/2006/relationships/hyperlink" Target="https://pubmed.ncbi.nlm.nih.gov/27647626/" TargetMode="External"/><Relationship Id="rId46" Type="http://schemas.openxmlformats.org/officeDocument/2006/relationships/hyperlink" Target="https://doi.org/10.1111/ajt.14055" TargetMode="External"/><Relationship Id="rId47" Type="http://schemas.openxmlformats.org/officeDocument/2006/relationships/hyperlink" Target="https://pmc.ncbi.nlm.nih.gov/articles/PMC5359081/pdf/nihms818467.pdf" TargetMode="External"/><Relationship Id="rId48" Type="http://schemas.openxmlformats.org/officeDocument/2006/relationships/hyperlink" Target="https://pmc.ncbi.nlm.nih.gov/articles/PMC5359081/" TargetMode="External"/><Relationship Id="rId49" Type="http://schemas.openxmlformats.org/officeDocument/2006/relationships/hyperlink" Target="https://thslc-houston.primo.exlibrisgroup.com/discovery/search?vid=01TEXASHEALTH_HOUSTON%3ATMC_INST&amp;query=any,contains,10.1111%2Fajt.14055&amp;lang=en" TargetMode="External"/><Relationship Id="rId50" Type="http://schemas.openxmlformats.org/officeDocument/2006/relationships/hyperlink" Target="https://pubmed.ncbi.nlm.nih.gov/31188200/" TargetMode="External"/><Relationship Id="rId51" Type="http://schemas.openxmlformats.org/officeDocument/2006/relationships/hyperlink" Target="https://doi.org/10.1097/SLA.0000000000003404" TargetMode="External"/><Relationship Id="rId52" Type="http://schemas.openxmlformats.org/officeDocument/2006/relationships/hyperlink" Target="https://thslc-houston.primo.exlibrisgroup.com/discovery/search?vid=01TEXASHEALTH_HOUSTON%3ATMC_INST&amp;query=any,contains,10.1097%2FSLA.0000000000003404&amp;lang=en" TargetMode="External"/><Relationship Id="rId53" Type="http://schemas.openxmlformats.org/officeDocument/2006/relationships/hyperlink" Target="https://pubmed.ncbi.nlm.nih.gov/36291826/" TargetMode="External"/><Relationship Id="rId54" Type="http://schemas.openxmlformats.org/officeDocument/2006/relationships/hyperlink" Target="https://doi.org/10.3390/cancers14205042" TargetMode="External"/><Relationship Id="rId55" Type="http://schemas.openxmlformats.org/officeDocument/2006/relationships/hyperlink" Target="https://pmc.ncbi.nlm.nih.gov/articles/PMC9599638/" TargetMode="External"/><Relationship Id="rId56" Type="http://schemas.openxmlformats.org/officeDocument/2006/relationships/hyperlink" Target="https://thslc-houston.primo.exlibrisgroup.com/discovery/search?vid=01TEXASHEALTH_HOUSTON%3ATMC_INST&amp;query=any,contains,10.3390%2Fcancers14205042&amp;lang=en" TargetMode="External"/><Relationship Id="rId57" Type="http://schemas.openxmlformats.org/officeDocument/2006/relationships/hyperlink" Target="https://pubmed.ncbi.nlm.nih.gov/37494056/" TargetMode="External"/><Relationship Id="rId58" Type="http://schemas.openxmlformats.org/officeDocument/2006/relationships/hyperlink" Target="https://doi.org/10.1001/jamasurg.2023.2932" TargetMode="External"/><Relationship Id="rId59" Type="http://schemas.openxmlformats.org/officeDocument/2006/relationships/hyperlink" Target="https://thslc-houston.primo.exlibrisgroup.com/discovery/search?vid=01TEXASHEALTH_HOUSTON%3ATMC_INST&amp;query=any,contains,10.1001%2Fjamasurg.2023.2932&amp;lang=en" TargetMode="External"/><Relationship Id="rId60" Type="http://schemas.openxmlformats.org/officeDocument/2006/relationships/hyperlink" Target="https://pubmed.ncbi.nlm.nih.gov/42572136/" TargetMode="External"/><Relationship Id="rId61" Type="http://schemas.openxmlformats.org/officeDocument/2006/relationships/hyperlink" Target="https://doi.org/10.1097/sla.0000000000007200" TargetMode="External"/><Relationship Id="rId62" Type="http://schemas.openxmlformats.org/officeDocument/2006/relationships/hyperlink" Target="https://doi.org/10.1097/SLA.0000000000007200" TargetMode="External"/><Relationship Id="rId63" Type="http://schemas.openxmlformats.org/officeDocument/2006/relationships/hyperlink" Target="https://thslc-houston.primo.exlibrisgroup.com/discovery/search?vid=01TEXASHEALTH_HOUSTON%3ATMC_INST&amp;query=any,contains,10.1097%2Fsla.0000000000007200&amp;lang=en" TargetMode="External"/><Relationship Id="rId64" Type="http://schemas.openxmlformats.org/officeDocument/2006/relationships/hyperlink" Target="https://pubmed.ncbi.nlm.nih.gov/42270817/" TargetMode="External"/><Relationship Id="rId65" Type="http://schemas.openxmlformats.org/officeDocument/2006/relationships/hyperlink" Target="https://doi.org/10.1038/s41571-026-01160-z" TargetMode="External"/><Relationship Id="rId66" Type="http://schemas.openxmlformats.org/officeDocument/2006/relationships/hyperlink" Target="https://pmc.ncbi.nlm.nih.gov/articles/PMC13665261/pdf/nihms-2192929.pdf" TargetMode="External"/><Relationship Id="rId67" Type="http://schemas.openxmlformats.org/officeDocument/2006/relationships/hyperlink" Target="https://pmc.ncbi.nlm.nih.gov/articles/PMC13665261/" TargetMode="External"/><Relationship Id="rId68" Type="http://schemas.openxmlformats.org/officeDocument/2006/relationships/hyperlink" Target="https://thslc-houston.primo.exlibrisgroup.com/discovery/search?vid=01TEXASHEALTH_HOUSTON%3ATMC_INST&amp;query=any,contains,10.1038%2Fs41571-026-01160-z&amp;lang=en" TargetMode="External"/><Relationship Id="rId69" Type="http://schemas.openxmlformats.org/officeDocument/2006/relationships/hyperlink" Target="https://pubmed.ncbi.nlm.nih.gov/27777223/" TargetMode="External"/><Relationship Id="rId70" Type="http://schemas.openxmlformats.org/officeDocument/2006/relationships/hyperlink" Target="https://doi.org/10.1136/bmj.i5239" TargetMode="External"/><Relationship Id="rId71" Type="http://schemas.openxmlformats.org/officeDocument/2006/relationships/hyperlink" Target="https://pmc.ncbi.nlm.nih.gov/articles/PMC5076380/" TargetMode="External"/><Relationship Id="rId72" Type="http://schemas.openxmlformats.org/officeDocument/2006/relationships/hyperlink" Target="https://thslc-houston.primo.exlibrisgroup.com/discovery/search?vid=01TEXASHEALTH_HOUSTON%3ATMC_INST&amp;query=any,contains,10.1136%2Fbmj.i5239&amp;lang=en" TargetMode="External"/><Relationship Id="rId73" Type="http://schemas.openxmlformats.org/officeDocument/2006/relationships/hyperlink" Target="https://pubmed.ncbi.nlm.nih.gov/39566949/" TargetMode="External"/><Relationship Id="rId74" Type="http://schemas.openxmlformats.org/officeDocument/2006/relationships/hyperlink" Target="https://doi.org/10.1136/bmjopen-2024-088188" TargetMode="External"/><Relationship Id="rId75" Type="http://schemas.openxmlformats.org/officeDocument/2006/relationships/hyperlink" Target="https://pmc.ncbi.nlm.nih.gov/articles/PMC11580313/" TargetMode="External"/><Relationship Id="rId76" Type="http://schemas.openxmlformats.org/officeDocument/2006/relationships/hyperlink" Target="https://thslc-houston.primo.exlibrisgroup.com/discovery/search?vid=01TEXASHEALTH_HOUSTON%3ATMC_INST&amp;query=any,contains,10.1136%2Fbmjopen-2024-088188&amp;lang=en" TargetMode="External"/><Relationship Id="rId77" Type="http://schemas.openxmlformats.org/officeDocument/2006/relationships/hyperlink" Target="https://pubmed.ncbi.nlm.nih.gov/36241941/" TargetMode="External"/><Relationship Id="rId78" Type="http://schemas.openxmlformats.org/officeDocument/2006/relationships/hyperlink" Target="https://doi.org/10.1007/s12149-022-01796-8" TargetMode="External"/><Relationship Id="rId79" Type="http://schemas.openxmlformats.org/officeDocument/2006/relationships/hyperlink" Target="https://pmc.ncbi.nlm.nih.gov/articles/PMC9668778/pdf/12149_2022_Article_1796.pdf" TargetMode="External"/><Relationship Id="rId80" Type="http://schemas.openxmlformats.org/officeDocument/2006/relationships/hyperlink" Target="https://pmc.ncbi.nlm.nih.gov/articles/PMC9668778/" TargetMode="External"/><Relationship Id="rId81" Type="http://schemas.openxmlformats.org/officeDocument/2006/relationships/hyperlink" Target="https://thslc-houston.primo.exlibrisgroup.com/discovery/search?vid=01TEXASHEALTH_HOUSTON%3ATMC_INST&amp;query=any,contains,10.1007%2Fs12149-022-01796-8&amp;lang=en" TargetMode="External"/><Relationship Id="rId82" Type="http://schemas.openxmlformats.org/officeDocument/2006/relationships/hyperlink" Target="https://pubmed.ncbi.nlm.nih.gov/29168565/" TargetMode="External"/><Relationship Id="rId83" Type="http://schemas.openxmlformats.org/officeDocument/2006/relationships/hyperlink" Target="https://doi.org/10.1002/bjs.10651" TargetMode="External"/><Relationship Id="rId84" Type="http://schemas.openxmlformats.org/officeDocument/2006/relationships/hyperlink" Target="https://thslc-houston.primo.exlibrisgroup.com/discovery/search?vid=01TEXASHEALTH_HOUSTON%3ATMC_INST&amp;query=any,contains,10.1002%2Fbjs.10651&amp;lang=en" TargetMode="External"/><Relationship Id="rId85" Type="http://schemas.openxmlformats.org/officeDocument/2006/relationships/hyperlink" Target="https://pubmed.ncbi.nlm.nih.gov/24370906/" TargetMode="External"/><Relationship Id="rId86" Type="http://schemas.openxmlformats.org/officeDocument/2006/relationships/hyperlink" Target="https://doi.org/10.1245/s10434-013-3449-9" TargetMode="External"/><Relationship Id="rId87" Type="http://schemas.openxmlformats.org/officeDocument/2006/relationships/hyperlink" Target="https://pmc.ncbi.nlm.nih.gov/articles/PMC3942624/" TargetMode="External"/><Relationship Id="rId88" Type="http://schemas.openxmlformats.org/officeDocument/2006/relationships/hyperlink" Target="https://thslc-houston.primo.exlibrisgroup.com/discovery/search?vid=01TEXASHEALTH_HOUSTON%3ATMC_INST&amp;query=any,contains,10.1245%2Fs10434-013-3449-9&amp;lang=en" TargetMode="External"/><Relationship Id="rId89" Type="http://schemas.openxmlformats.org/officeDocument/2006/relationships/hyperlink" Target="https://pubmed.ncbi.nlm.nih.gov/35353121/" TargetMode="External"/><Relationship Id="rId90" Type="http://schemas.openxmlformats.org/officeDocument/2006/relationships/hyperlink" Target="https://doi.org/10.1001/jamasurg.2022.0300" TargetMode="External"/><Relationship Id="rId91" Type="http://schemas.openxmlformats.org/officeDocument/2006/relationships/hyperlink" Target="https://thslc-houston.primo.exlibrisgroup.com/discovery/search?vid=01TEXASHEALTH_HOUSTON%3ATMC_INST&amp;query=any,contains,10.1001%2Fjamasurg.2022.0300&amp;lang=en" TargetMode="External"/><Relationship Id="rId92" Type="http://schemas.openxmlformats.org/officeDocument/2006/relationships/hyperlink" Target="https://www.ecfr.gov/current/title-45/subtitle-A/subchapter-A/part-46/subpart-A/section-46.111" TargetMode="External"/><Relationship Id="rId93" Type="http://schemas.openxmlformats.org/officeDocument/2006/relationships/hyperlink" Target="https://pubmed.ncbi.nlm.nih.gov/24767470/" TargetMode="External"/><Relationship Id="rId94" Type="http://schemas.openxmlformats.org/officeDocument/2006/relationships/hyperlink" Target="https://doi.org/10.1016/j.ejca.2014.03.277" TargetMode="External"/><Relationship Id="rId95" Type="http://schemas.openxmlformats.org/officeDocument/2006/relationships/hyperlink" Target="https://thslc-houston.primo.exlibrisgroup.com/discovery/search?vid=01TEXASHEALTH_HOUSTON%3ATMC_INST&amp;query=any,contains,10.1016%2Fj.ejca.2014.03.277&amp;lang=en" TargetMode="External"/><Relationship Id="rId96" Type="http://schemas.openxmlformats.org/officeDocument/2006/relationships/hyperlink" Target="https://pubmed.ncbi.nlm.nih.gov/34506756/" TargetMode="External"/><Relationship Id="rId97" Type="http://schemas.openxmlformats.org/officeDocument/2006/relationships/hyperlink" Target="https://doi.org/10.1016/S2468-1253(21)00219-3" TargetMode="External"/><Relationship Id="rId98" Type="http://schemas.openxmlformats.org/officeDocument/2006/relationships/hyperlink" Target="https://thslc-houston.primo.exlibrisgroup.com/discovery/search?vid=01TEXASHEALTH_HOUSTON%3ATMC_INST&amp;query=any,contains,10.1016%2FS2468-1253%2821%2900219-3&amp;lang=en" TargetMode="External"/><Relationship Id="rId99" Type="http://schemas.openxmlformats.org/officeDocument/2006/relationships/hyperlink" Target="https://pubmed.ncbi.nlm.nih.gov/40960802/" TargetMode="External"/><Relationship Id="rId100" Type="http://schemas.openxmlformats.org/officeDocument/2006/relationships/hyperlink" Target="https://doi.org/10.1001/jamasurg.2025.3600" TargetMode="External"/><Relationship Id="rId101" Type="http://schemas.openxmlformats.org/officeDocument/2006/relationships/hyperlink" Target="https://pmc.ncbi.nlm.nih.gov/articles/PMC12444651/" TargetMode="External"/><Relationship Id="rId102" Type="http://schemas.openxmlformats.org/officeDocument/2006/relationships/hyperlink" Target="https://thslc-houston.primo.exlibrisgroup.com/discovery/search?vid=01TEXASHEALTH_HOUSTON%3ATMC_INST&amp;query=any,contains,10.1001%2Fjamasurg.2025.3600&amp;lang=en" TargetMode="External"/><Relationship Id="rId103" Type="http://schemas.openxmlformats.org/officeDocument/2006/relationships/hyperlink" Target="https://pubmed.ncbi.nlm.nih.gov/42835360/" TargetMode="External"/><Relationship Id="rId104" Type="http://schemas.openxmlformats.org/officeDocument/2006/relationships/hyperlink" Target="https://doi.org/10.1155/joot/2545887" TargetMode="External"/><Relationship Id="rId105" Type="http://schemas.openxmlformats.org/officeDocument/2006/relationships/hyperlink" Target="https://thslc-houston.primo.exlibrisgroup.com/discovery/search?vid=01TEXASHEALTH_HOUSTON%3ATMC_INST&amp;query=any,contains,10.1155%2Fjoot%2F2545887&amp;lang=en" TargetMode="External"/><Relationship Id="rId106" Type="http://schemas.openxmlformats.org/officeDocument/2006/relationships/hyperlink" Target="https://www.hrsa.gov/sites/default/files/hrsa/optn/adult-meld-exception-transplant-oncology-review-guidance.pdf" TargetMode="External"/><Relationship Id="rId107" Type="http://schemas.openxmlformats.org/officeDocument/2006/relationships/hyperlink" Target="https://pubmed.ncbi.nlm.nih.gov/29534862/" TargetMode="External"/><Relationship Id="rId108" Type="http://schemas.openxmlformats.org/officeDocument/2006/relationships/hyperlink" Target="https://doi.org/10.1016/j.hpb.2018.02.377" TargetMode="External"/><Relationship Id="rId109" Type="http://schemas.openxmlformats.org/officeDocument/2006/relationships/hyperlink" Target="https://thslc-houston.primo.exlibrisgroup.com/discovery/search?vid=01TEXASHEALTH_HOUSTON%3ATMC_INST&amp;query=any,contains,10.1016%2Fj.hpb.2018.02.377&amp;lang=en" TargetMode="External"/><Relationship Id="rId110" Type="http://schemas.openxmlformats.org/officeDocument/2006/relationships/hyperlink" Target="https://www.hrsa.gov/optn/professionals/resources/ethical-considerations/ethical-principles-in-the-allocation-of-human-organs" TargetMode="External"/><Relationship Id="rId111" Type="http://schemas.openxmlformats.org/officeDocument/2006/relationships/hyperlink" Target="https://www.hrsa.gov/sites/default/files/hrsa/optn/optn_policies.pdf" TargetMode="External"/><Relationship Id="rId112" Type="http://schemas.openxmlformats.org/officeDocument/2006/relationships/hyperlink" Target="https://pubmed.ncbi.nlm.nih.gov/32388895/" TargetMode="External"/><Relationship Id="rId113" Type="http://schemas.openxmlformats.org/officeDocument/2006/relationships/hyperlink" Target="https://doi.org/10.1111/codi.15113" TargetMode="External"/><Relationship Id="rId114" Type="http://schemas.openxmlformats.org/officeDocument/2006/relationships/hyperlink" Target="https://pmc.ncbi.nlm.nih.gov/articles/PMC7611567/" TargetMode="External"/><Relationship Id="rId115" Type="http://schemas.openxmlformats.org/officeDocument/2006/relationships/hyperlink" Target="https://thslc-houston.primo.exlibrisgroup.com/discovery/search?vid=01TEXASHEALTH_HOUSTON%3ATMC_INST&amp;query=any,contains,10.1111%2Fcodi.15113&amp;lang=en" TargetMode="External"/><Relationship Id="rId116" Type="http://schemas.openxmlformats.org/officeDocument/2006/relationships/hyperlink" Target="https://pubmed.ncbi.nlm.nih.gov/25326396/" TargetMode="External"/><Relationship Id="rId117" Type="http://schemas.openxmlformats.org/officeDocument/2006/relationships/hyperlink" Target="https://doi.org/10.1245/s10434-014-4173-9" TargetMode="External"/><Relationship Id="rId118" Type="http://schemas.openxmlformats.org/officeDocument/2006/relationships/hyperlink" Target="https://thslc-houston.primo.exlibrisgroup.com/discovery/search?vid=01TEXASHEALTH_HOUSTON%3ATMC_INST&amp;query=any,contains,10.1245%2Fs10434-014-4173-9&amp;lang=en" TargetMode="External"/><Relationship Id="rId119" Type="http://schemas.openxmlformats.org/officeDocument/2006/relationships/hyperlink" Target="https://pubmed.ncbi.nlm.nih.gov/32333527/" TargetMode="External"/><Relationship Id="rId120" Type="http://schemas.openxmlformats.org/officeDocument/2006/relationships/hyperlink" Target="https://doi.org/10.1002/bjs5.50278" TargetMode="External"/><Relationship Id="rId121" Type="http://schemas.openxmlformats.org/officeDocument/2006/relationships/hyperlink" Target="https://pmc.ncbi.nlm.nih.gov/articles/PMC7260412/pdf/BJS5-4-467.pdf" TargetMode="External"/><Relationship Id="rId122" Type="http://schemas.openxmlformats.org/officeDocument/2006/relationships/hyperlink" Target="https://pmc.ncbi.nlm.nih.gov/articles/PMC7260412/" TargetMode="External"/><Relationship Id="rId123" Type="http://schemas.openxmlformats.org/officeDocument/2006/relationships/hyperlink" Target="https://thslc-houston.primo.exlibrisgroup.com/discovery/search?vid=01TEXASHEALTH_HOUSTON%3ATMC_INST&amp;query=any,contains,10.1002%2Fbjs5.50278&amp;lang=en" TargetMode="External"/><Relationship Id="rId124" Type="http://schemas.openxmlformats.org/officeDocument/2006/relationships/hyperlink" Target="https://clinicaltrials.gov/study/NCT03494946" TargetMode="External"/><Relationship Id="rId125" Type="http://schemas.openxmlformats.org/officeDocument/2006/relationships/hyperlink" Target="https://pubmed.ncbi.nlm.nih.gov/39544321/" TargetMode="External"/><Relationship Id="rId126" Type="http://schemas.openxmlformats.org/officeDocument/2006/relationships/hyperlink" Target="https://doi.org/10.3389/ti.2024.13641" TargetMode="External"/><Relationship Id="rId127" Type="http://schemas.openxmlformats.org/officeDocument/2006/relationships/hyperlink" Target="https://pmc.ncbi.nlm.nih.gov/articles/PMC11560448/pdf/ti-37-13641.pdf" TargetMode="External"/><Relationship Id="rId128" Type="http://schemas.openxmlformats.org/officeDocument/2006/relationships/hyperlink" Target="https://pmc.ncbi.nlm.nih.gov/articles/PMC11560448/" TargetMode="External"/><Relationship Id="rId129" Type="http://schemas.openxmlformats.org/officeDocument/2006/relationships/hyperlink" Target="https://thslc-houston.primo.exlibrisgroup.com/discovery/search?vid=01TEXASHEALTH_HOUSTON%3ATMC_INST&amp;query=any,contains,10.3389%2Fti.2024.13641&amp;lang=en" TargetMode="External"/><Relationship Id="rId130" Type="http://schemas.openxmlformats.org/officeDocument/2006/relationships/hyperlink" Target="https://pubmed.ncbi.nlm.nih.gov/39306468/" TargetMode="External"/><Relationship Id="rId131" Type="http://schemas.openxmlformats.org/officeDocument/2006/relationships/hyperlink" Target="https://doi.org/10.1016/S0140-6736(24)01595-2" TargetMode="External"/><Relationship Id="rId132" Type="http://schemas.openxmlformats.org/officeDocument/2006/relationships/hyperlink" Target="https://thslc-houston.primo.exlibrisgroup.com/discovery/search?vid=01TEXASHEALTH_HOUSTON%3ATMC_INST&amp;query=any,contains,10.1016%2FS0140-6736%2824%2901595-2&amp;lang=en" TargetMode="External"/><Relationship Id="rId133" Type="http://schemas.openxmlformats.org/officeDocument/2006/relationships/hyperlink" Target="https://pubmed.ncbi.nlm.nih.gov/37820293/" TargetMode="External"/><Relationship Id="rId134" Type="http://schemas.openxmlformats.org/officeDocument/2006/relationships/hyperlink" Target="https://doi.org/10.1200/CCI.23.00111" TargetMode="External"/><Relationship Id="rId135" Type="http://schemas.openxmlformats.org/officeDocument/2006/relationships/hyperlink" Target="https://thslc-houston.primo.exlibrisgroup.com/discovery/search?vid=01TEXASHEALTH_HOUSTON%3ATMC_INST&amp;query=any,contains,10.1200%2FCCI.23.00111&amp;lang=en" TargetMode="External"/><Relationship Id="rId136" Type="http://schemas.openxmlformats.org/officeDocument/2006/relationships/hyperlink" Target="https://pubmed.ncbi.nlm.nih.gov/38833301/" TargetMode="External"/><Relationship Id="rId137" Type="http://schemas.openxmlformats.org/officeDocument/2006/relationships/hyperlink" Target="https://doi.org/10.1097/LVT.0000000000000417" TargetMode="External"/><Relationship Id="rId138" Type="http://schemas.openxmlformats.org/officeDocument/2006/relationships/hyperlink" Target="https://thslc-houston.primo.exlibrisgroup.com/discovery/search?vid=01TEXASHEALTH_HOUSTON%3ATMC_INST&amp;query=any,contains,10.1097%2FLVT.0000000000000417&amp;lang=en" TargetMode="External"/><Relationship Id="rId139" Type="http://schemas.openxmlformats.org/officeDocument/2006/relationships/hyperlink" Target="https://pubmed.ncbi.nlm.nih.gov/39526884/" TargetMode="External"/><Relationship Id="rId140" Type="http://schemas.openxmlformats.org/officeDocument/2006/relationships/hyperlink" Target="https://doi.org/10.1097/LVT.0000000000000535" TargetMode="External"/><Relationship Id="rId141" Type="http://schemas.openxmlformats.org/officeDocument/2006/relationships/hyperlink" Target="https://thslc-houston.primo.exlibrisgroup.com/discovery/search?vid=01TEXASHEALTH_HOUSTON%3ATMC_INST&amp;query=any,contains,10.1097%2FLVT.0000000000000535&amp;lang=en" TargetMode="External"/><Relationship Id="rId142" Type="http://schemas.openxmlformats.org/officeDocument/2006/relationships/hyperlink" Target="https://pubmed.ncbi.nlm.nih.gov/38015449/" TargetMode="External"/><Relationship Id="rId143" Type="http://schemas.openxmlformats.org/officeDocument/2006/relationships/hyperlink" Target="https://doi.org/10.1097/LVT.0000000000000303" TargetMode="External"/><Relationship Id="rId144" Type="http://schemas.openxmlformats.org/officeDocument/2006/relationships/hyperlink" Target="https://thslc-houston.primo.exlibrisgroup.com/discovery/search?vid=01TEXASHEALTH_HOUSTON%3ATMC_INST&amp;query=any,contains,10.1097%2FLVT.0000000000000303&amp;lang=en" TargetMode="External"/><Relationship Id="rId145" Type="http://schemas.openxmlformats.org/officeDocument/2006/relationships/hyperlink" Target="https://pubmed.ncbi.nlm.nih.gov/32615109/" TargetMode="External"/><Relationship Id="rId146" Type="http://schemas.openxmlformats.org/officeDocument/2006/relationships/hyperlink" Target="https://doi.org/10.1016/S1470-2045(20)30224-2" TargetMode="External"/><Relationship Id="rId147" Type="http://schemas.openxmlformats.org/officeDocument/2006/relationships/hyperlink" Target="https://thslc-houston.primo.exlibrisgroup.com/discovery/search?vid=01TEXASHEALTH_HOUSTON%3ATMC_INST&amp;query=any,contains,10.1016%2FS1470-2045%2820%2930224-2&amp;lang=en" TargetMode="External"/><Relationship Id="rId148" Type="http://schemas.openxmlformats.org/officeDocument/2006/relationships/hyperlink" Target="https://pubmed.ncbi.nlm.nih.gov/40099404/" TargetMode="External"/><Relationship Id="rId149" Type="http://schemas.openxmlformats.org/officeDocument/2006/relationships/hyperlink" Target="https://doi.org/10.1093/bjs/znaf054" TargetMode="External"/><Relationship Id="rId150" Type="http://schemas.openxmlformats.org/officeDocument/2006/relationships/hyperlink" Target="https://pmc.ncbi.nlm.nih.gov/articles/PMC11914714/pdf/znaf054.pdf" TargetMode="External"/><Relationship Id="rId151" Type="http://schemas.openxmlformats.org/officeDocument/2006/relationships/hyperlink" Target="https://pmc.ncbi.nlm.nih.gov/articles/PMC11914714/" TargetMode="External"/><Relationship Id="rId152" Type="http://schemas.openxmlformats.org/officeDocument/2006/relationships/hyperlink" Target="https://thslc-houston.primo.exlibrisgroup.com/discovery/search?vid=01TEXASHEALTH_HOUSTON%3ATMC_INST&amp;query=any,contains,10.1093%2Fbjs%2Fznaf05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