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Hepatocellular adenoma — Standard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https://drliuhao.github.io/mh-liver-pathways/transplant/hca/#meeting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HCA_3_Standard_Pathway.docx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HCA_7_Decision_Discussion.docx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evidence is sufficient to call an adenoma β-catenin activated?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Record pathology/molecular method and specific result when it drives management; do not infer β-catenin status from MRI.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have conventional management options been adequately assessed?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Document the patient-specific resection/local-treatment assessment and response to appropriate risk-factor changes; distinguish inability from treatment failure.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G3 /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Are these alternative indications, or does every patient need complications?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Show all four alternatives separately. Require all three components only for the fourth alternative; maintain a separate clinical benefit-risk review.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should suspected transformation move to a malignant-tumor pathway?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Confirm or exclude malignancy with pathology and the tumor board. If cancer is present, use its treatment pathway and assess the relevant MELD-exception criteria.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Will the local program impose an exon-specific molecular restriction?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If the group chooses a narrower molecular rule, record its rationale and label it institutional rather than OPTN/NLRB mandated.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is responsible for waiting-list complication management and long-term follow-up?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Assign surveillance and urgent-bleeding contacts, explant review and underlying-disease follow-up owners.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HCA G1 — What evidence is sufficient to call an adenoma β-catenin activated?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Characterize risk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“identification of β-catenin activated HCA”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Imaging limitation, PDF p.9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· molecular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Molecular subtypes carry different bleeding and transformation risks; imaging is not equivalent to a mutation result.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Nault et al. · Gastroenterology · 2017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Record pathology/molecular method and specific result when it drives management; do not infer β-catenin status from MRI.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Risk labels should be anchored to the test that supports them.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Pathology · radiology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G2 — When have conventional management options been adequately assessed?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Use standard options first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“HCA resection is recommended irrespective of size in men”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Recommendation, PDF p.9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“Unresponsive to non-operative management”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One component of the fourth alternative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Document the patient-specific resection/local-treatment assessment and response to appropriate risk-factor changes; distinguish inability from treatment failure.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Not every guidance alternative requires failure of every available treatment.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Benign liver MDT · HPB surgery · IR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G3 / G5 — Are these alternative indications, or does every patient need complications?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Check HCA MELD-exception criteria</w:t>
        </w:r>
      </w:hyperlink>
      <w:r>
        <w:rPr>
          <w:b w:val="0"/>
          <w:i w:val="0"/>
        </w:rPr>
        <w:t xml:space="preserve"> · </w:t>
      </w:r>
      <w:hyperlink r:id="rId13">
        <w:r>
          <w:rPr>
            <w:color w:val="0563C1"/>
            <w:u w:val="single"/>
          </w:rPr>
          <w:t xml:space="preserve">Review benefit and submit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4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“one of the following criteria”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Hepatic adenoma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“Unresectable adenoma in a candidate with liver adenomatosis (greater than 10 HA)”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Third alternative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Clinical guidelines generally favor conventional management; exceptional allocation consideration does not make LT first-line.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2016 · HCA management / multiple lesions · PDF pp.9–10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Show all four alternatives separately. Require all three components only for the fourth alternative; maintain a separate clinical benefit-risk review.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Each of the four alternatives can support HCA MELD-exception consideration; complications are required only where specified.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hepatology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G3 /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G4 — When should suspected transformation move to a malignant-tumor pathway?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5">
        <w:r>
          <w:rPr>
            <w:color w:val="0563C1"/>
            <w:u w:val="single"/>
          </w:rPr>
          <w:t xml:space="preserve">Assess possible malignant transformation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6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“Biopsy may be considered within a benign liver tumour MDT to exclude malignancy.”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PDF p.9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HCC exception qualification has its own diagnostic and staging requirements.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Effective October 1, 2026 · §§9.5.I.i–vii · pp.196–200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Confirm or exclude malignancy with pathology and the tumor board. If cancer is present, use its treatment pathway and assess the relevant MELD-exception criteria.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Suspected malignant transformation requires diagnostic confirmation before applying cancer-specific treatment and MELD-exception criteria.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Pathology · hepatology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G5 — Will the local program impose an exon-specific molecular restriction?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3">
        <w:r>
          <w:rPr>
            <w:color w:val="0563C1"/>
            <w:u w:val="single"/>
          </w:rPr>
          <w:t xml:space="preserve">Review benefit and submit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“Unresectable adenoma with β-catenin mutation”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Second alternative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HCA · molecular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Molecular risk is heterogeneous; exon-specific risk information can inform but does not rewrite NLRB guidance.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Nault et al. · Gastroenterology · 2017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If the group chooses a narrower molecular rule, record its rationale and label it institutional rather than OPTN/NLRB mandated.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prognostic refinement should not silently become an allocation rule.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Molecular pathology · transplant governance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HCA G6 — Who is responsible for waiting-list complication management and long-term follow-up?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8">
        <w:r>
          <w:rPr>
            <w:color w:val="0563C1"/>
            <w:u w:val="single"/>
          </w:rPr>
          <w:t xml:space="preserve">Reassess and follow 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describes exceptional indications and score consideration, not a universal post-LT follow-up schedule.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p.11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EASL · benign tumors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Management depends on bleeding, growth, subtype and clinical context.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2016 · HCA management / multiple lesions · PDF pp.9–10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Assign surveillance and urgent-bleeding contacts, explant review and underlying-disease follow-up owners.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rare indication still requires an explicit operational handoff.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team · hepatology · metabolic service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HCA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EASL · benign tumors</w:t>
      </w:r>
      <w:r>
        <w:rPr>
          <w:b w:val="0"/>
          <w:i w:val="0"/>
          <w:sz w:val="19"/>
        </w:rPr>
        <w:t xml:space="preserve"> — EASL Clinical Practice Guidelines on benign liver tumours</w:t>
      </w:r>
      <w:r>
        <w:rPr>
          <w:b w:val="0"/>
          <w:i w:val="0"/>
          <w:sz w:val="19"/>
        </w:rPr>
        <w:t xml:space="preserve">  </w:t>
      </w:r>
      <w:hyperlink r:id="rId20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HCA · molecular</w:t>
      </w:r>
      <w:r>
        <w:rPr>
          <w:b w:val="0"/>
          <w:i w:val="0"/>
          <w:sz w:val="19"/>
        </w:rPr>
        <w:t xml:space="preserve"> — Molecular classification of HCA associates with bleeding and malignant transformation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HCA</w:t>
      </w:r>
      <w:r>
        <w:rPr>
          <w:b w:val="0"/>
          <w:i w:val="0"/>
          <w:sz w:val="19"/>
        </w:rPr>
        <w:t xml:space="preserve"> — Adult MELD exception review guidance — hepatic adenoma</w:t>
      </w:r>
      <w:r>
        <w:rPr>
          <w:b w:val="0"/>
          <w:i w:val="0"/>
          <w:sz w:val="19"/>
        </w:rPr>
        <w:t xml:space="preserve">  </w:t>
      </w:r>
      <w:hyperlink r:id="rId22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OPTN 9.5.I</w:t>
      </w:r>
      <w:r>
        <w:rPr>
          <w:b w:val="0"/>
          <w:i w:val="0"/>
          <w:sz w:val="19"/>
        </w:rPr>
        <w:t xml:space="preserve"> — OPTN Policies — HCC standardized exception</w:t>
      </w:r>
      <w:r>
        <w:rPr>
          <w:b w:val="0"/>
          <w:i w:val="0"/>
          <w:sz w:val="19"/>
        </w:rPr>
        <w:t xml:space="preserve">  </w:t>
      </w:r>
      <w:hyperlink r:id="rId23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hca/#characterize" TargetMode="External"/><Relationship Id="rId9" Type="http://schemas.openxmlformats.org/officeDocument/2006/relationships/hyperlink" Target="https://drliuhao.github.io/mh-liver-pathways/transplant/hca/#meeting-subtype" TargetMode="External"/><Relationship Id="rId10" Type="http://schemas.openxmlformats.org/officeDocument/2006/relationships/hyperlink" Target="https://drliuhao.github.io/mh-liver-pathways/transplant/hca/#standard-care" TargetMode="External"/><Relationship Id="rId11" Type="http://schemas.openxmlformats.org/officeDocument/2006/relationships/hyperlink" Target="https://drliuhao.github.io/mh-liver-pathways/transplant/hca/#meeting-alternatives" TargetMode="External"/><Relationship Id="rId12" Type="http://schemas.openxmlformats.org/officeDocument/2006/relationships/hyperlink" Target="https://drliuhao.github.io/mh-liver-pathways/transplant/hca/#exception-route" TargetMode="External"/><Relationship Id="rId13" Type="http://schemas.openxmlformats.org/officeDocument/2006/relationships/hyperlink" Target="https://drliuhao.github.io/mh-liver-pathways/transplant/hca/#review" TargetMode="External"/><Relationship Id="rId14" Type="http://schemas.openxmlformats.org/officeDocument/2006/relationships/hyperlink" Target="https://drliuhao.github.io/mh-liver-pathways/transplant/hca/#meeting-criteria" TargetMode="External"/><Relationship Id="rId15" Type="http://schemas.openxmlformats.org/officeDocument/2006/relationships/hyperlink" Target="https://drliuhao.github.io/mh-liver-pathways/transplant/hca/#transformation" TargetMode="External"/><Relationship Id="rId16" Type="http://schemas.openxmlformats.org/officeDocument/2006/relationships/hyperlink" Target="https://drliuhao.github.io/mh-liver-pathways/transplant/hca/#meeting-transformation" TargetMode="External"/><Relationship Id="rId17" Type="http://schemas.openxmlformats.org/officeDocument/2006/relationships/hyperlink" Target="https://drliuhao.github.io/mh-liver-pathways/transplant/hca/#meeting-benefit" TargetMode="External"/><Relationship Id="rId18" Type="http://schemas.openxmlformats.org/officeDocument/2006/relationships/hyperlink" Target="https://drliuhao.github.io/mh-liver-pathways/transplant/hca/#follow-up" TargetMode="External"/><Relationship Id="rId19" Type="http://schemas.openxmlformats.org/officeDocument/2006/relationships/hyperlink" Target="https://drliuhao.github.io/mh-liver-pathways/transplant/hca/#meeting-ownership" TargetMode="External"/><Relationship Id="rId20" Type="http://schemas.openxmlformats.org/officeDocument/2006/relationships/hyperlink" Target="https://doi.org/10.1016/j.jhep.2016.04.001" TargetMode="External"/><Relationship Id="rId21" Type="http://schemas.openxmlformats.org/officeDocument/2006/relationships/hyperlink" Target="https://doi.org/10.1053/j.gastro.2016.11.042" TargetMode="External"/><Relationship Id="rId22" Type="http://schemas.openxmlformats.org/officeDocument/2006/relationships/hyperlink" Target="https://www.hrsa.gov/sites/default/files/hrsa/optn/adult-meld-exception-transplant-oncology-review-guidance.pdf#page=11" TargetMode="External"/><Relationship Id="rId23" Type="http://schemas.openxmlformats.org/officeDocument/2006/relationships/hyperlink" Target="https://www.hrsa.gov/sites/default/files/hrsa/optn/optn_policies.pdf#page=19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