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line="252" w:lineRule="auto" w:after="120"/>
      </w:pPr>
      <w:r>
        <w:rPr>
          <w:b w:val="0"/>
          <w:i w:val="0"/>
          <w:sz w:val="44"/>
        </w:rPr>
        <w:t>Hepatocellular adenoma — High-risk pathway (boundary addendum): questions for consensus</w:t>
      </w:r>
    </w:p>
    <w:p>
      <w:pPr>
        <w:spacing w:after="80"/>
      </w:pPr>
      <w:r>
        <w:rPr>
          <w:b w:val="0"/>
          <w:i w:val="0"/>
          <w:color w:val="5A6069"/>
          <w:sz w:val="18"/>
        </w:rPr>
        <w:t>UTHealth Houston and Memorial Hermann · HPB oncology · 29 October 2026 · V17 standardized documents</w:t>
      </w:r>
    </w:p>
    <w:p>
      <w:pPr>
        <w:spacing w:after="80"/>
      </w:pPr>
      <w:r>
        <w:rPr>
          <w:b w:val="0"/>
          <w:i w:val="0"/>
        </w:rPr>
        <w:t>Every question in the high-risk pathway (boundary addendum) that still needs a consensus answer. Each one shows what guidelines, trials and papers say, our proposed selection, and space for the group decision. All proposals are OPEN; nothing in this document is activated or approved.</w:t>
      </w:r>
    </w:p>
    <w:p>
      <w:pPr>
        <w:spacing w:after="80"/>
      </w:pPr>
      <w:r>
        <w:rPr>
          <w:b w:val="0"/>
          <w:i w:val="0"/>
        </w:rPr>
        <w:t>Web page: https://drliuhao.github.io/mh-liver-pathways/transplant/hca/#high-risk</w:t>
      </w:r>
    </w:p>
    <w:p>
      <w:pPr>
        <w:spacing w:after="160"/>
      </w:pPr>
      <w:r>
        <w:rPr>
          <w:b/>
          <w:i w:val="0"/>
        </w:rPr>
        <w:t xml:space="preserve">Companion files: </w:t>
      </w:r>
      <w:r>
        <w:rPr>
          <w:b w:val="0"/>
          <w:i w:val="0"/>
          <w:sz w:val="20"/>
        </w:rPr>
        <w:t xml:space="preserve">Full content: </w:t>
      </w:r>
      <w:r>
        <w:rPr>
          <w:b w:val="0"/>
          <w:i/>
        </w:rPr>
        <w:t>HCA_5_High_Risk_Pathway.docx</w:t>
      </w:r>
      <w:r>
        <w:rPr>
          <w:b w:val="0"/>
          <w:i w:val="0"/>
          <w:sz w:val="20"/>
        </w:rPr>
        <w:t xml:space="preserve"> · Decision discussion for all settings: </w:t>
      </w:r>
      <w:r>
        <w:rPr>
          <w:b w:val="0"/>
          <w:i/>
        </w:rPr>
        <w:t>HCA_7_Decision_Discussion.docx</w:t>
      </w:r>
    </w:p>
    <w:p>
      <w:pPr>
        <w:pStyle w:val="Heading1"/>
        <w:keepNext/>
        <w:spacing w:before="280" w:after="80"/>
      </w:pPr>
      <w:r>
        <w:rPr>
          <w:b w:val="0"/>
          <w:i w:val="0"/>
        </w:rPr>
        <w:t>Summary</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1300"/>
        <w:gridCol w:w="3500"/>
        <w:gridCol w:w="3780"/>
        <w:gridCol w:w="1500"/>
      </w:tblGrid>
      <w:tr>
        <w:trPr>
          <w:tblHeader/>
        </w:trPr>
        <w:tc>
          <w:tcPr>
            <w:tcW w:type="dxa" w:w="2520"/>
            <w:tcW w:w="1300" w:type="dxa"/>
            <w:shd w:val="clear" w:color="auto" w:fill="17365D"/>
          </w:tcPr>
          <w:p>
            <w:r>
              <w:rPr>
                <w:b/>
                <w:i w:val="0"/>
                <w:color w:val="FFFFFF"/>
                <w:sz w:val="19"/>
              </w:rPr>
              <w:t>ID</w:t>
            </w:r>
          </w:p>
        </w:tc>
        <w:tc>
          <w:tcPr>
            <w:tcW w:type="dxa" w:w="2520"/>
            <w:tcW w:w="3500" w:type="dxa"/>
            <w:shd w:val="clear" w:color="auto" w:fill="17365D"/>
          </w:tcPr>
          <w:p>
            <w:r>
              <w:rPr>
                <w:b/>
                <w:i w:val="0"/>
                <w:color w:val="FFFFFF"/>
                <w:sz w:val="19"/>
              </w:rPr>
              <w:t>Question</w:t>
            </w:r>
          </w:p>
        </w:tc>
        <w:tc>
          <w:tcPr>
            <w:tcW w:type="dxa" w:w="2520"/>
            <w:tcW w:w="3780" w:type="dxa"/>
            <w:shd w:val="clear" w:color="auto" w:fill="17365D"/>
          </w:tcPr>
          <w:p>
            <w:r>
              <w:rPr>
                <w:b/>
                <w:i w:val="0"/>
                <w:color w:val="FFFFFF"/>
                <w:sz w:val="19"/>
              </w:rPr>
              <w:t>Proposed selection (summary)</w:t>
            </w:r>
          </w:p>
        </w:tc>
        <w:tc>
          <w:tcPr>
            <w:tcW w:type="dxa" w:w="2520"/>
            <w:tcW w:w="1500" w:type="dxa"/>
            <w:shd w:val="clear" w:color="auto" w:fill="17365D"/>
          </w:tcPr>
          <w:p>
            <w:r>
              <w:rPr>
                <w:b/>
                <w:i w:val="0"/>
                <w:color w:val="FFFFFF"/>
                <w:sz w:val="19"/>
              </w:rPr>
              <w:t>Status</w:t>
            </w:r>
          </w:p>
        </w:tc>
      </w:tr>
      <w:tr>
        <w:trPr>
          <w:cantSplit/>
        </w:trPr>
        <w:tc>
          <w:tcPr>
            <w:tcW w:type="dxa" w:w="2520"/>
            <w:tcW w:w="1300" w:type="dxa"/>
            <w:shd w:val="clear" w:color="auto" w:fill="F1F5F8"/>
          </w:tcPr>
          <w:p>
            <w:pPr>
              <w:spacing w:after="0"/>
            </w:pPr>
            <w:r>
              <w:rPr>
                <w:b/>
                <w:i w:val="0"/>
                <w:sz w:val="19"/>
              </w:rPr>
              <w:t>HCA-B1</w:t>
            </w:r>
          </w:p>
        </w:tc>
        <w:tc>
          <w:tcPr>
            <w:tcW w:type="dxa" w:w="2520"/>
            <w:tcW w:w="3500" w:type="dxa"/>
            <w:shd w:val="clear" w:color="auto" w:fill="F1F5F8"/>
          </w:tcPr>
          <w:p>
            <w:pPr>
              <w:spacing w:after="0"/>
            </w:pPr>
            <w:r>
              <w:rPr>
                <w:b w:val="0"/>
                <w:i w:val="0"/>
                <w:sz w:val="19"/>
              </w:rPr>
              <w:t>Which of the four guidance routes is actually being invoked?</w:t>
            </w:r>
          </w:p>
        </w:tc>
        <w:tc>
          <w:tcPr>
            <w:tcW w:type="dxa" w:w="2520"/>
            <w:tcW w:w="3780" w:type="dxa"/>
            <w:shd w:val="clear" w:color="auto" w:fill="F1F5F8"/>
          </w:tcPr>
          <w:p>
            <w:pPr>
              <w:spacing w:after="0"/>
            </w:pPr>
            <w:r>
              <w:rPr>
                <w:b w:val="0"/>
                <w:i w:val="0"/>
                <w:sz w:val="19"/>
              </w:rPr>
              <w:t>Use the four NLRB routes as OR alternatives, then separately prove a clinical indication for LT.</w:t>
            </w:r>
          </w:p>
        </w:tc>
        <w:tc>
          <w:tcPr>
            <w:tcW w:type="dxa" w:w="2520"/>
            <w:tcW w:w="1500" w:type="dxa"/>
            <w:shd w:val="clear" w:color="auto" w:fill="F1F5F8"/>
          </w:tcPr>
          <w:p>
            <w:pPr>
              <w:spacing w:after="0"/>
            </w:pPr>
            <w:r>
              <w:rPr>
                <w:b w:val="0"/>
                <w:i w:val="0"/>
                <w:color w:val="5A6069"/>
                <w:sz w:val="18"/>
              </w:rPr>
              <w:t>Review allocation separately · not activated</w:t>
            </w:r>
          </w:p>
        </w:tc>
      </w:tr>
      <w:tr>
        <w:trPr>
          <w:cantSplit/>
        </w:trPr>
        <w:tc>
          <w:tcPr>
            <w:tcW w:type="dxa" w:w="2520"/>
            <w:tcW w:w="1300" w:type="dxa"/>
            <w:shd w:val="clear" w:color="auto" w:fill="FFFFFF"/>
          </w:tcPr>
          <w:p>
            <w:pPr>
              <w:spacing w:after="0"/>
            </w:pPr>
            <w:r>
              <w:rPr>
                <w:b/>
                <w:i w:val="0"/>
                <w:sz w:val="19"/>
              </w:rPr>
              <w:t>HCA-B2</w:t>
            </w:r>
          </w:p>
        </w:tc>
        <w:tc>
          <w:tcPr>
            <w:tcW w:type="dxa" w:w="2520"/>
            <w:tcW w:w="3500" w:type="dxa"/>
            <w:shd w:val="clear" w:color="auto" w:fill="FFFFFF"/>
          </w:tcPr>
          <w:p>
            <w:pPr>
              <w:spacing w:after="0"/>
            </w:pPr>
            <w:r>
              <w:rPr>
                <w:b w:val="0"/>
                <w:i w:val="0"/>
                <w:sz w:val="19"/>
              </w:rPr>
              <w:t>Has the benefit of LT been distinguished from concern about malignancy?</w:t>
            </w:r>
          </w:p>
        </w:tc>
        <w:tc>
          <w:tcPr>
            <w:tcW w:type="dxa" w:w="2520"/>
            <w:tcW w:w="3780" w:type="dxa"/>
            <w:shd w:val="clear" w:color="auto" w:fill="FFFFFF"/>
          </w:tcPr>
          <w:p>
            <w:pPr>
              <w:spacing w:after="0"/>
            </w:pPr>
            <w:r>
              <w:rPr>
                <w:b w:val="0"/>
                <w:i w:val="0"/>
                <w:sz w:val="19"/>
              </w:rPr>
              <w:t>Keep LT exceptional; size or concern about malignancy alone is not a transplant indication.</w:t>
            </w:r>
          </w:p>
        </w:tc>
        <w:tc>
          <w:tcPr>
            <w:tcW w:type="dxa" w:w="2520"/>
            <w:tcW w:w="1500" w:type="dxa"/>
            <w:shd w:val="clear" w:color="auto" w:fill="FFFFFF"/>
          </w:tcPr>
          <w:p>
            <w:pPr>
              <w:spacing w:after="0"/>
            </w:pPr>
            <w:r>
              <w:rPr>
                <w:b w:val="0"/>
                <w:i w:val="0"/>
                <w:color w:val="5A6069"/>
                <w:sz w:val="18"/>
              </w:rPr>
              <w:t>Review the clinical indication · not activated</w:t>
            </w:r>
          </w:p>
        </w:tc>
      </w:tr>
    </w:tbl>
    <w:p>
      <w:pPr>
        <w:spacing w:after="40"/>
      </w:pPr>
    </w:p>
    <w:p>
      <w:pPr>
        <w:pStyle w:val="Heading1"/>
        <w:keepNext/>
        <w:spacing w:before="280" w:after="80"/>
      </w:pPr>
      <w:r>
        <w:rPr>
          <w:b w:val="0"/>
          <w:i w:val="0"/>
        </w:rPr>
        <w:t>Questions</w:t>
      </w:r>
    </w:p>
    <w:p>
      <w:pPr>
        <w:pStyle w:val="Heading2"/>
        <w:keepNext/>
        <w:spacing w:before="200" w:after="80"/>
      </w:pPr>
      <w:r>
        <w:rPr>
          <w:b w:val="0"/>
          <w:i w:val="0"/>
        </w:rPr>
        <w:t>HCA-B1 — Which NLRB recommendation applies?</w:t>
      </w:r>
    </w:p>
    <w:p>
      <w:pPr>
        <w:spacing w:after="80"/>
      </w:pPr>
      <w:r>
        <w:rPr>
          <w:b w:val="0"/>
          <w:i w:val="0"/>
          <w:color w:val="5A6069"/>
          <w:sz w:val="18"/>
        </w:rPr>
        <w:t>Review allocation separately · not activated · High-risk review</w:t>
      </w:r>
    </w:p>
    <w:p>
      <w:pPr>
        <w:spacing w:after="80"/>
      </w:pPr>
      <w:r>
        <w:rPr>
          <w:b/>
          <w:i w:val="0"/>
        </w:rPr>
        <w:t xml:space="preserve">Question: </w:t>
      </w:r>
      <w:r>
        <w:rPr>
          <w:b w:val="0"/>
          <w:i w:val="0"/>
        </w:rPr>
        <w:t>Which of the four guidance routes is actually being invoked?</w:t>
      </w:r>
    </w:p>
    <w:p>
      <w:pPr>
        <w:spacing w:after="80"/>
      </w:pPr>
      <w:r>
        <w:rPr>
          <w:b/>
          <w:i w:val="0"/>
        </w:rPr>
        <w:t xml:space="preserve">When it applies: </w:t>
      </w:r>
      <w:r>
        <w:rPr>
          <w:b w:val="0"/>
          <w:i w:val="0"/>
        </w:rPr>
        <w:t>Review which NLRB recommendation applies, while separately establishing a clinical indication for transplantation.</w:t>
      </w:r>
    </w:p>
    <w:p>
      <w:pPr>
        <w:spacing w:after="80"/>
      </w:pPr>
      <w:r>
        <w:rPr>
          <w:b/>
          <w:i w:val="0"/>
        </w:rPr>
        <w:t xml:space="preserve">Where it is decided: </w:t>
      </w:r>
      <w:hyperlink r:id="rId6">
        <w:r>
          <w:rPr>
            <w:color w:val="0563C1"/>
            <w:u w:val="single"/>
          </w:rPr>
          <w:t xml:space="preserve">Check HCA MELD-exception criteria</w:t>
        </w:r>
      </w:hyperlink>
    </w:p>
    <w:p>
      <w:pPr>
        <w:spacing w:after="120"/>
      </w:pPr>
      <w:r>
        <w:rPr>
          <w:b/>
          <w:i w:val="0"/>
          <w:sz w:val="18"/>
        </w:rPr>
        <w:t xml:space="preserve">Web page: </w:t>
      </w:r>
      <w:hyperlink r:id="rId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NLRB oncology guidance</w:t>
            </w:r>
          </w:p>
        </w:tc>
        <w:tc>
          <w:tcPr>
            <w:tcW w:type="dxa" w:w="3360"/>
            <w:tcW w:w="5480" w:type="dxa"/>
            <w:shd w:val="clear" w:color="auto" w:fill="F1F5F8"/>
          </w:tcPr>
          <w:p>
            <w:pPr>
              <w:spacing w:after="0"/>
            </w:pPr>
            <w:r>
              <w:rPr>
                <w:b w:val="0"/>
                <w:i w:val="0"/>
                <w:sz w:val="19"/>
              </w:rPr>
              <w:t>“Candidates may qualify for an exception, if they meet one of the following criteria:” The routes are alternatives; route four has three conjunctive elements.</w:t>
            </w:r>
          </w:p>
        </w:tc>
        <w:tc>
          <w:tcPr>
            <w:tcW w:type="dxa" w:w="3360"/>
            <w:tcW w:w="2400" w:type="dxa"/>
            <w:shd w:val="clear" w:color="auto" w:fill="F1F5F8"/>
          </w:tcPr>
          <w:p>
            <w:pPr>
              <w:spacing w:after="0"/>
            </w:pPr>
            <w:r>
              <w:rPr>
                <w:b w:val="0"/>
                <w:i w:val="0"/>
                <w:color w:val="5A6069"/>
                <w:sz w:val="18"/>
              </w:rPr>
              <w:t>December 2025 oncology guidance p11, hepatic adenoma</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NLRB oncology guidance</w:t>
            </w:r>
          </w:p>
        </w:tc>
        <w:tc>
          <w:tcPr>
            <w:tcW w:type="dxa" w:w="3360"/>
            <w:tcW w:w="3900" w:type="dxa"/>
            <w:shd w:val="clear" w:color="auto" w:fill="F1F5F8"/>
          </w:tcPr>
          <w:p>
            <w:pPr>
              <w:spacing w:after="0"/>
            </w:pPr>
            <w:r>
              <w:rPr>
                <w:b w:val="0"/>
                <w:i w:val="0"/>
                <w:sz w:val="19"/>
              </w:rPr>
              <w:t>Current NLRB hepatic-adenoma guidance. Four alternative routes; route four contains conjunctive clinical requirements.</w:t>
            </w:r>
          </w:p>
        </w:tc>
        <w:tc>
          <w:tcPr>
            <w:tcW w:type="dxa" w:w="3360"/>
            <w:tcW w:w="4180" w:type="dxa"/>
            <w:shd w:val="clear" w:color="auto" w:fill="F1F5F8"/>
          </w:tcPr>
          <w:p>
            <w:pPr>
              <w:spacing w:after="0"/>
            </w:pPr>
            <w:r>
              <w:rPr>
                <w:b w:val="0"/>
                <w:i w:val="0"/>
                <w:sz w:val="19"/>
              </w:rPr>
              <w:t>GSD/Abernethy; OR unresectable β-catenin-mutated HCA; OR unresectable adenomatosis &gt;10 lesions; OR unresectable, nonoperative-unresponsive and progressive/complicated HCA.</w:t>
            </w:r>
          </w:p>
          <w:p>
            <w:pPr>
              <w:spacing w:after="0"/>
            </w:pPr>
            <w:r>
              <w:rPr>
                <w:b w:val="0"/>
                <w:i/>
                <w:sz w:val="19"/>
              </w:rPr>
              <w:t>Limits: These are review routes, not proof of benefit or a mandatory transplant recommendation. Current text does not require all four conditions simultaneously or cirrhosis for all routes.</w:t>
            </w:r>
          </w:p>
          <w:p>
            <w:pPr>
              <w:spacing w:after="0"/>
            </w:pPr>
            <w:r>
              <w:rPr>
                <w:b w:val="0"/>
                <w:i w:val="0"/>
                <w:color w:val="5A6069"/>
                <w:sz w:val="18"/>
              </w:rPr>
              <w:t>December 2025 oncology guidance, hepatic adenoma p11.</w:t>
            </w:r>
          </w:p>
        </w:tc>
      </w:tr>
      <w:tr>
        <w:trPr>
          <w:cantSplit/>
        </w:trPr>
        <w:tc>
          <w:tcPr>
            <w:tcW w:type="dxa" w:w="3360"/>
            <w:tcW w:w="2000" w:type="dxa"/>
            <w:shd w:val="clear" w:color="auto" w:fill="FFFFFF"/>
          </w:tcPr>
          <w:p>
            <w:pPr>
              <w:spacing w:after="0"/>
            </w:pPr>
            <w:r>
              <w:rPr>
                <w:b/>
                <w:i w:val="0"/>
                <w:sz w:val="19"/>
              </w:rPr>
              <w:t>ACG 2024</w:t>
            </w:r>
          </w:p>
        </w:tc>
        <w:tc>
          <w:tcPr>
            <w:tcW w:type="dxa" w:w="3360"/>
            <w:tcW w:w="3900" w:type="dxa"/>
            <w:shd w:val="clear" w:color="auto" w:fill="FFFFFF"/>
          </w:tcPr>
          <w:p>
            <w:pPr>
              <w:spacing w:after="0"/>
            </w:pPr>
            <w:r>
              <w:rPr>
                <w:b w:val="0"/>
                <w:i w:val="0"/>
                <w:sz w:val="19"/>
              </w:rPr>
              <w:t>ACG 2024, HCA recommendations/key concepts 11–18. Risk-stratified management and explicit alternative approaches to resection.</w:t>
            </w:r>
          </w:p>
        </w:tc>
        <w:tc>
          <w:tcPr>
            <w:tcW w:type="dxa" w:w="3360"/>
            <w:tcW w:w="4180" w:type="dxa"/>
            <w:shd w:val="clear" w:color="auto" w:fill="FFFFFF"/>
          </w:tcPr>
          <w:p>
            <w:pPr>
              <w:spacing w:after="0"/>
            </w:pPr>
            <w:r>
              <w:rPr>
                <w:b w:val="0"/>
                <w:i w:val="0"/>
                <w:sz w:val="19"/>
              </w:rPr>
              <w:t>Stable women with lesions ≥5 cm: risk-factor change and 6–12-month observation, resection if not &lt;5 cm. Men/β-catenin lesions warrant earlier definitive review; LT may be considered in selected unresectable/complicated disease.</w:t>
            </w:r>
          </w:p>
          <w:p>
            <w:pPr>
              <w:spacing w:after="0"/>
            </w:pPr>
            <w:r>
              <w:rPr>
                <w:b w:val="0"/>
                <w:i/>
                <w:sz w:val="19"/>
              </w:rPr>
              <w:t>Limits: Six versus 6–12 months is a real timing nuance. ACG adenomatosis definition is ≥10, whereas current NLRB route says &gt;10; definitions cannot silently replace each other.</w:t>
            </w:r>
          </w:p>
          <w:p>
            <w:pPr>
              <w:spacing w:after="0"/>
            </w:pPr>
            <w:r>
              <w:rPr>
                <w:b w:val="0"/>
                <w:i w:val="0"/>
                <w:color w:val="5A6069"/>
                <w:sz w:val="18"/>
              </w:rPr>
              <w:t>Table 3 key concepts 11–18 and HCA management text.</w:t>
            </w:r>
          </w:p>
        </w:tc>
      </w:tr>
      <w:tr>
        <w:trPr>
          <w:cantSplit/>
        </w:trPr>
        <w:tc>
          <w:tcPr>
            <w:tcW w:type="dxa" w:w="3360"/>
            <w:tcW w:w="2000" w:type="dxa"/>
            <w:shd w:val="clear" w:color="auto" w:fill="F1F5F8"/>
          </w:tcPr>
          <w:p>
            <w:pPr>
              <w:spacing w:after="0"/>
            </w:pPr>
            <w:r>
              <w:rPr>
                <w:b/>
                <w:i w:val="0"/>
                <w:sz w:val="19"/>
              </w:rPr>
              <w:t>European Association for the Study of the Liver 2016</w:t>
            </w:r>
          </w:p>
        </w:tc>
        <w:tc>
          <w:tcPr>
            <w:tcW w:type="dxa" w:w="3360"/>
            <w:tcW w:w="3900" w:type="dxa"/>
            <w:shd w:val="clear" w:color="auto" w:fill="F1F5F8"/>
          </w:tcPr>
          <w:p>
            <w:pPr>
              <w:spacing w:after="0"/>
            </w:pPr>
            <w:r>
              <w:rPr>
                <w:b w:val="0"/>
                <w:i w:val="0"/>
                <w:sz w:val="19"/>
              </w:rPr>
              <w:t>EASL 2016 benign liver tumor guideline. Women after risk-factor modification versus men/β-catenin disease; multifocal disease addressed separately.</w:t>
            </w:r>
          </w:p>
        </w:tc>
        <w:tc>
          <w:tcPr>
            <w:tcW w:type="dxa" w:w="3360"/>
            <w:tcW w:w="4180" w:type="dxa"/>
            <w:shd w:val="clear" w:color="auto" w:fill="F1F5F8"/>
          </w:tcPr>
          <w:p>
            <w:pPr>
              <w:spacing w:after="0"/>
            </w:pPr>
            <w:r>
              <w:rPr>
                <w:b w:val="0"/>
                <w:i w:val="0"/>
                <w:sz w:val="19"/>
              </w:rPr>
              <w:t>Six-month observation in suitable women; ≥5 cm or growth prompts resection. LT is not routine for multiple adenomas; underlying liver disease can alter consideration.</w:t>
            </w:r>
          </w:p>
          <w:p>
            <w:pPr>
              <w:spacing w:after="0"/>
            </w:pPr>
            <w:r>
              <w:rPr>
                <w:b w:val="0"/>
                <w:i/>
                <w:sz w:val="19"/>
              </w:rPr>
              <w:t>Limits: Older clinical guidance is narrower than current NLRB alternative exception routes. A resection threshold is not an LT threshold.</w:t>
            </w:r>
          </w:p>
          <w:p>
            <w:pPr>
              <w:spacing w:after="0"/>
            </w:pPr>
            <w:r>
              <w:rPr>
                <w:b w:val="0"/>
                <w:i w:val="0"/>
                <w:color w:val="5A6069"/>
                <w:sz w:val="18"/>
              </w:rPr>
              <w:t>HCA recommendations and multiple-HCA discussion, PDF pp9–10.</w:t>
            </w:r>
          </w:p>
        </w:tc>
      </w:tr>
      <w:tr>
        <w:trPr>
          <w:cantSplit/>
        </w:trPr>
        <w:tc>
          <w:tcPr>
            <w:tcW w:type="dxa" w:w="3360"/>
            <w:tcW w:w="2000" w:type="dxa"/>
            <w:shd w:val="clear" w:color="auto" w:fill="FFFFFF"/>
          </w:tcPr>
          <w:p>
            <w:pPr>
              <w:spacing w:after="0"/>
            </w:pPr>
            <w:r>
              <w:rPr>
                <w:b/>
                <w:i w:val="0"/>
                <w:sz w:val="19"/>
              </w:rPr>
              <w:t>Nault 2017</w:t>
            </w:r>
          </w:p>
        </w:tc>
        <w:tc>
          <w:tcPr>
            <w:tcW w:type="dxa" w:w="3360"/>
            <w:tcW w:w="3900" w:type="dxa"/>
            <w:shd w:val="clear" w:color="auto" w:fill="FFFFFF"/>
          </w:tcPr>
          <w:p>
            <w:pPr>
              <w:spacing w:after="0"/>
            </w:pPr>
            <w:r>
              <w:rPr>
                <w:b w:val="0"/>
                <w:i w:val="0"/>
                <w:sz w:val="19"/>
              </w:rPr>
              <w:t>Molecular study: 533 adenomas from 411 patients across 28 centers. Tissue-based classification, predominantly women; not a prospective population natural-history sample.</w:t>
            </w:r>
          </w:p>
        </w:tc>
        <w:tc>
          <w:tcPr>
            <w:tcW w:type="dxa" w:w="3360"/>
            <w:tcW w:w="4180" w:type="dxa"/>
            <w:shd w:val="clear" w:color="auto" w:fill="FFFFFF"/>
          </w:tcPr>
          <w:p>
            <w:pPr>
              <w:spacing w:after="0"/>
            </w:pPr>
            <w:r>
              <w:rPr>
                <w:b w:val="0"/>
                <w:i w:val="0"/>
                <w:sz w:val="19"/>
              </w:rPr>
              <w:t>Symptomatic bleeding in 14% of patients; 3% developed HCC. Strong exon-3 CTNNB1 activation tracks malignant risk; exon-7/8 activation is biologically different; sonic-hedgehog subtype associates with bleeding.</w:t>
            </w:r>
          </w:p>
          <w:p>
            <w:pPr>
              <w:spacing w:after="0"/>
            </w:pPr>
            <w:r>
              <w:rPr>
                <w:b w:val="0"/>
                <w:i/>
                <w:sz w:val="19"/>
              </w:rPr>
              <w:t>Limits: Observed prevalence is not individual lifetime risk. Molecular risk supports definitive-treatment assessment, not automatic LT or equivalence of all β-catenin variants.</w:t>
            </w:r>
          </w:p>
          <w:p>
            <w:pPr>
              <w:spacing w:after="0"/>
            </w:pPr>
            <w:r>
              <w:rPr>
                <w:b w:val="0"/>
                <w:i w:val="0"/>
                <w:color w:val="5A6069"/>
                <w:sz w:val="18"/>
              </w:rPr>
              <w:t>Abstract; molecular classification and clinicopathological Results; pp880–894.</w:t>
            </w:r>
          </w:p>
        </w:tc>
      </w:tr>
      <w:tr>
        <w:trPr>
          <w:cantSplit/>
        </w:trPr>
        <w:tc>
          <w:tcPr>
            <w:tcW w:type="dxa" w:w="3360"/>
            <w:tcW w:w="2000" w:type="dxa"/>
            <w:shd w:val="clear" w:color="auto" w:fill="F1F5F8"/>
          </w:tcPr>
          <w:p>
            <w:pPr>
              <w:spacing w:after="0"/>
            </w:pPr>
            <w:r>
              <w:rPr>
                <w:b/>
                <w:i w:val="0"/>
                <w:sz w:val="19"/>
              </w:rPr>
              <w:t>Ziogas 2022</w:t>
            </w:r>
          </w:p>
        </w:tc>
        <w:tc>
          <w:tcPr>
            <w:tcW w:type="dxa" w:w="3360"/>
            <w:tcW w:w="3900" w:type="dxa"/>
            <w:shd w:val="clear" w:color="auto" w:fill="F1F5F8"/>
          </w:tcPr>
          <w:p>
            <w:pPr>
              <w:spacing w:after="0"/>
            </w:pPr>
            <w:r>
              <w:rPr>
                <w:b w:val="0"/>
                <w:i w:val="0"/>
                <w:sz w:val="19"/>
              </w:rPr>
              <w:t>UNOS 1987–2020: 199 listed; 142 transplanted, including 118 listed for HCA and 24 incidental diagnoses. Mixed adults/children; 32/142 children; 89.4% had no HCC; size/count unavailable.</w:t>
            </w:r>
          </w:p>
        </w:tc>
        <w:tc>
          <w:tcPr>
            <w:tcW w:type="dxa" w:w="3360"/>
            <w:tcW w:w="4180" w:type="dxa"/>
            <w:shd w:val="clear" w:color="auto" w:fill="F1F5F8"/>
          </w:tcPr>
          <w:p>
            <w:pPr>
              <w:spacing w:after="0"/>
            </w:pPr>
            <w:r>
              <w:rPr>
                <w:b w:val="0"/>
                <w:i w:val="0"/>
                <w:sz w:val="19"/>
              </w:rPr>
              <w:t>Crude waitlist mortality 9.0%. Post-LT 1/3/5-year OS 94.2%/89.7%/86.3%; 5-year CI 78.5–91.5%; median follow-up 62.9 months.</w:t>
            </w:r>
          </w:p>
          <w:p>
            <w:pPr>
              <w:spacing w:after="0"/>
            </w:pPr>
            <w:r>
              <w:rPr>
                <w:b w:val="0"/>
                <w:i/>
                <w:sz w:val="19"/>
              </w:rPr>
              <w:t>Limits: No contemporary non-LT comparator; registry indication misclassification. Separate systematic-review patients must not be pooled with UNOS or Chiche as independent evidence.</w:t>
            </w:r>
          </w:p>
          <w:p>
            <w:pPr>
              <w:spacing w:after="0"/>
            </w:pPr>
            <w:r>
              <w:rPr>
                <w:b w:val="0"/>
                <w:i w:val="0"/>
                <w:color w:val="5A6069"/>
                <w:sz w:val="18"/>
              </w:rPr>
              <w:t>Methods; UNOS Results pp3–5 and Figure 2; not the review-only survival curve.</w:t>
            </w:r>
          </w:p>
        </w:tc>
      </w:tr>
    </w:tbl>
    <w:p>
      <w:pPr>
        <w:spacing w:after="40"/>
      </w:pPr>
    </w:p>
    <w:p>
      <w:pPr>
        <w:pStyle w:val="Heading3"/>
        <w:keepNext/>
        <w:spacing w:before="120" w:after="80"/>
      </w:pPr>
      <w:r>
        <w:rPr>
          <w:b w:val="0"/>
          <w:i w:val="0"/>
        </w:rPr>
        <w:t>Our proposed selection (OPEN)</w:t>
      </w:r>
    </w:p>
    <w:p>
      <w:pPr>
        <w:spacing w:after="80"/>
      </w:pPr>
      <w:r>
        <w:rPr>
          <w:b w:val="0"/>
          <w:i w:val="0"/>
        </w:rPr>
        <w:t>Use the four NLRB routes as OR alternatives, then separately prove a clinical indication for LT.</w:t>
      </w:r>
    </w:p>
    <w:p>
      <w:pPr>
        <w:numPr>
          <w:ilvl w:val="0"/>
          <w:numId w:val="5"/>
        </w:numPr>
        <w:spacing w:after="40"/>
      </w:pPr>
      <w:r>
        <w:rPr>
          <w:b w:val="0"/>
          <w:i w:val="0"/>
        </w:rPr>
        <w:t>Document at least one actual guidance route: (1) adenoma with GSD or Abernethy; OR (2) unresectable β-catenin-mutated adenoma; OR (3) unresectable adenoma with adenomatosis &gt;10 lesions (at least 11); OR (4) unresectable AND unresponsive to nonoperative therapy AND progressive or complicated disease.</w:t>
      </w:r>
    </w:p>
    <w:p>
      <w:pPr>
        <w:numPr>
          <w:ilvl w:val="0"/>
          <w:numId w:val="5"/>
        </w:numPr>
        <w:spacing w:after="40"/>
      </w:pPr>
      <w:r>
        <w:rPr>
          <w:b w:val="0"/>
          <w:i w:val="0"/>
        </w:rPr>
        <w:t>Do not require all four routes, and do not impose cirrhosis as a national prerequisite. Conversely, meeting one guidance route does not itself justify surgery.</w:t>
      </w:r>
    </w:p>
    <w:p>
      <w:pPr>
        <w:numPr>
          <w:ilvl w:val="0"/>
          <w:numId w:val="5"/>
        </w:numPr>
        <w:spacing w:after="40"/>
      </w:pPr>
      <w:r>
        <w:rPr>
          <w:b w:val="0"/>
          <w:i w:val="0"/>
        </w:rPr>
        <w:t>Require specialist pathology/radiology and an alternatives review before requesting an exception; proven malignant transformation must be evaluated under the appropriate cancer pathway.</w:t>
      </w:r>
    </w:p>
    <w:p>
      <w:pPr>
        <w:spacing w:after="80"/>
      </w:pPr>
      <w:r>
        <w:rPr>
          <w:b/>
          <w:i w:val="0"/>
        </w:rPr>
        <w:t xml:space="preserve">Why: </w:t>
      </w:r>
      <w:r>
        <w:rPr>
          <w:b w:val="0"/>
          <w:i w:val="0"/>
        </w:rPr>
        <w:t>Allocation-route eligibility and clinical necessity must be recorded separately. Lesion number, size and molecular subtype identify different questions. The NLRB four-route OR structure is more permissive than older clinical LT guidance; clinical risk still needs confirmation and alternatives review.</w:t>
      </w:r>
    </w:p>
    <w:p>
      <w:pPr>
        <w:spacing w:after="80"/>
      </w:pPr>
      <w:r>
        <w:rPr>
          <w:b/>
          <w:i w:val="0"/>
        </w:rPr>
        <w:t xml:space="preserve">Against, or uncertain: </w:t>
      </w:r>
      <w:r>
        <w:rPr>
          <w:b w:val="0"/>
          <w:i w:val="0"/>
        </w:rPr>
        <w:t>Adenomatosis is ≥10 in ACG terminology but &gt;10 in the cited NLRB route: exactly ten lesions cannot be silently rounded into &gt;10. Molecular subtypes are not biologically interchangeable. Selected-registry survival does not quantify the benefit of replacing an otherwise functioning liver.</w:t>
      </w:r>
    </w:p>
    <w:p>
      <w:pPr>
        <w:spacing w:after="80"/>
      </w:pPr>
      <w:r>
        <w:rPr>
          <w:b/>
          <w:i w:val="0"/>
        </w:rPr>
        <w:t xml:space="preserve">Certainty: </w:t>
      </w:r>
      <w:r>
        <w:rPr>
          <w:b w:val="0"/>
          <w:i w:val="0"/>
        </w:rPr>
        <w:t>High confidence in the meaning of the current guidance text; low certainty for phenotype-specific LT benefit; moderate biological evidence for subtype heterogeneity, not a validated LT threshold.</w:t>
      </w:r>
    </w:p>
    <w:p>
      <w:pPr>
        <w:spacing w:after="80"/>
      </w:pPr>
      <w:r>
        <w:rPr>
          <w:b/>
          <w:i w:val="0"/>
        </w:rPr>
        <w:t xml:space="preserve">Tests and records: </w:t>
      </w:r>
      <w:r>
        <w:rPr>
          <w:b w:val="0"/>
          <w:i w:val="0"/>
        </w:rPr>
        <w:t>Subtype/β-catenin result where needed; lesion count and distribution; GSD/shunt status; resectability; prior nonoperative treatment and complication record. Record the exact lesion count and, when available, the CTNNB1 exon/activation phenotype; exactly ten is not &gt;10.</w:t>
      </w:r>
    </w:p>
    <w:p>
      <w:pPr>
        <w:spacing w:after="80"/>
      </w:pPr>
      <w:r>
        <w:rPr>
          <w:b/>
          <w:i w:val="0"/>
        </w:rPr>
        <w:t xml:space="preserve">Allocation: </w:t>
      </w:r>
      <w:r>
        <w:rPr>
          <w:b w:val="0"/>
          <w:i w:val="0"/>
        </w:rPr>
        <w:t>NLRB wording concerns exception review and remains nonbinding. Submission, eligibility and approval are distinct.</w:t>
      </w:r>
    </w:p>
    <w:p>
      <w:pPr>
        <w:spacing w:after="40"/>
      </w:pPr>
      <w:r>
        <w:rPr>
          <w:b/>
          <w:i w:val="0"/>
        </w:rPr>
        <w:t xml:space="preserve">Basis for the proposed thresholds: </w:t>
      </w:r>
    </w:p>
    <w:p>
      <w:pPr>
        <w:numPr>
          <w:ilvl w:val="0"/>
          <w:numId w:val="5"/>
        </w:numPr>
        <w:spacing w:after="40"/>
      </w:pPr>
      <w:r>
        <w:rPr>
          <w:b w:val="0"/>
          <w:i w:val="0"/>
        </w:rPr>
        <w:t>&gt;10: literal allocation-guidance wording (at least 11); different from ACG’s diagnostic definition.</w:t>
      </w:r>
    </w:p>
    <w:p>
      <w:pPr>
        <w:numPr>
          <w:ilvl w:val="0"/>
          <w:numId w:val="5"/>
        </w:numPr>
        <w:spacing w:after="40"/>
      </w:pPr>
      <w:r>
        <w:rPr>
          <w:b w:val="0"/>
          <w:i w:val="0"/>
        </w:rPr>
        <w:t>β-catenin: guidance category; genotype/phenotype should inform clinical risk, without silently rewriting the allocation category.</w:t>
      </w:r>
    </w:p>
    <w:p>
      <w:pPr>
        <w:numPr>
          <w:ilvl w:val="0"/>
          <w:numId w:val="5"/>
        </w:numPr>
        <w:spacing w:after="40"/>
      </w:pPr>
      <w:r>
        <w:rPr>
          <w:b w:val="0"/>
          <w:i w:val="0"/>
        </w:rPr>
        <w:t>Need for LT: multidisciplinary clinical decision beyond exception eligibility.</w:t>
      </w:r>
    </w:p>
    <w:p>
      <w:pPr>
        <w:pStyle w:val="Heading3"/>
        <w:keepNext/>
        <w:spacing w:before="120" w:after="80"/>
      </w:pPr>
      <w:r>
        <w:rPr>
          <w:b w:val="0"/>
          <w:i w:val="0"/>
        </w:rPr>
        <w:t>HCA-B1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HCA-B2 — Is transplantation clinically justified?</w:t>
      </w:r>
    </w:p>
    <w:p>
      <w:pPr>
        <w:spacing w:after="80"/>
      </w:pPr>
      <w:r>
        <w:rPr>
          <w:b w:val="0"/>
          <w:i w:val="0"/>
          <w:color w:val="5A6069"/>
          <w:sz w:val="18"/>
        </w:rPr>
        <w:t>Review the clinical indication · not activated · High-risk review</w:t>
      </w:r>
    </w:p>
    <w:p>
      <w:pPr>
        <w:spacing w:after="80"/>
      </w:pPr>
      <w:r>
        <w:rPr>
          <w:b/>
          <w:i w:val="0"/>
        </w:rPr>
        <w:t xml:space="preserve">Question: </w:t>
      </w:r>
      <w:r>
        <w:rPr>
          <w:b w:val="0"/>
          <w:i w:val="0"/>
        </w:rPr>
        <w:t>Has the benefit of LT been distinguished from concern about malignancy?</w:t>
      </w:r>
    </w:p>
    <w:p>
      <w:pPr>
        <w:spacing w:after="80"/>
      </w:pPr>
      <w:r>
        <w:rPr>
          <w:b/>
          <w:i w:val="0"/>
        </w:rPr>
        <w:t xml:space="preserve">When it applies: </w:t>
      </w:r>
      <w:r>
        <w:rPr>
          <w:b w:val="0"/>
          <w:i w:val="0"/>
        </w:rPr>
        <w:t>Use transplantation only when standard treatment is not feasible and a clear clinical benefit is established.</w:t>
      </w:r>
    </w:p>
    <w:p>
      <w:pPr>
        <w:spacing w:after="80"/>
      </w:pPr>
      <w:r>
        <w:rPr>
          <w:b/>
          <w:i w:val="0"/>
        </w:rPr>
        <w:t xml:space="preserve">Where it is decided: </w:t>
      </w:r>
      <w:hyperlink r:id="rId10">
        <w:r>
          <w:rPr>
            <w:color w:val="0563C1"/>
            <w:u w:val="single"/>
          </w:rPr>
          <w:t xml:space="preserve">Use standard options first</w:t>
        </w:r>
      </w:hyperlink>
    </w:p>
    <w:p>
      <w:pPr>
        <w:spacing w:after="120"/>
      </w:pPr>
      <w:r>
        <w:rPr>
          <w:b/>
          <w:i w:val="0"/>
          <w:sz w:val="18"/>
        </w:rPr>
        <w:t xml:space="preserve">Web page: </w:t>
      </w:r>
      <w:hyperlink r:id="rId1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European Association for the Study of the Liver 2016</w:t>
            </w:r>
          </w:p>
        </w:tc>
        <w:tc>
          <w:tcPr>
            <w:tcW w:type="dxa" w:w="3360"/>
            <w:tcW w:w="5480" w:type="dxa"/>
            <w:shd w:val="clear" w:color="auto" w:fill="F1F5F8"/>
          </w:tcPr>
          <w:p>
            <w:pPr>
              <w:spacing w:after="0"/>
            </w:pPr>
            <w:r>
              <w:rPr>
                <w:b w:val="0"/>
                <w:i w:val="0"/>
                <w:sz w:val="19"/>
              </w:rPr>
              <w:t>“6 months observation after lifestyle change” Applies to women in the relevant clinical setting, not a mandatory delay for every adenoma.</w:t>
            </w:r>
          </w:p>
        </w:tc>
        <w:tc>
          <w:tcPr>
            <w:tcW w:type="dxa" w:w="3360"/>
            <w:tcW w:w="2400" w:type="dxa"/>
            <w:shd w:val="clear" w:color="auto" w:fill="F1F5F8"/>
          </w:tcPr>
          <w:p>
            <w:pPr>
              <w:spacing w:after="0"/>
            </w:pPr>
            <w:r>
              <w:rPr>
                <w:b w:val="0"/>
                <w:i w:val="0"/>
                <w:color w:val="5A6069"/>
                <w:sz w:val="18"/>
              </w:rPr>
              <w:t>EASL 2016 guideline PDF p9, HCA recommendations</w:t>
            </w:r>
          </w:p>
        </w:tc>
      </w:tr>
      <w:tr>
        <w:trPr>
          <w:cantSplit/>
        </w:trPr>
        <w:tc>
          <w:tcPr>
            <w:tcW w:type="dxa" w:w="3360"/>
            <w:tcW w:w="2200" w:type="dxa"/>
            <w:shd w:val="clear" w:color="auto" w:fill="FFFFFF"/>
          </w:tcPr>
          <w:p>
            <w:pPr>
              <w:spacing w:after="0"/>
            </w:pPr>
            <w:r>
              <w:rPr>
                <w:b/>
                <w:i w:val="0"/>
                <w:sz w:val="19"/>
              </w:rPr>
              <w:t>European Association for the Study of the Liver 2016</w:t>
            </w:r>
          </w:p>
        </w:tc>
        <w:tc>
          <w:tcPr>
            <w:tcW w:type="dxa" w:w="3360"/>
            <w:tcW w:w="5480" w:type="dxa"/>
            <w:shd w:val="clear" w:color="auto" w:fill="FFFFFF"/>
          </w:tcPr>
          <w:p>
            <w:pPr>
              <w:spacing w:after="0"/>
            </w:pPr>
            <w:r>
              <w:rPr>
                <w:b w:val="0"/>
                <w:i w:val="0"/>
                <w:sz w:val="19"/>
              </w:rPr>
              <w:t>“more than 10 lesions and underlying liver disease” A narrower clinical LT framing than the NLRB alternative exception routes.</w:t>
            </w:r>
          </w:p>
        </w:tc>
        <w:tc>
          <w:tcPr>
            <w:tcW w:type="dxa" w:w="3360"/>
            <w:tcW w:w="2400" w:type="dxa"/>
            <w:shd w:val="clear" w:color="auto" w:fill="FFFFFF"/>
          </w:tcPr>
          <w:p>
            <w:pPr>
              <w:spacing w:after="0"/>
            </w:pPr>
            <w:r>
              <w:rPr>
                <w:b w:val="0"/>
                <w:i w:val="0"/>
                <w:color w:val="5A6069"/>
                <w:sz w:val="18"/>
              </w:rPr>
              <w:t>EASL 2016 guideline PDF p10, multiple HCA discussion</w:t>
            </w:r>
          </w:p>
        </w:tc>
      </w:tr>
      <w:tr>
        <w:trPr>
          <w:cantSplit/>
        </w:trPr>
        <w:tc>
          <w:tcPr>
            <w:tcW w:type="dxa" w:w="3360"/>
            <w:tcW w:w="2200" w:type="dxa"/>
            <w:shd w:val="clear" w:color="auto" w:fill="F1F5F8"/>
          </w:tcPr>
          <w:p>
            <w:pPr>
              <w:spacing w:after="0"/>
            </w:pPr>
            <w:r>
              <w:rPr>
                <w:b/>
                <w:i w:val="0"/>
                <w:sz w:val="19"/>
              </w:rPr>
              <w:t>Chiche 2016</w:t>
            </w:r>
          </w:p>
        </w:tc>
        <w:tc>
          <w:tcPr>
            <w:tcW w:type="dxa" w:w="3360"/>
            <w:tcW w:w="5480" w:type="dxa"/>
            <w:shd w:val="clear" w:color="auto" w:fill="F1F5F8"/>
          </w:tcPr>
          <w:p>
            <w:pPr>
              <w:spacing w:after="0"/>
            </w:pPr>
            <w:r>
              <w:rPr>
                <w:b w:val="0"/>
                <w:i w:val="0"/>
                <w:sz w:val="19"/>
              </w:rPr>
              <w:t>“LT should remain an extremely rare treatment for adenomatosis.” The 49-patient series also recorded three operative deaths and five retransplantations; transplantation is not risk-free prophylaxis.</w:t>
            </w:r>
          </w:p>
        </w:tc>
        <w:tc>
          <w:tcPr>
            <w:tcW w:type="dxa" w:w="3360"/>
            <w:tcW w:w="2400" w:type="dxa"/>
            <w:shd w:val="clear" w:color="auto" w:fill="F1F5F8"/>
          </w:tcPr>
          <w:p>
            <w:pPr>
              <w:spacing w:after="0"/>
            </w:pPr>
            <w:r>
              <w:rPr>
                <w:b w:val="0"/>
                <w:i w:val="0"/>
                <w:color w:val="5A6069"/>
                <w:sz w:val="18"/>
              </w:rPr>
              <w:t>Published PDF p2, abstract conclusion</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Chiche 2016</w:t>
            </w:r>
          </w:p>
        </w:tc>
        <w:tc>
          <w:tcPr>
            <w:tcW w:type="dxa" w:w="3360"/>
            <w:tcW w:w="3900" w:type="dxa"/>
            <w:shd w:val="clear" w:color="auto" w:fill="F1F5F8"/>
          </w:tcPr>
          <w:p>
            <w:pPr>
              <w:spacing w:after="0"/>
            </w:pPr>
            <w:r>
              <w:rPr>
                <w:b w:val="0"/>
                <w:i w:val="0"/>
                <w:sz w:val="19"/>
              </w:rPr>
              <w:t>European retrospective adenomatosis LT series, n=49, 1986–2013. LT for proven HCC 16, suspected HCC 15, progression 8, hemorrhage 5, symptoms 5.</w:t>
            </w:r>
          </w:p>
        </w:tc>
        <w:tc>
          <w:tcPr>
            <w:tcW w:type="dxa" w:w="3360"/>
            <w:tcW w:w="4180" w:type="dxa"/>
            <w:shd w:val="clear" w:color="auto" w:fill="F1F5F8"/>
          </w:tcPr>
          <w:p>
            <w:pPr>
              <w:spacing w:after="0"/>
            </w:pPr>
            <w:r>
              <w:rPr>
                <w:b w:val="0"/>
                <w:i w:val="0"/>
                <w:sz w:val="19"/>
              </w:rPr>
              <w:t>Only 1/15 suspected-HCC cases had HCC confirmed. Three deaths within 90 days; five retransplants. HCC recurrence in 3/17 with malignant explants, all fatal; 41/49 alive and well at final report.</w:t>
            </w:r>
          </w:p>
          <w:p>
            <w:pPr>
              <w:spacing w:after="0"/>
            </w:pPr>
            <w:r>
              <w:rPr>
                <w:b w:val="0"/>
                <w:i/>
                <w:sz w:val="19"/>
              </w:rPr>
              <w:t>Limits: Selected surgical series, not untreated transformation risk; overlaps European cases in later reviews. Low diagnostic yield warns against using suspicion alone.</w:t>
            </w:r>
          </w:p>
          <w:p>
            <w:pPr>
              <w:spacing w:after="0"/>
            </w:pPr>
            <w:r>
              <w:rPr>
                <w:b w:val="0"/>
                <w:i w:val="0"/>
                <w:color w:val="5A6069"/>
                <w:sz w:val="18"/>
              </w:rPr>
              <w:t>Indications, explant pathology and patient-outcome Results; published pp516–526.</w:t>
            </w:r>
          </w:p>
        </w:tc>
      </w:tr>
      <w:tr>
        <w:trPr>
          <w:cantSplit/>
        </w:trPr>
        <w:tc>
          <w:tcPr>
            <w:tcW w:type="dxa" w:w="3360"/>
            <w:tcW w:w="2000" w:type="dxa"/>
            <w:shd w:val="clear" w:color="auto" w:fill="FFFFFF"/>
          </w:tcPr>
          <w:p>
            <w:pPr>
              <w:spacing w:after="0"/>
            </w:pPr>
            <w:r>
              <w:rPr>
                <w:b/>
                <w:i w:val="0"/>
                <w:sz w:val="19"/>
              </w:rPr>
              <w:t>Ziogas 2022</w:t>
            </w:r>
          </w:p>
        </w:tc>
        <w:tc>
          <w:tcPr>
            <w:tcW w:type="dxa" w:w="3360"/>
            <w:tcW w:w="3900" w:type="dxa"/>
            <w:shd w:val="clear" w:color="auto" w:fill="FFFFFF"/>
          </w:tcPr>
          <w:p>
            <w:pPr>
              <w:spacing w:after="0"/>
            </w:pPr>
            <w:r>
              <w:rPr>
                <w:b w:val="0"/>
                <w:i w:val="0"/>
                <w:sz w:val="19"/>
              </w:rPr>
              <w:t>UNOS 1987–2020: 199 listed; 142 transplanted, including 118 listed for HCA and 24 incidental diagnoses. Mixed adults/children; 32/142 children; 89.4% had no HCC; size/count unavailable.</w:t>
            </w:r>
          </w:p>
        </w:tc>
        <w:tc>
          <w:tcPr>
            <w:tcW w:type="dxa" w:w="3360"/>
            <w:tcW w:w="4180" w:type="dxa"/>
            <w:shd w:val="clear" w:color="auto" w:fill="FFFFFF"/>
          </w:tcPr>
          <w:p>
            <w:pPr>
              <w:spacing w:after="0"/>
            </w:pPr>
            <w:r>
              <w:rPr>
                <w:b w:val="0"/>
                <w:i w:val="0"/>
                <w:sz w:val="19"/>
              </w:rPr>
              <w:t>Crude waitlist mortality 9.0%. Post-LT 1/3/5-year OS 94.2%/89.7%/86.3%; 5-year CI 78.5–91.5%; median follow-up 62.9 months.</w:t>
            </w:r>
          </w:p>
          <w:p>
            <w:pPr>
              <w:spacing w:after="0"/>
            </w:pPr>
            <w:r>
              <w:rPr>
                <w:b w:val="0"/>
                <w:i/>
                <w:sz w:val="19"/>
              </w:rPr>
              <w:t>Limits: No contemporary non-LT comparator; registry indication misclassification. Separate systematic-review patients must not be pooled with UNOS or Chiche as independent evidence.</w:t>
            </w:r>
          </w:p>
          <w:p>
            <w:pPr>
              <w:spacing w:after="0"/>
            </w:pPr>
            <w:r>
              <w:rPr>
                <w:b w:val="0"/>
                <w:i w:val="0"/>
                <w:color w:val="5A6069"/>
                <w:sz w:val="18"/>
              </w:rPr>
              <w:t>Methods; UNOS Results pp3–5 and Figure 2; not the review-only survival curve.</w:t>
            </w:r>
          </w:p>
        </w:tc>
      </w:tr>
      <w:tr>
        <w:trPr>
          <w:cantSplit/>
        </w:trPr>
        <w:tc>
          <w:tcPr>
            <w:tcW w:type="dxa" w:w="3360"/>
            <w:tcW w:w="2000" w:type="dxa"/>
            <w:shd w:val="clear" w:color="auto" w:fill="F1F5F8"/>
          </w:tcPr>
          <w:p>
            <w:pPr>
              <w:spacing w:after="0"/>
            </w:pPr>
            <w:r>
              <w:rPr>
                <w:b/>
                <w:i w:val="0"/>
                <w:sz w:val="19"/>
              </w:rPr>
              <w:t>Haring 2019</w:t>
            </w:r>
          </w:p>
        </w:tc>
        <w:tc>
          <w:tcPr>
            <w:tcW w:type="dxa" w:w="3360"/>
            <w:tcW w:w="3900" w:type="dxa"/>
            <w:shd w:val="clear" w:color="auto" w:fill="F1F5F8"/>
          </w:tcPr>
          <w:p>
            <w:pPr>
              <w:spacing w:after="0"/>
            </w:pPr>
            <w:r>
              <w:rPr>
                <w:b w:val="0"/>
                <w:i w:val="0"/>
                <w:sz w:val="19"/>
              </w:rPr>
              <w:t>Retrospective hormone-withdrawal cohort, n=78. Stopped oral contraception; RECIST diameter response of largest HCA.</w:t>
            </w:r>
          </w:p>
        </w:tc>
        <w:tc>
          <w:tcPr>
            <w:tcW w:type="dxa" w:w="3360"/>
            <w:tcW w:w="4180" w:type="dxa"/>
            <w:shd w:val="clear" w:color="auto" w:fill="F1F5F8"/>
          </w:tcPr>
          <w:p>
            <w:pPr>
              <w:spacing w:after="0"/>
            </w:pPr>
            <w:r>
              <w:rPr>
                <w:b w:val="0"/>
                <w:i w:val="0"/>
                <w:sz w:val="19"/>
              </w:rPr>
              <w:t>At median 1.3 years after withdrawal, regression &gt;30% 37.2%, complete regression 5.1%, stable 56.4%, progression 1.3%; no HCA-related complications reported.</w:t>
            </w:r>
          </w:p>
          <w:p>
            <w:pPr>
              <w:spacing w:after="0"/>
            </w:pPr>
            <w:r>
              <w:rPr>
                <w:b w:val="0"/>
                <w:i/>
                <w:sz w:val="19"/>
              </w:rPr>
              <w:t>Limits: Primary abstract/repository extraction; not a transplant comparison. Follow-up exceeds six months, so it does not prove that six months is a biological deadline.</w:t>
            </w:r>
          </w:p>
          <w:p>
            <w:pPr>
              <w:spacing w:after="0"/>
            </w:pPr>
            <w:r>
              <w:rPr>
                <w:b w:val="0"/>
                <w:i w:val="0"/>
                <w:color w:val="5A6069"/>
                <w:sz w:val="18"/>
              </w:rPr>
              <w:t>Published/institutional abstract Results; DOI 10.1111/liv.14074.</w:t>
            </w:r>
          </w:p>
        </w:tc>
      </w:tr>
      <w:tr>
        <w:trPr>
          <w:cantSplit/>
        </w:trPr>
        <w:tc>
          <w:tcPr>
            <w:tcW w:type="dxa" w:w="3360"/>
            <w:tcW w:w="2000" w:type="dxa"/>
            <w:shd w:val="clear" w:color="auto" w:fill="FFFFFF"/>
          </w:tcPr>
          <w:p>
            <w:pPr>
              <w:spacing w:after="0"/>
            </w:pPr>
            <w:r>
              <w:rPr>
                <w:b/>
                <w:i w:val="0"/>
                <w:sz w:val="19"/>
              </w:rPr>
              <w:t>van Rosmalen 2019</w:t>
            </w:r>
          </w:p>
        </w:tc>
        <w:tc>
          <w:tcPr>
            <w:tcW w:type="dxa" w:w="3360"/>
            <w:tcW w:w="3900" w:type="dxa"/>
            <w:shd w:val="clear" w:color="auto" w:fill="FFFFFF"/>
          </w:tcPr>
          <w:p>
            <w:pPr>
              <w:spacing w:after="0"/>
            </w:pPr>
            <w:r>
              <w:rPr>
                <w:b w:val="0"/>
                <w:i w:val="0"/>
                <w:sz w:val="19"/>
              </w:rPr>
              <w:t>Six-center retrospective embolization cohort, n=59; 23 bleeding and 36 nonbleeding. Median lesion 76 mm; 57/59 women.</w:t>
            </w:r>
          </w:p>
        </w:tc>
        <w:tc>
          <w:tcPr>
            <w:tcW w:type="dxa" w:w="3360"/>
            <w:tcW w:w="4180" w:type="dxa"/>
            <w:shd w:val="clear" w:color="auto" w:fill="FFFFFF"/>
          </w:tcPr>
          <w:p>
            <w:pPr>
              <w:spacing w:after="0"/>
            </w:pPr>
            <w:r>
              <w:rPr>
                <w:b w:val="0"/>
                <w:i w:val="0"/>
                <w:sz w:val="19"/>
              </w:rPr>
              <w:t>Six major complications (10%); median diameter 48 mm at median 5.5-month imaging. One death at three months after emergency embolization with hemorrhagic shock; no clinically overt rebleeding of treated lesions.</w:t>
            </w:r>
          </w:p>
          <w:p>
            <w:pPr>
              <w:spacing w:after="0"/>
            </w:pPr>
            <w:r>
              <w:rPr>
                <w:b w:val="0"/>
                <w:i/>
                <w:sz w:val="19"/>
              </w:rPr>
              <w:t>Limits: No randomized comparator; embolization is neither harmless nor proven to eliminate malignant potential. Requires lesion-specific technical and pathology assessment.</w:t>
            </w:r>
          </w:p>
          <w:p>
            <w:pPr>
              <w:spacing w:after="0"/>
            </w:pPr>
            <w:r>
              <w:rPr>
                <w:b w:val="0"/>
                <w:i w:val="0"/>
                <w:color w:val="5A6069"/>
                <w:sz w:val="18"/>
              </w:rPr>
              <w:t>Methods; Safety section pp1364–1365; size-response Results/Figure 1.</w:t>
            </w:r>
          </w:p>
        </w:tc>
      </w:tr>
      <w:tr>
        <w:trPr>
          <w:cantSplit/>
        </w:trPr>
        <w:tc>
          <w:tcPr>
            <w:tcW w:type="dxa" w:w="3360"/>
            <w:tcW w:w="2000" w:type="dxa"/>
            <w:shd w:val="clear" w:color="auto" w:fill="F1F5F8"/>
          </w:tcPr>
          <w:p>
            <w:pPr>
              <w:spacing w:after="0"/>
            </w:pPr>
            <w:r>
              <w:rPr>
                <w:b/>
                <w:i w:val="0"/>
                <w:sz w:val="19"/>
              </w:rPr>
              <w:t>European Association for the Study of the Liver 2016</w:t>
            </w:r>
          </w:p>
        </w:tc>
        <w:tc>
          <w:tcPr>
            <w:tcW w:type="dxa" w:w="3360"/>
            <w:tcW w:w="3900" w:type="dxa"/>
            <w:shd w:val="clear" w:color="auto" w:fill="F1F5F8"/>
          </w:tcPr>
          <w:p>
            <w:pPr>
              <w:spacing w:after="0"/>
            </w:pPr>
            <w:r>
              <w:rPr>
                <w:b w:val="0"/>
                <w:i w:val="0"/>
                <w:sz w:val="19"/>
              </w:rPr>
              <w:t>EASL 2016 benign liver tumor guideline. Women after risk-factor modification versus men/β-catenin disease; multifocal disease addressed separately.</w:t>
            </w:r>
          </w:p>
        </w:tc>
        <w:tc>
          <w:tcPr>
            <w:tcW w:type="dxa" w:w="3360"/>
            <w:tcW w:w="4180" w:type="dxa"/>
            <w:shd w:val="clear" w:color="auto" w:fill="F1F5F8"/>
          </w:tcPr>
          <w:p>
            <w:pPr>
              <w:spacing w:after="0"/>
            </w:pPr>
            <w:r>
              <w:rPr>
                <w:b w:val="0"/>
                <w:i w:val="0"/>
                <w:sz w:val="19"/>
              </w:rPr>
              <w:t>Six-month observation in suitable women; ≥5 cm or growth prompts resection. LT is not routine for multiple adenomas; underlying liver disease can alter consideration.</w:t>
            </w:r>
          </w:p>
          <w:p>
            <w:pPr>
              <w:spacing w:after="0"/>
            </w:pPr>
            <w:r>
              <w:rPr>
                <w:b w:val="0"/>
                <w:i/>
                <w:sz w:val="19"/>
              </w:rPr>
              <w:t>Limits: Older clinical guidance is narrower than current NLRB alternative exception routes. A resection threshold is not an LT threshold.</w:t>
            </w:r>
          </w:p>
          <w:p>
            <w:pPr>
              <w:spacing w:after="0"/>
            </w:pPr>
            <w:r>
              <w:rPr>
                <w:b w:val="0"/>
                <w:i w:val="0"/>
                <w:color w:val="5A6069"/>
                <w:sz w:val="18"/>
              </w:rPr>
              <w:t>HCA recommendations and multiple-HCA discussion, PDF pp9–10.</w:t>
            </w:r>
          </w:p>
        </w:tc>
      </w:tr>
      <w:tr>
        <w:trPr>
          <w:cantSplit/>
        </w:trPr>
        <w:tc>
          <w:tcPr>
            <w:tcW w:type="dxa" w:w="3360"/>
            <w:tcW w:w="2000" w:type="dxa"/>
            <w:shd w:val="clear" w:color="auto" w:fill="FFFFFF"/>
          </w:tcPr>
          <w:p>
            <w:pPr>
              <w:spacing w:after="0"/>
            </w:pPr>
            <w:r>
              <w:rPr>
                <w:b/>
                <w:i w:val="0"/>
                <w:sz w:val="19"/>
              </w:rPr>
              <w:t>ACG 2024</w:t>
            </w:r>
          </w:p>
        </w:tc>
        <w:tc>
          <w:tcPr>
            <w:tcW w:type="dxa" w:w="3360"/>
            <w:tcW w:w="3900" w:type="dxa"/>
            <w:shd w:val="clear" w:color="auto" w:fill="FFFFFF"/>
          </w:tcPr>
          <w:p>
            <w:pPr>
              <w:spacing w:after="0"/>
            </w:pPr>
            <w:r>
              <w:rPr>
                <w:b w:val="0"/>
                <w:i w:val="0"/>
                <w:sz w:val="19"/>
              </w:rPr>
              <w:t>ACG 2024, HCA recommendations/key concepts 11–18. Risk-stratified management and explicit alternative approaches to resection.</w:t>
            </w:r>
          </w:p>
        </w:tc>
        <w:tc>
          <w:tcPr>
            <w:tcW w:type="dxa" w:w="3360"/>
            <w:tcW w:w="4180" w:type="dxa"/>
            <w:shd w:val="clear" w:color="auto" w:fill="FFFFFF"/>
          </w:tcPr>
          <w:p>
            <w:pPr>
              <w:spacing w:after="0"/>
            </w:pPr>
            <w:r>
              <w:rPr>
                <w:b w:val="0"/>
                <w:i w:val="0"/>
                <w:sz w:val="19"/>
              </w:rPr>
              <w:t>Stable women with lesions ≥5 cm: risk-factor change and 6–12-month observation, resection if not &lt;5 cm. Men/β-catenin lesions warrant earlier definitive review; LT may be considered in selected unresectable/complicated disease.</w:t>
            </w:r>
          </w:p>
          <w:p>
            <w:pPr>
              <w:spacing w:after="0"/>
            </w:pPr>
            <w:r>
              <w:rPr>
                <w:b w:val="0"/>
                <w:i/>
                <w:sz w:val="19"/>
              </w:rPr>
              <w:t>Limits: Six versus 6–12 months is a real timing nuance. ACG adenomatosis definition is ≥10, whereas current NLRB route says &gt;10; definitions cannot silently replace each other.</w:t>
            </w:r>
          </w:p>
          <w:p>
            <w:pPr>
              <w:spacing w:after="0"/>
            </w:pPr>
            <w:r>
              <w:rPr>
                <w:b w:val="0"/>
                <w:i w:val="0"/>
                <w:color w:val="5A6069"/>
                <w:sz w:val="18"/>
              </w:rPr>
              <w:t>Table 3 key concepts 11–18 and HCA management text.</w:t>
            </w:r>
          </w:p>
        </w:tc>
      </w:tr>
    </w:tbl>
    <w:p>
      <w:pPr>
        <w:spacing w:after="40"/>
      </w:pPr>
    </w:p>
    <w:p>
      <w:pPr>
        <w:pStyle w:val="Heading3"/>
        <w:keepNext/>
        <w:spacing w:before="120" w:after="80"/>
      </w:pPr>
      <w:r>
        <w:rPr>
          <w:b w:val="0"/>
          <w:i w:val="0"/>
        </w:rPr>
        <w:t>Our proposed selection (OPEN)</w:t>
      </w:r>
    </w:p>
    <w:p>
      <w:pPr>
        <w:spacing w:after="80"/>
      </w:pPr>
      <w:r>
        <w:rPr>
          <w:b w:val="0"/>
          <w:i w:val="0"/>
        </w:rPr>
        <w:t>Keep LT exceptional; size or concern about malignancy alone is not a transplant indication.</w:t>
      </w:r>
    </w:p>
    <w:p>
      <w:pPr>
        <w:numPr>
          <w:ilvl w:val="0"/>
          <w:numId w:val="5"/>
        </w:numPr>
        <w:spacing w:after="40"/>
      </w:pPr>
      <w:r>
        <w:rPr>
          <w:b w:val="0"/>
          <w:i w:val="0"/>
        </w:rPr>
        <w:t>For suitable stable women, reassess after six months of hormone/lifestyle optimization; consider continued observation toward twelve months if the lesion is regressing and delay is clinically safe. A lesion ≥5 cm or continued growth triggers resection/other definitive-treatment review, not automatic LT.</w:t>
      </w:r>
    </w:p>
    <w:p>
      <w:pPr>
        <w:numPr>
          <w:ilvl w:val="0"/>
          <w:numId w:val="5"/>
        </w:numPr>
        <w:spacing w:after="40"/>
      </w:pPr>
      <w:r>
        <w:rPr>
          <w:b w:val="0"/>
          <w:i w:val="0"/>
        </w:rPr>
        <w:t>Do not impose that waiting period on hemorrhage, high-risk male/β-catenin disease or confirmed malignant transformation when earlier treatment is appropriate.</w:t>
      </w:r>
    </w:p>
    <w:p>
      <w:pPr>
        <w:numPr>
          <w:ilvl w:val="0"/>
          <w:numId w:val="5"/>
        </w:numPr>
        <w:spacing w:after="40"/>
      </w:pPr>
      <w:r>
        <w:rPr>
          <w:b w:val="0"/>
          <w:i w:val="0"/>
        </w:rPr>
        <w:t>Proposed transplant requirements: two independent specialist reviews confirm that resection is not feasible and nonoperative options are unsuitable or have failed, plus a documented clinical-benefit basis: progressive/complicated disease, underlying liver-disease risk, or a high-risk molecular/malignant-transformation phenotype. Stable unresectable high-risk exon-3 disease is not automatically excluded. Pure diagnostic anxiety or an allocation route without a defined benefit is insufficient.</w:t>
      </w:r>
    </w:p>
    <w:p>
      <w:pPr>
        <w:spacing w:after="80"/>
      </w:pPr>
      <w:r>
        <w:rPr>
          <w:b/>
          <w:i w:val="0"/>
        </w:rPr>
        <w:t xml:space="preserve">Why: </w:t>
      </w:r>
      <w:r>
        <w:rPr>
          <w:b w:val="0"/>
          <w:i w:val="0"/>
        </w:rPr>
        <w:t>LT is feasible in carefully selected adenoma patients, but the strongest comparative gap is benefit versus less invasive care. Overdiagnosed malignant transformation, real perioperative/retransplant burden and frequent regression after hormone withdrawal argue against transplantation for concern alone.</w:t>
      </w:r>
    </w:p>
    <w:p>
      <w:pPr>
        <w:spacing w:after="80"/>
      </w:pPr>
      <w:r>
        <w:rPr>
          <w:b/>
          <w:i w:val="0"/>
        </w:rPr>
        <w:t xml:space="preserve">Against, or uncertain: </w:t>
      </w:r>
      <w:r>
        <w:rPr>
          <w:b w:val="0"/>
          <w:i w:val="0"/>
        </w:rPr>
        <w:t>Some patients have unresectable β-catenin lesions, underlying metabolic/vascular disease, recurrent hemorrhage or uncontrolled progression. For them, waiting or repeated local therapy may be harmful. A six-month reassessment is not a reason to postpone urgent definitive treatment or automatically transplant a stable lesion.</w:t>
      </w:r>
    </w:p>
    <w:p>
      <w:pPr>
        <w:spacing w:after="80"/>
      </w:pPr>
      <w:r>
        <w:rPr>
          <w:b/>
          <w:i w:val="0"/>
        </w:rPr>
        <w:t xml:space="preserve">Certainty: </w:t>
      </w:r>
      <w:r>
        <w:rPr>
          <w:b w:val="0"/>
          <w:i w:val="0"/>
        </w:rPr>
        <w:t>Low certainty for selected LT prognosis; very low for comparative LT benefit. Nonrandomized alternative-treatment data support individualized sequencing, not a universal delay.</w:t>
      </w:r>
    </w:p>
    <w:p>
      <w:pPr>
        <w:spacing w:after="80"/>
      </w:pPr>
      <w:r>
        <w:rPr>
          <w:b/>
          <w:i w:val="0"/>
        </w:rPr>
        <w:t xml:space="preserve">Tests and records: </w:t>
      </w:r>
      <w:r>
        <w:rPr>
          <w:b w:val="0"/>
          <w:i w:val="0"/>
        </w:rPr>
        <w:t>Subtype and malignancy review; sex/hormonal history; serial size; complications; embolization/resection feasibility; hepatic reserve; documented expected benefit and alternatives.</w:t>
      </w:r>
    </w:p>
    <w:p>
      <w:pPr>
        <w:spacing w:after="80"/>
      </w:pPr>
      <w:r>
        <w:rPr>
          <w:b/>
          <w:i w:val="0"/>
        </w:rPr>
        <w:t xml:space="preserve">Allocation: </w:t>
      </w:r>
      <w:r>
        <w:rPr>
          <w:b w:val="0"/>
          <w:i w:val="0"/>
        </w:rPr>
        <w:t>An exception is an allocation mechanism, not proof that expected benefit exceeds donor/graft risk.</w:t>
      </w:r>
    </w:p>
    <w:p>
      <w:pPr>
        <w:spacing w:after="40"/>
      </w:pPr>
      <w:r>
        <w:rPr>
          <w:b/>
          <w:i w:val="0"/>
        </w:rPr>
        <w:t xml:space="preserve">Basis for the proposed thresholds: </w:t>
      </w:r>
    </w:p>
    <w:p>
      <w:pPr>
        <w:numPr>
          <w:ilvl w:val="0"/>
          <w:numId w:val="5"/>
        </w:numPr>
        <w:spacing w:after="40"/>
      </w:pPr>
      <w:r>
        <w:rPr>
          <w:b w:val="0"/>
          <w:i w:val="0"/>
        </w:rPr>
        <w:t>Six months: EASL reassessment point; ACG allows 6–12 months in selected women. Not a mandatory waiting period for men, hemorrhage or malignant transformation.</w:t>
      </w:r>
    </w:p>
    <w:p>
      <w:pPr>
        <w:numPr>
          <w:ilvl w:val="0"/>
          <w:numId w:val="5"/>
        </w:numPr>
        <w:spacing w:after="40"/>
      </w:pPr>
      <w:r>
        <w:rPr>
          <w:b w:val="0"/>
          <w:i w:val="0"/>
        </w:rPr>
        <w:t>≥5 cm/growth: trigger for definitive-treatment/resection assessment, not automatic LT.</w:t>
      </w:r>
    </w:p>
    <w:p>
      <w:pPr>
        <w:numPr>
          <w:ilvl w:val="0"/>
          <w:numId w:val="5"/>
        </w:numPr>
        <w:spacing w:after="40"/>
      </w:pPr>
      <w:r>
        <w:rPr>
          <w:b w:val="0"/>
          <w:i w:val="0"/>
        </w:rPr>
        <w:t>Two independent reviews: local anti-overtreatment safeguard, not a trial-validated number.</w:t>
      </w:r>
    </w:p>
    <w:p>
      <w:pPr>
        <w:pStyle w:val="Heading3"/>
        <w:keepNext/>
        <w:spacing w:before="120" w:after="80"/>
      </w:pPr>
      <w:r>
        <w:rPr>
          <w:b w:val="0"/>
          <w:i w:val="0"/>
        </w:rPr>
        <w:t>HCA-B2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Shared approval requirements (all pathways)</w:t>
      </w:r>
    </w:p>
    <w:p>
      <w:pPr>
        <w:spacing w:after="80"/>
      </w:pPr>
      <w:r>
        <w:rPr>
          <w:b w:val="0"/>
          <w:i w:val="0"/>
        </w:rPr>
        <w:t>Recipient selection, allocation, donor protection and institutional study approval are separate decisions. These apply to every high-risk proposal.</w:t>
      </w:r>
    </w:p>
    <w:p>
      <w:pPr>
        <w:pStyle w:val="Heading2"/>
        <w:keepNext/>
        <w:spacing w:before="200" w:after="80"/>
      </w:pPr>
      <w:r>
        <w:rPr>
          <w:b w:val="0"/>
          <w:i w:val="0"/>
        </w:rPr>
        <w:t>ALLOC-B1 — Separate clinical, allocation, donor and study approval</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are we approving?</w:t>
      </w:r>
    </w:p>
    <w:p>
      <w:pPr>
        <w:spacing w:after="120"/>
      </w:pPr>
      <w:r>
        <w:rPr>
          <w:b/>
          <w:i w:val="0"/>
          <w:sz w:val="18"/>
        </w:rPr>
        <w:t xml:space="preserve">Web page: </w:t>
      </w:r>
      <w:hyperlink r:id="rId1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NLRB oncology guidance</w:t>
            </w:r>
          </w:p>
        </w:tc>
        <w:tc>
          <w:tcPr>
            <w:tcW w:type="dxa" w:w="3360"/>
            <w:tcW w:w="5480" w:type="dxa"/>
            <w:shd w:val="clear" w:color="auto" w:fill="F1F5F8"/>
          </w:tcPr>
          <w:p>
            <w:pPr>
              <w:spacing w:after="0"/>
            </w:pPr>
            <w:r>
              <w:rPr>
                <w:b w:val="0"/>
                <w:i w:val="0"/>
                <w:sz w:val="19"/>
              </w:rPr>
              <w:t>“This resource is not OPTN Policy” Guidance informs case review and is not itself binding policy or a clinical standard.</w:t>
            </w:r>
          </w:p>
        </w:tc>
        <w:tc>
          <w:tcPr>
            <w:tcW w:type="dxa" w:w="3360"/>
            <w:tcW w:w="2400" w:type="dxa"/>
            <w:shd w:val="clear" w:color="auto" w:fill="F1F5F8"/>
          </w:tcPr>
          <w:p>
            <w:pPr>
              <w:spacing w:after="0"/>
            </w:pPr>
            <w:r>
              <w:rPr>
                <w:b w:val="0"/>
                <w:i w:val="0"/>
                <w:color w:val="5A6069"/>
                <w:sz w:val="18"/>
              </w:rPr>
              <w:t>December 2025 oncology guidance p2, disclaimer</w:t>
            </w:r>
          </w:p>
        </w:tc>
      </w:tr>
      <w:tr>
        <w:trPr>
          <w:cantSplit/>
        </w:trPr>
        <w:tc>
          <w:tcPr>
            <w:tcW w:type="dxa" w:w="3360"/>
            <w:tcW w:w="2200" w:type="dxa"/>
            <w:shd w:val="clear" w:color="auto" w:fill="FFFFFF"/>
          </w:tcPr>
          <w:p>
            <w:pPr>
              <w:spacing w:after="0"/>
            </w:pPr>
            <w:r>
              <w:rPr>
                <w:b/>
                <w:i w:val="0"/>
                <w:sz w:val="19"/>
              </w:rPr>
              <w:t>OPTN policy</w:t>
            </w:r>
          </w:p>
        </w:tc>
        <w:tc>
          <w:tcPr>
            <w:tcW w:type="dxa" w:w="3360"/>
            <w:tcW w:w="5480" w:type="dxa"/>
            <w:shd w:val="clear" w:color="auto" w:fill="FFFFFF"/>
          </w:tcPr>
          <w:p>
            <w:pPr>
              <w:spacing w:after="0"/>
            </w:pPr>
            <w:r>
              <w:rPr>
                <w:b w:val="0"/>
                <w:i w:val="0"/>
                <w:sz w:val="19"/>
              </w:rPr>
              <w:t>“Function independently from the transplant candidate’s team.” Donor advocacy is independent of recipient-team enthusiasm.</w:t>
            </w:r>
          </w:p>
        </w:tc>
        <w:tc>
          <w:tcPr>
            <w:tcW w:type="dxa" w:w="3360"/>
            <w:tcW w:w="2400" w:type="dxa"/>
            <w:shd w:val="clear" w:color="auto" w:fill="FFFFFF"/>
          </w:tcPr>
          <w:p>
            <w:pPr>
              <w:spacing w:after="0"/>
            </w:pPr>
            <w:r>
              <w:rPr>
                <w:b w:val="0"/>
                <w:i w:val="0"/>
                <w:color w:val="5A6069"/>
                <w:sz w:val="18"/>
              </w:rPr>
              <w:t>Policy 14.2.A, PDF p285, living donor advocate requirements</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OPTN policy</w:t>
            </w:r>
          </w:p>
        </w:tc>
        <w:tc>
          <w:tcPr>
            <w:tcW w:type="dxa" w:w="3360"/>
            <w:tcW w:w="3900" w:type="dxa"/>
            <w:shd w:val="clear" w:color="auto" w:fill="F1F5F8"/>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1F5F8"/>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r>
        <w:trPr>
          <w:cantSplit/>
        </w:trPr>
        <w:tc>
          <w:tcPr>
            <w:tcW w:type="dxa" w:w="3360"/>
            <w:tcW w:w="2000" w:type="dxa"/>
            <w:shd w:val="clear" w:color="auto" w:fill="FFFFFF"/>
          </w:tcPr>
          <w:p>
            <w:pPr>
              <w:spacing w:after="0"/>
            </w:pPr>
            <w:r>
              <w:rPr>
                <w:b/>
                <w:i w:val="0"/>
                <w:sz w:val="19"/>
              </w:rPr>
              <w:t>NLRB oncology guidance</w:t>
            </w:r>
          </w:p>
        </w:tc>
        <w:tc>
          <w:tcPr>
            <w:tcW w:type="dxa" w:w="3360"/>
            <w:tcW w:w="3900" w:type="dxa"/>
            <w:shd w:val="clear" w:color="auto" w:fill="FFFFFF"/>
          </w:tcPr>
          <w:p>
            <w:pPr>
              <w:spacing w:after="0"/>
            </w:pPr>
            <w:r>
              <w:rPr>
                <w:b w:val="0"/>
                <w:i w:val="0"/>
                <w:sz w:val="19"/>
              </w:rPr>
              <w:t>Current NLRB hepatic-adenoma guidance. Four alternative routes; route four contains conjunctive clinical requirements.</w:t>
            </w:r>
          </w:p>
        </w:tc>
        <w:tc>
          <w:tcPr>
            <w:tcW w:type="dxa" w:w="3360"/>
            <w:tcW w:w="4180" w:type="dxa"/>
            <w:shd w:val="clear" w:color="auto" w:fill="FFFFFF"/>
          </w:tcPr>
          <w:p>
            <w:pPr>
              <w:spacing w:after="0"/>
            </w:pPr>
            <w:r>
              <w:rPr>
                <w:b w:val="0"/>
                <w:i w:val="0"/>
                <w:sz w:val="19"/>
              </w:rPr>
              <w:t>GSD/Abernethy; OR unresectable β-catenin-mutated HCA; OR unresectable adenomatosis &gt;10 lesions; OR unresectable, nonoperative-unresponsive and progressive/complicated HCA.</w:t>
            </w:r>
          </w:p>
          <w:p>
            <w:pPr>
              <w:spacing w:after="0"/>
            </w:pPr>
            <w:r>
              <w:rPr>
                <w:b w:val="0"/>
                <w:i/>
                <w:sz w:val="19"/>
              </w:rPr>
              <w:t>Limits: These are review routes, not proof of benefit or a mandatory transplant recommendation. Current text does not require all four conditions simultaneously or cirrhosis for all routes.</w:t>
            </w:r>
          </w:p>
          <w:p>
            <w:pPr>
              <w:spacing w:after="0"/>
            </w:pPr>
            <w:r>
              <w:rPr>
                <w:b w:val="0"/>
                <w:i w:val="0"/>
                <w:color w:val="5A6069"/>
                <w:sz w:val="18"/>
              </w:rPr>
              <w:t>December 2025 oncology guidance, hepatic adenoma p11.</w:t>
            </w:r>
          </w:p>
        </w:tc>
      </w:tr>
      <w:tr>
        <w:trPr>
          <w:cantSplit/>
        </w:trPr>
        <w:tc>
          <w:tcPr>
            <w:tcW w:type="dxa" w:w="3360"/>
            <w:tcW w:w="2000" w:type="dxa"/>
            <w:shd w:val="clear" w:color="auto" w:fill="F1F5F8"/>
          </w:tcPr>
          <w:p>
            <w:pPr>
              <w:spacing w:after="0"/>
            </w:pPr>
            <w:r>
              <w:rPr>
                <w:b/>
                <w:i w:val="0"/>
                <w:sz w:val="19"/>
              </w:rPr>
              <w:t>HHS human-subject protections</w:t>
            </w:r>
          </w:p>
        </w:tc>
        <w:tc>
          <w:tcPr>
            <w:tcW w:type="dxa" w:w="3360"/>
            <w:tcW w:w="3900" w:type="dxa"/>
            <w:shd w:val="clear" w:color="auto" w:fill="F1F5F8"/>
          </w:tcPr>
          <w:p>
            <w:pPr>
              <w:spacing w:after="0"/>
            </w:pPr>
            <w:r>
              <w:rPr>
                <w:b w:val="0"/>
                <w:i w:val="0"/>
                <w:sz w:val="19"/>
              </w:rPr>
              <w:t>Federal human-subject protection regulation. Applicability determined by institutional research/regulatory review.</w:t>
            </w:r>
          </w:p>
        </w:tc>
        <w:tc>
          <w:tcPr>
            <w:tcW w:type="dxa" w:w="3360"/>
            <w:tcW w:w="4180" w:type="dxa"/>
            <w:shd w:val="clear" w:color="auto" w:fill="F1F5F8"/>
          </w:tcPr>
          <w:p>
            <w:pPr>
              <w:spacing w:after="0"/>
            </w:pPr>
            <w:r>
              <w:rPr>
                <w:b w:val="0"/>
                <w:i w:val="0"/>
                <w:sz w:val="19"/>
              </w:rPr>
              <w:t>46.111 requires risk minimization, reasonable risk–benefit, equitable selection, informed consent and appropriate monitoring. IRB approval is separate from OPTN allocation and clinical acceptance.</w:t>
            </w:r>
          </w:p>
          <w:p>
            <w:pPr>
              <w:spacing w:after="0"/>
            </w:pPr>
            <w:r>
              <w:rPr>
                <w:b w:val="0"/>
                <w:i/>
                <w:sz w:val="19"/>
              </w:rPr>
              <w:t>Limits: No prescribed ten-patient cap, five-patient interim or one-event statistical boundary; those require protocol-specific design and independent approval.</w:t>
            </w:r>
          </w:p>
          <w:p>
            <w:pPr>
              <w:spacing w:after="0"/>
            </w:pPr>
            <w:r>
              <w:rPr>
                <w:b w:val="0"/>
                <w:i w:val="0"/>
                <w:color w:val="5A6069"/>
                <w:sz w:val="18"/>
              </w:rPr>
              <w:t>45 CFR 46.111(a)(1–7), current official eCFR text checked 24 October 2026.</w:t>
            </w:r>
          </w:p>
        </w:tc>
      </w:tr>
      <w:tr>
        <w:trPr>
          <w:cantSplit/>
        </w:trPr>
        <w:tc>
          <w:tcPr>
            <w:tcW w:type="dxa" w:w="3360"/>
            <w:tcW w:w="2000" w:type="dxa"/>
            <w:shd w:val="clear" w:color="auto" w:fill="FFFFFF"/>
          </w:tcPr>
          <w:p>
            <w:pPr>
              <w:spacing w:after="0"/>
            </w:pPr>
            <w:r>
              <w:rPr>
                <w:b/>
                <w:i w:val="0"/>
                <w:sz w:val="19"/>
              </w:rPr>
              <w:t>OPTN ethics principles</w:t>
            </w:r>
          </w:p>
        </w:tc>
        <w:tc>
          <w:tcPr>
            <w:tcW w:type="dxa" w:w="3360"/>
            <w:tcW w:w="3900" w:type="dxa"/>
            <w:shd w:val="clear" w:color="auto" w:fill="FFFFFF"/>
          </w:tcPr>
          <w:p>
            <w:pPr>
              <w:spacing w:after="0"/>
            </w:pPr>
            <w:r>
              <w:rPr>
                <w:b w:val="0"/>
                <w:i w:val="0"/>
                <w:sz w:val="19"/>
              </w:rPr>
              <w:t>OPTN Ethics Committee white paper, not a trial or binding allocation algorithm. Scarce-organ allocation must balance utility, justice and respect for persons.</w:t>
            </w:r>
          </w:p>
        </w:tc>
        <w:tc>
          <w:tcPr>
            <w:tcW w:type="dxa" w:w="3360"/>
            <w:tcW w:w="4180" w:type="dxa"/>
            <w:shd w:val="clear" w:color="auto" w:fill="FFFFFF"/>
          </w:tcPr>
          <w:p>
            <w:pPr>
              <w:spacing w:after="0"/>
            </w:pPr>
            <w:r>
              <w:rPr>
                <w:b w:val="0"/>
                <w:i w:val="0"/>
                <w:sz w:val="19"/>
              </w:rPr>
              <w:t>High predicted recipient survival alone is insufficient: opportunity cost, equity and access also matter. Donor autonomy does not remove clinical obligations.</w:t>
            </w:r>
          </w:p>
          <w:p>
            <w:pPr>
              <w:spacing w:after="0"/>
            </w:pPr>
            <w:r>
              <w:rPr>
                <w:b w:val="0"/>
                <w:i/>
                <w:sz w:val="19"/>
              </w:rPr>
              <w:t>Limits: Provides an ethical framework, not numeric weights, a universal survival threshold or permission to depart from allocation rules.</w:t>
            </w:r>
          </w:p>
          <w:p>
            <w:pPr>
              <w:spacing w:after="0"/>
            </w:pPr>
            <w:r>
              <w:rPr>
                <w:b w:val="0"/>
                <w:i w:val="0"/>
                <w:color w:val="5A6069"/>
                <w:sz w:val="18"/>
              </w:rPr>
              <w:t>Introduction; utility/justice/respect-for-persons sections.</w:t>
            </w:r>
          </w:p>
        </w:tc>
      </w:tr>
    </w:tbl>
    <w:p>
      <w:pPr>
        <w:spacing w:after="40"/>
      </w:pPr>
    </w:p>
    <w:p>
      <w:pPr>
        <w:pStyle w:val="Heading3"/>
        <w:keepNext/>
        <w:spacing w:before="120" w:after="80"/>
      </w:pPr>
      <w:r>
        <w:rPr>
          <w:b w:val="0"/>
          <w:i w:val="0"/>
        </w:rPr>
        <w:t>Our proposed selection (OPEN)</w:t>
      </w:r>
    </w:p>
    <w:p>
      <w:pPr>
        <w:spacing w:after="80"/>
      </w:pPr>
      <w:r>
        <w:rPr>
          <w:b w:val="0"/>
          <w:i w:val="0"/>
        </w:rPr>
        <w:t>Require 100% completion of the applicable clinical, allocation, donor and research determinations before activation.</w:t>
      </w:r>
    </w:p>
    <w:p>
      <w:pPr>
        <w:numPr>
          <w:ilvl w:val="0"/>
          <w:numId w:val="5"/>
        </w:numPr>
        <w:spacing w:after="40"/>
      </w:pPr>
      <w:r>
        <w:rPr>
          <w:b w:val="0"/>
          <w:i w:val="0"/>
        </w:rPr>
        <w:t>Complete six separate dated determinations: clinical suitability; standardized-exception eligibility; nonstandard NLRB review status; calculated-MELD access; LDLT donor clearance; and research authorization. Mark nonapplicable domains explicitly with a reason—do not manufacture six approvals for every patient.</w:t>
      </w:r>
    </w:p>
    <w:p>
      <w:pPr>
        <w:numPr>
          <w:ilvl w:val="0"/>
          <w:numId w:val="5"/>
        </w:numPr>
        <w:spacing w:after="40"/>
      </w:pPr>
      <w:r>
        <w:rPr>
          <w:b w:val="0"/>
          <w:i w:val="0"/>
        </w:rPr>
        <w:t>Any required missing, pending or adverse determination is a HOLD. An exception application is not approval, a donor is not recipient benefit, and clinical approval is not study activation.</w:t>
      </w:r>
    </w:p>
    <w:p>
      <w:pPr>
        <w:numPr>
          <w:ilvl w:val="0"/>
          <w:numId w:val="5"/>
        </w:numPr>
        <w:spacing w:after="40"/>
      </w:pPr>
      <w:r>
        <w:rPr>
          <w:b w:val="0"/>
          <w:i w:val="0"/>
        </w:rPr>
        <w:t>Recheck the current policy/guidance version before each request; record actual decision and priority rather than predicted entitlement.</w:t>
      </w:r>
    </w:p>
    <w:p>
      <w:pPr>
        <w:spacing w:after="80"/>
      </w:pPr>
      <w:r>
        <w:rPr>
          <w:b/>
          <w:i w:val="0"/>
        </w:rPr>
        <w:t xml:space="preserve">Why: </w:t>
      </w:r>
      <w:r>
        <w:rPr>
          <w:b w:val="0"/>
          <w:i w:val="0"/>
        </w:rPr>
        <w:t>The separation is a governance requirement, not an empirical survival cutoff. A clinically appropriate patient can lack exception eligibility, and an approved exception does not prove clinical benefit. LDLT requires an independent donor determination; a registry entry is not permission to perform experimental transplantation.</w:t>
      </w:r>
    </w:p>
    <w:p>
      <w:pPr>
        <w:spacing w:after="80"/>
      </w:pPr>
      <w:r>
        <w:rPr>
          <w:b/>
          <w:i w:val="0"/>
        </w:rPr>
        <w:t xml:space="preserve">Against, or uncertain: </w:t>
      </w:r>
      <w:r>
        <w:rPr>
          <w:b w:val="0"/>
          <w:i w:val="0"/>
        </w:rPr>
        <w:t>Not every case needs six separate affirmative approvals: several routes are alternatives or not applicable. An indiscriminate six-approval rule could obstruct appropriate standard care.</w:t>
      </w:r>
    </w:p>
    <w:p>
      <w:pPr>
        <w:spacing w:after="80"/>
      </w:pPr>
      <w:r>
        <w:rPr>
          <w:b/>
          <w:i w:val="0"/>
        </w:rPr>
        <w:t xml:space="preserve">Certainty: </w:t>
      </w:r>
      <w:r>
        <w:rPr>
          <w:b w:val="0"/>
          <w:i w:val="0"/>
        </w:rPr>
        <w:t>High confidence in the separation of applicable authorities; no trial establishes that six boxes improve survival. Local workflow must map to current institutional obligations.</w:t>
      </w:r>
    </w:p>
    <w:p>
      <w:pPr>
        <w:spacing w:after="80"/>
      </w:pPr>
      <w:r>
        <w:rPr>
          <w:b/>
          <w:i w:val="0"/>
        </w:rPr>
        <w:t xml:space="preserve">Tests and records: </w:t>
      </w:r>
      <w:r>
        <w:rPr>
          <w:b w:val="0"/>
          <w:i w:val="0"/>
        </w:rPr>
        <w:t>Signed suitability record; exact allocation route and policy version; exception outcome; donor-team status; study and institutional activation record.</w:t>
      </w:r>
    </w:p>
    <w:p>
      <w:pPr>
        <w:spacing w:after="80"/>
      </w:pPr>
      <w:r>
        <w:rPr>
          <w:b/>
          <w:i w:val="0"/>
        </w:rPr>
        <w:t xml:space="preserve">Allocation: </w:t>
      </w:r>
      <w:r>
        <w:rPr>
          <w:b w:val="0"/>
          <w:i w:val="0"/>
        </w:rPr>
        <w:t>Policy 9.4 permits discretionary requests where appropriate; absence of favorable diagnosis-specific guidance is not absence of a review mechanism, and a request does not promise approval.</w:t>
      </w:r>
    </w:p>
    <w:p>
      <w:pPr>
        <w:spacing w:after="40"/>
      </w:pPr>
      <w:r>
        <w:rPr>
          <w:b/>
          <w:i w:val="0"/>
        </w:rPr>
        <w:t xml:space="preserve">Basis for the proposed thresholds: </w:t>
      </w:r>
    </w:p>
    <w:p>
      <w:pPr>
        <w:numPr>
          <w:ilvl w:val="0"/>
          <w:numId w:val="5"/>
        </w:numPr>
        <w:spacing w:after="40"/>
      </w:pPr>
      <w:r>
        <w:rPr>
          <w:b w:val="0"/>
          <w:i w:val="0"/>
        </w:rPr>
        <w:t>Six domains: local checklist architecture, not six mandatory national approvals.</w:t>
      </w:r>
    </w:p>
    <w:p>
      <w:pPr>
        <w:numPr>
          <w:ilvl w:val="0"/>
          <w:numId w:val="5"/>
        </w:numPr>
        <w:spacing w:after="40"/>
      </w:pPr>
      <w:r>
        <w:rPr>
          <w:b w:val="0"/>
          <w:i w:val="0"/>
        </w:rPr>
        <w:t>100% applicable completion: governance safeguard, not an outcome-derived percentage.</w:t>
      </w:r>
    </w:p>
    <w:p>
      <w:pPr>
        <w:numPr>
          <w:ilvl w:val="0"/>
          <w:numId w:val="5"/>
        </w:numPr>
        <w:spacing w:after="40"/>
      </w:pPr>
      <w:r>
        <w:rPr>
          <w:b w:val="0"/>
          <w:i w:val="0"/>
        </w:rPr>
        <w:t>Hold pending required authorization: operational implementation of separate clinical, donor and research responsibilities.</w:t>
      </w:r>
    </w:p>
    <w:p>
      <w:pPr>
        <w:pStyle w:val="Heading3"/>
        <w:keepNext/>
        <w:spacing w:before="120" w:after="80"/>
      </w:pPr>
      <w:r>
        <w:rPr>
          <w:b w:val="0"/>
          <w:i w:val="0"/>
        </w:rPr>
        <w:t>ALLOC-B1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ALLOC-B2 — Assess expected recipient benefit and organ use</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is the relevant organ opportunity cost?</w:t>
      </w:r>
    </w:p>
    <w:p>
      <w:pPr>
        <w:spacing w:after="120"/>
      </w:pPr>
      <w:r>
        <w:rPr>
          <w:b/>
          <w:i w:val="0"/>
          <w:sz w:val="18"/>
        </w:rPr>
        <w:t xml:space="preserve">Web page: </w:t>
      </w:r>
      <w:hyperlink r:id="rId1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TransMet 2024</w:t>
            </w:r>
          </w:p>
        </w:tc>
        <w:tc>
          <w:tcPr>
            <w:tcW w:type="dxa" w:w="3360"/>
            <w:tcW w:w="5480" w:type="dxa"/>
            <w:shd w:val="clear" w:color="auto" w:fill="F1F5F8"/>
          </w:tcPr>
          <w:p>
            <w:pPr>
              <w:spacing w:after="0"/>
            </w:pPr>
            <w:r>
              <w:rPr>
                <w:b w:val="0"/>
                <w:i w:val="0"/>
                <w:sz w:val="19"/>
              </w:rPr>
              <w:t>“intention-to-treat population” The randomized pathway-level comparison is more informative than recipient survival alone; its selection and access conditions still matter.</w:t>
            </w:r>
          </w:p>
        </w:tc>
        <w:tc>
          <w:tcPr>
            <w:tcW w:type="dxa" w:w="3360"/>
            <w:tcW w:w="2400" w:type="dxa"/>
            <w:shd w:val="clear" w:color="auto" w:fill="F1F5F8"/>
          </w:tcPr>
          <w:p>
            <w:pPr>
              <w:spacing w:after="0"/>
            </w:pPr>
            <w:r>
              <w:rPr>
                <w:b w:val="0"/>
                <w:i w:val="0"/>
                <w:color w:val="5A6069"/>
                <w:sz w:val="18"/>
              </w:rPr>
              <w:t>Published TransMet report, primary analysis description</w:t>
            </w:r>
          </w:p>
        </w:tc>
      </w:tr>
      <w:tr>
        <w:trPr>
          <w:cantSplit/>
        </w:trPr>
        <w:tc>
          <w:tcPr>
            <w:tcW w:type="dxa" w:w="3360"/>
            <w:tcW w:w="2200" w:type="dxa"/>
            <w:shd w:val="clear" w:color="auto" w:fill="FFFFFF"/>
          </w:tcPr>
          <w:p>
            <w:pPr>
              <w:spacing w:after="0"/>
            </w:pPr>
            <w:r>
              <w:rPr>
                <w:b/>
                <w:i w:val="0"/>
                <w:sz w:val="19"/>
              </w:rPr>
              <w:t>Kelly 2026</w:t>
            </w:r>
          </w:p>
        </w:tc>
        <w:tc>
          <w:tcPr>
            <w:tcW w:type="dxa" w:w="3360"/>
            <w:tcW w:w="5480" w:type="dxa"/>
            <w:shd w:val="clear" w:color="auto" w:fill="FFFFFF"/>
          </w:tcPr>
          <w:p>
            <w:pPr>
              <w:spacing w:after="0"/>
            </w:pPr>
            <w:r>
              <w:rPr>
                <w:b w:val="0"/>
                <w:i w:val="0"/>
                <w:sz w:val="19"/>
              </w:rPr>
              <w:t>“risks to donors remain incompletely characterized” LDLT transfers some risk to a healthy donor; it does not eliminate the need to establish recipient benefit.</w:t>
            </w:r>
          </w:p>
        </w:tc>
        <w:tc>
          <w:tcPr>
            <w:tcW w:type="dxa" w:w="3360"/>
            <w:tcW w:w="2400" w:type="dxa"/>
            <w:shd w:val="clear" w:color="auto" w:fill="FFFFFF"/>
          </w:tcPr>
          <w:p>
            <w:pPr>
              <w:spacing w:after="0"/>
            </w:pPr>
            <w:r>
              <w:rPr>
                <w:b w:val="0"/>
                <w:i w:val="0"/>
                <w:color w:val="5A6069"/>
                <w:sz w:val="18"/>
              </w:rPr>
              <w:t>2026 published report, abstract background</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OPTN ethics principles</w:t>
            </w:r>
          </w:p>
        </w:tc>
        <w:tc>
          <w:tcPr>
            <w:tcW w:type="dxa" w:w="3360"/>
            <w:tcW w:w="3900" w:type="dxa"/>
            <w:shd w:val="clear" w:color="auto" w:fill="F1F5F8"/>
          </w:tcPr>
          <w:p>
            <w:pPr>
              <w:spacing w:after="0"/>
            </w:pPr>
            <w:r>
              <w:rPr>
                <w:b w:val="0"/>
                <w:i w:val="0"/>
                <w:sz w:val="19"/>
              </w:rPr>
              <w:t>OPTN Ethics Committee white paper, not a trial or binding allocation algorithm. Scarce-organ allocation must balance utility, justice and respect for persons.</w:t>
            </w:r>
          </w:p>
        </w:tc>
        <w:tc>
          <w:tcPr>
            <w:tcW w:type="dxa" w:w="3360"/>
            <w:tcW w:w="4180" w:type="dxa"/>
            <w:shd w:val="clear" w:color="auto" w:fill="F1F5F8"/>
          </w:tcPr>
          <w:p>
            <w:pPr>
              <w:spacing w:after="0"/>
            </w:pPr>
            <w:r>
              <w:rPr>
                <w:b w:val="0"/>
                <w:i w:val="0"/>
                <w:sz w:val="19"/>
              </w:rPr>
              <w:t>High predicted recipient survival alone is insufficient: opportunity cost, equity and access also matter. Donor autonomy does not remove clinical obligations.</w:t>
            </w:r>
          </w:p>
          <w:p>
            <w:pPr>
              <w:spacing w:after="0"/>
            </w:pPr>
            <w:r>
              <w:rPr>
                <w:b w:val="0"/>
                <w:i/>
                <w:sz w:val="19"/>
              </w:rPr>
              <w:t>Limits: Provides an ethical framework, not numeric weights, a universal survival threshold or permission to depart from allocation rules.</w:t>
            </w:r>
          </w:p>
          <w:p>
            <w:pPr>
              <w:spacing w:after="0"/>
            </w:pPr>
            <w:r>
              <w:rPr>
                <w:b w:val="0"/>
                <w:i w:val="0"/>
                <w:color w:val="5A6069"/>
                <w:sz w:val="18"/>
              </w:rPr>
              <w:t>Introduction; utility/justice/respect-for-persons sections.</w:t>
            </w:r>
          </w:p>
        </w:tc>
      </w:tr>
      <w:tr>
        <w:trPr>
          <w:cantSplit/>
        </w:trPr>
        <w:tc>
          <w:tcPr>
            <w:tcW w:type="dxa" w:w="3360"/>
            <w:tcW w:w="2000" w:type="dxa"/>
            <w:shd w:val="clear" w:color="auto" w:fill="FFFFFF"/>
          </w:tcPr>
          <w:p>
            <w:pPr>
              <w:spacing w:after="0"/>
            </w:pPr>
            <w:r>
              <w:rPr>
                <w:b/>
                <w:i w:val="0"/>
                <w:sz w:val="19"/>
              </w:rPr>
              <w:t>OPTN policy</w:t>
            </w:r>
          </w:p>
        </w:tc>
        <w:tc>
          <w:tcPr>
            <w:tcW w:type="dxa" w:w="3360"/>
            <w:tcW w:w="3900" w:type="dxa"/>
            <w:shd w:val="clear" w:color="auto" w:fill="FFFFFF"/>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FFFFF"/>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r>
        <w:trPr>
          <w:cantSplit/>
        </w:trPr>
        <w:tc>
          <w:tcPr>
            <w:tcW w:type="dxa" w:w="3360"/>
            <w:tcW w:w="2000" w:type="dxa"/>
            <w:shd w:val="clear" w:color="auto" w:fill="F1F5F8"/>
          </w:tcPr>
          <w:p>
            <w:pPr>
              <w:spacing w:after="0"/>
            </w:pPr>
            <w:r>
              <w:rPr>
                <w:b/>
                <w:i w:val="0"/>
                <w:sz w:val="19"/>
              </w:rPr>
              <w:t>EASL–AASLD–ILCA 2026</w:t>
            </w:r>
          </w:p>
        </w:tc>
        <w:tc>
          <w:tcPr>
            <w:tcW w:type="dxa" w:w="3360"/>
            <w:tcW w:w="3900" w:type="dxa"/>
            <w:shd w:val="clear" w:color="auto" w:fill="F1F5F8"/>
          </w:tcPr>
          <w:p>
            <w:pPr>
              <w:spacing w:after="0"/>
            </w:pPr>
            <w:r>
              <w:rPr>
                <w:b w:val="0"/>
                <w:i w:val="0"/>
                <w:sz w:val="19"/>
              </w:rPr>
              <w:t>EASL–AASLD–ILCA 2026 trial-design consensus, LT section. Separates standard/UNOS-DS, expanded intermediate HCC and advanced segmental vascular-invasion research populations.</w:t>
            </w:r>
          </w:p>
        </w:tc>
        <w:tc>
          <w:tcPr>
            <w:tcW w:type="dxa" w:w="3360"/>
            <w:tcW w:w="4180" w:type="dxa"/>
            <w:shd w:val="clear" w:color="auto" w:fill="F1F5F8"/>
          </w:tcPr>
          <w:p>
            <w:pPr>
              <w:spacing w:after="0"/>
            </w:pPr>
            <w:r>
              <w:rPr>
                <w:b w:val="0"/>
                <w:i w:val="0"/>
                <w:sz w:val="19"/>
              </w:rPr>
              <w:t>Calls for entry-level dropout/feasibility, ITT EFS/OS and graft/immune harms; discusses ≥60% five-year ITT OS benchmark in HCC.</w:t>
            </w:r>
          </w:p>
          <w:p>
            <w:pPr>
              <w:spacing w:after="0"/>
            </w:pPr>
            <w:r>
              <w:rPr>
                <w:b w:val="0"/>
                <w:i/>
                <w:sz w:val="19"/>
              </w:rPr>
              <w:t>Limits: Expert benchmark, not a validated cross-tumor allocation cutoff or a ten-patient stopping rule; mature five-year endpoints cannot be established after one year.</w:t>
            </w:r>
          </w:p>
          <w:p>
            <w:pPr>
              <w:spacing w:after="0"/>
            </w:pPr>
            <w:r>
              <w:rPr>
                <w:b w:val="0"/>
                <w:i w:val="0"/>
                <w:color w:val="5A6069"/>
                <w:sz w:val="18"/>
              </w:rPr>
              <w:t>Accepted manuscript pp19–22, LT trial design.</w:t>
            </w:r>
          </w:p>
        </w:tc>
      </w:tr>
      <w:tr>
        <w:trPr>
          <w:cantSplit/>
        </w:trPr>
        <w:tc>
          <w:tcPr>
            <w:tcW w:type="dxa" w:w="3360"/>
            <w:tcW w:w="2000" w:type="dxa"/>
            <w:shd w:val="clear" w:color="auto" w:fill="FFFFFF"/>
          </w:tcPr>
          <w:p>
            <w:pPr>
              <w:spacing w:after="0"/>
            </w:pPr>
            <w:r>
              <w:rPr>
                <w:b/>
                <w:i w:val="0"/>
                <w:sz w:val="19"/>
              </w:rPr>
              <w:t>Kelly 2026</w:t>
            </w:r>
          </w:p>
        </w:tc>
        <w:tc>
          <w:tcPr>
            <w:tcW w:type="dxa" w:w="3360"/>
            <w:tcW w:w="3900" w:type="dxa"/>
            <w:shd w:val="clear" w:color="auto" w:fill="FFFFFF"/>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FFFFF"/>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1F5F8"/>
          </w:tcPr>
          <w:p>
            <w:pPr>
              <w:spacing w:after="0"/>
            </w:pPr>
            <w:r>
              <w:rPr>
                <w:b/>
                <w:i w:val="0"/>
                <w:sz w:val="19"/>
              </w:rPr>
              <w:t>XXL 2020</w:t>
            </w:r>
          </w:p>
        </w:tc>
        <w:tc>
          <w:tcPr>
            <w:tcW w:type="dxa" w:w="3360"/>
            <w:tcW w:w="3900" w:type="dxa"/>
            <w:shd w:val="clear" w:color="auto" w:fill="F1F5F8"/>
          </w:tcPr>
          <w:p>
            <w:pPr>
              <w:spacing w:after="0"/>
            </w:pPr>
            <w:r>
              <w:rPr>
                <w:b w:val="0"/>
                <w:i w:val="0"/>
                <w:sz w:val="19"/>
              </w:rPr>
              <w:t>Multicenter randomized phase 2b/3 trial: 74 entered downstaging; 29 dropped out before randomization; 45 responders were randomized, 23 to LT and 22 to nontransplant treatment. Child-Pugh A–B7, ECOG 0–1, predicted five-year post-LT survival ≥50%, and ≥3 months sustained response. AFP rules depended on baseline value and response, not an unconditional AFP &lt;400 entry rule.</w:t>
            </w:r>
          </w:p>
        </w:tc>
        <w:tc>
          <w:tcPr>
            <w:tcW w:type="dxa" w:w="3360"/>
            <w:tcW w:w="4180" w:type="dxa"/>
            <w:shd w:val="clear" w:color="auto" w:fill="F1F5F8"/>
          </w:tcPr>
          <w:p>
            <w:pPr>
              <w:spacing w:after="0"/>
            </w:pPr>
            <w:r>
              <w:rPr>
                <w:b w:val="0"/>
                <w:i w:val="0"/>
                <w:sz w:val="19"/>
              </w:rPr>
              <w:t>From randomization, five-year overall survival was 77.5% with LT versus 31.2% without LT; tumor-event-free survival 76.8% versus 18.3%; median follow-up 71 months.</w:t>
            </w:r>
          </w:p>
          <w:p>
            <w:pPr>
              <w:spacing w:after="0"/>
            </w:pPr>
            <w:r>
              <w:rPr>
                <w:b w:val="0"/>
                <w:i/>
                <w:sz w:val="19"/>
              </w:rPr>
              <w:t>Limits: Strongest causal evidence for LT among selected responders, not for all 74 entrants or unlimited initial burden. Small, prematurely stopped trial. Appendix allowed uncertain bland-versus-neoplastic segmental/type-I portal thrombosis under additional response conditions; the actual PVTT denominator/outcomes are not reported. It must not be relabeled a proven-PVTT trial.</w:t>
            </w:r>
          </w:p>
          <w:p>
            <w:pPr>
              <w:spacing w:after="0"/>
            </w:pPr>
            <w:r>
              <w:rPr>
                <w:b w:val="0"/>
                <w:i w:val="0"/>
                <w:color w:val="5A6069"/>
                <w:sz w:val="18"/>
              </w:rPr>
              <w:t>Complete accepted manuscript and protocol appendix; final published abstract for survival estimates. Avoid mixing accepted-manuscript and final-publication hazard ratios.</w:t>
            </w:r>
          </w:p>
        </w:tc>
      </w:tr>
      <w:tr>
        <w:trPr>
          <w:cantSplit/>
        </w:trPr>
        <w:tc>
          <w:tcPr>
            <w:tcW w:type="dxa" w:w="3360"/>
            <w:tcW w:w="2000" w:type="dxa"/>
            <w:shd w:val="clear" w:color="auto" w:fill="FFFFFF"/>
          </w:tcPr>
          <w:p>
            <w:pPr>
              <w:spacing w:after="0"/>
            </w:pPr>
            <w:r>
              <w:rPr>
                <w:b/>
                <w:i w:val="0"/>
                <w:sz w:val="19"/>
              </w:rPr>
              <w:t>TransMet 2024</w:t>
            </w:r>
          </w:p>
        </w:tc>
        <w:tc>
          <w:tcPr>
            <w:tcW w:type="dxa" w:w="3360"/>
            <w:tcW w:w="3900" w:type="dxa"/>
            <w:shd w:val="clear" w:color="auto" w:fill="FFFFFF"/>
          </w:tcPr>
          <w:p>
            <w:pPr>
              <w:spacing w:after="0"/>
            </w:pPr>
            <w:r>
              <w:rPr>
                <w:b w:val="0"/>
                <w:i w:val="0"/>
                <w:sz w:val="19"/>
              </w:rPr>
              <w:t>Multicentre open-label randomized trial, 20 European centres, 157 screened and 94 randomized (47 LT-plus-chemotherapy, 47 chemotherapy); 63 screened excluded, including 13 with equivocal unresectability and 36 with progression. Age 18–65; ECOG 0–1; R0 colorectal primary; BRAF nonmutated; no prior or current extrahepatic disease/local recurrence; chemotherapy response or stable disease for at least 3 months, at most three lines. CEA &lt;80 ng/mL OR at least 50% reduction from peak was permitted. Independent committee of at least two surgeons, two oncologists and one radiologist reviewed original and current lesion maps. These are trial criteria, not identical to current NLRB guidance.</w:t>
            </w:r>
          </w:p>
        </w:tc>
        <w:tc>
          <w:tcPr>
            <w:tcW w:type="dxa" w:w="3360"/>
            <w:tcW w:w="4180" w:type="dxa"/>
            <w:shd w:val="clear" w:color="auto" w:fill="FFFFFF"/>
          </w:tcPr>
          <w:p>
            <w:pPr>
              <w:spacing w:after="0"/>
            </w:pPr>
            <w:r>
              <w:rPr>
                <w:b w:val="0"/>
                <w:i w:val="0"/>
                <w:sz w:val="19"/>
              </w:rPr>
              <w:t>Primary time origin was randomization. Median follow-up 59.3 months. Five-year ITT OS was 56.6% versus 12.6% (HR 0.37, 95% CI 0.21–0.65); per-protocol OS 73.3% versus 9.3%. Of 47 assigned LT, 38 received LT and 36 were per-protocol; nine had progression-related exclusion/dropout. The control arm included seven subsequent resections and two LT crossovers. Safety population comprised 40 grafted patients. Among 36 per-protocol LT recipients, 26 recurred; 19/26 received chemotherapy and 12/26 local curative-intent treatment. Median per-protocol PFS was 17.4 versus 6.4 months, and secondary PFS after salvage was 35.4 months in the LT arm. Three of 36 per-protocol recipients required retransplantation (primary nonfunction, donor gallbladder cancer, caval obstruction/large-for-size); one postoperative death was reported. Serious adverse events occurred in 32/40 safety LT recipients. Median wait to LT was 50.5 days, which limits transfer to longer-wait systems.</w:t>
            </w:r>
          </w:p>
          <w:p>
            <w:pPr>
              <w:spacing w:after="0"/>
            </w:pPr>
            <w:r>
              <w:rPr>
                <w:b w:val="0"/>
                <w:i/>
                <w:sz w:val="19"/>
              </w:rPr>
              <w:t>Limits: Strong evidence for the selected trial population, not for BRAF-mutant, ECOG 2, active extrahepatic, truly NED, resectable or broadly expanded disease. PP survival conditions on reaching treatment and must not replace ITT. The Results recurrence denominator is 26/36; Figure 3 caption says 28 recurrences, consistent with a broader all-grafted report, so do not mix these denominators. QoL collection had only 55/74 per-protocol baseline questionnaires and is descriptive, not proof of a large QoL gain. Priority allocation and rapid access were part of the treatment strategy.</w:t>
            </w:r>
          </w:p>
          <w:p>
            <w:pPr>
              <w:spacing w:after="0"/>
            </w:pPr>
            <w:r>
              <w:rPr>
                <w:b w:val="0"/>
                <w:i w:val="0"/>
                <w:color w:val="5A6069"/>
                <w:sz w:val="18"/>
              </w:rPr>
              <w:t>Lancet 2024;404:1107–1118. PDF pp.2–4 eligibility/committee; pp.5–6 trial flow/Table 1; pp.8–9 recurrence, safety, retransplantation, Figure 3; p.10 QoL/limitations.</w:t>
            </w:r>
          </w:p>
        </w:tc>
      </w:tr>
      <w:tr>
        <w:trPr>
          <w:cantSplit/>
        </w:trPr>
        <w:tc>
          <w:tcPr>
            <w:tcW w:type="dxa" w:w="3360"/>
            <w:tcW w:w="2000" w:type="dxa"/>
            <w:shd w:val="clear" w:color="auto" w:fill="F1F5F8"/>
          </w:tcPr>
          <w:p>
            <w:pPr>
              <w:spacing w:after="0"/>
            </w:pPr>
            <w:r>
              <w:rPr>
                <w:b/>
                <w:i w:val="0"/>
                <w:sz w:val="19"/>
              </w:rPr>
              <w:t>Allen 2024</w:t>
            </w:r>
          </w:p>
        </w:tc>
        <w:tc>
          <w:tcPr>
            <w:tcW w:type="dxa" w:w="3360"/>
            <w:tcW w:w="3900" w:type="dxa"/>
            <w:shd w:val="clear" w:color="auto" w:fill="F1F5F8"/>
          </w:tcPr>
          <w:p>
            <w:pPr>
              <w:spacing w:after="0"/>
            </w:pPr>
            <w:r>
              <w:rPr>
                <w:b w:val="0"/>
                <w:i w:val="0"/>
                <w:sz w:val="19"/>
              </w:rPr>
              <w:t>UK national liver-offering policy evaluation: separate simulation dataset of 1,287 registrations/629 donors plus early real-world NLOS implementation, 2018–2020. Transplant-benefit scoring governed national deceased-donor offers; not a high-risk-HCC validation sample.</w:t>
            </w:r>
          </w:p>
        </w:tc>
        <w:tc>
          <w:tcPr>
            <w:tcW w:type="dxa" w:w="3360"/>
            <w:tcW w:w="4180" w:type="dxa"/>
            <w:shd w:val="clear" w:color="auto" w:fill="F1F5F8"/>
          </w:tcPr>
          <w:p>
            <w:pPr>
              <w:spacing w:after="0"/>
            </w:pPr>
            <w:r>
              <w:rPr>
                <w:b w:val="0"/>
                <w:i w:val="0"/>
                <w:sz w:val="19"/>
              </w:rPr>
              <w:t>Simulation compared observed 2013 deaths/removals 93 (7%) and 4,581 patient-years with modeled TBS outcomes 48 (4%) and 5,262 patient-years. During the first two implementation years, 68% of DBD livers were allocated by TBS; observed waitlist mortality decreased (P&lt;.0001), postlisting survival improved (P=.005), with no adverse post-LT survival signal.</w:t>
            </w:r>
          </w:p>
          <w:p>
            <w:pPr>
              <w:spacing w:after="0"/>
            </w:pPr>
            <w:r>
              <w:rPr>
                <w:b w:val="0"/>
                <w:i/>
                <w:sz w:val="19"/>
              </w:rPr>
              <w:t>Limits: Simulated gains are not observed outcomes. Before/after implementation is nonrandomized and can reflect secular changes. Nonetheless it is meaningful evidence that a governed benefit-based system can be deployed, unlike a claim that all such models are unusable.</w:t>
            </w:r>
          </w:p>
          <w:p>
            <w:pPr>
              <w:spacing w:after="0"/>
            </w:pPr>
            <w:r>
              <w:rPr>
                <w:b w:val="0"/>
                <w:i w:val="0"/>
                <w:color w:val="5A6069"/>
                <w:sz w:val="18"/>
              </w:rPr>
              <w:t>Primary abstract and full publisher Methods/Results, Table 3, DOI 10.1016/j.jhep.2024.03.020; PDF pending.</w:t>
            </w:r>
          </w:p>
        </w:tc>
      </w:tr>
    </w:tbl>
    <w:p>
      <w:pPr>
        <w:spacing w:after="40"/>
      </w:pPr>
    </w:p>
    <w:p>
      <w:pPr>
        <w:pStyle w:val="Heading3"/>
        <w:keepNext/>
        <w:spacing w:before="120" w:after="80"/>
      </w:pPr>
      <w:r>
        <w:rPr>
          <w:b w:val="0"/>
          <w:i w:val="0"/>
        </w:rPr>
        <w:t>Our proposed selection (OPEN)</w:t>
      </w:r>
    </w:p>
    <w:p>
      <w:pPr>
        <w:spacing w:after="80"/>
      </w:pPr>
      <w:r>
        <w:rPr>
          <w:b w:val="0"/>
          <w:i w:val="0"/>
        </w:rPr>
        <w:t>Require two independent recipient-benefit reviews and an explicit organ-use case; do not adopt a universal five-year survival cutoff.</w:t>
      </w:r>
    </w:p>
    <w:p>
      <w:pPr>
        <w:numPr>
          <w:ilvl w:val="0"/>
          <w:numId w:val="5"/>
        </w:numPr>
        <w:spacing w:after="40"/>
      </w:pPr>
      <w:r>
        <w:rPr>
          <w:b w:val="0"/>
          <w:i w:val="0"/>
        </w:rPr>
        <w:t>Proposed requirements: two reviewers not both responsible for recruitment must document expected incremental benefit over the actual contemporary alternative, with unresolved disagreement referred to the full committee.</w:t>
      </w:r>
    </w:p>
    <w:p>
      <w:pPr>
        <w:numPr>
          <w:ilvl w:val="0"/>
          <w:numId w:val="5"/>
        </w:numPr>
        <w:spacing w:after="40"/>
      </w:pPr>
      <w:r>
        <w:rPr>
          <w:b w:val="0"/>
          <w:i w:val="0"/>
        </w:rPr>
        <w:t>For DDLT, show local expected access/dropout and sensitivity scenarios at 6, 12 and 18 months, total graft use including retransplantation, and plausible alternative recipients. These are planning scenarios, not imposed waiting periods.</w:t>
      </w:r>
    </w:p>
    <w:p>
      <w:pPr>
        <w:numPr>
          <w:ilvl w:val="0"/>
          <w:numId w:val="5"/>
        </w:numPr>
        <w:spacing w:after="40"/>
      </w:pPr>
      <w:r>
        <w:rPr>
          <w:b w:val="0"/>
          <w:i w:val="0"/>
        </w:rPr>
        <w:t>For LDLT, separately show healthy-donor risk and potential downstream deceased-donor graft use. Do not call DCD, extended-criteria grafts or machine perfusion “zero opportunity cost.” No priority changes follow from an AI-selected survival threshold.</w:t>
      </w:r>
    </w:p>
    <w:p>
      <w:pPr>
        <w:spacing w:after="80"/>
      </w:pPr>
      <w:r>
        <w:rPr>
          <w:b/>
          <w:i w:val="0"/>
        </w:rPr>
        <w:t xml:space="preserve">Why: </w:t>
      </w:r>
      <w:r>
        <w:rPr>
          <w:b w:val="0"/>
          <w:i w:val="0"/>
        </w:rPr>
        <w:t>Use pathway-level benefit from an agreed entry date, not recipient-only survival. Compare with contemporary tumor-specific care and actual local access. LDLT avoids one direct deceased-donor allocation but creates healthy-donor risk and may generate rescue graft use. Graft quality/perfusion changes do not make opportunity cost zero.</w:t>
      </w:r>
    </w:p>
    <w:p>
      <w:pPr>
        <w:spacing w:after="80"/>
      </w:pPr>
      <w:r>
        <w:rPr>
          <w:b/>
          <w:i w:val="0"/>
        </w:rPr>
        <w:t xml:space="preserve">Against, or uncertain: </w:t>
      </w:r>
      <w:r>
        <w:rPr>
          <w:b w:val="0"/>
          <w:i w:val="0"/>
        </w:rPr>
        <w:t>An ambitious prognosis threshold can exclude patients with substantial incremental benefit, while an indolent tumor can have excellent post-LT survival and little incremental benefit. Local wait times and unequal access can reverse a study’s apparent advantage.</w:t>
      </w:r>
    </w:p>
    <w:p>
      <w:pPr>
        <w:spacing w:after="80"/>
      </w:pPr>
      <w:r>
        <w:rPr>
          <w:b/>
          <w:i w:val="0"/>
        </w:rPr>
        <w:t xml:space="preserve">Certainty: </w:t>
      </w:r>
      <w:r>
        <w:rPr>
          <w:b w:val="0"/>
          <w:i w:val="0"/>
        </w:rPr>
        <w:t>Benefit evidence differs by disease: randomized selected CRLM/HCC pathways cannot be generalized to all expanded indications. Ethical principles are authoritative frameworks, not empirically optimized allocation weights.</w:t>
      </w:r>
    </w:p>
    <w:p>
      <w:pPr>
        <w:spacing w:after="80"/>
      </w:pPr>
      <w:r>
        <w:rPr>
          <w:b/>
          <w:i w:val="0"/>
        </w:rPr>
        <w:t xml:space="preserve">Tests and records: </w:t>
      </w:r>
      <w:r>
        <w:rPr>
          <w:b w:val="0"/>
          <w:i w:val="0"/>
        </w:rPr>
        <w:t>Same-eligibility/time-zero comparator; expected access; dropout; donor/graft type; uncertainty intervals; graft loss/retransplant estimate; written independent reviews.</w:t>
      </w:r>
    </w:p>
    <w:p>
      <w:pPr>
        <w:spacing w:after="80"/>
      </w:pPr>
      <w:r>
        <w:rPr>
          <w:b/>
          <w:i w:val="0"/>
        </w:rPr>
        <w:t xml:space="preserve">Allocation: </w:t>
      </w:r>
      <w:r>
        <w:rPr>
          <w:b w:val="0"/>
          <w:i w:val="0"/>
        </w:rPr>
        <w:t>Only the applicable allocation process determines priority. Favorable post-LT prognosis, evidence grade and urgency are not interchangeable measures.</w:t>
      </w:r>
    </w:p>
    <w:p>
      <w:pPr>
        <w:spacing w:after="40"/>
      </w:pPr>
      <w:r>
        <w:rPr>
          <w:b/>
          <w:i w:val="0"/>
        </w:rPr>
        <w:t xml:space="preserve">Basis for the proposed thresholds: </w:t>
      </w:r>
    </w:p>
    <w:p>
      <w:pPr>
        <w:numPr>
          <w:ilvl w:val="0"/>
          <w:numId w:val="5"/>
        </w:numPr>
        <w:spacing w:after="40"/>
      </w:pPr>
      <w:r>
        <w:rPr>
          <w:b w:val="0"/>
          <w:i w:val="0"/>
        </w:rPr>
        <w:t>Two reviewers: local independence safeguard, not validated optimum.</w:t>
      </w:r>
    </w:p>
    <w:p>
      <w:pPr>
        <w:numPr>
          <w:ilvl w:val="0"/>
          <w:numId w:val="5"/>
        </w:numPr>
        <w:spacing w:after="40"/>
      </w:pPr>
      <w:r>
        <w:rPr>
          <w:b w:val="0"/>
          <w:i w:val="0"/>
        </w:rPr>
        <w:t>6/12/18 months: sensitivity scenarios for access/dropout, not mandatory waits.</w:t>
      </w:r>
    </w:p>
    <w:p>
      <w:pPr>
        <w:numPr>
          <w:ilvl w:val="0"/>
          <w:numId w:val="5"/>
        </w:numPr>
        <w:spacing w:after="40"/>
      </w:pPr>
      <w:r>
        <w:rPr>
          <w:b w:val="0"/>
          <w:i w:val="0"/>
        </w:rPr>
        <w:t>HCC ≥60% five-year ITT OS: one expert trial-design benchmark; not a cross-cancer allocation policy.</w:t>
      </w:r>
    </w:p>
    <w:p>
      <w:pPr>
        <w:numPr>
          <w:ilvl w:val="0"/>
          <w:numId w:val="5"/>
        </w:numPr>
        <w:spacing w:after="40"/>
      </w:pPr>
      <w:r>
        <w:rPr>
          <w:b w:val="0"/>
          <w:i w:val="0"/>
        </w:rPr>
        <w:t>All grafts: count initial and rescue/retransplant grafts; donor morbidity remains a separate outcome.</w:t>
      </w:r>
    </w:p>
    <w:p>
      <w:pPr>
        <w:pStyle w:val="Heading3"/>
        <w:keepNext/>
        <w:spacing w:before="120" w:after="80"/>
      </w:pPr>
      <w:r>
        <w:rPr>
          <w:b w:val="0"/>
          <w:i w:val="0"/>
        </w:rPr>
        <w:t>ALLOC-B2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ALLOC-B3 — Protect the living donor</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must donor consent and follow-up include?</w:t>
      </w:r>
    </w:p>
    <w:p>
      <w:pPr>
        <w:spacing w:after="120"/>
      </w:pPr>
      <w:r>
        <w:rPr>
          <w:b/>
          <w:i w:val="0"/>
          <w:sz w:val="18"/>
        </w:rPr>
        <w:t xml:space="preserve">Web page: </w:t>
      </w:r>
      <w:hyperlink r:id="rId14">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policy</w:t>
            </w:r>
          </w:p>
        </w:tc>
        <w:tc>
          <w:tcPr>
            <w:tcW w:type="dxa" w:w="3360"/>
            <w:tcW w:w="5480" w:type="dxa"/>
            <w:shd w:val="clear" w:color="auto" w:fill="F1F5F8"/>
          </w:tcPr>
          <w:p>
            <w:pPr>
              <w:spacing w:after="0"/>
            </w:pPr>
            <w:r>
              <w:rPr>
                <w:b w:val="0"/>
                <w:i w:val="0"/>
                <w:sz w:val="19"/>
              </w:rPr>
              <w:t>“Has been informed that he or she may decline to donate at any time” Withdrawal must remain meaningful and independent of recipient pressure.</w:t>
            </w:r>
          </w:p>
        </w:tc>
        <w:tc>
          <w:tcPr>
            <w:tcW w:type="dxa" w:w="3360"/>
            <w:tcW w:w="2400" w:type="dxa"/>
            <w:shd w:val="clear" w:color="auto" w:fill="F1F5F8"/>
          </w:tcPr>
          <w:p>
            <w:pPr>
              <w:spacing w:after="0"/>
            </w:pPr>
            <w:r>
              <w:rPr>
                <w:b w:val="0"/>
                <w:i w:val="0"/>
                <w:color w:val="5A6069"/>
                <w:sz w:val="18"/>
              </w:rPr>
              <w:t>Policy 14.3, PDF p286, living donor informed consent</w:t>
            </w:r>
          </w:p>
        </w:tc>
      </w:tr>
      <w:tr>
        <w:trPr>
          <w:cantSplit/>
        </w:trPr>
        <w:tc>
          <w:tcPr>
            <w:tcW w:type="dxa" w:w="3360"/>
            <w:tcW w:w="2200" w:type="dxa"/>
            <w:shd w:val="clear" w:color="auto" w:fill="FFFFFF"/>
          </w:tcPr>
          <w:p>
            <w:pPr>
              <w:spacing w:after="0"/>
            </w:pPr>
            <w:r>
              <w:rPr>
                <w:b/>
                <w:i w:val="0"/>
                <w:sz w:val="19"/>
              </w:rPr>
              <w:t>Kelly 2026</w:t>
            </w:r>
          </w:p>
        </w:tc>
        <w:tc>
          <w:tcPr>
            <w:tcW w:type="dxa" w:w="3360"/>
            <w:tcW w:w="5480" w:type="dxa"/>
            <w:shd w:val="clear" w:color="auto" w:fill="FFFFFF"/>
          </w:tcPr>
          <w:p>
            <w:pPr>
              <w:spacing w:after="0"/>
            </w:pPr>
            <w:r>
              <w:rPr>
                <w:b w:val="0"/>
                <w:i w:val="0"/>
                <w:sz w:val="19"/>
              </w:rPr>
              <w:t>“Availability of secondary-outcome data declined over follow-up” Incomplete recovery follow-up limits reassurance from low mortality alone.</w:t>
            </w:r>
          </w:p>
        </w:tc>
        <w:tc>
          <w:tcPr>
            <w:tcW w:type="dxa" w:w="3360"/>
            <w:tcW w:w="2400" w:type="dxa"/>
            <w:shd w:val="clear" w:color="auto" w:fill="FFFFFF"/>
          </w:tcPr>
          <w:p>
            <w:pPr>
              <w:spacing w:after="0"/>
            </w:pPr>
            <w:r>
              <w:rPr>
                <w:b w:val="0"/>
                <w:i w:val="0"/>
                <w:color w:val="5A6069"/>
                <w:sz w:val="18"/>
              </w:rPr>
              <w:t>2026 full report, section 3.1</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Kelly 2026</w:t>
            </w:r>
          </w:p>
        </w:tc>
        <w:tc>
          <w:tcPr>
            <w:tcW w:type="dxa" w:w="3360"/>
            <w:tcW w:w="3900" w:type="dxa"/>
            <w:shd w:val="clear" w:color="auto" w:fill="F1F5F8"/>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1F5F8"/>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FFFFF"/>
          </w:tcPr>
          <w:p>
            <w:pPr>
              <w:spacing w:after="0"/>
            </w:pPr>
            <w:r>
              <w:rPr>
                <w:b/>
                <w:i w:val="0"/>
                <w:sz w:val="19"/>
              </w:rPr>
              <w:t>Abecassis 2012</w:t>
            </w:r>
          </w:p>
        </w:tc>
        <w:tc>
          <w:tcPr>
            <w:tcW w:type="dxa" w:w="3360"/>
            <w:tcW w:w="3900" w:type="dxa"/>
            <w:shd w:val="clear" w:color="auto" w:fill="FFFFFF"/>
          </w:tcPr>
          <w:p>
            <w:pPr>
              <w:spacing w:after="0"/>
            </w:pPr>
            <w:r>
              <w:rPr>
                <w:b w:val="0"/>
                <w:i w:val="0"/>
                <w:sz w:val="19"/>
              </w:rPr>
              <w:t>A2ALL cohort: 760 donor operations begun; 740 completed, mostly right lobes. Multicenter selected donors, older era; standardized complication ascertainment.</w:t>
            </w:r>
          </w:p>
        </w:tc>
        <w:tc>
          <w:tcPr>
            <w:tcW w:type="dxa" w:w="3360"/>
            <w:tcW w:w="4180" w:type="dxa"/>
            <w:shd w:val="clear" w:color="auto" w:fill="FFFFFF"/>
          </w:tcPr>
          <w:p>
            <w:pPr>
              <w:spacing w:after="0"/>
            </w:pPr>
            <w:r>
              <w:rPr>
                <w:b w:val="0"/>
                <w:i w:val="0"/>
                <w:sz w:val="19"/>
              </w:rPr>
              <w:t>296/740 (40%) had ≥1 complication; 20/760 operations aborted. Five grade-3 residual-disability events and three grade-4 deaths were reported; two deaths were late, not perioperative.</w:t>
            </w:r>
          </w:p>
          <w:p>
            <w:pPr>
              <w:spacing w:after="0"/>
            </w:pPr>
            <w:r>
              <w:rPr>
                <w:b w:val="0"/>
                <w:i/>
                <w:sz w:val="19"/>
              </w:rPr>
              <w:t>Limits: Different grading/eras from modern cohorts; A2ALL partly overlaps US registry data. Late hernia/psychological events support follow-up beyond surgical recovery.</w:t>
            </w:r>
          </w:p>
          <w:p>
            <w:pPr>
              <w:spacing w:after="0"/>
            </w:pPr>
            <w:r>
              <w:rPr>
                <w:b w:val="0"/>
                <w:i w:val="0"/>
                <w:color w:val="5A6069"/>
                <w:sz w:val="18"/>
              </w:rPr>
              <w:t>Methods and Results; complications tables, Am J Transplant 12:1208–1217.</w:t>
            </w:r>
          </w:p>
        </w:tc>
      </w:tr>
      <w:tr>
        <w:trPr>
          <w:cantSplit/>
        </w:trPr>
        <w:tc>
          <w:tcPr>
            <w:tcW w:type="dxa" w:w="3360"/>
            <w:tcW w:w="2000" w:type="dxa"/>
            <w:shd w:val="clear" w:color="auto" w:fill="F1F5F8"/>
          </w:tcPr>
          <w:p>
            <w:pPr>
              <w:spacing w:after="0"/>
            </w:pPr>
            <w:r>
              <w:rPr>
                <w:b/>
                <w:i w:val="0"/>
                <w:sz w:val="19"/>
              </w:rPr>
              <w:t>DiMartini 2017</w:t>
            </w:r>
          </w:p>
        </w:tc>
        <w:tc>
          <w:tcPr>
            <w:tcW w:type="dxa" w:w="3360"/>
            <w:tcW w:w="3900" w:type="dxa"/>
            <w:shd w:val="clear" w:color="auto" w:fill="F1F5F8"/>
          </w:tcPr>
          <w:p>
            <w:pPr>
              <w:spacing w:after="0"/>
            </w:pPr>
            <w:r>
              <w:rPr>
                <w:b w:val="0"/>
                <w:i w:val="0"/>
                <w:sz w:val="19"/>
              </w:rPr>
              <w:t>Prospective A2ALL-2 interviews: 271/297 eligible donors, before and through 24 months after donation. Costs and social recovery reported by participants, not randomized financial support.</w:t>
            </w:r>
          </w:p>
        </w:tc>
        <w:tc>
          <w:tcPr>
            <w:tcW w:type="dxa" w:w="3360"/>
            <w:tcW w:w="4180" w:type="dxa"/>
            <w:shd w:val="clear" w:color="auto" w:fill="F1F5F8"/>
          </w:tcPr>
          <w:p>
            <w:pPr>
              <w:spacing w:after="0"/>
            </w:pPr>
            <w:r>
              <w:rPr>
                <w:b w:val="0"/>
                <w:i w:val="0"/>
                <w:sz w:val="19"/>
              </w:rPr>
              <w:t>Across follow-up, 75% reported nonmedical out-of-pocket expenses and 45% lost wages. Clinical recovery alone therefore misses an important burden of donation.</w:t>
            </w:r>
          </w:p>
          <w:p>
            <w:pPr>
              <w:spacing w:after="0"/>
            </w:pPr>
            <w:r>
              <w:rPr>
                <w:b w:val="0"/>
                <w:i/>
                <w:sz w:val="19"/>
              </w:rPr>
              <w:t>Limits: Response/recall and selected-center limitations. Does not validate a particular five-year schedule or predict an individual donor’s financial outcome.</w:t>
            </w:r>
          </w:p>
          <w:p>
            <w:pPr>
              <w:spacing w:after="0"/>
            </w:pPr>
            <w:r>
              <w:rPr>
                <w:b w:val="0"/>
                <w:i w:val="0"/>
                <w:color w:val="5A6069"/>
                <w:sz w:val="18"/>
              </w:rPr>
              <w:t>Financial Outcomes section and expense tables; Am J Transplant 17:1081–1096.</w:t>
            </w:r>
          </w:p>
        </w:tc>
      </w:tr>
      <w:tr>
        <w:trPr>
          <w:cantSplit/>
        </w:trPr>
        <w:tc>
          <w:tcPr>
            <w:tcW w:type="dxa" w:w="3360"/>
            <w:tcW w:w="2000" w:type="dxa"/>
            <w:shd w:val="clear" w:color="auto" w:fill="FFFFFF"/>
          </w:tcPr>
          <w:p>
            <w:pPr>
              <w:spacing w:after="0"/>
            </w:pPr>
            <w:r>
              <w:rPr>
                <w:b/>
                <w:i w:val="0"/>
                <w:sz w:val="19"/>
              </w:rPr>
              <w:t>Xiao 2024</w:t>
            </w:r>
          </w:p>
        </w:tc>
        <w:tc>
          <w:tcPr>
            <w:tcW w:type="dxa" w:w="3360"/>
            <w:tcW w:w="3900" w:type="dxa"/>
            <w:shd w:val="clear" w:color="auto" w:fill="FFFFFF"/>
          </w:tcPr>
          <w:p>
            <w:pPr>
              <w:spacing w:after="0"/>
            </w:pPr>
            <w:r>
              <w:rPr>
                <w:b w:val="0"/>
                <w:i w:val="0"/>
                <w:sz w:val="19"/>
              </w:rPr>
              <w:t>Published meta-analysis of 60,829 donors; primary abstract reports 87 articles. Heterogeneous centers, eras and complication definitions; full overlap audit pending.</w:t>
            </w:r>
          </w:p>
        </w:tc>
        <w:tc>
          <w:tcPr>
            <w:tcW w:type="dxa" w:w="3360"/>
            <w:tcW w:w="4180" w:type="dxa"/>
            <w:shd w:val="clear" w:color="auto" w:fill="FFFFFF"/>
          </w:tcPr>
          <w:p>
            <w:pPr>
              <w:spacing w:after="0"/>
            </w:pPr>
            <w:r>
              <w:rPr>
                <w:b w:val="0"/>
                <w:i w:val="0"/>
                <w:sz w:val="19"/>
              </w:rPr>
              <w:t>Pooled any complication 24.7% (95% CI 21.6–28.1), major 5.5% (4.5–6.7); mortality 0.06% among 49,027 with mortality data.</w:t>
            </w:r>
          </w:p>
          <w:p>
            <w:pPr>
              <w:spacing w:after="0"/>
            </w:pPr>
            <w:r>
              <w:rPr>
                <w:b w:val="0"/>
                <w:i/>
                <w:sz w:val="19"/>
              </w:rPr>
              <w:t>Limits: Primary-abstract extraction; not an independent extra 60,829 patients beyond registries. Do not combine with Kelly/A2ALL or promise these rates locally.</w:t>
            </w:r>
          </w:p>
          <w:p>
            <w:pPr>
              <w:spacing w:after="0"/>
            </w:pPr>
            <w:r>
              <w:rPr>
                <w:b w:val="0"/>
                <w:i w:val="0"/>
                <w:color w:val="5A6069"/>
                <w:sz w:val="18"/>
              </w:rPr>
              <w:t>Published journal abstract; complete PDF requested.</w:t>
            </w:r>
          </w:p>
        </w:tc>
      </w:tr>
      <w:tr>
        <w:trPr>
          <w:cantSplit/>
        </w:trPr>
        <w:tc>
          <w:tcPr>
            <w:tcW w:type="dxa" w:w="3360"/>
            <w:tcW w:w="2000" w:type="dxa"/>
            <w:shd w:val="clear" w:color="auto" w:fill="F1F5F8"/>
          </w:tcPr>
          <w:p>
            <w:pPr>
              <w:spacing w:after="0"/>
            </w:pPr>
            <w:r>
              <w:rPr>
                <w:b/>
                <w:i w:val="0"/>
                <w:sz w:val="19"/>
              </w:rPr>
              <w:t>OPTN policy</w:t>
            </w:r>
          </w:p>
        </w:tc>
        <w:tc>
          <w:tcPr>
            <w:tcW w:type="dxa" w:w="3360"/>
            <w:tcW w:w="3900" w:type="dxa"/>
            <w:shd w:val="clear" w:color="auto" w:fill="F1F5F8"/>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1F5F8"/>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bl>
    <w:p>
      <w:pPr>
        <w:spacing w:after="40"/>
      </w:pPr>
    </w:p>
    <w:p>
      <w:pPr>
        <w:pStyle w:val="Heading3"/>
        <w:keepNext/>
        <w:spacing w:before="120" w:after="80"/>
      </w:pPr>
      <w:r>
        <w:rPr>
          <w:b w:val="0"/>
          <w:i w:val="0"/>
        </w:rPr>
        <w:t>Our proposed selection (OPEN)</w:t>
      </w:r>
    </w:p>
    <w:p>
      <w:pPr>
        <w:spacing w:after="80"/>
      </w:pPr>
      <w:r>
        <w:rPr>
          <w:b w:val="0"/>
          <w:i w:val="0"/>
        </w:rPr>
        <w:t>Do not relax donor criteria; fund independent follow-up and pause after a serious sentinel donor event.</w:t>
      </w:r>
    </w:p>
    <w:p>
      <w:pPr>
        <w:numPr>
          <w:ilvl w:val="0"/>
          <w:numId w:val="5"/>
        </w:numPr>
        <w:spacing w:after="40"/>
      </w:pPr>
      <w:r>
        <w:rPr>
          <w:b w:val="0"/>
          <w:i w:val="0"/>
        </w:rPr>
        <w:t>Proposed readiness requirements: independent donor evaluation/advocacy, documented freedom to withdraw, recipient-benefit uncertainty consent, and funded medical, psychological, recovery and financial follow-up before investigational LDLT.</w:t>
      </w:r>
    </w:p>
    <w:p>
      <w:pPr>
        <w:numPr>
          <w:ilvl w:val="0"/>
          <w:numId w:val="5"/>
        </w:numPr>
        <w:spacing w:after="40"/>
      </w:pPr>
      <w:r>
        <w:rPr>
          <w:b w:val="0"/>
          <w:i w:val="0"/>
        </w:rPr>
        <w:t>Proposed local follow-up: baseline, six weeks, six months, one year, two years, then annually through five years. Meet current OPTN reporting duties separately; this five-year support plan is not claimed to be a national reporting requirement.</w:t>
      </w:r>
    </w:p>
    <w:p>
      <w:pPr>
        <w:numPr>
          <w:ilvl w:val="0"/>
          <w:numId w:val="5"/>
        </w:numPr>
        <w:spacing w:after="40"/>
      </w:pPr>
      <w:r>
        <w:rPr>
          <w:b w:val="0"/>
          <w:i w:val="0"/>
        </w:rPr>
        <w:t>One donor death, life-threatening complication, permanent major disability or liver failure requiring transplantation triggers an immediate pause of the relevant investigational LDLT activity and independent review. Other serious donor harm also warrants review; reopening needs independent authorization.</w:t>
      </w:r>
    </w:p>
    <w:p>
      <w:pPr>
        <w:spacing w:after="80"/>
      </w:pPr>
      <w:r>
        <w:rPr>
          <w:b/>
          <w:i w:val="0"/>
        </w:rPr>
        <w:t xml:space="preserve">Why: </w:t>
      </w:r>
      <w:r>
        <w:rPr>
          <w:b w:val="0"/>
          <w:i w:val="0"/>
        </w:rPr>
        <w:t>Donor mortality is low but not zero; complication, recovery and financial burdens are more frequent. Registry missingness and selected healthy donors limit reassurance. Consent must include uncertain recipient benefit, recurrence and possible early graft loss, without pressure to proceed or relax donor criteria.</w:t>
      </w:r>
    </w:p>
    <w:p>
      <w:pPr>
        <w:spacing w:after="80"/>
      </w:pPr>
      <w:r>
        <w:rPr>
          <w:b/>
          <w:i w:val="0"/>
        </w:rPr>
        <w:t xml:space="preserve">Against, or uncertain: </w:t>
      </w:r>
      <w:r>
        <w:rPr>
          <w:b w:val="0"/>
          <w:i w:val="0"/>
        </w:rPr>
        <w:t>Older A2ALL complication rates and modern SRTR mortality are different outcomes from overlapping eras/cohorts; do not pool them. Five-year support is a reasonable local response to late morbidity, not a proven optimal schedule. Social vulnerability should trigger assistance, not categorical exclusion.</w:t>
      </w:r>
    </w:p>
    <w:p>
      <w:pPr>
        <w:spacing w:after="80"/>
      </w:pPr>
      <w:r>
        <w:rPr>
          <w:b/>
          <w:i w:val="0"/>
        </w:rPr>
        <w:t xml:space="preserve">Certainty: </w:t>
      </w:r>
      <w:r>
        <w:rPr>
          <w:b w:val="0"/>
          <w:i w:val="0"/>
        </w:rPr>
        <w:t>Moderate certainty for the existence of material donor burden; lower certainty for individual risk and long-term recovery because of incomplete follow-up. No oncology-specific randomized donor-safety comparison.</w:t>
      </w:r>
    </w:p>
    <w:p>
      <w:pPr>
        <w:spacing w:after="80"/>
      </w:pPr>
      <w:r>
        <w:rPr>
          <w:b/>
          <w:i w:val="0"/>
        </w:rPr>
        <w:t xml:space="preserve">Tests and records: </w:t>
      </w:r>
      <w:r>
        <w:rPr>
          <w:b w:val="0"/>
          <w:i w:val="0"/>
        </w:rPr>
        <w:t>Graft/resection-specific and center-specific risk; donor recovery/employment baseline; independent consent and advocate records; funded follow-up/support; sentinel-event response owner.</w:t>
      </w:r>
    </w:p>
    <w:p>
      <w:pPr>
        <w:spacing w:after="80"/>
      </w:pPr>
      <w:r>
        <w:rPr>
          <w:b/>
          <w:i w:val="0"/>
        </w:rPr>
        <w:t xml:space="preserve">Allocation: </w:t>
      </w:r>
      <w:r>
        <w:rPr>
          <w:b w:val="0"/>
          <w:i w:val="0"/>
        </w:rPr>
        <w:t>LDLT clearance is separate from recipient selection; the potential need for retransplantation must be included in organ-use discussions.</w:t>
      </w:r>
    </w:p>
    <w:p>
      <w:pPr>
        <w:spacing w:after="40"/>
      </w:pPr>
      <w:r>
        <w:rPr>
          <w:b/>
          <w:i w:val="0"/>
        </w:rPr>
        <w:t xml:space="preserve">Basis for the proposed thresholds: </w:t>
      </w:r>
    </w:p>
    <w:p>
      <w:pPr>
        <w:numPr>
          <w:ilvl w:val="0"/>
          <w:numId w:val="5"/>
        </w:numPr>
        <w:spacing w:after="40"/>
      </w:pPr>
      <w:r>
        <w:rPr>
          <w:b w:val="0"/>
          <w:i w:val="0"/>
        </w:rPr>
        <w:t>Baseline/6 weeks/6 months/1/2 years then annually to five: proposed support schedule; current mandatory reporting remains separately checked.</w:t>
      </w:r>
    </w:p>
    <w:p>
      <w:pPr>
        <w:numPr>
          <w:ilvl w:val="0"/>
          <w:numId w:val="5"/>
        </w:numPr>
        <w:spacing w:after="40"/>
      </w:pPr>
      <w:r>
        <w:rPr>
          <w:b w:val="0"/>
          <w:i w:val="0"/>
        </w:rPr>
        <w:t>One sentinel event: conservative review/pause trigger, not a statistically estimated harm boundary.</w:t>
      </w:r>
    </w:p>
    <w:p>
      <w:pPr>
        <w:numPr>
          <w:ilvl w:val="0"/>
          <w:numId w:val="5"/>
        </w:numPr>
        <w:spacing w:after="40"/>
      </w:pPr>
      <w:r>
        <w:rPr>
          <w:b w:val="0"/>
          <w:i w:val="0"/>
        </w:rPr>
        <w:t>No relaxed donor criteria: protection against shifting uncertain recipient benefit onto a healthy person.</w:t>
      </w:r>
    </w:p>
    <w:p>
      <w:pPr>
        <w:pStyle w:val="Heading3"/>
        <w:keepNext/>
        <w:spacing w:before="120" w:after="80"/>
      </w:pPr>
      <w:r>
        <w:rPr>
          <w:b w:val="0"/>
          <w:i w:val="0"/>
        </w:rPr>
        <w:t>ALLOC-B3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ALLOC-B4 — Monitor all patients considered for the study</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data are required before expansion?</w:t>
      </w:r>
    </w:p>
    <w:p>
      <w:pPr>
        <w:spacing w:after="120"/>
      </w:pPr>
      <w:r>
        <w:rPr>
          <w:b/>
          <w:i w:val="0"/>
          <w:sz w:val="18"/>
        </w:rPr>
        <w:t xml:space="preserve">Web page: </w:t>
      </w:r>
      <w:hyperlink r:id="rId1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EASL–AASLD–ILCA 2026</w:t>
            </w:r>
          </w:p>
        </w:tc>
        <w:tc>
          <w:tcPr>
            <w:tcW w:type="dxa" w:w="3360"/>
            <w:tcW w:w="5480" w:type="dxa"/>
            <w:shd w:val="clear" w:color="auto" w:fill="F1F5F8"/>
          </w:tcPr>
          <w:p>
            <w:pPr>
              <w:spacing w:after="0"/>
            </w:pPr>
            <w:r>
              <w:rPr>
                <w:b w:val="0"/>
                <w:i w:val="0"/>
                <w:sz w:val="19"/>
              </w:rPr>
              <w:t>“5-year OS of at least 60%” The HCC trial-design source discusses a ≥60% five-year intention-to-treat benchmark. It is not a validated universal cross-cancer allocation rule and does not establish the proposed 5/10-patient monitoring counts.</w:t>
            </w:r>
          </w:p>
        </w:tc>
        <w:tc>
          <w:tcPr>
            <w:tcW w:type="dxa" w:w="3360"/>
            <w:tcW w:w="2400" w:type="dxa"/>
            <w:shd w:val="clear" w:color="auto" w:fill="F1F5F8"/>
          </w:tcPr>
          <w:p>
            <w:pPr>
              <w:spacing w:after="0"/>
            </w:pPr>
            <w:r>
              <w:rPr>
                <w:b w:val="0"/>
                <w:i w:val="0"/>
                <w:color w:val="5A6069"/>
                <w:sz w:val="18"/>
              </w:rPr>
              <w:t>EASL–AASLD–ILCA 2026 manuscript p20; ITT discussion pp21–22</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EASL–AASLD–ILCA 2026</w:t>
            </w:r>
          </w:p>
        </w:tc>
        <w:tc>
          <w:tcPr>
            <w:tcW w:type="dxa" w:w="3360"/>
            <w:tcW w:w="3900" w:type="dxa"/>
            <w:shd w:val="clear" w:color="auto" w:fill="F1F5F8"/>
          </w:tcPr>
          <w:p>
            <w:pPr>
              <w:spacing w:after="0"/>
            </w:pPr>
            <w:r>
              <w:rPr>
                <w:b w:val="0"/>
                <w:i w:val="0"/>
                <w:sz w:val="19"/>
              </w:rPr>
              <w:t>EASL–AASLD–ILCA 2026 trial-design consensus, LT section. Separates standard/UNOS-DS, expanded intermediate HCC and advanced segmental vascular-invasion research populations.</w:t>
            </w:r>
          </w:p>
        </w:tc>
        <w:tc>
          <w:tcPr>
            <w:tcW w:type="dxa" w:w="3360"/>
            <w:tcW w:w="4180" w:type="dxa"/>
            <w:shd w:val="clear" w:color="auto" w:fill="F1F5F8"/>
          </w:tcPr>
          <w:p>
            <w:pPr>
              <w:spacing w:after="0"/>
            </w:pPr>
            <w:r>
              <w:rPr>
                <w:b w:val="0"/>
                <w:i w:val="0"/>
                <w:sz w:val="19"/>
              </w:rPr>
              <w:t>Calls for entry-level dropout/feasibility, ITT EFS/OS and graft/immune harms; discusses ≥60% five-year ITT OS benchmark in HCC.</w:t>
            </w:r>
          </w:p>
          <w:p>
            <w:pPr>
              <w:spacing w:after="0"/>
            </w:pPr>
            <w:r>
              <w:rPr>
                <w:b w:val="0"/>
                <w:i/>
                <w:sz w:val="19"/>
              </w:rPr>
              <w:t>Limits: Expert benchmark, not a validated cross-tumor allocation cutoff or a ten-patient stopping rule; mature five-year endpoints cannot be established after one year.</w:t>
            </w:r>
          </w:p>
          <w:p>
            <w:pPr>
              <w:spacing w:after="0"/>
            </w:pPr>
            <w:r>
              <w:rPr>
                <w:b w:val="0"/>
                <w:i w:val="0"/>
                <w:color w:val="5A6069"/>
                <w:sz w:val="18"/>
              </w:rPr>
              <w:t>Accepted manuscript pp19–22, LT trial design.</w:t>
            </w:r>
          </w:p>
        </w:tc>
      </w:tr>
      <w:tr>
        <w:trPr>
          <w:cantSplit/>
        </w:trPr>
        <w:tc>
          <w:tcPr>
            <w:tcW w:type="dxa" w:w="3360"/>
            <w:tcW w:w="2000" w:type="dxa"/>
            <w:shd w:val="clear" w:color="auto" w:fill="FFFFFF"/>
          </w:tcPr>
          <w:p>
            <w:pPr>
              <w:spacing w:after="0"/>
            </w:pPr>
            <w:r>
              <w:rPr>
                <w:b/>
                <w:i w:val="0"/>
                <w:sz w:val="19"/>
              </w:rPr>
              <w:t>Eldridge 2016</w:t>
            </w:r>
          </w:p>
        </w:tc>
        <w:tc>
          <w:tcPr>
            <w:tcW w:type="dxa" w:w="3360"/>
            <w:tcW w:w="3900" w:type="dxa"/>
            <w:shd w:val="clear" w:color="auto" w:fill="FFFFFF"/>
          </w:tcPr>
          <w:p>
            <w:pPr>
              <w:spacing w:after="0"/>
            </w:pPr>
            <w:r>
              <w:rPr>
                <w:b w:val="0"/>
                <w:i w:val="0"/>
                <w:sz w:val="19"/>
              </w:rPr>
              <w:t>CONSORT extension for randomized pilot/feasibility studies. Explores whether/how a definitive study can proceed, distinct from proving efficacy.</w:t>
            </w:r>
          </w:p>
        </w:tc>
        <w:tc>
          <w:tcPr>
            <w:tcW w:type="dxa" w:w="3360"/>
            <w:tcW w:w="4180" w:type="dxa"/>
            <w:shd w:val="clear" w:color="auto" w:fill="FFFFFF"/>
          </w:tcPr>
          <w:p>
            <w:pPr>
              <w:spacing w:after="0"/>
            </w:pPr>
            <w:r>
              <w:rPr>
                <w:b w:val="0"/>
                <w:i w:val="0"/>
                <w:sz w:val="19"/>
              </w:rPr>
              <w:t>Predefine feasibility objectives and progression criteria; justify sample size and report harms. These principles inform a staged pilot but do not validate our numbers.</w:t>
            </w:r>
          </w:p>
          <w:p>
            <w:pPr>
              <w:spacing w:after="0"/>
            </w:pPr>
            <w:r>
              <w:rPr>
                <w:b w:val="0"/>
                <w:i/>
                <w:sz w:val="19"/>
              </w:rPr>
              <w:t>Limits: Scope is randomized pilots; applying principles to single-arm transplant feasibility studies is explicitly an extrapolation.</w:t>
            </w:r>
          </w:p>
          <w:p>
            <w:pPr>
              <w:spacing w:after="0"/>
            </w:pPr>
            <w:r>
              <w:rPr>
                <w:b w:val="0"/>
                <w:i w:val="0"/>
                <w:color w:val="5A6069"/>
                <w:sz w:val="18"/>
              </w:rPr>
              <w:t>Scope statement and checklist items on objectives, sample size and progression criteria.</w:t>
            </w:r>
          </w:p>
        </w:tc>
      </w:tr>
      <w:tr>
        <w:trPr>
          <w:cantSplit/>
        </w:trPr>
        <w:tc>
          <w:tcPr>
            <w:tcW w:type="dxa" w:w="3360"/>
            <w:tcW w:w="2000" w:type="dxa"/>
            <w:shd w:val="clear" w:color="auto" w:fill="F1F5F8"/>
          </w:tcPr>
          <w:p>
            <w:pPr>
              <w:spacing w:after="0"/>
            </w:pPr>
            <w:r>
              <w:rPr>
                <w:b/>
                <w:i w:val="0"/>
                <w:sz w:val="19"/>
              </w:rPr>
              <w:t>HHS human-subject protections</w:t>
            </w:r>
          </w:p>
        </w:tc>
        <w:tc>
          <w:tcPr>
            <w:tcW w:type="dxa" w:w="3360"/>
            <w:tcW w:w="3900" w:type="dxa"/>
            <w:shd w:val="clear" w:color="auto" w:fill="F1F5F8"/>
          </w:tcPr>
          <w:p>
            <w:pPr>
              <w:spacing w:after="0"/>
            </w:pPr>
            <w:r>
              <w:rPr>
                <w:b w:val="0"/>
                <w:i w:val="0"/>
                <w:sz w:val="19"/>
              </w:rPr>
              <w:t>Federal human-subject protection regulation. Applicability determined by institutional research/regulatory review.</w:t>
            </w:r>
          </w:p>
        </w:tc>
        <w:tc>
          <w:tcPr>
            <w:tcW w:type="dxa" w:w="3360"/>
            <w:tcW w:w="4180" w:type="dxa"/>
            <w:shd w:val="clear" w:color="auto" w:fill="F1F5F8"/>
          </w:tcPr>
          <w:p>
            <w:pPr>
              <w:spacing w:after="0"/>
            </w:pPr>
            <w:r>
              <w:rPr>
                <w:b w:val="0"/>
                <w:i w:val="0"/>
                <w:sz w:val="19"/>
              </w:rPr>
              <w:t>46.111 requires risk minimization, reasonable risk–benefit, equitable selection, informed consent and appropriate monitoring. IRB approval is separate from OPTN allocation and clinical acceptance.</w:t>
            </w:r>
          </w:p>
          <w:p>
            <w:pPr>
              <w:spacing w:after="0"/>
            </w:pPr>
            <w:r>
              <w:rPr>
                <w:b w:val="0"/>
                <w:i/>
                <w:sz w:val="19"/>
              </w:rPr>
              <w:t>Limits: No prescribed ten-patient cap, five-patient interim or one-event statistical boundary; those require protocol-specific design and independent approval.</w:t>
            </w:r>
          </w:p>
          <w:p>
            <w:pPr>
              <w:spacing w:after="0"/>
            </w:pPr>
            <w:r>
              <w:rPr>
                <w:b w:val="0"/>
                <w:i w:val="0"/>
                <w:color w:val="5A6069"/>
                <w:sz w:val="18"/>
              </w:rPr>
              <w:t>45 CFR 46.111(a)(1–7), current official eCFR text checked 24 October 2026.</w:t>
            </w:r>
          </w:p>
        </w:tc>
      </w:tr>
      <w:tr>
        <w:trPr>
          <w:cantSplit/>
        </w:trPr>
        <w:tc>
          <w:tcPr>
            <w:tcW w:type="dxa" w:w="3360"/>
            <w:tcW w:w="2000" w:type="dxa"/>
            <w:shd w:val="clear" w:color="auto" w:fill="FFFFFF"/>
          </w:tcPr>
          <w:p>
            <w:pPr>
              <w:spacing w:after="0"/>
            </w:pPr>
            <w:r>
              <w:rPr>
                <w:b/>
                <w:i w:val="0"/>
                <w:sz w:val="19"/>
              </w:rPr>
              <w:t>Kelly 2026</w:t>
            </w:r>
          </w:p>
        </w:tc>
        <w:tc>
          <w:tcPr>
            <w:tcW w:type="dxa" w:w="3360"/>
            <w:tcW w:w="3900" w:type="dxa"/>
            <w:shd w:val="clear" w:color="auto" w:fill="FFFFFF"/>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FFFFF"/>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1F5F8"/>
          </w:tcPr>
          <w:p>
            <w:pPr>
              <w:spacing w:after="0"/>
            </w:pPr>
            <w:r>
              <w:rPr>
                <w:b/>
                <w:i w:val="0"/>
                <w:sz w:val="19"/>
              </w:rPr>
              <w:t>SYS-TARE 2024</w:t>
            </w:r>
          </w:p>
        </w:tc>
        <w:tc>
          <w:tcPr>
            <w:tcW w:type="dxa" w:w="3360"/>
            <w:tcW w:w="3900" w:type="dxa"/>
            <w:shd w:val="clear" w:color="auto" w:fill="F1F5F8"/>
          </w:tcPr>
          <w:p>
            <w:pPr>
              <w:spacing w:after="0"/>
            </w:pPr>
            <w:r>
              <w:rPr>
                <w:b w:val="0"/>
                <w:i w:val="0"/>
                <w:sz w:val="19"/>
              </w:rPr>
              <w:t>Prospective institutional SYS-TARE pathway; 13 entered, 4 LT, 9 dropout. Single bulky measurable iCCA±peritumoral satellites; diffuse/multisegment multifocal disease excluded; intrahepatic vessel encasement permitted without tumor thrombus.</w:t>
            </w:r>
          </w:p>
        </w:tc>
        <w:tc>
          <w:tcPr>
            <w:tcW w:type="dxa" w:w="3360"/>
            <w:tcW w:w="4180" w:type="dxa"/>
            <w:shd w:val="clear" w:color="auto" w:fill="F1F5F8"/>
          </w:tcPr>
          <w:p>
            <w:pPr>
              <w:spacing w:after="0"/>
            </w:pPr>
            <w:r>
              <w:rPr>
                <w:b w:val="0"/>
                <w:i w:val="0"/>
                <w:sz w:val="19"/>
              </w:rPr>
              <w:t>Four recipients alive without recurrence at 73, 40, 12, 8 months; dropouts: three unrecovered intrahepatic progression, four with extrahepatic disease, two occult nodes.</w:t>
            </w:r>
          </w:p>
          <w:p>
            <w:pPr>
              <w:spacing w:after="0"/>
            </w:pPr>
            <w:r>
              <w:rPr>
                <w:b w:val="0"/>
                <w:i/>
                <w:sz w:val="19"/>
              </w:rPr>
              <w:t>Limits: Only 4 recipients; no validated maximum diameter or comparative proof of satellites being equivalent to a solitary tumor.</w:t>
            </w:r>
          </w:p>
          <w:p>
            <w:pPr>
              <w:spacing w:after="0"/>
            </w:pPr>
            <w:r>
              <w:rPr>
                <w:b w:val="0"/>
                <w:i w:val="0"/>
                <w:color w:val="5A6069"/>
                <w:sz w:val="18"/>
              </w:rPr>
              <w:t>Transpl Int 2024; 37: 13641; Eligibility, Figure 1 and Results; full PDF.</w:t>
            </w:r>
          </w:p>
        </w:tc>
      </w:tr>
      <w:tr>
        <w:trPr>
          <w:cantSplit/>
        </w:trPr>
        <w:tc>
          <w:tcPr>
            <w:tcW w:type="dxa" w:w="3360"/>
            <w:tcW w:w="2000" w:type="dxa"/>
            <w:shd w:val="clear" w:color="auto" w:fill="FFFFFF"/>
          </w:tcPr>
          <w:p>
            <w:pPr>
              <w:spacing w:after="0"/>
            </w:pPr>
            <w:r>
              <w:rPr>
                <w:b/>
                <w:i w:val="0"/>
                <w:sz w:val="19"/>
              </w:rPr>
              <w:t>Yaqub 2025</w:t>
            </w:r>
          </w:p>
        </w:tc>
        <w:tc>
          <w:tcPr>
            <w:tcW w:type="dxa" w:w="3360"/>
            <w:tcW w:w="3900" w:type="dxa"/>
            <w:shd w:val="clear" w:color="auto" w:fill="FFFFFF"/>
          </w:tcPr>
          <w:p>
            <w:pPr>
              <w:spacing w:after="0"/>
            </w:pPr>
            <w:r>
              <w:rPr>
                <w:b w:val="0"/>
                <w:i w:val="0"/>
                <w:sz w:val="19"/>
              </w:rPr>
              <w:t>Norwegian prospective early report; 7 referred, 6 enrolled, 5 LT. Response-selected liver-confined iCCA; median imaging lesion count 7, median diameter 11.5 cm; no size/number cap.</w:t>
            </w:r>
          </w:p>
        </w:tc>
        <w:tc>
          <w:tcPr>
            <w:tcW w:type="dxa" w:w="3360"/>
            <w:tcW w:w="4180" w:type="dxa"/>
            <w:shd w:val="clear" w:color="auto" w:fill="FFFFFF"/>
          </w:tcPr>
          <w:p>
            <w:pPr>
              <w:spacing w:after="0"/>
            </w:pPr>
            <w:r>
              <w:rPr>
                <w:b w:val="0"/>
                <w:i w:val="0"/>
                <w:sz w:val="19"/>
              </w:rPr>
              <w:t>All five alive at 10–55 months; 2 recurrences at 12/13 months, both patients with &gt;20 lesions. One HAT required re-LT; one occult 2-mm positive node.</w:t>
            </w:r>
          </w:p>
          <w:p>
            <w:pPr>
              <w:spacing w:after="0"/>
            </w:pPr>
            <w:r>
              <w:rPr>
                <w:b w:val="0"/>
                <w:i/>
                <w:sz w:val="19"/>
              </w:rPr>
              <w:t>Limits: Research letter, very small denominator; recurrence pattern argues caution with diffuse multifocal disease, not a validated lesion-count cutoff.</w:t>
            </w:r>
          </w:p>
          <w:p>
            <w:pPr>
              <w:spacing w:after="0"/>
            </w:pPr>
            <w:r>
              <w:rPr>
                <w:b w:val="0"/>
                <w:i w:val="0"/>
                <w:color w:val="5A6069"/>
                <w:sz w:val="18"/>
              </w:rPr>
              <w:t>BJS 2025; 112: znaf054; main text, Table 1 and Figure 1; complete indexed letter.</w:t>
            </w:r>
          </w:p>
        </w:tc>
      </w:tr>
    </w:tbl>
    <w:p>
      <w:pPr>
        <w:spacing w:after="40"/>
      </w:pPr>
    </w:p>
    <w:p>
      <w:pPr>
        <w:pStyle w:val="Heading3"/>
        <w:keepNext/>
        <w:spacing w:before="120" w:after="80"/>
      </w:pPr>
      <w:r>
        <w:rPr>
          <w:b w:val="0"/>
          <w:i w:val="0"/>
        </w:rPr>
        <w:t>Our proposed selection (OPEN)</w:t>
      </w:r>
    </w:p>
    <w:p>
      <w:pPr>
        <w:spacing w:after="80"/>
      </w:pPr>
      <w:r>
        <w:rPr>
          <w:b w:val="0"/>
          <w:i w:val="0"/>
        </w:rPr>
        <w:t>Use a small staged pilot with all-screened accounting and explicit safety pauses; no automatic expansion on favorable recipient survival.</w:t>
      </w:r>
    </w:p>
    <w:p>
      <w:pPr>
        <w:numPr>
          <w:ilvl w:val="0"/>
          <w:numId w:val="5"/>
        </w:numPr>
        <w:spacing w:after="40"/>
      </w:pPr>
      <w:r>
        <w:rPr>
          <w:b w:val="0"/>
          <w:i w:val="0"/>
        </w:rPr>
        <w:t>Proposed initial cap: ten transplants per separately approved biological stratum. Review after the first five have 90-day follow-up; no expansion decision until all first ten have at least 12-month follow-up. Reconcile vital status, graft events and known serious harms for every participant; require ≥90% completeness for other prespecified key outcomes.</w:t>
      </w:r>
    </w:p>
    <w:p>
      <w:pPr>
        <w:numPr>
          <w:ilvl w:val="0"/>
          <w:numId w:val="5"/>
        </w:numPr>
        <w:spacing w:after="40"/>
      </w:pPr>
      <w:r>
        <w:rPr>
          <w:b w:val="0"/>
          <w:i w:val="0"/>
        </w:rPr>
        <w:t>In an initial experimental cohort, one all-cause recipient death, graft loss or retransplantation within 90 days triggers a pause of further experimental enrollment/transplantation pending independent review. A later possibly treatment-related death/graft loss or a donor sentinel event also triggers review/pause. Rescue care is never withheld; reopening requires independent authorization.</w:t>
      </w:r>
    </w:p>
    <w:p>
      <w:pPr>
        <w:numPr>
          <w:ilvl w:val="0"/>
          <w:numId w:val="5"/>
        </w:numPr>
        <w:spacing w:after="40"/>
      </w:pPr>
      <w:r>
        <w:rPr>
          <w:b w:val="0"/>
          <w:i w:val="0"/>
        </w:rPr>
        <w:t>These are proposed conservative review triggers, not statistically validated efficacy/futility boundaries. Before opening, biostatistics and the independent board must ratify or replace them with indication-specific rules, denominators, pause authority and reopening criteria.</w:t>
      </w:r>
    </w:p>
    <w:p>
      <w:pPr>
        <w:numPr>
          <w:ilvl w:val="0"/>
          <w:numId w:val="5"/>
        </w:numPr>
        <w:spacing w:after="40"/>
      </w:pPr>
      <w:r>
        <w:rPr>
          <w:b w:val="0"/>
          <w:i w:val="0"/>
        </w:rPr>
        <w:t>Capture every screened candidate, including nonrecipients, conversion to resection, dropout, deaths and access barriers; report survival from entry and from LT, recurrence, graft use, donor recovery and quality of life. Ten survivors alone do not establish benefit or authorize expansion.</w:t>
      </w:r>
    </w:p>
    <w:p>
      <w:pPr>
        <w:spacing w:after="80"/>
      </w:pPr>
      <w:r>
        <w:rPr>
          <w:b/>
          <w:i w:val="0"/>
        </w:rPr>
        <w:t xml:space="preserve">Why: </w:t>
      </w:r>
      <w:r>
        <w:rPr>
          <w:b w:val="0"/>
          <w:i w:val="0"/>
        </w:rPr>
        <w:t>A small pilot can test feasibility, staging fidelity, data capture and acute safety, not prove durable survival benefit. Define time zero, all-screened enrollment, waitlist failures, post-LT survival/recurrence, competing death, all grafts, donor harms and patient-reported outcomes before opening. An independent board needs actual pause/reopening authority.</w:t>
      </w:r>
    </w:p>
    <w:p>
      <w:pPr>
        <w:spacing w:after="80"/>
      </w:pPr>
      <w:r>
        <w:rPr>
          <w:b/>
          <w:i w:val="0"/>
        </w:rPr>
        <w:t xml:space="preserve">Against, or uncertain: </w:t>
      </w:r>
      <w:r>
        <w:rPr>
          <w:b w:val="0"/>
          <w:i w:val="0"/>
        </w:rPr>
        <w:t>Zero observed events among ten fully followed independent patients still has a one-sided exact 95% binomial upper bound of 25.9% (1−0.05^(1/10)). Thus ten survivors cannot establish a &lt;5% event risk. Ninety percent data completeness permits one missing patient; safety events and vital status require active ascertainment, not tolerance of unaccounted loss.</w:t>
      </w:r>
    </w:p>
    <w:p>
      <w:pPr>
        <w:spacing w:after="80"/>
      </w:pPr>
      <w:r>
        <w:rPr>
          <w:b/>
          <w:i w:val="0"/>
        </w:rPr>
        <w:t xml:space="preserve">Certainty: </w:t>
      </w:r>
      <w:r>
        <w:rPr>
          <w:b w:val="0"/>
          <w:i w:val="0"/>
        </w:rPr>
        <w:t>Strong methodological rationale for predefinition and ITT accounting; no empirical validation of our exact cap/interim/completeness thresholds. Late recurrence demands multi-year follow-up.</w:t>
      </w:r>
    </w:p>
    <w:p>
      <w:pPr>
        <w:spacing w:after="80"/>
      </w:pPr>
      <w:r>
        <w:rPr>
          <w:b/>
          <w:i w:val="0"/>
        </w:rPr>
        <w:t xml:space="preserve">Tests and records: </w:t>
      </w:r>
      <w:r>
        <w:rPr>
          <w:b w:val="0"/>
          <w:i w:val="0"/>
        </w:rPr>
        <w:t>Locked eligibility strata; prospective entry/time-zero dataset; modern comparator; adverse-event definitions; follow-up-completeness report; independently signed statistical and safety plan.</w:t>
      </w:r>
    </w:p>
    <w:p>
      <w:pPr>
        <w:spacing w:after="80"/>
      </w:pPr>
      <w:r>
        <w:rPr>
          <w:b/>
          <w:i w:val="0"/>
        </w:rPr>
        <w:t xml:space="preserve">Allocation: </w:t>
      </w:r>
      <w:r>
        <w:rPr>
          <w:b w:val="0"/>
          <w:i w:val="0"/>
        </w:rPr>
        <w:t>Study monitoring never changes exception criteria or guarantees future access. Audit access by referral, geography, resources and donor availability without turning protected characteristics into exclusion rules.</w:t>
      </w:r>
    </w:p>
    <w:p>
      <w:pPr>
        <w:spacing w:after="40"/>
      </w:pPr>
      <w:r>
        <w:rPr>
          <w:b/>
          <w:i w:val="0"/>
        </w:rPr>
        <w:t xml:space="preserve">Basis for the proposed thresholds: </w:t>
      </w:r>
    </w:p>
    <w:p>
      <w:pPr>
        <w:numPr>
          <w:ilvl w:val="0"/>
          <w:numId w:val="5"/>
        </w:numPr>
        <w:spacing w:after="40"/>
      </w:pPr>
      <w:r>
        <w:rPr>
          <w:b w:val="0"/>
          <w:i w:val="0"/>
        </w:rPr>
        <w:t>Ten per stratum and interim after five at 90 days: local feasibility cap and safety review cadence.</w:t>
      </w:r>
    </w:p>
    <w:p>
      <w:pPr>
        <w:numPr>
          <w:ilvl w:val="0"/>
          <w:numId w:val="5"/>
        </w:numPr>
        <w:spacing w:after="40"/>
      </w:pPr>
      <w:r>
        <w:rPr>
          <w:b w:val="0"/>
          <w:i w:val="0"/>
        </w:rPr>
        <w:t>Twelve-month minimum: earliest expansion discussion, not proof of long-term cancer benefit.</w:t>
      </w:r>
    </w:p>
    <w:p>
      <w:pPr>
        <w:numPr>
          <w:ilvl w:val="0"/>
          <w:numId w:val="5"/>
        </w:numPr>
        <w:spacing w:after="40"/>
      </w:pPr>
      <w:r>
        <w:rPr>
          <w:b w:val="0"/>
          <w:i w:val="0"/>
        </w:rPr>
        <w:t>≥90%: proposed non-vital key-measure completeness threshold; not permission to ignore deaths/graft events or unknown status.</w:t>
      </w:r>
    </w:p>
    <w:p>
      <w:pPr>
        <w:numPr>
          <w:ilvl w:val="0"/>
          <w:numId w:val="5"/>
        </w:numPr>
        <w:spacing w:after="40"/>
      </w:pPr>
      <w:r>
        <w:rPr>
          <w:b w:val="0"/>
          <w:i w:val="0"/>
        </w:rPr>
        <w:t>One early death/graft loss/re-LT: review/pause trigger, not automatic futility or withholding rescue.</w:t>
      </w:r>
    </w:p>
    <w:p>
      <w:pPr>
        <w:pStyle w:val="Heading3"/>
        <w:keepNext/>
        <w:spacing w:before="120" w:after="80"/>
      </w:pPr>
      <w:r>
        <w:rPr>
          <w:b w:val="0"/>
          <w:i w:val="0"/>
        </w:rPr>
        <w:t>ALLOC-B4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Sources</w:t>
      </w:r>
    </w:p>
    <w:p>
      <w:pPr>
        <w:spacing w:after="60"/>
      </w:pPr>
      <w:r>
        <w:rPr>
          <w:b/>
          <w:i w:val="0"/>
          <w:sz w:val="19"/>
        </w:rPr>
        <w:t>Abecassis 2012</w:t>
      </w:r>
      <w:r>
        <w:rPr>
          <w:b w:val="0"/>
          <w:i w:val="0"/>
          <w:sz w:val="19"/>
        </w:rPr>
        <w:t xml:space="preserve"> — Complications of Living Donor Hepatic Lobectomy—A Comprehensive Report</w:t>
      </w:r>
      <w:r>
        <w:rPr>
          <w:b w:val="0"/>
          <w:i w:val="0"/>
          <w:sz w:val="19"/>
        </w:rPr>
        <w:t xml:space="preserve">  </w:t>
      </w:r>
      <w:hyperlink r:id="rId16">
        <w:r>
          <w:rPr>
            <w:color w:val="0563C1"/>
            <w:u w:val="single"/>
            <w:sz w:val="19"/>
          </w:rPr>
          <w:t xml:space="preserve">PubMed</w:t>
        </w:r>
      </w:hyperlink>
      <w:r>
        <w:rPr>
          <w:b w:val="0"/>
          <w:i w:val="0"/>
          <w:sz w:val="19"/>
        </w:rPr>
        <w:t xml:space="preserve"> · </w:t>
      </w:r>
      <w:hyperlink r:id="rId17">
        <w:r>
          <w:rPr>
            <w:color w:val="0563C1"/>
            <w:u w:val="single"/>
            <w:sz w:val="19"/>
          </w:rPr>
          <w:t xml:space="preserve">Journal</w:t>
        </w:r>
      </w:hyperlink>
      <w:r>
        <w:rPr>
          <w:b w:val="0"/>
          <w:i w:val="0"/>
          <w:sz w:val="19"/>
        </w:rPr>
        <w:t xml:space="preserve"> · </w:t>
      </w:r>
      <w:hyperlink r:id="rId18">
        <w:r>
          <w:rPr>
            <w:color w:val="0563C1"/>
            <w:u w:val="single"/>
            <w:sz w:val="19"/>
          </w:rPr>
          <w:t xml:space="preserve">Free full text</w:t>
        </w:r>
      </w:hyperlink>
      <w:r>
        <w:rPr>
          <w:b w:val="0"/>
          <w:i w:val="0"/>
          <w:sz w:val="19"/>
        </w:rPr>
        <w:t xml:space="preserve"> · </w:t>
      </w:r>
      <w:hyperlink r:id="rId19">
        <w:r>
          <w:rPr>
            <w:color w:val="0563C1"/>
            <w:u w:val="single"/>
            <w:sz w:val="19"/>
          </w:rPr>
          <w:t xml:space="preserve">Source</w:t>
        </w:r>
      </w:hyperlink>
      <w:r>
        <w:rPr>
          <w:b w:val="0"/>
          <w:i w:val="0"/>
          <w:sz w:val="19"/>
        </w:rPr>
        <w:t xml:space="preserve"> · </w:t>
      </w:r>
      <w:hyperlink r:id="rId20">
        <w:r>
          <w:rPr>
            <w:color w:val="0563C1"/>
            <w:u w:val="single"/>
            <w:sz w:val="19"/>
          </w:rPr>
          <w:t xml:space="preserve">TMC library</w:t>
        </w:r>
      </w:hyperlink>
    </w:p>
    <w:p>
      <w:pPr>
        <w:spacing w:after="60"/>
      </w:pPr>
      <w:r>
        <w:rPr>
          <w:b/>
          <w:i w:val="0"/>
          <w:sz w:val="19"/>
        </w:rPr>
        <w:t>ACG 2024</w:t>
      </w:r>
      <w:r>
        <w:rPr>
          <w:b w:val="0"/>
          <w:i w:val="0"/>
          <w:sz w:val="19"/>
        </w:rPr>
        <w:t xml:space="preserve"> — ACG Clinical Guideline: Focal Liver Lesions</w:t>
      </w:r>
      <w:r>
        <w:rPr>
          <w:b w:val="0"/>
          <w:i w:val="0"/>
          <w:sz w:val="19"/>
        </w:rPr>
        <w:t xml:space="preserve">  </w:t>
      </w:r>
      <w:hyperlink r:id="rId21">
        <w:r>
          <w:rPr>
            <w:color w:val="0563C1"/>
            <w:u w:val="single"/>
            <w:sz w:val="19"/>
          </w:rPr>
          <w:t xml:space="preserve">PubMed</w:t>
        </w:r>
      </w:hyperlink>
      <w:r>
        <w:rPr>
          <w:b w:val="0"/>
          <w:i w:val="0"/>
          <w:sz w:val="19"/>
        </w:rPr>
        <w:t xml:space="preserve"> · </w:t>
      </w:r>
      <w:hyperlink r:id="rId22">
        <w:r>
          <w:rPr>
            <w:color w:val="0563C1"/>
            <w:u w:val="single"/>
            <w:sz w:val="19"/>
          </w:rPr>
          <w:t xml:space="preserve">Journal</w:t>
        </w:r>
      </w:hyperlink>
      <w:r>
        <w:rPr>
          <w:b w:val="0"/>
          <w:i w:val="0"/>
          <w:sz w:val="19"/>
        </w:rPr>
        <w:t xml:space="preserve"> · </w:t>
      </w:r>
      <w:hyperlink r:id="rId23">
        <w:r>
          <w:rPr>
            <w:color w:val="0563C1"/>
            <w:u w:val="single"/>
            <w:sz w:val="19"/>
          </w:rPr>
          <w:t xml:space="preserve">TMC library</w:t>
        </w:r>
      </w:hyperlink>
    </w:p>
    <w:p>
      <w:pPr>
        <w:spacing w:after="60"/>
      </w:pPr>
      <w:r>
        <w:rPr>
          <w:b/>
          <w:i w:val="0"/>
          <w:sz w:val="19"/>
        </w:rPr>
        <w:t>Allen 2024</w:t>
      </w:r>
      <w:r>
        <w:rPr>
          <w:b w:val="0"/>
          <w:i w:val="0"/>
          <w:sz w:val="19"/>
        </w:rPr>
        <w:t xml:space="preserve"> — Transplant benefit-based offering of deceased donor livers in the United Kingdom</w:t>
      </w:r>
      <w:r>
        <w:rPr>
          <w:b w:val="0"/>
          <w:i w:val="0"/>
          <w:sz w:val="19"/>
        </w:rPr>
        <w:t xml:space="preserve">  </w:t>
      </w:r>
      <w:hyperlink r:id="rId24">
        <w:r>
          <w:rPr>
            <w:color w:val="0563C1"/>
            <w:u w:val="single"/>
            <w:sz w:val="19"/>
          </w:rPr>
          <w:t xml:space="preserve">PubMed</w:t>
        </w:r>
      </w:hyperlink>
      <w:r>
        <w:rPr>
          <w:b w:val="0"/>
          <w:i w:val="0"/>
          <w:sz w:val="19"/>
        </w:rPr>
        <w:t xml:space="preserve"> · </w:t>
      </w:r>
      <w:hyperlink r:id="rId25">
        <w:r>
          <w:rPr>
            <w:color w:val="0563C1"/>
            <w:u w:val="single"/>
            <w:sz w:val="19"/>
          </w:rPr>
          <w:t xml:space="preserve">Journal</w:t>
        </w:r>
      </w:hyperlink>
      <w:r>
        <w:rPr>
          <w:b w:val="0"/>
          <w:i w:val="0"/>
          <w:sz w:val="19"/>
        </w:rPr>
        <w:t xml:space="preserve"> · </w:t>
      </w:r>
      <w:hyperlink r:id="rId26">
        <w:r>
          <w:rPr>
            <w:color w:val="0563C1"/>
            <w:u w:val="single"/>
            <w:sz w:val="19"/>
          </w:rPr>
          <w:t xml:space="preserve">TMC library</w:t>
        </w:r>
      </w:hyperlink>
    </w:p>
    <w:p>
      <w:pPr>
        <w:spacing w:after="60"/>
      </w:pPr>
      <w:r>
        <w:rPr>
          <w:b/>
          <w:i w:val="0"/>
          <w:sz w:val="19"/>
        </w:rPr>
        <w:t>Chiche 2016</w:t>
      </w:r>
      <w:r>
        <w:rPr>
          <w:b w:val="0"/>
          <w:i w:val="0"/>
          <w:sz w:val="19"/>
        </w:rPr>
        <w:t xml:space="preserve"> — Liver transplantation for adenomatosis: European experience</w:t>
      </w:r>
      <w:r>
        <w:rPr>
          <w:b w:val="0"/>
          <w:i w:val="0"/>
          <w:sz w:val="19"/>
        </w:rPr>
        <w:t xml:space="preserve">  </w:t>
      </w:r>
      <w:hyperlink r:id="rId27">
        <w:r>
          <w:rPr>
            <w:color w:val="0563C1"/>
            <w:u w:val="single"/>
            <w:sz w:val="19"/>
          </w:rPr>
          <w:t xml:space="preserve">PubMed</w:t>
        </w:r>
      </w:hyperlink>
      <w:r>
        <w:rPr>
          <w:b w:val="0"/>
          <w:i w:val="0"/>
          <w:sz w:val="19"/>
        </w:rPr>
        <w:t xml:space="preserve"> · </w:t>
      </w:r>
      <w:hyperlink r:id="rId28">
        <w:r>
          <w:rPr>
            <w:color w:val="0563C1"/>
            <w:u w:val="single"/>
            <w:sz w:val="19"/>
          </w:rPr>
          <w:t xml:space="preserve">Journal</w:t>
        </w:r>
      </w:hyperlink>
      <w:r>
        <w:rPr>
          <w:b w:val="0"/>
          <w:i w:val="0"/>
          <w:sz w:val="19"/>
        </w:rPr>
        <w:t xml:space="preserve"> · </w:t>
      </w:r>
      <w:hyperlink r:id="rId29">
        <w:r>
          <w:rPr>
            <w:color w:val="0563C1"/>
            <w:u w:val="single"/>
            <w:sz w:val="19"/>
          </w:rPr>
          <w:t xml:space="preserve">TMC library</w:t>
        </w:r>
      </w:hyperlink>
    </w:p>
    <w:p>
      <w:pPr>
        <w:spacing w:after="60"/>
      </w:pPr>
      <w:r>
        <w:rPr>
          <w:b/>
          <w:i w:val="0"/>
          <w:sz w:val="19"/>
        </w:rPr>
        <w:t>DiMartini 2017</w:t>
      </w:r>
      <w:r>
        <w:rPr>
          <w:b w:val="0"/>
          <w:i w:val="0"/>
          <w:sz w:val="19"/>
        </w:rPr>
        <w:t xml:space="preserve"> — Social and Financial Outcomes of Living Liver Donation: A Prospective Investigation Within the Adult-to-Adult Living Donor Liver Transplantation Cohort Study 2 (A2ALL-2)</w:t>
      </w:r>
      <w:r>
        <w:rPr>
          <w:b w:val="0"/>
          <w:i w:val="0"/>
          <w:sz w:val="19"/>
        </w:rPr>
        <w:t xml:space="preserve">  </w:t>
      </w:r>
      <w:hyperlink r:id="rId30">
        <w:r>
          <w:rPr>
            <w:color w:val="0563C1"/>
            <w:u w:val="single"/>
            <w:sz w:val="19"/>
          </w:rPr>
          <w:t xml:space="preserve">PubMed</w:t>
        </w:r>
      </w:hyperlink>
      <w:r>
        <w:rPr>
          <w:b w:val="0"/>
          <w:i w:val="0"/>
          <w:sz w:val="19"/>
        </w:rPr>
        <w:t xml:space="preserve"> · </w:t>
      </w:r>
      <w:hyperlink r:id="rId31">
        <w:r>
          <w:rPr>
            <w:color w:val="0563C1"/>
            <w:u w:val="single"/>
            <w:sz w:val="19"/>
          </w:rPr>
          <w:t xml:space="preserve">Journal</w:t>
        </w:r>
      </w:hyperlink>
      <w:r>
        <w:rPr>
          <w:b w:val="0"/>
          <w:i w:val="0"/>
          <w:sz w:val="19"/>
        </w:rPr>
        <w:t xml:space="preserve"> · </w:t>
      </w:r>
      <w:hyperlink r:id="rId32">
        <w:r>
          <w:rPr>
            <w:color w:val="0563C1"/>
            <w:u w:val="single"/>
            <w:sz w:val="19"/>
          </w:rPr>
          <w:t xml:space="preserve">Free full text</w:t>
        </w:r>
      </w:hyperlink>
      <w:r>
        <w:rPr>
          <w:b w:val="0"/>
          <w:i w:val="0"/>
          <w:sz w:val="19"/>
        </w:rPr>
        <w:t xml:space="preserve"> · </w:t>
      </w:r>
      <w:hyperlink r:id="rId33">
        <w:r>
          <w:rPr>
            <w:color w:val="0563C1"/>
            <w:u w:val="single"/>
            <w:sz w:val="19"/>
          </w:rPr>
          <w:t xml:space="preserve">Source</w:t>
        </w:r>
      </w:hyperlink>
      <w:r>
        <w:rPr>
          <w:b w:val="0"/>
          <w:i w:val="0"/>
          <w:sz w:val="19"/>
        </w:rPr>
        <w:t xml:space="preserve"> · </w:t>
      </w:r>
      <w:hyperlink r:id="rId34">
        <w:r>
          <w:rPr>
            <w:color w:val="0563C1"/>
            <w:u w:val="single"/>
            <w:sz w:val="19"/>
          </w:rPr>
          <w:t xml:space="preserve">TMC library</w:t>
        </w:r>
      </w:hyperlink>
    </w:p>
    <w:p>
      <w:pPr>
        <w:spacing w:after="60"/>
      </w:pPr>
      <w:r>
        <w:rPr>
          <w:b/>
          <w:i w:val="0"/>
          <w:sz w:val="19"/>
        </w:rPr>
        <w:t>EASL–AASLD–ILCA 2026</w:t>
      </w:r>
      <w:r>
        <w:rPr>
          <w:b w:val="0"/>
          <w:i w:val="0"/>
          <w:sz w:val="19"/>
        </w:rPr>
        <w:t xml:space="preserve"> — Trial design and end points in hepatocellular carcinoma: an EASL-AASLD-ILCA consensus statement</w:t>
      </w:r>
      <w:r>
        <w:rPr>
          <w:b w:val="0"/>
          <w:i w:val="0"/>
          <w:sz w:val="19"/>
        </w:rPr>
        <w:t xml:space="preserve">  </w:t>
      </w:r>
      <w:hyperlink r:id="rId35">
        <w:r>
          <w:rPr>
            <w:color w:val="0563C1"/>
            <w:u w:val="single"/>
            <w:sz w:val="19"/>
          </w:rPr>
          <w:t xml:space="preserve">PubMed</w:t>
        </w:r>
      </w:hyperlink>
      <w:r>
        <w:rPr>
          <w:b w:val="0"/>
          <w:i w:val="0"/>
          <w:sz w:val="19"/>
        </w:rPr>
        <w:t xml:space="preserve"> · </w:t>
      </w:r>
      <w:hyperlink r:id="rId36">
        <w:r>
          <w:rPr>
            <w:color w:val="0563C1"/>
            <w:u w:val="single"/>
            <w:sz w:val="19"/>
          </w:rPr>
          <w:t xml:space="preserve">Journal</w:t>
        </w:r>
      </w:hyperlink>
      <w:r>
        <w:rPr>
          <w:b w:val="0"/>
          <w:i w:val="0"/>
          <w:sz w:val="19"/>
        </w:rPr>
        <w:t xml:space="preserve"> · </w:t>
      </w:r>
      <w:hyperlink r:id="rId37">
        <w:r>
          <w:rPr>
            <w:color w:val="0563C1"/>
            <w:u w:val="single"/>
            <w:sz w:val="19"/>
          </w:rPr>
          <w:t xml:space="preserve">Free full text</w:t>
        </w:r>
      </w:hyperlink>
      <w:r>
        <w:rPr>
          <w:b w:val="0"/>
          <w:i w:val="0"/>
          <w:sz w:val="19"/>
        </w:rPr>
        <w:t xml:space="preserve"> · </w:t>
      </w:r>
      <w:hyperlink r:id="rId38">
        <w:r>
          <w:rPr>
            <w:color w:val="0563C1"/>
            <w:u w:val="single"/>
            <w:sz w:val="19"/>
          </w:rPr>
          <w:t xml:space="preserve">Source</w:t>
        </w:r>
      </w:hyperlink>
      <w:r>
        <w:rPr>
          <w:b w:val="0"/>
          <w:i w:val="0"/>
          <w:sz w:val="19"/>
        </w:rPr>
        <w:t xml:space="preserve"> · </w:t>
      </w:r>
      <w:hyperlink r:id="rId39">
        <w:r>
          <w:rPr>
            <w:color w:val="0563C1"/>
            <w:u w:val="single"/>
            <w:sz w:val="19"/>
          </w:rPr>
          <w:t xml:space="preserve">TMC library</w:t>
        </w:r>
      </w:hyperlink>
    </w:p>
    <w:p>
      <w:pPr>
        <w:spacing w:after="60"/>
      </w:pPr>
      <w:r>
        <w:rPr>
          <w:b/>
          <w:i w:val="0"/>
          <w:sz w:val="19"/>
        </w:rPr>
        <w:t>Eldridge 2016</w:t>
      </w:r>
      <w:r>
        <w:rPr>
          <w:b w:val="0"/>
          <w:i w:val="0"/>
          <w:sz w:val="19"/>
        </w:rPr>
        <w:t xml:space="preserve"> — CONSORT 2010 statement: extension to randomised pilot and feasibility trials</w:t>
      </w:r>
      <w:r>
        <w:rPr>
          <w:b w:val="0"/>
          <w:i w:val="0"/>
          <w:sz w:val="19"/>
        </w:rPr>
        <w:t xml:space="preserve">  </w:t>
      </w:r>
      <w:hyperlink r:id="rId40">
        <w:r>
          <w:rPr>
            <w:color w:val="0563C1"/>
            <w:u w:val="single"/>
            <w:sz w:val="19"/>
          </w:rPr>
          <w:t xml:space="preserve">PubMed</w:t>
        </w:r>
      </w:hyperlink>
      <w:r>
        <w:rPr>
          <w:b w:val="0"/>
          <w:i w:val="0"/>
          <w:sz w:val="19"/>
        </w:rPr>
        <w:t xml:space="preserve"> · </w:t>
      </w:r>
      <w:hyperlink r:id="rId41">
        <w:r>
          <w:rPr>
            <w:color w:val="0563C1"/>
            <w:u w:val="single"/>
            <w:sz w:val="19"/>
          </w:rPr>
          <w:t xml:space="preserve">Journal</w:t>
        </w:r>
      </w:hyperlink>
      <w:r>
        <w:rPr>
          <w:b w:val="0"/>
          <w:i w:val="0"/>
          <w:sz w:val="19"/>
        </w:rPr>
        <w:t xml:space="preserve"> · </w:t>
      </w:r>
      <w:hyperlink r:id="rId42">
        <w:r>
          <w:rPr>
            <w:color w:val="0563C1"/>
            <w:u w:val="single"/>
            <w:sz w:val="19"/>
          </w:rPr>
          <w:t xml:space="preserve">Source</w:t>
        </w:r>
      </w:hyperlink>
      <w:r>
        <w:rPr>
          <w:b w:val="0"/>
          <w:i w:val="0"/>
          <w:sz w:val="19"/>
        </w:rPr>
        <w:t xml:space="preserve"> · </w:t>
      </w:r>
      <w:hyperlink r:id="rId43">
        <w:r>
          <w:rPr>
            <w:color w:val="0563C1"/>
            <w:u w:val="single"/>
            <w:sz w:val="19"/>
          </w:rPr>
          <w:t xml:space="preserve">TMC library</w:t>
        </w:r>
      </w:hyperlink>
    </w:p>
    <w:p>
      <w:pPr>
        <w:spacing w:after="60"/>
      </w:pPr>
      <w:r>
        <w:rPr>
          <w:b/>
          <w:i w:val="0"/>
          <w:sz w:val="19"/>
        </w:rPr>
        <w:t>European Association for the Study of the Liver 2016</w:t>
      </w:r>
      <w:r>
        <w:rPr>
          <w:b w:val="0"/>
          <w:i w:val="0"/>
          <w:sz w:val="19"/>
        </w:rPr>
        <w:t xml:space="preserve"> — EASL Clinical Practice Guidelines on the management of benign liver tumours</w:t>
      </w:r>
      <w:r>
        <w:rPr>
          <w:b w:val="0"/>
          <w:i w:val="0"/>
          <w:sz w:val="19"/>
        </w:rPr>
        <w:t xml:space="preserve">  </w:t>
      </w:r>
      <w:hyperlink r:id="rId44">
        <w:r>
          <w:rPr>
            <w:color w:val="0563C1"/>
            <w:u w:val="single"/>
            <w:sz w:val="19"/>
          </w:rPr>
          <w:t xml:space="preserve">PubMed</w:t>
        </w:r>
      </w:hyperlink>
      <w:r>
        <w:rPr>
          <w:b w:val="0"/>
          <w:i w:val="0"/>
          <w:sz w:val="19"/>
        </w:rPr>
        <w:t xml:space="preserve"> · </w:t>
      </w:r>
      <w:hyperlink r:id="rId45">
        <w:r>
          <w:rPr>
            <w:color w:val="0563C1"/>
            <w:u w:val="single"/>
            <w:sz w:val="19"/>
          </w:rPr>
          <w:t xml:space="preserve">Journal</w:t>
        </w:r>
      </w:hyperlink>
      <w:r>
        <w:rPr>
          <w:b w:val="0"/>
          <w:i w:val="0"/>
          <w:sz w:val="19"/>
        </w:rPr>
        <w:t xml:space="preserve"> · </w:t>
      </w:r>
      <w:hyperlink r:id="rId46">
        <w:r>
          <w:rPr>
            <w:color w:val="0563C1"/>
            <w:u w:val="single"/>
            <w:sz w:val="19"/>
          </w:rPr>
          <w:t xml:space="preserve">TMC library</w:t>
        </w:r>
      </w:hyperlink>
    </w:p>
    <w:p>
      <w:pPr>
        <w:spacing w:after="60"/>
      </w:pPr>
      <w:r>
        <w:rPr>
          <w:b/>
          <w:i w:val="0"/>
          <w:sz w:val="19"/>
        </w:rPr>
        <w:t>Haring 2019</w:t>
      </w:r>
      <w:r>
        <w:rPr>
          <w:b w:val="0"/>
          <w:i w:val="0"/>
          <w:sz w:val="19"/>
        </w:rPr>
        <w:t xml:space="preserve"> — The effect of oral contraceptive pill cessation on hepatocellular adenoma diameter: A retrospective cohort study</w:t>
      </w:r>
      <w:r>
        <w:rPr>
          <w:b w:val="0"/>
          <w:i w:val="0"/>
          <w:sz w:val="19"/>
        </w:rPr>
        <w:t xml:space="preserve">  </w:t>
      </w:r>
      <w:hyperlink r:id="rId47">
        <w:r>
          <w:rPr>
            <w:color w:val="0563C1"/>
            <w:u w:val="single"/>
            <w:sz w:val="19"/>
          </w:rPr>
          <w:t xml:space="preserve">PubMed</w:t>
        </w:r>
      </w:hyperlink>
      <w:r>
        <w:rPr>
          <w:b w:val="0"/>
          <w:i w:val="0"/>
          <w:sz w:val="19"/>
        </w:rPr>
        <w:t xml:space="preserve"> · </w:t>
      </w:r>
      <w:hyperlink r:id="rId48">
        <w:r>
          <w:rPr>
            <w:color w:val="0563C1"/>
            <w:u w:val="single"/>
            <w:sz w:val="19"/>
          </w:rPr>
          <w:t xml:space="preserve">Journal</w:t>
        </w:r>
      </w:hyperlink>
      <w:r>
        <w:rPr>
          <w:b w:val="0"/>
          <w:i w:val="0"/>
          <w:sz w:val="19"/>
        </w:rPr>
        <w:t xml:space="preserve"> · </w:t>
      </w:r>
      <w:hyperlink r:id="rId49">
        <w:r>
          <w:rPr>
            <w:color w:val="0563C1"/>
            <w:u w:val="single"/>
            <w:sz w:val="19"/>
          </w:rPr>
          <w:t xml:space="preserve">Free full text</w:t>
        </w:r>
      </w:hyperlink>
      <w:r>
        <w:rPr>
          <w:b w:val="0"/>
          <w:i w:val="0"/>
          <w:sz w:val="19"/>
        </w:rPr>
        <w:t xml:space="preserve"> · </w:t>
      </w:r>
      <w:hyperlink r:id="rId50">
        <w:r>
          <w:rPr>
            <w:color w:val="0563C1"/>
            <w:u w:val="single"/>
            <w:sz w:val="19"/>
          </w:rPr>
          <w:t xml:space="preserve">Source</w:t>
        </w:r>
      </w:hyperlink>
      <w:r>
        <w:rPr>
          <w:b w:val="0"/>
          <w:i w:val="0"/>
          <w:sz w:val="19"/>
        </w:rPr>
        <w:t xml:space="preserve"> · </w:t>
      </w:r>
      <w:hyperlink r:id="rId51">
        <w:r>
          <w:rPr>
            <w:color w:val="0563C1"/>
            <w:u w:val="single"/>
            <w:sz w:val="19"/>
          </w:rPr>
          <w:t xml:space="preserve">TMC library</w:t>
        </w:r>
      </w:hyperlink>
    </w:p>
    <w:p>
      <w:pPr>
        <w:spacing w:after="60"/>
      </w:pPr>
      <w:r>
        <w:rPr>
          <w:b/>
          <w:i w:val="0"/>
          <w:sz w:val="19"/>
        </w:rPr>
        <w:t>HHS human-subject protections</w:t>
      </w:r>
      <w:r>
        <w:rPr>
          <w:b w:val="0"/>
          <w:i w:val="0"/>
          <w:sz w:val="19"/>
        </w:rPr>
        <w:t xml:space="preserve"> — 45 CFR 46.111: Criteria for IRB approval of research</w:t>
      </w:r>
      <w:r>
        <w:rPr>
          <w:b w:val="0"/>
          <w:i w:val="0"/>
          <w:sz w:val="19"/>
        </w:rPr>
        <w:t xml:space="preserve">  </w:t>
      </w:r>
      <w:hyperlink r:id="rId52">
        <w:r>
          <w:rPr>
            <w:color w:val="0563C1"/>
            <w:u w:val="single"/>
            <w:sz w:val="19"/>
          </w:rPr>
          <w:t xml:space="preserve">Source</w:t>
        </w:r>
      </w:hyperlink>
    </w:p>
    <w:p>
      <w:pPr>
        <w:spacing w:after="60"/>
      </w:pPr>
      <w:r>
        <w:rPr>
          <w:b/>
          <w:i w:val="0"/>
          <w:sz w:val="19"/>
        </w:rPr>
        <w:t>Kelly 2026</w:t>
      </w:r>
      <w:r>
        <w:rPr>
          <w:b w:val="0"/>
          <w:i w:val="0"/>
          <w:sz w:val="19"/>
        </w:rPr>
        <w:t xml:space="preserve"> — Three Decades of Living Liver Donor Outcomes: A National Cohort Analysis of Patterns in Mortality and Recovery</w:t>
      </w:r>
      <w:r>
        <w:rPr>
          <w:b w:val="0"/>
          <w:i w:val="0"/>
          <w:sz w:val="19"/>
        </w:rPr>
        <w:t xml:space="preserve">  </w:t>
      </w:r>
      <w:hyperlink r:id="rId53">
        <w:r>
          <w:rPr>
            <w:color w:val="0563C1"/>
            <w:u w:val="single"/>
            <w:sz w:val="19"/>
          </w:rPr>
          <w:t xml:space="preserve">PubMed</w:t>
        </w:r>
      </w:hyperlink>
      <w:r>
        <w:rPr>
          <w:b w:val="0"/>
          <w:i w:val="0"/>
          <w:sz w:val="19"/>
        </w:rPr>
        <w:t xml:space="preserve"> · </w:t>
      </w:r>
      <w:hyperlink r:id="rId54">
        <w:r>
          <w:rPr>
            <w:color w:val="0563C1"/>
            <w:u w:val="single"/>
            <w:sz w:val="19"/>
          </w:rPr>
          <w:t xml:space="preserve">Journal</w:t>
        </w:r>
      </w:hyperlink>
      <w:r>
        <w:rPr>
          <w:b w:val="0"/>
          <w:i w:val="0"/>
          <w:sz w:val="19"/>
        </w:rPr>
        <w:t xml:space="preserve"> · </w:t>
      </w:r>
      <w:hyperlink r:id="rId55">
        <w:r>
          <w:rPr>
            <w:color w:val="0563C1"/>
            <w:u w:val="single"/>
            <w:sz w:val="19"/>
          </w:rPr>
          <w:t xml:space="preserve">TMC library</w:t>
        </w:r>
      </w:hyperlink>
    </w:p>
    <w:p>
      <w:pPr>
        <w:spacing w:after="60"/>
      </w:pPr>
      <w:r>
        <w:rPr>
          <w:b/>
          <w:i w:val="0"/>
          <w:sz w:val="19"/>
        </w:rPr>
        <w:t>Nault 2017</w:t>
      </w:r>
      <w:r>
        <w:rPr>
          <w:b w:val="0"/>
          <w:i w:val="0"/>
          <w:sz w:val="19"/>
        </w:rPr>
        <w:t xml:space="preserve"> — Molecular Classification of Hepatocellular Adenoma Associates With Risk Factors, Bleeding, and Malignant Transformation</w:t>
      </w:r>
      <w:r>
        <w:rPr>
          <w:b w:val="0"/>
          <w:i w:val="0"/>
          <w:sz w:val="19"/>
        </w:rPr>
        <w:t xml:space="preserve">  </w:t>
      </w:r>
      <w:hyperlink r:id="rId56">
        <w:r>
          <w:rPr>
            <w:color w:val="0563C1"/>
            <w:u w:val="single"/>
            <w:sz w:val="19"/>
          </w:rPr>
          <w:t xml:space="preserve">PubMed</w:t>
        </w:r>
      </w:hyperlink>
      <w:r>
        <w:rPr>
          <w:b w:val="0"/>
          <w:i w:val="0"/>
          <w:sz w:val="19"/>
        </w:rPr>
        <w:t xml:space="preserve"> · </w:t>
      </w:r>
      <w:hyperlink r:id="rId57">
        <w:r>
          <w:rPr>
            <w:color w:val="0563C1"/>
            <w:u w:val="single"/>
            <w:sz w:val="19"/>
          </w:rPr>
          <w:t xml:space="preserve">Journal</w:t>
        </w:r>
      </w:hyperlink>
      <w:r>
        <w:rPr>
          <w:b w:val="0"/>
          <w:i w:val="0"/>
          <w:sz w:val="19"/>
        </w:rPr>
        <w:t xml:space="preserve"> · </w:t>
      </w:r>
      <w:hyperlink r:id="rId58">
        <w:r>
          <w:rPr>
            <w:color w:val="0563C1"/>
            <w:u w:val="single"/>
            <w:sz w:val="19"/>
          </w:rPr>
          <w:t xml:space="preserve">TMC library</w:t>
        </w:r>
      </w:hyperlink>
    </w:p>
    <w:p>
      <w:pPr>
        <w:spacing w:after="60"/>
      </w:pPr>
      <w:r>
        <w:rPr>
          <w:b/>
          <w:i w:val="0"/>
          <w:sz w:val="19"/>
        </w:rPr>
        <w:t>NLRB oncology guidance</w:t>
      </w:r>
      <w:r>
        <w:rPr>
          <w:b w:val="0"/>
          <w:i w:val="0"/>
          <w:sz w:val="19"/>
        </w:rPr>
        <w:t xml:space="preserve"> — Adult MELD Exceptions for Transplant Oncology</w:t>
      </w:r>
      <w:r>
        <w:rPr>
          <w:b w:val="0"/>
          <w:i w:val="0"/>
          <w:sz w:val="19"/>
        </w:rPr>
        <w:t xml:space="preserve">  </w:t>
      </w:r>
      <w:hyperlink r:id="rId59">
        <w:r>
          <w:rPr>
            <w:color w:val="0563C1"/>
            <w:u w:val="single"/>
            <w:sz w:val="19"/>
          </w:rPr>
          <w:t xml:space="preserve">Source</w:t>
        </w:r>
      </w:hyperlink>
    </w:p>
    <w:p>
      <w:pPr>
        <w:spacing w:after="60"/>
      </w:pPr>
      <w:r>
        <w:rPr>
          <w:b/>
          <w:i w:val="0"/>
          <w:sz w:val="19"/>
        </w:rPr>
        <w:t>OPTN ethics principles</w:t>
      </w:r>
      <w:r>
        <w:rPr>
          <w:b w:val="0"/>
          <w:i w:val="0"/>
          <w:sz w:val="19"/>
        </w:rPr>
        <w:t xml:space="preserve"> — Ethical Principles in the Allocation of Human Organs</w:t>
      </w:r>
      <w:r>
        <w:rPr>
          <w:b w:val="0"/>
          <w:i w:val="0"/>
          <w:sz w:val="19"/>
        </w:rPr>
        <w:t xml:space="preserve">  </w:t>
      </w:r>
      <w:hyperlink r:id="rId60">
        <w:r>
          <w:rPr>
            <w:color w:val="0563C1"/>
            <w:u w:val="single"/>
            <w:sz w:val="19"/>
          </w:rPr>
          <w:t xml:space="preserve">Source</w:t>
        </w:r>
      </w:hyperlink>
    </w:p>
    <w:p>
      <w:pPr>
        <w:spacing w:after="60"/>
      </w:pPr>
      <w:r>
        <w:rPr>
          <w:b/>
          <w:i w:val="0"/>
          <w:sz w:val="19"/>
        </w:rPr>
        <w:t>OPTN policy</w:t>
      </w:r>
      <w:r>
        <w:rPr>
          <w:b w:val="0"/>
          <w:i w:val="0"/>
          <w:sz w:val="19"/>
        </w:rPr>
        <w:t xml:space="preserve"> — OPTN Policies: liver allocation and living donation</w:t>
      </w:r>
      <w:r>
        <w:rPr>
          <w:b w:val="0"/>
          <w:i w:val="0"/>
          <w:sz w:val="19"/>
        </w:rPr>
        <w:t xml:space="preserve">  </w:t>
      </w:r>
      <w:hyperlink r:id="rId61">
        <w:r>
          <w:rPr>
            <w:color w:val="0563C1"/>
            <w:u w:val="single"/>
            <w:sz w:val="19"/>
          </w:rPr>
          <w:t xml:space="preserve">Source</w:t>
        </w:r>
      </w:hyperlink>
    </w:p>
    <w:p>
      <w:pPr>
        <w:spacing w:after="60"/>
      </w:pPr>
      <w:r>
        <w:rPr>
          <w:b/>
          <w:i w:val="0"/>
          <w:sz w:val="19"/>
        </w:rPr>
        <w:t>SYS-TARE 2024</w:t>
      </w:r>
      <w:r>
        <w:rPr>
          <w:b w:val="0"/>
          <w:i w:val="0"/>
          <w:sz w:val="19"/>
        </w:rPr>
        <w:t xml:space="preserve"> — Liver Transplantation for Intrahepatic Cholangiocarcinoma After Chemotherapy and Radioembolization: An Intention-To-Treat Study</w:t>
      </w:r>
      <w:r>
        <w:rPr>
          <w:b w:val="0"/>
          <w:i w:val="0"/>
          <w:sz w:val="19"/>
        </w:rPr>
        <w:t xml:space="preserve">  </w:t>
      </w:r>
      <w:hyperlink r:id="rId62">
        <w:r>
          <w:rPr>
            <w:color w:val="0563C1"/>
            <w:u w:val="single"/>
            <w:sz w:val="19"/>
          </w:rPr>
          <w:t xml:space="preserve">PubMed</w:t>
        </w:r>
      </w:hyperlink>
      <w:r>
        <w:rPr>
          <w:b w:val="0"/>
          <w:i w:val="0"/>
          <w:sz w:val="19"/>
        </w:rPr>
        <w:t xml:space="preserve"> · </w:t>
      </w:r>
      <w:hyperlink r:id="rId63">
        <w:r>
          <w:rPr>
            <w:color w:val="0563C1"/>
            <w:u w:val="single"/>
            <w:sz w:val="19"/>
          </w:rPr>
          <w:t xml:space="preserve">Journal</w:t>
        </w:r>
      </w:hyperlink>
      <w:r>
        <w:rPr>
          <w:b w:val="0"/>
          <w:i w:val="0"/>
          <w:sz w:val="19"/>
        </w:rPr>
        <w:t xml:space="preserve"> · </w:t>
      </w:r>
      <w:hyperlink r:id="rId64">
        <w:r>
          <w:rPr>
            <w:color w:val="0563C1"/>
            <w:u w:val="single"/>
            <w:sz w:val="19"/>
          </w:rPr>
          <w:t xml:space="preserve">Free full text</w:t>
        </w:r>
      </w:hyperlink>
      <w:r>
        <w:rPr>
          <w:b w:val="0"/>
          <w:i w:val="0"/>
          <w:sz w:val="19"/>
        </w:rPr>
        <w:t xml:space="preserve"> · </w:t>
      </w:r>
      <w:hyperlink r:id="rId65">
        <w:r>
          <w:rPr>
            <w:color w:val="0563C1"/>
            <w:u w:val="single"/>
            <w:sz w:val="19"/>
          </w:rPr>
          <w:t xml:space="preserve">Source</w:t>
        </w:r>
      </w:hyperlink>
      <w:r>
        <w:rPr>
          <w:b w:val="0"/>
          <w:i w:val="0"/>
          <w:sz w:val="19"/>
        </w:rPr>
        <w:t xml:space="preserve"> · </w:t>
      </w:r>
      <w:hyperlink r:id="rId66">
        <w:r>
          <w:rPr>
            <w:color w:val="0563C1"/>
            <w:u w:val="single"/>
            <w:sz w:val="19"/>
          </w:rPr>
          <w:t xml:space="preserve">TMC library</w:t>
        </w:r>
      </w:hyperlink>
    </w:p>
    <w:p>
      <w:pPr>
        <w:spacing w:after="60"/>
      </w:pPr>
      <w:r>
        <w:rPr>
          <w:b/>
          <w:i w:val="0"/>
          <w:sz w:val="19"/>
        </w:rPr>
        <w:t>TransMet 2024</w:t>
      </w:r>
      <w:r>
        <w:rPr>
          <w:b w:val="0"/>
          <w:i w:val="0"/>
          <w:sz w:val="19"/>
        </w:rPr>
        <w:t xml:space="preserve"> — Liver transplantation plus chemotherapy versus chemotherapy alone in patients with permanently unresectable colorectal liver metastases (TransMet): results from a multicentre, open-label, prospective, randomised controlled trial</w:t>
      </w:r>
      <w:r>
        <w:rPr>
          <w:b w:val="0"/>
          <w:i w:val="0"/>
          <w:sz w:val="19"/>
        </w:rPr>
        <w:t xml:space="preserve">  </w:t>
      </w:r>
      <w:hyperlink r:id="rId67">
        <w:r>
          <w:rPr>
            <w:color w:val="0563C1"/>
            <w:u w:val="single"/>
            <w:sz w:val="19"/>
          </w:rPr>
          <w:t xml:space="preserve">PubMed</w:t>
        </w:r>
      </w:hyperlink>
      <w:r>
        <w:rPr>
          <w:b w:val="0"/>
          <w:i w:val="0"/>
          <w:sz w:val="19"/>
        </w:rPr>
        <w:t xml:space="preserve"> · </w:t>
      </w:r>
      <w:hyperlink r:id="rId68">
        <w:r>
          <w:rPr>
            <w:color w:val="0563C1"/>
            <w:u w:val="single"/>
            <w:sz w:val="19"/>
          </w:rPr>
          <w:t xml:space="preserve">Journal</w:t>
        </w:r>
      </w:hyperlink>
      <w:r>
        <w:rPr>
          <w:b w:val="0"/>
          <w:i w:val="0"/>
          <w:sz w:val="19"/>
        </w:rPr>
        <w:t xml:space="preserve"> · </w:t>
      </w:r>
      <w:hyperlink r:id="rId69">
        <w:r>
          <w:rPr>
            <w:color w:val="0563C1"/>
            <w:u w:val="single"/>
            <w:sz w:val="19"/>
          </w:rPr>
          <w:t xml:space="preserve">TMC library</w:t>
        </w:r>
      </w:hyperlink>
    </w:p>
    <w:p>
      <w:pPr>
        <w:spacing w:after="60"/>
      </w:pPr>
      <w:r>
        <w:rPr>
          <w:b/>
          <w:i w:val="0"/>
          <w:sz w:val="19"/>
        </w:rPr>
        <w:t>van Rosmalen 2019</w:t>
      </w:r>
      <w:r>
        <w:rPr>
          <w:b w:val="0"/>
          <w:i w:val="0"/>
          <w:sz w:val="19"/>
        </w:rPr>
        <w:t xml:space="preserve"> — Safety and efficacy of transarterial embolization of hepatocellular adenomas</w:t>
      </w:r>
      <w:r>
        <w:rPr>
          <w:b w:val="0"/>
          <w:i w:val="0"/>
          <w:sz w:val="19"/>
        </w:rPr>
        <w:t xml:space="preserve">  </w:t>
      </w:r>
      <w:hyperlink r:id="rId70">
        <w:r>
          <w:rPr>
            <w:color w:val="0563C1"/>
            <w:u w:val="single"/>
            <w:sz w:val="19"/>
          </w:rPr>
          <w:t xml:space="preserve">PubMed</w:t>
        </w:r>
      </w:hyperlink>
      <w:r>
        <w:rPr>
          <w:b w:val="0"/>
          <w:i w:val="0"/>
          <w:sz w:val="19"/>
        </w:rPr>
        <w:t xml:space="preserve"> · </w:t>
      </w:r>
      <w:hyperlink r:id="rId71">
        <w:r>
          <w:rPr>
            <w:color w:val="0563C1"/>
            <w:u w:val="single"/>
            <w:sz w:val="19"/>
          </w:rPr>
          <w:t xml:space="preserve">Journal</w:t>
        </w:r>
      </w:hyperlink>
      <w:r>
        <w:rPr>
          <w:b w:val="0"/>
          <w:i w:val="0"/>
          <w:sz w:val="19"/>
        </w:rPr>
        <w:t xml:space="preserve"> · </w:t>
      </w:r>
      <w:hyperlink r:id="rId72">
        <w:r>
          <w:rPr>
            <w:color w:val="0563C1"/>
            <w:u w:val="single"/>
            <w:sz w:val="19"/>
          </w:rPr>
          <w:t xml:space="preserve">Source</w:t>
        </w:r>
      </w:hyperlink>
      <w:r>
        <w:rPr>
          <w:b w:val="0"/>
          <w:i w:val="0"/>
          <w:sz w:val="19"/>
        </w:rPr>
        <w:t xml:space="preserve"> · </w:t>
      </w:r>
      <w:hyperlink r:id="rId73">
        <w:r>
          <w:rPr>
            <w:color w:val="0563C1"/>
            <w:u w:val="single"/>
            <w:sz w:val="19"/>
          </w:rPr>
          <w:t xml:space="preserve">TMC library</w:t>
        </w:r>
      </w:hyperlink>
    </w:p>
    <w:p>
      <w:pPr>
        <w:spacing w:after="60"/>
      </w:pPr>
      <w:r>
        <w:rPr>
          <w:b/>
          <w:i w:val="0"/>
          <w:sz w:val="19"/>
        </w:rPr>
        <w:t>Xiao 2024</w:t>
      </w:r>
      <w:r>
        <w:rPr>
          <w:b w:val="0"/>
          <w:i w:val="0"/>
          <w:sz w:val="19"/>
        </w:rPr>
        <w:t xml:space="preserve"> — The incidence of adverse outcome in donors after living donor liver transplantation: A meta-analysis of 60,829 donors</w:t>
      </w:r>
      <w:r>
        <w:rPr>
          <w:b w:val="0"/>
          <w:i w:val="0"/>
          <w:sz w:val="19"/>
        </w:rPr>
        <w:t xml:space="preserve">  </w:t>
      </w:r>
      <w:hyperlink r:id="rId74">
        <w:r>
          <w:rPr>
            <w:color w:val="0563C1"/>
            <w:u w:val="single"/>
            <w:sz w:val="19"/>
          </w:rPr>
          <w:t xml:space="preserve">PubMed</w:t>
        </w:r>
      </w:hyperlink>
      <w:r>
        <w:rPr>
          <w:b w:val="0"/>
          <w:i w:val="0"/>
          <w:sz w:val="19"/>
        </w:rPr>
        <w:t xml:space="preserve"> · </w:t>
      </w:r>
      <w:hyperlink r:id="rId75">
        <w:r>
          <w:rPr>
            <w:color w:val="0563C1"/>
            <w:u w:val="single"/>
            <w:sz w:val="19"/>
          </w:rPr>
          <w:t xml:space="preserve">Journal</w:t>
        </w:r>
      </w:hyperlink>
      <w:r>
        <w:rPr>
          <w:b w:val="0"/>
          <w:i w:val="0"/>
          <w:sz w:val="19"/>
        </w:rPr>
        <w:t xml:space="preserve"> · </w:t>
      </w:r>
      <w:hyperlink r:id="rId76">
        <w:r>
          <w:rPr>
            <w:color w:val="0563C1"/>
            <w:u w:val="single"/>
            <w:sz w:val="19"/>
          </w:rPr>
          <w:t xml:space="preserve">TMC library</w:t>
        </w:r>
      </w:hyperlink>
    </w:p>
    <w:p>
      <w:pPr>
        <w:spacing w:after="60"/>
      </w:pPr>
      <w:r>
        <w:rPr>
          <w:b/>
          <w:i w:val="0"/>
          <w:sz w:val="19"/>
        </w:rPr>
        <w:t>XXL 2020</w:t>
      </w:r>
      <w:r>
        <w:rPr>
          <w:b w:val="0"/>
          <w:i w:val="0"/>
          <w:sz w:val="19"/>
        </w:rPr>
        <w:t xml:space="preserve"> — Liver transplantation in hepatocellular carcinoma after tumour downstaging (XXL): a randomised, controlled, phase 2b/3 trial</w:t>
      </w:r>
      <w:r>
        <w:rPr>
          <w:b w:val="0"/>
          <w:i w:val="0"/>
          <w:sz w:val="19"/>
        </w:rPr>
        <w:t xml:space="preserve">  </w:t>
      </w:r>
      <w:hyperlink r:id="rId77">
        <w:r>
          <w:rPr>
            <w:color w:val="0563C1"/>
            <w:u w:val="single"/>
            <w:sz w:val="19"/>
          </w:rPr>
          <w:t xml:space="preserve">PubMed</w:t>
        </w:r>
      </w:hyperlink>
      <w:r>
        <w:rPr>
          <w:b w:val="0"/>
          <w:i w:val="0"/>
          <w:sz w:val="19"/>
        </w:rPr>
        <w:t xml:space="preserve"> · </w:t>
      </w:r>
      <w:hyperlink r:id="rId78">
        <w:r>
          <w:rPr>
            <w:color w:val="0563C1"/>
            <w:u w:val="single"/>
            <w:sz w:val="19"/>
          </w:rPr>
          <w:t xml:space="preserve">Journal</w:t>
        </w:r>
      </w:hyperlink>
      <w:r>
        <w:rPr>
          <w:b w:val="0"/>
          <w:i w:val="0"/>
          <w:sz w:val="19"/>
        </w:rPr>
        <w:t xml:space="preserve"> · </w:t>
      </w:r>
      <w:hyperlink r:id="rId79">
        <w:r>
          <w:rPr>
            <w:color w:val="0563C1"/>
            <w:u w:val="single"/>
            <w:sz w:val="19"/>
          </w:rPr>
          <w:t xml:space="preserve">TMC library</w:t>
        </w:r>
      </w:hyperlink>
    </w:p>
    <w:p>
      <w:pPr>
        <w:spacing w:after="60"/>
      </w:pPr>
      <w:r>
        <w:rPr>
          <w:b/>
          <w:i w:val="0"/>
          <w:sz w:val="19"/>
        </w:rPr>
        <w:t>Yaqub 2025</w:t>
      </w:r>
      <w:r>
        <w:rPr>
          <w:b w:val="0"/>
          <w:i w:val="0"/>
          <w:sz w:val="19"/>
        </w:rPr>
        <w:t xml:space="preserve"> — Liver transplantation for locally advanced non-resectable intrahepatic cholangiocarcinoma treated with neoadjuvant therapy: early results from the TESLA trial</w:t>
      </w:r>
      <w:r>
        <w:rPr>
          <w:b w:val="0"/>
          <w:i w:val="0"/>
          <w:sz w:val="19"/>
        </w:rPr>
        <w:t xml:space="preserve">  </w:t>
      </w:r>
      <w:hyperlink r:id="rId80">
        <w:r>
          <w:rPr>
            <w:color w:val="0563C1"/>
            <w:u w:val="single"/>
            <w:sz w:val="19"/>
          </w:rPr>
          <w:t xml:space="preserve">PubMed</w:t>
        </w:r>
      </w:hyperlink>
      <w:r>
        <w:rPr>
          <w:b w:val="0"/>
          <w:i w:val="0"/>
          <w:sz w:val="19"/>
        </w:rPr>
        <w:t xml:space="preserve"> · </w:t>
      </w:r>
      <w:hyperlink r:id="rId81">
        <w:r>
          <w:rPr>
            <w:color w:val="0563C1"/>
            <w:u w:val="single"/>
            <w:sz w:val="19"/>
          </w:rPr>
          <w:t xml:space="preserve">Journal</w:t>
        </w:r>
      </w:hyperlink>
      <w:r>
        <w:rPr>
          <w:b w:val="0"/>
          <w:i w:val="0"/>
          <w:sz w:val="19"/>
        </w:rPr>
        <w:t xml:space="preserve"> · </w:t>
      </w:r>
      <w:hyperlink r:id="rId82">
        <w:r>
          <w:rPr>
            <w:color w:val="0563C1"/>
            <w:u w:val="single"/>
            <w:sz w:val="19"/>
          </w:rPr>
          <w:t xml:space="preserve">Free full text</w:t>
        </w:r>
      </w:hyperlink>
      <w:r>
        <w:rPr>
          <w:b w:val="0"/>
          <w:i w:val="0"/>
          <w:sz w:val="19"/>
        </w:rPr>
        <w:t xml:space="preserve"> · </w:t>
      </w:r>
      <w:hyperlink r:id="rId83">
        <w:r>
          <w:rPr>
            <w:color w:val="0563C1"/>
            <w:u w:val="single"/>
            <w:sz w:val="19"/>
          </w:rPr>
          <w:t xml:space="preserve">Source</w:t>
        </w:r>
      </w:hyperlink>
      <w:r>
        <w:rPr>
          <w:b w:val="0"/>
          <w:i w:val="0"/>
          <w:sz w:val="19"/>
        </w:rPr>
        <w:t xml:space="preserve"> · </w:t>
      </w:r>
      <w:hyperlink r:id="rId84">
        <w:r>
          <w:rPr>
            <w:color w:val="0563C1"/>
            <w:u w:val="single"/>
            <w:sz w:val="19"/>
          </w:rPr>
          <w:t xml:space="preserve">TMC library</w:t>
        </w:r>
      </w:hyperlink>
    </w:p>
    <w:p>
      <w:pPr>
        <w:spacing w:after="60"/>
      </w:pPr>
      <w:r>
        <w:rPr>
          <w:b/>
          <w:i w:val="0"/>
          <w:sz w:val="19"/>
        </w:rPr>
        <w:t>Ziogas 2022</w:t>
      </w:r>
      <w:r>
        <w:rPr>
          <w:b w:val="0"/>
          <w:i w:val="0"/>
          <w:sz w:val="19"/>
        </w:rPr>
        <w:t xml:space="preserve"> — Liver Transplantation for Hepatic Adenoma: A UNOS Database Analysis and Systematic Review of the Literature</w:t>
      </w:r>
      <w:r>
        <w:rPr>
          <w:b w:val="0"/>
          <w:i w:val="0"/>
          <w:sz w:val="19"/>
        </w:rPr>
        <w:t xml:space="preserve">  </w:t>
      </w:r>
      <w:hyperlink r:id="rId85">
        <w:r>
          <w:rPr>
            <w:color w:val="0563C1"/>
            <w:u w:val="single"/>
            <w:sz w:val="19"/>
          </w:rPr>
          <w:t xml:space="preserve">PubMed</w:t>
        </w:r>
      </w:hyperlink>
      <w:r>
        <w:rPr>
          <w:b w:val="0"/>
          <w:i w:val="0"/>
          <w:sz w:val="19"/>
        </w:rPr>
        <w:t xml:space="preserve"> · </w:t>
      </w:r>
      <w:hyperlink r:id="rId86">
        <w:r>
          <w:rPr>
            <w:color w:val="0563C1"/>
            <w:u w:val="single"/>
            <w:sz w:val="19"/>
          </w:rPr>
          <w:t xml:space="preserve">Journal</w:t>
        </w:r>
      </w:hyperlink>
      <w:r>
        <w:rPr>
          <w:b w:val="0"/>
          <w:i w:val="0"/>
          <w:sz w:val="19"/>
        </w:rPr>
        <w:t xml:space="preserve"> · </w:t>
      </w:r>
      <w:hyperlink r:id="rId87">
        <w:r>
          <w:rPr>
            <w:color w:val="0563C1"/>
            <w:u w:val="single"/>
            <w:sz w:val="19"/>
          </w:rPr>
          <w:t xml:space="preserve">Source</w:t>
        </w:r>
      </w:hyperlink>
      <w:r>
        <w:rPr>
          <w:b w:val="0"/>
          <w:i w:val="0"/>
          <w:sz w:val="19"/>
        </w:rPr>
        <w:t xml:space="preserve"> · </w:t>
      </w:r>
      <w:hyperlink r:id="rId88">
        <w:r>
          <w:rPr>
            <w:color w:val="0563C1"/>
            <w:u w:val="single"/>
            <w:sz w:val="19"/>
          </w:rPr>
          <w:t xml:space="preserve">TMC library</w:t>
        </w:r>
      </w:hyperlink>
    </w:p>
    <w:sectPr>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HPB oncology working reference  |  </w:t>
    </w:r>
    <w:r>
      <w:rPr>
        <w:sz w:val="15"/>
        <w:szCs w:val="15"/>
      </w:rPr>
      <w:t xml:space="preserve"/>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color w:val="000000"/>
      <w:u w:val="none"/>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 Id="rId6" Type="http://schemas.openxmlformats.org/officeDocument/2006/relationships/hyperlink" Target="https://drliuhao.github.io/mh-liver-pathways/transplant/hca/#exception-route" TargetMode="External"/><Relationship Id="rId9" Type="http://schemas.openxmlformats.org/officeDocument/2006/relationships/hyperlink" Target="https://drliuhao.github.io/mh-liver-pathways/transplant/hca/#high-risk-hca-b1" TargetMode="External"/><Relationship Id="rId10" Type="http://schemas.openxmlformats.org/officeDocument/2006/relationships/hyperlink" Target="https://drliuhao.github.io/mh-liver-pathways/transplant/hca/#standard-care" TargetMode="External"/><Relationship Id="rId11" Type="http://schemas.openxmlformats.org/officeDocument/2006/relationships/hyperlink" Target="https://drliuhao.github.io/mh-liver-pathways/transplant/hca/#high-risk-hca-b2" TargetMode="External"/><Relationship Id="rId12" Type="http://schemas.openxmlformats.org/officeDocument/2006/relationships/hyperlink" Target="https://drliuhao.github.io/mh-liver-pathways/transplant/hca/#high-risk-alloc-b1" TargetMode="External"/><Relationship Id="rId13" Type="http://schemas.openxmlformats.org/officeDocument/2006/relationships/hyperlink" Target="https://drliuhao.github.io/mh-liver-pathways/transplant/hca/#high-risk-alloc-b2" TargetMode="External"/><Relationship Id="rId14" Type="http://schemas.openxmlformats.org/officeDocument/2006/relationships/hyperlink" Target="https://drliuhao.github.io/mh-liver-pathways/transplant/hca/#high-risk-alloc-b3" TargetMode="External"/><Relationship Id="rId15" Type="http://schemas.openxmlformats.org/officeDocument/2006/relationships/hyperlink" Target="https://drliuhao.github.io/mh-liver-pathways/transplant/hca/#high-risk-alloc-b4" TargetMode="External"/><Relationship Id="rId16" Type="http://schemas.openxmlformats.org/officeDocument/2006/relationships/hyperlink" Target="https://pubmed.ncbi.nlm.nih.gov/22335782/" TargetMode="External"/><Relationship Id="rId17" Type="http://schemas.openxmlformats.org/officeDocument/2006/relationships/hyperlink" Target="https://doi.org/10.1111/j.1600-6143.2011.03972.x" TargetMode="External"/><Relationship Id="rId18" Type="http://schemas.openxmlformats.org/officeDocument/2006/relationships/hyperlink" Target="https://pmc.ncbi.nlm.nih.gov/articles/PMC3732171/pdf/nihms-491154.pdf" TargetMode="External"/><Relationship Id="rId19" Type="http://schemas.openxmlformats.org/officeDocument/2006/relationships/hyperlink" Target="https://pmc.ncbi.nlm.nih.gov/articles/PMC3732171/" TargetMode="External"/><Relationship Id="rId20" Type="http://schemas.openxmlformats.org/officeDocument/2006/relationships/hyperlink" Target="https://thslc-houston.primo.exlibrisgroup.com/discovery/search?vid=01TEXASHEALTH_HOUSTON%3ATMC_INST&amp;query=any,contains,10.1111%2Fj.1600-6143.2011.03972.x&amp;lang=en" TargetMode="External"/><Relationship Id="rId21" Type="http://schemas.openxmlformats.org/officeDocument/2006/relationships/hyperlink" Target="https://pubmed.ncbi.nlm.nih.gov/38958301/" TargetMode="External"/><Relationship Id="rId22" Type="http://schemas.openxmlformats.org/officeDocument/2006/relationships/hyperlink" Target="https://doi.org/10.14309/ajg.0000000000002857" TargetMode="External"/><Relationship Id="rId23" Type="http://schemas.openxmlformats.org/officeDocument/2006/relationships/hyperlink" Target="https://thslc-houston.primo.exlibrisgroup.com/discovery/search?vid=01TEXASHEALTH_HOUSTON%3ATMC_INST&amp;query=any,contains,10.14309%2Fajg.0000000000002857&amp;lang=en" TargetMode="External"/><Relationship Id="rId24" Type="http://schemas.openxmlformats.org/officeDocument/2006/relationships/hyperlink" Target="https://pubmed.ncbi.nlm.nih.gov/38521169/" TargetMode="External"/><Relationship Id="rId25" Type="http://schemas.openxmlformats.org/officeDocument/2006/relationships/hyperlink" Target="https://doi.org/10.1016/j.jhep.2024.03.020" TargetMode="External"/><Relationship Id="rId26" Type="http://schemas.openxmlformats.org/officeDocument/2006/relationships/hyperlink" Target="https://thslc-houston.primo.exlibrisgroup.com/discovery/search?vid=01TEXASHEALTH_HOUSTON%3ATMC_INST&amp;query=any,contains,10.1016%2Fj.jhep.2024.03.020&amp;lang=en" TargetMode="External"/><Relationship Id="rId27" Type="http://schemas.openxmlformats.org/officeDocument/2006/relationships/hyperlink" Target="https://pubmed.ncbi.nlm.nih.gov/26919265/" TargetMode="External"/><Relationship Id="rId28" Type="http://schemas.openxmlformats.org/officeDocument/2006/relationships/hyperlink" Target="https://doi.org/10.1002/lt.24417" TargetMode="External"/><Relationship Id="rId29" Type="http://schemas.openxmlformats.org/officeDocument/2006/relationships/hyperlink" Target="https://thslc-houston.primo.exlibrisgroup.com/discovery/search?vid=01TEXASHEALTH_HOUSTON%3ATMC_INST&amp;query=any,contains,10.1002%2Flt.24417&amp;lang=en" TargetMode="External"/><Relationship Id="rId30" Type="http://schemas.openxmlformats.org/officeDocument/2006/relationships/hyperlink" Target="https://pubmed.ncbi.nlm.nih.gov/27647626/" TargetMode="External"/><Relationship Id="rId31" Type="http://schemas.openxmlformats.org/officeDocument/2006/relationships/hyperlink" Target="https://doi.org/10.1111/ajt.14055" TargetMode="External"/><Relationship Id="rId32" Type="http://schemas.openxmlformats.org/officeDocument/2006/relationships/hyperlink" Target="https://pmc.ncbi.nlm.nih.gov/articles/PMC5359081/pdf/nihms818467.pdf" TargetMode="External"/><Relationship Id="rId33" Type="http://schemas.openxmlformats.org/officeDocument/2006/relationships/hyperlink" Target="https://pmc.ncbi.nlm.nih.gov/articles/PMC5359081/" TargetMode="External"/><Relationship Id="rId34" Type="http://schemas.openxmlformats.org/officeDocument/2006/relationships/hyperlink" Target="https://thslc-houston.primo.exlibrisgroup.com/discovery/search?vid=01TEXASHEALTH_HOUSTON%3ATMC_INST&amp;query=any,contains,10.1111%2Fajt.14055&amp;lang=en" TargetMode="External"/><Relationship Id="rId35" Type="http://schemas.openxmlformats.org/officeDocument/2006/relationships/hyperlink" Target="https://pubmed.ncbi.nlm.nih.gov/42270817/" TargetMode="External"/><Relationship Id="rId36" Type="http://schemas.openxmlformats.org/officeDocument/2006/relationships/hyperlink" Target="https://doi.org/10.1038/s41571-026-01160-z" TargetMode="External"/><Relationship Id="rId37" Type="http://schemas.openxmlformats.org/officeDocument/2006/relationships/hyperlink" Target="https://pmc.ncbi.nlm.nih.gov/articles/PMC13665261/pdf/nihms-2192929.pdf" TargetMode="External"/><Relationship Id="rId38" Type="http://schemas.openxmlformats.org/officeDocument/2006/relationships/hyperlink" Target="https://pmc.ncbi.nlm.nih.gov/articles/PMC13665261/" TargetMode="External"/><Relationship Id="rId39" Type="http://schemas.openxmlformats.org/officeDocument/2006/relationships/hyperlink" Target="https://thslc-houston.primo.exlibrisgroup.com/discovery/search?vid=01TEXASHEALTH_HOUSTON%3ATMC_INST&amp;query=any,contains,10.1038%2Fs41571-026-01160-z&amp;lang=en" TargetMode="External"/><Relationship Id="rId40" Type="http://schemas.openxmlformats.org/officeDocument/2006/relationships/hyperlink" Target="https://pubmed.ncbi.nlm.nih.gov/27777223/" TargetMode="External"/><Relationship Id="rId41" Type="http://schemas.openxmlformats.org/officeDocument/2006/relationships/hyperlink" Target="https://doi.org/10.1136/bmj.i5239" TargetMode="External"/><Relationship Id="rId42" Type="http://schemas.openxmlformats.org/officeDocument/2006/relationships/hyperlink" Target="https://pmc.ncbi.nlm.nih.gov/articles/PMC5076380/" TargetMode="External"/><Relationship Id="rId43" Type="http://schemas.openxmlformats.org/officeDocument/2006/relationships/hyperlink" Target="https://thslc-houston.primo.exlibrisgroup.com/discovery/search?vid=01TEXASHEALTH_HOUSTON%3ATMC_INST&amp;query=any,contains,10.1136%2Fbmj.i5239&amp;lang=en" TargetMode="External"/><Relationship Id="rId44" Type="http://schemas.openxmlformats.org/officeDocument/2006/relationships/hyperlink" Target="https://pubmed.ncbi.nlm.nih.gov/27085809/" TargetMode="External"/><Relationship Id="rId45" Type="http://schemas.openxmlformats.org/officeDocument/2006/relationships/hyperlink" Target="https://doi.org/10.1016/j.jhep.2016.04.001" TargetMode="External"/><Relationship Id="rId46" Type="http://schemas.openxmlformats.org/officeDocument/2006/relationships/hyperlink" Target="https://thslc-houston.primo.exlibrisgroup.com/discovery/search?vid=01TEXASHEALTH_HOUSTON%3ATMC_INST&amp;query=any,contains,10.1016%2Fj.jhep.2016.04.001&amp;lang=en" TargetMode="External"/><Relationship Id="rId47" Type="http://schemas.openxmlformats.org/officeDocument/2006/relationships/hyperlink" Target="https://pubmed.ncbi.nlm.nih.gov/30773766/" TargetMode="External"/><Relationship Id="rId48" Type="http://schemas.openxmlformats.org/officeDocument/2006/relationships/hyperlink" Target="https://doi.org/10.1111/liv.14074" TargetMode="External"/><Relationship Id="rId49" Type="http://schemas.openxmlformats.org/officeDocument/2006/relationships/hyperlink" Target="https://pmc.ncbi.nlm.nih.gov/articles/PMC6593966/pdf/LIV-39-905.pdf" TargetMode="External"/><Relationship Id="rId50" Type="http://schemas.openxmlformats.org/officeDocument/2006/relationships/hyperlink" Target="https://pmc.ncbi.nlm.nih.gov/articles/PMC6593966/" TargetMode="External"/><Relationship Id="rId51" Type="http://schemas.openxmlformats.org/officeDocument/2006/relationships/hyperlink" Target="https://thslc-houston.primo.exlibrisgroup.com/discovery/search?vid=01TEXASHEALTH_HOUSTON%3ATMC_INST&amp;query=any,contains,10.1111%2Fliv.14074&amp;lang=en" TargetMode="External"/><Relationship Id="rId52" Type="http://schemas.openxmlformats.org/officeDocument/2006/relationships/hyperlink" Target="https://www.ecfr.gov/current/title-45/subtitle-A/subchapter-A/part-46/subpart-A/section-46.111" TargetMode="External"/><Relationship Id="rId53" Type="http://schemas.openxmlformats.org/officeDocument/2006/relationships/hyperlink" Target="https://pubmed.ncbi.nlm.nih.gov/42835360/" TargetMode="External"/><Relationship Id="rId54" Type="http://schemas.openxmlformats.org/officeDocument/2006/relationships/hyperlink" Target="https://doi.org/10.1155/joot/2545887" TargetMode="External"/><Relationship Id="rId55" Type="http://schemas.openxmlformats.org/officeDocument/2006/relationships/hyperlink" Target="https://thslc-houston.primo.exlibrisgroup.com/discovery/search?vid=01TEXASHEALTH_HOUSTON%3ATMC_INST&amp;query=any,contains,10.1155%2Fjoot%2F2545887&amp;lang=en" TargetMode="External"/><Relationship Id="rId56" Type="http://schemas.openxmlformats.org/officeDocument/2006/relationships/hyperlink" Target="https://pubmed.ncbi.nlm.nih.gov/27939373/" TargetMode="External"/><Relationship Id="rId57" Type="http://schemas.openxmlformats.org/officeDocument/2006/relationships/hyperlink" Target="https://doi.org/10.1053/j.gastro.2016.11.042" TargetMode="External"/><Relationship Id="rId58" Type="http://schemas.openxmlformats.org/officeDocument/2006/relationships/hyperlink" Target="https://thslc-houston.primo.exlibrisgroup.com/discovery/search?vid=01TEXASHEALTH_HOUSTON%3ATMC_INST&amp;query=any,contains,10.1053%2Fj.gastro.2016.11.042&amp;lang=en" TargetMode="External"/><Relationship Id="rId59" Type="http://schemas.openxmlformats.org/officeDocument/2006/relationships/hyperlink" Target="https://www.hrsa.gov/sites/default/files/hrsa/optn/adult-meld-exception-transplant-oncology-review-guidance.pdf" TargetMode="External"/><Relationship Id="rId60" Type="http://schemas.openxmlformats.org/officeDocument/2006/relationships/hyperlink" Target="https://www.hrsa.gov/optn/professionals/resources/ethical-considerations/ethical-principles-in-the-allocation-of-human-organs" TargetMode="External"/><Relationship Id="rId61" Type="http://schemas.openxmlformats.org/officeDocument/2006/relationships/hyperlink" Target="https://www.hrsa.gov/sites/default/files/hrsa/optn/optn_policies.pdf" TargetMode="External"/><Relationship Id="rId62" Type="http://schemas.openxmlformats.org/officeDocument/2006/relationships/hyperlink" Target="https://pubmed.ncbi.nlm.nih.gov/39544321/" TargetMode="External"/><Relationship Id="rId63" Type="http://schemas.openxmlformats.org/officeDocument/2006/relationships/hyperlink" Target="https://doi.org/10.3389/ti.2024.13641" TargetMode="External"/><Relationship Id="rId64" Type="http://schemas.openxmlformats.org/officeDocument/2006/relationships/hyperlink" Target="https://pmc.ncbi.nlm.nih.gov/articles/PMC11560448/pdf/ti-37-13641.pdf" TargetMode="External"/><Relationship Id="rId65" Type="http://schemas.openxmlformats.org/officeDocument/2006/relationships/hyperlink" Target="https://pmc.ncbi.nlm.nih.gov/articles/PMC11560448/" TargetMode="External"/><Relationship Id="rId66" Type="http://schemas.openxmlformats.org/officeDocument/2006/relationships/hyperlink" Target="https://thslc-houston.primo.exlibrisgroup.com/discovery/search?vid=01TEXASHEALTH_HOUSTON%3ATMC_INST&amp;query=any,contains,10.3389%2Fti.2024.13641&amp;lang=en" TargetMode="External"/><Relationship Id="rId67" Type="http://schemas.openxmlformats.org/officeDocument/2006/relationships/hyperlink" Target="https://pubmed.ncbi.nlm.nih.gov/39306468/" TargetMode="External"/><Relationship Id="rId68" Type="http://schemas.openxmlformats.org/officeDocument/2006/relationships/hyperlink" Target="https://doi.org/10.1016/S0140-6736(24)01595-2" TargetMode="External"/><Relationship Id="rId69" Type="http://schemas.openxmlformats.org/officeDocument/2006/relationships/hyperlink" Target="https://thslc-houston.primo.exlibrisgroup.com/discovery/search?vid=01TEXASHEALTH_HOUSTON%3ATMC_INST&amp;query=any,contains,10.1016%2FS0140-6736%2824%2901595-2&amp;lang=en" TargetMode="External"/><Relationship Id="rId70" Type="http://schemas.openxmlformats.org/officeDocument/2006/relationships/hyperlink" Target="https://pubmed.ncbi.nlm.nih.gov/31313827/" TargetMode="External"/><Relationship Id="rId71" Type="http://schemas.openxmlformats.org/officeDocument/2006/relationships/hyperlink" Target="https://doi.org/10.1002/bjs.11213" TargetMode="External"/><Relationship Id="rId72" Type="http://schemas.openxmlformats.org/officeDocument/2006/relationships/hyperlink" Target="https://pmc.ncbi.nlm.nih.gov/articles/PMC6771810/" TargetMode="External"/><Relationship Id="rId73" Type="http://schemas.openxmlformats.org/officeDocument/2006/relationships/hyperlink" Target="https://thslc-houston.primo.exlibrisgroup.com/discovery/search?vid=01TEXASHEALTH_HOUSTON%3ATMC_INST&amp;query=any,contains,10.1002%2Fbjs.11213&amp;lang=en" TargetMode="External"/><Relationship Id="rId74" Type="http://schemas.openxmlformats.org/officeDocument/2006/relationships/hyperlink" Target="https://pubmed.ncbi.nlm.nih.gov/38015449/" TargetMode="External"/><Relationship Id="rId75" Type="http://schemas.openxmlformats.org/officeDocument/2006/relationships/hyperlink" Target="https://doi.org/10.1097/LVT.0000000000000303" TargetMode="External"/><Relationship Id="rId76" Type="http://schemas.openxmlformats.org/officeDocument/2006/relationships/hyperlink" Target="https://thslc-houston.primo.exlibrisgroup.com/discovery/search?vid=01TEXASHEALTH_HOUSTON%3ATMC_INST&amp;query=any,contains,10.1097%2FLVT.0000000000000303&amp;lang=en" TargetMode="External"/><Relationship Id="rId77" Type="http://schemas.openxmlformats.org/officeDocument/2006/relationships/hyperlink" Target="https://pubmed.ncbi.nlm.nih.gov/32615109/" TargetMode="External"/><Relationship Id="rId78" Type="http://schemas.openxmlformats.org/officeDocument/2006/relationships/hyperlink" Target="https://doi.org/10.1016/S1470-2045(20)30224-2" TargetMode="External"/><Relationship Id="rId79" Type="http://schemas.openxmlformats.org/officeDocument/2006/relationships/hyperlink" Target="https://thslc-houston.primo.exlibrisgroup.com/discovery/search?vid=01TEXASHEALTH_HOUSTON%3ATMC_INST&amp;query=any,contains,10.1016%2FS1470-2045%2820%2930224-2&amp;lang=en" TargetMode="External"/><Relationship Id="rId80" Type="http://schemas.openxmlformats.org/officeDocument/2006/relationships/hyperlink" Target="https://pubmed.ncbi.nlm.nih.gov/40099404/" TargetMode="External"/><Relationship Id="rId81" Type="http://schemas.openxmlformats.org/officeDocument/2006/relationships/hyperlink" Target="https://doi.org/10.1093/bjs/znaf054" TargetMode="External"/><Relationship Id="rId82" Type="http://schemas.openxmlformats.org/officeDocument/2006/relationships/hyperlink" Target="https://pmc.ncbi.nlm.nih.gov/articles/PMC11914714/pdf/znaf054.pdf" TargetMode="External"/><Relationship Id="rId83" Type="http://schemas.openxmlformats.org/officeDocument/2006/relationships/hyperlink" Target="https://pmc.ncbi.nlm.nih.gov/articles/PMC11914714/" TargetMode="External"/><Relationship Id="rId84" Type="http://schemas.openxmlformats.org/officeDocument/2006/relationships/hyperlink" Target="https://thslc-houston.primo.exlibrisgroup.com/discovery/search?vid=01TEXASHEALTH_HOUSTON%3ATMC_INST&amp;query=any,contains,10.1093%2Fbjs%2Fznaf054&amp;lang=en" TargetMode="External"/><Relationship Id="rId85" Type="http://schemas.openxmlformats.org/officeDocument/2006/relationships/hyperlink" Target="https://pubmed.ncbi.nlm.nih.gov/35018302/" TargetMode="External"/><Relationship Id="rId86" Type="http://schemas.openxmlformats.org/officeDocument/2006/relationships/hyperlink" Target="https://doi.org/10.1097/TXD.0000000000001264" TargetMode="External"/><Relationship Id="rId87" Type="http://schemas.openxmlformats.org/officeDocument/2006/relationships/hyperlink" Target="https://pmc.ncbi.nlm.nih.gov/articles/PMC8735769/" TargetMode="External"/><Relationship Id="rId88" Type="http://schemas.openxmlformats.org/officeDocument/2006/relationships/hyperlink" Target="https://thslc-houston.primo.exlibrisgroup.com/discovery/search?vid=01TEXASHEALTH_HOUSTON%3ATMC_INST&amp;query=any,contains,10.1097%2FTXD.0000000000001264&amp;lang=en"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HCC system roadmap v0.9</dc:title>
  <dc:subject>Hepatocellular 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2026-10-10T04:29:15.270Z</dcterms:created>
  <dcterms:modified xsi:type="dcterms:W3CDTF">2026-10-29T14:21:32Z</dcterms:modified>
</cp:coreProperties>
</file>

<file path=docProps/custom.xml><?xml version="1.0" encoding="utf-8"?>
<Properties xmlns="http://schemas.openxmlformats.org/officeDocument/2006/custom-properties" xmlns:vt="http://schemas.openxmlformats.org/officeDocument/2006/docPropsVTypes"/>
</file>