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Hepatocellular carcinoma</w:t>
      </w:r>
    </w:p>
    <w:p>
      <w:pPr>
        <w:spacing w:after="120"/>
      </w:pPr>
      <w:r>
        <w:rPr>
          <w:i/>
          <w:sz w:val="18"/>
        </w:rPr>
        <w:t xml:space="preserve">Standardized document set, 29 October 2026: this is the full-content document for the roadmap. Questions for consensus: HCC_2_Roadmap_Questions.docx. Decision discussion for all settings: HCC_7_Decision_Discussion.docx. Web page: https://drliuhao.github.io/mh-liver-pathways/hcc/ 4 statements corrected on 29 October 2026 against the full texts of papers previously cited from their abstracts.</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t xml:space="preserve">Hepatocellular carcinoma system roadmap | Balanced treatment matrices | 2026-10-25 04:54 CDT</w:t>
      </w:r>
    </w:p>
    <w:p>
      <w:pPr>
        <w:spacing w:after="320" w:line="276"/>
      </w:pPr>
      <w:r>
        <w:t xml:space="preserve">Five decision gates and original study critiques retained. Liver-directed and systemic options use matched, source-linked matrices. Transplant eligibility remains governed by the separate transplant protocols.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Which BCLC stage this patient is actually in — performance status and spread are settled before tumour burden is ever asked — and whether a curative option has been excluded on its merits rather than by accumulating procedures.</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val="0"/>
        <w:spacing w:after="110" w:before="240"/>
      </w:pPr>
      <w:r>
        <w:rPr>
          <w:rFonts w:ascii="Cambria" w:cs="Cambria" w:eastAsia="Cambria" w:hAnsi="Cambria"/>
          <w:b/>
          <w:bCs/>
          <w:color w:val="17365D"/>
          <w:sz w:val="26"/>
          <w:szCs w:val="26"/>
        </w:rPr>
        <w:t xml:space="preserve">0 · Very early</w:t>
      </w:r>
    </w:p>
    <w:p>
      <w:pPr>
        <w:spacing w:after="140"/>
      </w:pPr>
      <w:r>
        <w:rPr>
          <w:b/>
          <w:bCs/>
          <w:color w:val="176A87"/>
          <w:sz w:val="19"/>
          <w:szCs w:val="19"/>
        </w:rPr>
        <w:t xml:space="preserve">The question. </w:t>
      </w:r>
      <w:r>
        <w:rPr>
          <w:sz w:val="19"/>
          <w:szCs w:val="19"/>
        </w:rPr>
        <w:t xml:space="preserve">One small tumour in a preserved liver: can a single curative act finish it — and has portal pressure been established rather than assumed?</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Single lesion ≤2 cm</w:t>
      </w:r>
    </w:p>
    <w:p>
      <w:pPr>
        <w:pStyle w:val="ListParagraph"/>
        <w:numPr>
          <w:ilvl w:val="0"/>
          <w:numId w:val="2"/>
        </w:numPr>
        <w:spacing w:after="60" w:line="268"/>
      </w:pPr>
      <w:r>
        <w:rPr>
          <w:color w:val="15181F"/>
          <w:sz w:val="18"/>
          <w:szCs w:val="18"/>
        </w:rPr>
        <w:t xml:space="preserve">ECOG 0</w:t>
      </w:r>
    </w:p>
    <w:p>
      <w:pPr>
        <w:pStyle w:val="ListParagraph"/>
        <w:numPr>
          <w:ilvl w:val="0"/>
          <w:numId w:val="2"/>
        </w:numPr>
        <w:spacing w:after="60" w:line="268"/>
      </w:pPr>
      <w:r>
        <w:rPr>
          <w:color w:val="15181F"/>
          <w:sz w:val="18"/>
          <w:szCs w:val="18"/>
        </w:rPr>
        <w:t xml:space="preserve">Child-Pugh A</w:t>
      </w:r>
    </w:p>
    <w:p>
      <w:pPr>
        <w:pStyle w:val="ListParagraph"/>
        <w:numPr>
          <w:ilvl w:val="0"/>
          <w:numId w:val="2"/>
        </w:numPr>
        <w:spacing w:after="60" w:line="268"/>
      </w:pPr>
      <w:r>
        <w:rPr>
          <w:color w:val="15181F"/>
          <w:sz w:val="18"/>
          <w:szCs w:val="18"/>
        </w:rPr>
        <w:t xml:space="preserve">No clinically significant portal hypertension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100" w:line="276"/>
      </w:pPr>
      <w:r>
        <w:rPr>
          <w:i/>
          <w:iCs/>
          <w:color w:val="5A6069"/>
          <w:sz w:val="17"/>
          <w:szCs w:val="17"/>
        </w:rPr>
        <w:t xml:space="preserve">This order follows the BCLC very-early-stage text, not a survival advantage. BCLC 2026: without CSPH, “liver resection remains the recommended first step”; and “when LT is not feasible, ablation is the recommended option”. The randomised trials do not separate the two on survival, but none of them proves equivalence either. SURF closed at 302 of a planned 600 patients, so it is a failed superiority trial; its final report gave 5-year overall survival of 74.6% versus 70.4% (HR 0.96). Local control is not equal: recurrence at the treated site was 8.0% after resection versus 15.8% after ablation in SURF, and equal survival therefore depends on salvage being available. Chen was analysed per protocol after 21% of its ablation arm crossed to resection, and Ng 2017, cited here for 10-year follow-up, was designed to show ablation superior and did not (10-year overall survival 47.6% versus 41.8%, P = 0.53). What moves a patient between the two is portal pressure, resectability, tumour size and transplant strategy.</w:t>
      </w:r>
    </w:p>
    <w:p>
      <w:pPr>
        <w:spacing w:after="50" w:before="120"/>
        <w:ind w:left="240"/>
      </w:pPr>
      <w:r>
        <w:rPr>
          <w:b/>
          <w:bCs/>
          <w:color w:val="15181F"/>
          <w:sz w:val="19"/>
          <w:szCs w:val="19"/>
        </w:rPr>
        <w:t xml:space="preserve">Resection</w:t>
      </w:r>
      <w:r>
        <w:rPr>
          <w:color w:val="5A6069"/>
          <w:sz w:val="15"/>
          <w:szCs w:val="15"/>
        </w:rPr>
        <w:t xml:space="preserve">   grade A</w:t>
      </w:r>
      <w:r>
        <w:rPr>
          <w:b/>
          <w:bCs/>
          <w:color w:val="8E5008"/>
          <w:spacing w:val="12"/>
          <w:sz w:val="14"/>
          <w:szCs w:val="14"/>
        </w:rPr>
        <w:t xml:space="preserve">   EXPERTISE</w:t>
      </w:r>
    </w:p>
    <w:p>
      <w:pPr>
        <w:spacing w:after="50" w:line="276"/>
        <w:ind w:left="240"/>
      </w:pPr>
      <w:r>
        <w:rPr>
          <w:color w:val="15181F"/>
          <w:sz w:val="18"/>
          <w:szCs w:val="18"/>
        </w:rPr>
        <w:t xml:space="preserve">BCLC 2026 calls liver resection, preferably minimally invasive, the recommended first step when there is no clinically significant portal hypertension.</w:t>
      </w:r>
    </w:p>
    <w:p>
      <w:pPr>
        <w:spacing w:after="50" w:line="276"/>
        <w:ind w:left="240"/>
      </w:pPr>
      <w:r>
        <w:rPr>
          <w:color w:val="15181F"/>
          <w:sz w:val="18"/>
          <w:szCs w:val="18"/>
        </w:rPr>
        <w:t xml:space="preserve">Solitary tumour, adequate future liver remnant, preserved function, acceptable portal-hypertension risk. With mildly increased CSPH, minimally invasive surgery remains an option for a single peripheral tumour with an adequate remnant.</w:t>
      </w:r>
    </w:p>
    <w:p>
      <w:pPr>
        <w:spacing w:after="50"/>
        <w:ind w:left="240"/>
      </w:pPr>
      <w:r>
        <w:rPr>
          <w:b/>
          <w:bCs/>
          <w:color w:val="8C2F26"/>
          <w:sz w:val="18"/>
          <w:szCs w:val="18"/>
        </w:rPr>
        <w:t xml:space="preserve">Caveat. </w:t>
      </w:r>
      <w:r>
        <w:rPr>
          <w:color w:val="15181F"/>
          <w:sz w:val="18"/>
          <w:szCs w:val="18"/>
        </w:rPr>
        <w:t xml:space="preserve">CSPH raises operative risk and should trigger transplant assessment in any patient within Milan — it is not an absolute bar. Record which criterion established it (HVPG, a Baveno specific sign, or non-invasive rule-in) and its value, not just the conclusion.</w:t>
      </w:r>
    </w:p>
    <w:p>
      <w:pPr>
        <w:spacing w:after="60" w:line="276"/>
        <w:ind w:left="240"/>
      </w:pPr>
      <w:r>
        <w:rPr>
          <w:color w:val="5A6069"/>
          <w:sz w:val="16"/>
          <w:szCs w:val="16"/>
        </w:rPr>
        <w:t xml:space="preserve">Sources: BCLC 2026; BCLC 2022; Berzigotti meta-analysis; Yuan 2024 RCT</w:t>
      </w:r>
    </w:p>
    <w:p>
      <w:pPr>
        <w:spacing w:after="50" w:before="120"/>
        <w:ind w:left="240"/>
      </w:pPr>
      <w:r>
        <w:rPr>
          <w:b/>
          <w:bCs/>
          <w:color w:val="15181F"/>
          <w:sz w:val="19"/>
          <w:szCs w:val="19"/>
        </w:rPr>
        <w:t xml:space="preserve">Thermal ablation</w:t>
      </w:r>
      <w:r>
        <w:rPr>
          <w:color w:val="5A6069"/>
          <w:sz w:val="15"/>
          <w:szCs w:val="15"/>
        </w:rPr>
        <w:t xml:space="preserve">   grade A</w:t>
      </w:r>
      <w:r>
        <w:rPr>
          <w:b/>
          <w:bCs/>
          <w:color w:val="8E5008"/>
          <w:spacing w:val="12"/>
          <w:sz w:val="14"/>
          <w:szCs w:val="14"/>
        </w:rPr>
        <w:t xml:space="preserve">   EXPERTISE</w:t>
      </w:r>
    </w:p>
    <w:p>
      <w:pPr>
        <w:spacing w:after="50" w:line="276"/>
        <w:ind w:left="240"/>
      </w:pPr>
      <w:r>
        <w:rPr>
          <w:color w:val="15181F"/>
          <w:sz w:val="18"/>
          <w:szCs w:val="18"/>
        </w:rPr>
        <w:t xml:space="preserve">When transplant is not feasible, ablation is the recommended option — radiofrequency or microwave. No randomised trial separates them — Vietti Violi was a negative superiority trial at a mean lesion size of 18 mm — but BCLC 2026 now prefers microwave up to 3–4 cm. Also the “ablate and wait” strategy: ablate now and consider transplant at recurrence if still within criteria.</w:t>
      </w:r>
    </w:p>
    <w:p>
      <w:pPr>
        <w:spacing w:after="50" w:line="276"/>
        <w:ind w:left="240"/>
      </w:pPr>
      <w:r>
        <w:rPr>
          <w:color w:val="15181F"/>
          <w:sz w:val="18"/>
          <w:szCs w:val="18"/>
        </w:rPr>
        <w:t xml:space="preserve">Tumour ≤3 cm, up to three nodules, with a safe percutaneous route and a circumferential ablative margin achievable. Preferred at ≤2 cm.</w:t>
      </w:r>
    </w:p>
    <w:p>
      <w:pPr>
        <w:spacing w:after="50"/>
        <w:ind w:left="240"/>
      </w:pPr>
      <w:r>
        <w:rPr>
          <w:b/>
          <w:bCs/>
          <w:color w:val="8C2F26"/>
          <w:sz w:val="18"/>
          <w:szCs w:val="18"/>
        </w:rPr>
        <w:t xml:space="preserve">Caveat. </w:t>
      </w:r>
      <w:r>
        <w:rPr>
          <w:color w:val="15181F"/>
          <w:sz w:val="18"/>
          <w:szCs w:val="18"/>
        </w:rPr>
        <w:t xml:space="preserve">Lesions abutting central bile ducts, bowel, gallbladder, diaphragm, heart, or major vessels where a heat sink is expected — use an adjunctive technique or another modality. Also: target not reliably visible, unsafe access, uncorrectable coagulopathy. At 3–5 cm, single-probe ablation alone is not curative-intent therapy. An anatomic contraindication can justify upfront SBRT or Y-90 segmentectomy.</w:t>
      </w:r>
    </w:p>
    <w:p>
      <w:pPr>
        <w:spacing w:after="60" w:line="276"/>
        <w:ind w:left="240"/>
      </w:pPr>
      <w:r>
        <w:rPr>
          <w:color w:val="5A6069"/>
          <w:sz w:val="16"/>
          <w:szCs w:val="16"/>
        </w:rPr>
        <w:t xml:space="preserve">Sources: BCLC 2026; Livraghi; SURF trial; SURF final; MWA vs RFA</w:t>
      </w:r>
    </w:p>
    <w:p>
      <w:pPr>
        <w:spacing w:after="60" w:line="276"/>
        <w:ind w:left="240"/>
      </w:pPr>
      <w:r>
        <w:rPr>
          <w:i/>
          <w:iCs/>
          <w:color w:val="5A6069"/>
          <w:sz w:val="16"/>
          <w:szCs w:val="16"/>
        </w:rPr>
        <w:t xml:space="preserve">Ratification item. The v0.8 BCLC 0 row reads “thermal ablation when a circumferential margin is achievable; resection when anatomy and reserve favour it”, which puts ablation first. That is more permissive than the BCLC 2026 text this roadmap is anchored to, which makes resection the first step in the absence of CSPH and brings ablation in when transplant is not feasible. Hepatology and hepatobiliary surgery should decide which reading the roadmap adopts.</w:t>
      </w:r>
    </w:p>
    <w:p>
      <w:pPr>
        <w:spacing w:after="60" w:before="180"/>
      </w:pPr>
      <w:r>
        <w:rPr>
          <w:b/>
          <w:bCs/>
          <w:color w:val="176A87"/>
          <w:spacing w:val="16"/>
          <w:sz w:val="16"/>
          <w:szCs w:val="16"/>
        </w:rPr>
        <w:t xml:space="preserve">REASONABLE</w:t>
      </w:r>
      <w:r>
        <w:rPr>
          <w:color w:val="5A6069"/>
          <w:sz w:val="16"/>
          <w:szCs w:val="16"/>
        </w:rPr>
        <w:t xml:space="preserve">   grade B</w:t>
      </w:r>
    </w:p>
    <w:p>
      <w:pPr>
        <w:spacing w:after="50" w:before="120"/>
        <w:ind w:left="240"/>
      </w:pPr>
      <w:r>
        <w:rPr>
          <w:b/>
          <w:bCs/>
          <w:color w:val="15181F"/>
          <w:sz w:val="19"/>
          <w:szCs w:val="19"/>
        </w:rPr>
        <w:t xml:space="preserve">Transplant</w:t>
      </w:r>
      <w:r>
        <w:rPr>
          <w:color w:val="5A6069"/>
          <w:sz w:val="15"/>
          <w:szCs w:val="15"/>
        </w:rPr>
        <w:t xml:space="preserve">   grade B</w:t>
      </w:r>
    </w:p>
    <w:p>
      <w:pPr>
        <w:spacing w:after="50" w:line="276"/>
        <w:ind w:left="240"/>
      </w:pPr>
      <w:r>
        <w:rPr>
          <w:color w:val="15181F"/>
          <w:sz w:val="18"/>
          <w:szCs w:val="18"/>
        </w:rPr>
        <w:t xml:space="preserve">Replacing the liver is the better long-term answer.</w:t>
      </w:r>
    </w:p>
    <w:p>
      <w:pPr>
        <w:spacing w:after="50" w:line="276"/>
        <w:ind w:left="240"/>
      </w:pPr>
      <w:r>
        <w:rPr>
          <w:color w:val="15181F"/>
          <w:sz w:val="18"/>
          <w:szCs w:val="18"/>
        </w:rPr>
        <w:t xml:space="preserve">Clinically significant portal hypertension, decompensation, or a recurrence pattern that the liver disease itself is driving.</w:t>
      </w:r>
    </w:p>
    <w:p>
      <w:pPr>
        <w:spacing w:after="50"/>
        <w:ind w:left="240"/>
      </w:pPr>
      <w:r>
        <w:rPr>
          <w:b/>
          <w:bCs/>
          <w:color w:val="8C2F26"/>
          <w:sz w:val="18"/>
          <w:szCs w:val="18"/>
        </w:rPr>
        <w:t xml:space="preserve">Caveat. </w:t>
      </w:r>
      <w:r>
        <w:rPr>
          <w:color w:val="15181F"/>
          <w:sz w:val="18"/>
          <w:szCs w:val="18"/>
        </w:rPr>
        <w:t xml:space="preserve">A solitary lesion &lt;2 cm is OPTN T1 and does not attract exception points — listing must be justified by the liver disease, not the tumour. BCLC 2026 adds that an AFP above 1,000 ng/mL signals an unacceptably high risk of post-transplant recurrence.</w:t>
      </w:r>
    </w:p>
    <w:p>
      <w:pPr>
        <w:spacing w:after="60" w:line="276"/>
        <w:ind w:left="240"/>
      </w:pPr>
      <w:r>
        <w:rPr>
          <w:color w:val="5A6069"/>
          <w:sz w:val="16"/>
          <w:szCs w:val="16"/>
        </w:rPr>
        <w:t xml:space="preserve">Sources: Milan criteria; BCLC 2026</w:t>
      </w:r>
    </w:p>
    <w:p>
      <w:pPr>
        <w:spacing w:after="50" w:before="120"/>
        <w:ind w:left="240"/>
      </w:pPr>
      <w:r>
        <w:rPr>
          <w:b/>
          <w:bCs/>
          <w:color w:val="15181F"/>
          <w:sz w:val="19"/>
          <w:szCs w:val="19"/>
        </w:rPr>
        <w:t xml:space="preserve">Definitive SBRT or Y-90 segmentectomy</w:t>
      </w:r>
      <w:r>
        <w:rPr>
          <w:color w:val="5A6069"/>
          <w:sz w:val="15"/>
          <w:szCs w:val="15"/>
        </w:rPr>
        <w:t xml:space="preserve">   grade B</w:t>
      </w:r>
      <w:r>
        <w:rPr>
          <w:b/>
          <w:bCs/>
          <w:color w:val="8E5008"/>
          <w:spacing w:val="12"/>
          <w:sz w:val="14"/>
          <w:szCs w:val="14"/>
        </w:rPr>
        <w:t xml:space="preserve">   DOSIMETRY</w:t>
      </w:r>
      <w:r>
        <w:rPr>
          <w:b/>
          <w:bCs/>
          <w:color w:val="8E5008"/>
          <w:spacing w:val="12"/>
          <w:sz w:val="14"/>
          <w:szCs w:val="14"/>
        </w:rPr>
        <w:t xml:space="preserve">   EXPERTISE</w:t>
      </w:r>
    </w:p>
    <w:p>
      <w:pPr>
        <w:spacing w:after="50" w:line="276"/>
        <w:ind w:left="240"/>
      </w:pPr>
      <w:r>
        <w:rPr>
          <w:color w:val="15181F"/>
          <w:sz w:val="18"/>
          <w:szCs w:val="18"/>
        </w:rPr>
        <w:t xml:space="preserve">May be discussed when surgery and thermal ablation are unsuitable. This does not require prior TACE.</w:t>
      </w:r>
    </w:p>
    <w:p>
      <w:pPr>
        <w:spacing w:after="50" w:line="276"/>
        <w:ind w:left="240"/>
      </w:pPr>
      <w:r>
        <w:rPr>
          <w:color w:val="15181F"/>
          <w:sz w:val="18"/>
          <w:szCs w:val="18"/>
        </w:rPr>
        <w:t xml:space="preserve">SBRT: difficult access or vessel-adjacent target with adequate uninvolved liver. Segmentectomy: solitary localized tumour with full arterial coverage and ablative dosimetry.</w:t>
      </w:r>
    </w:p>
    <w:p>
      <w:pPr>
        <w:spacing w:after="50"/>
        <w:ind w:left="240"/>
      </w:pPr>
      <w:r>
        <w:rPr>
          <w:b/>
          <w:bCs/>
          <w:color w:val="8C2F26"/>
          <w:sz w:val="18"/>
          <w:szCs w:val="18"/>
        </w:rPr>
        <w:t xml:space="preserve">Caveat. </w:t>
      </w:r>
      <w:r>
        <w:rPr>
          <w:color w:val="15181F"/>
          <w:sz w:val="18"/>
          <w:szCs w:val="18"/>
        </w:rPr>
        <w:t xml:space="preserve">SBRT — insufficient uninvolved liver, refractory ascites, unsafe dose to adjacent bowel or stomach, overlapping prior dose, decompensation. Segmentectomy — hepatic reserve inadequate for the treated volume, unsafe lung-shunt fraction or non-target flow, personalised dosimetry unavailable.</w:t>
      </w:r>
    </w:p>
    <w:p>
      <w:pPr>
        <w:spacing w:after="60" w:line="276"/>
        <w:ind w:left="240"/>
      </w:pPr>
      <w:r>
        <w:rPr>
          <w:color w:val="5A6069"/>
          <w:sz w:val="16"/>
          <w:szCs w:val="16"/>
        </w:rPr>
        <w:t xml:space="preserve">Sources: RASER; LEGACY; SBRT vs RFA; ASTRO EBRT</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Indiscriminate embolisation or radiation when a better-suited established curative option is available. Selected definitive segmentectomy or SBRT remains permissible.</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A · Early</w:t>
      </w:r>
    </w:p>
    <w:p>
      <w:pPr>
        <w:spacing w:after="140"/>
      </w:pPr>
      <w:r>
        <w:rPr>
          <w:b/>
          <w:bCs/>
          <w:color w:val="176A87"/>
          <w:sz w:val="19"/>
          <w:szCs w:val="19"/>
        </w:rPr>
        <w:t xml:space="preserve">The question. </w:t>
      </w:r>
      <w:r>
        <w:rPr>
          <w:sz w:val="19"/>
          <w:szCs w:val="19"/>
        </w:rPr>
        <w:t xml:space="preserve">Can every nodule be treated with curative intent — and is replacing the liver the better long-term answer than resecting or ablating part of it?</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Solitary of any size, or ≤3 nodules each ≤3 cm</w:t>
      </w:r>
    </w:p>
    <w:p>
      <w:pPr>
        <w:pStyle w:val="ListParagraph"/>
        <w:numPr>
          <w:ilvl w:val="0"/>
          <w:numId w:val="2"/>
        </w:numPr>
        <w:spacing w:after="60" w:line="268"/>
      </w:pPr>
      <w:r>
        <w:rPr>
          <w:color w:val="15181F"/>
          <w:sz w:val="18"/>
          <w:szCs w:val="18"/>
        </w:rPr>
        <w:t xml:space="preserve">ECOG 0</w:t>
      </w:r>
    </w:p>
    <w:p>
      <w:pPr>
        <w:pStyle w:val="ListParagraph"/>
        <w:numPr>
          <w:ilvl w:val="0"/>
          <w:numId w:val="2"/>
        </w:numPr>
        <w:spacing w:after="60" w:line="268"/>
      </w:pPr>
      <w:r>
        <w:rPr>
          <w:color w:val="15181F"/>
          <w:sz w:val="18"/>
          <w:szCs w:val="18"/>
        </w:rPr>
        <w:t xml:space="preserve">Preserved liver function</w:t>
      </w:r>
    </w:p>
    <w:p>
      <w:pPr>
        <w:pStyle w:val="ListParagraph"/>
        <w:numPr>
          <w:ilvl w:val="0"/>
          <w:numId w:val="2"/>
        </w:numPr>
        <w:spacing w:after="60" w:line="268"/>
      </w:pPr>
      <w:r>
        <w:rPr>
          <w:color w:val="15181F"/>
          <w:sz w:val="18"/>
          <w:szCs w:val="18"/>
        </w:rPr>
        <w:t xml:space="preserve">No macrovascular invasion or extrahepatic spread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100" w:line="276"/>
      </w:pPr>
      <w:r>
        <w:rPr>
          <w:i/>
          <w:iCs/>
          <w:color w:val="5A6069"/>
          <w:sz w:val="17"/>
          <w:szCs w:val="17"/>
        </w:rPr>
        <w:t xml:space="preserve">These are three destinations, not a ranking. No comparative evidence orders them at this stage, and v0.8 requires a multidisciplinary comparison of all three rather than a sequence. SURF did not demonstrate superior recurrence-free survival for resection in ≤3 cm disease, but non-inferiority was never formally established and the trial was underpowered — so for this phenotype resection and ablation are reasonable alternatives selected on anatomy, reserve and access, not proven equivalent. What decides is the condition beside each option.</w:t>
      </w:r>
    </w:p>
    <w:p>
      <w:pPr>
        <w:spacing w:after="50" w:before="120"/>
        <w:ind w:left="240"/>
      </w:pPr>
      <w:r>
        <w:rPr>
          <w:b/>
          <w:bCs/>
          <w:color w:val="15181F"/>
          <w:sz w:val="19"/>
          <w:szCs w:val="19"/>
        </w:rPr>
        <w:t xml:space="preserve">Resection</w:t>
      </w:r>
      <w:r>
        <w:rPr>
          <w:color w:val="5A6069"/>
          <w:sz w:val="15"/>
          <w:szCs w:val="15"/>
        </w:rPr>
        <w:t xml:space="preserve">   grade A</w:t>
      </w:r>
      <w:r>
        <w:rPr>
          <w:b/>
          <w:bCs/>
          <w:color w:val="8E5008"/>
          <w:spacing w:val="12"/>
          <w:sz w:val="14"/>
          <w:szCs w:val="14"/>
        </w:rPr>
        <w:t xml:space="preserve">   EXPERTISE</w:t>
      </w:r>
    </w:p>
    <w:p>
      <w:pPr>
        <w:spacing w:after="50" w:line="276"/>
        <w:ind w:left="240"/>
      </w:pPr>
      <w:r>
        <w:rPr>
          <w:color w:val="15181F"/>
          <w:sz w:val="18"/>
          <w:szCs w:val="18"/>
        </w:rPr>
        <w:t xml:space="preserve">The only curative option that scales above 3 cm. Resectability in selected multifocal or larger tumours is determined by expert hepatobiliary review, not by size alone.</w:t>
      </w:r>
    </w:p>
    <w:p>
      <w:pPr>
        <w:spacing w:after="50" w:line="276"/>
        <w:ind w:left="240"/>
      </w:pPr>
      <w:r>
        <w:rPr>
          <w:color w:val="15181F"/>
          <w:sz w:val="18"/>
          <w:szCs w:val="18"/>
        </w:rPr>
        <w:t xml:space="preserve">Solitary tumour, adequate future liver remnant, no clinically significant portal hypertension.</w:t>
      </w:r>
    </w:p>
    <w:p>
      <w:pPr>
        <w:spacing w:after="50"/>
        <w:ind w:left="240"/>
      </w:pPr>
      <w:r>
        <w:rPr>
          <w:b/>
          <w:bCs/>
          <w:color w:val="8C2F26"/>
          <w:sz w:val="18"/>
          <w:szCs w:val="18"/>
        </w:rPr>
        <w:t xml:space="preserve">Caveat. </w:t>
      </w:r>
      <w:r>
        <w:rPr>
          <w:color w:val="15181F"/>
          <w:sz w:val="18"/>
          <w:szCs w:val="18"/>
        </w:rPr>
        <w:t xml:space="preserve">Preserved Child-Pugh and MELD do not establish the absence of portal hypertension — see the CSPH gate under Curative. Adjuvant atezolizumab–bevacizumab is not recommended afterwards.</w:t>
      </w:r>
    </w:p>
    <w:p>
      <w:pPr>
        <w:spacing w:after="60" w:line="276"/>
        <w:ind w:left="240"/>
      </w:pPr>
      <w:r>
        <w:rPr>
          <w:color w:val="5A6069"/>
          <w:sz w:val="16"/>
          <w:szCs w:val="16"/>
        </w:rPr>
        <w:t xml:space="preserve">Sources: BCLC 2026; Berzigotti meta-analysis; Yuan 2024 RCT; IMbrave050 update</w:t>
      </w:r>
    </w:p>
    <w:p>
      <w:pPr>
        <w:spacing w:after="50" w:before="120"/>
        <w:ind w:left="240"/>
      </w:pPr>
      <w:r>
        <w:rPr>
          <w:b/>
          <w:bCs/>
          <w:color w:val="15181F"/>
          <w:sz w:val="19"/>
          <w:szCs w:val="19"/>
        </w:rPr>
        <w:t xml:space="preserve">Thermal ablation</w:t>
      </w:r>
      <w:r>
        <w:rPr>
          <w:color w:val="5A6069"/>
          <w:sz w:val="15"/>
          <w:szCs w:val="15"/>
        </w:rPr>
        <w:t xml:space="preserve">   grade A</w:t>
      </w:r>
      <w:r>
        <w:rPr>
          <w:b/>
          <w:bCs/>
          <w:color w:val="8E5008"/>
          <w:spacing w:val="12"/>
          <w:sz w:val="14"/>
          <w:szCs w:val="14"/>
        </w:rPr>
        <w:t xml:space="preserve">   EXPERTISE</w:t>
      </w:r>
    </w:p>
    <w:p>
      <w:pPr>
        <w:spacing w:after="50" w:line="276"/>
        <w:ind w:left="240"/>
      </w:pPr>
      <w:r>
        <w:rPr>
          <w:color w:val="15181F"/>
          <w:sz w:val="18"/>
          <w:szCs w:val="18"/>
        </w:rPr>
        <w:t xml:space="preserve">Local curative treatment with a circumferential ablative margin. Microwave or radiofrequency. BCLC 2026 prefers microwave up to 3–4 cm; no randomised trial has shown a difference, so below that the choice is operational.</w:t>
      </w:r>
    </w:p>
    <w:p>
      <w:pPr>
        <w:spacing w:after="50" w:line="276"/>
        <w:ind w:left="240"/>
      </w:pPr>
      <w:r>
        <w:rPr>
          <w:color w:val="15181F"/>
          <w:sz w:val="18"/>
          <w:szCs w:val="18"/>
        </w:rPr>
        <w:t xml:space="preserve">Tumours ≤3 cm, up to three nodules, safe percutaneous route, complete margin achievable. Also recurrence treatment and transplant bridge.</w:t>
      </w:r>
    </w:p>
    <w:p>
      <w:pPr>
        <w:spacing w:after="50"/>
        <w:ind w:left="240"/>
      </w:pPr>
      <w:r>
        <w:rPr>
          <w:b/>
          <w:bCs/>
          <w:color w:val="8C2F26"/>
          <w:sz w:val="18"/>
          <w:szCs w:val="18"/>
        </w:rPr>
        <w:t xml:space="preserve">Caveat. </w:t>
      </w:r>
      <w:r>
        <w:rPr>
          <w:color w:val="15181F"/>
          <w:sz w:val="18"/>
          <w:szCs w:val="18"/>
        </w:rPr>
        <w:t xml:space="preserve">Lesions abutting central bile ducts, bowel, gallbladder, diaphragm, heart, or major vessels with an expected heat sink — use an adjunctive technique or another modality. Target not reliably visible, unsafe access, uncorrectable coagulopathy. At 3–5 cm, single-probe ablation alone must not be presented as curative-intent therapy; combined or alternative approaches are selected in the MDT.</w:t>
      </w:r>
    </w:p>
    <w:p>
      <w:pPr>
        <w:spacing w:after="60" w:line="276"/>
        <w:ind w:left="240"/>
      </w:pPr>
      <w:r>
        <w:rPr>
          <w:color w:val="5A6069"/>
          <w:sz w:val="16"/>
          <w:szCs w:val="16"/>
        </w:rPr>
        <w:t xml:space="preserve">Sources: SURF trial; SURF final; MWA vs RFA</w:t>
      </w:r>
    </w:p>
    <w:p>
      <w:pPr>
        <w:spacing w:after="50" w:before="120"/>
        <w:ind w:left="240"/>
      </w:pPr>
      <w:r>
        <w:rPr>
          <w:b/>
          <w:bCs/>
          <w:color w:val="15181F"/>
          <w:sz w:val="19"/>
          <w:szCs w:val="19"/>
        </w:rPr>
        <w:t xml:space="preserve">Transplant</w:t>
      </w:r>
      <w:r>
        <w:rPr>
          <w:color w:val="5A6069"/>
          <w:sz w:val="15"/>
          <w:szCs w:val="15"/>
        </w:rPr>
        <w:t xml:space="preserve">   grade A</w:t>
      </w:r>
    </w:p>
    <w:p>
      <w:pPr>
        <w:spacing w:after="50" w:line="276"/>
        <w:ind w:left="240"/>
      </w:pPr>
      <w:r>
        <w:rPr>
          <w:color w:val="15181F"/>
          <w:sz w:val="18"/>
          <w:szCs w:val="18"/>
        </w:rPr>
        <w:t xml:space="preserve">The right answer rather than a fallback when portal hypertension, decompensation or a recurrence pattern makes the liver itself the problem.</w:t>
      </w:r>
    </w:p>
    <w:p>
      <w:pPr>
        <w:spacing w:after="50" w:line="276"/>
        <w:ind w:left="240"/>
      </w:pPr>
      <w:r>
        <w:rPr>
          <w:color w:val="15181F"/>
          <w:sz w:val="18"/>
          <w:szCs w:val="18"/>
        </w:rPr>
        <w:t xml:space="preserve">Within Milan / OPTN T2: one lesion 2–5 cm, or 2–3 lesions each 1–3 cm, AFP ≤1,000 ng/mL. Refer early.</w:t>
      </w:r>
    </w:p>
    <w:p>
      <w:pPr>
        <w:spacing w:after="50"/>
        <w:ind w:left="240"/>
      </w:pPr>
      <w:r>
        <w:rPr>
          <w:b/>
          <w:bCs/>
          <w:color w:val="8C2F26"/>
          <w:sz w:val="18"/>
          <w:szCs w:val="18"/>
        </w:rPr>
        <w:t xml:space="preserve">Caveat. </w:t>
      </w:r>
      <w:r>
        <w:rPr>
          <w:color w:val="15181F"/>
          <w:sz w:val="18"/>
          <w:szCs w:val="18"/>
        </w:rPr>
        <w:t xml:space="preserve">Macrovascular invasion or extrahepatic spread excludes the HCC exception — categorical, and not subject to stage migration or local override. An AFP that has ever exceeded 1,000 ng/mL blocks the standard exception until it falls below 500 and stays there. Serial locoregional procedures accumulated while a referral is pending are a recognised failure mode of this pathway.</w:t>
      </w:r>
    </w:p>
    <w:p>
      <w:pPr>
        <w:spacing w:after="60" w:line="276"/>
        <w:ind w:left="240"/>
      </w:pPr>
      <w:r>
        <w:rPr>
          <w:color w:val="5A6069"/>
          <w:sz w:val="16"/>
          <w:szCs w:val="16"/>
        </w:rPr>
        <w:t xml:space="preserve">Sources: Milan criteria; MERITS-LT</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v0.8 removed the requirement that all three curative options be documented unsuitable first. These enter after a multidisciplinary comparison of resection, thermal ablation and transplant, not after a failure.</w:t>
      </w:r>
    </w:p>
    <w:p>
      <w:pPr>
        <w:spacing w:after="50" w:before="120"/>
        <w:ind w:left="240"/>
      </w:pPr>
      <w:r>
        <w:rPr>
          <w:b/>
          <w:bCs/>
          <w:color w:val="15181F"/>
          <w:sz w:val="19"/>
          <w:szCs w:val="19"/>
        </w:rPr>
        <w:t xml:space="preserve">Radiation segmentectomy</w:t>
      </w:r>
      <w:r>
        <w:rPr>
          <w:color w:val="5A6069"/>
          <w:sz w:val="15"/>
          <w:szCs w:val="15"/>
        </w:rPr>
        <w:t xml:space="preserve">   grade C</w:t>
      </w:r>
      <w:r>
        <w:rPr>
          <w:b/>
          <w:bCs/>
          <w:color w:val="8E5008"/>
          <w:spacing w:val="12"/>
          <w:sz w:val="14"/>
          <w:szCs w:val="14"/>
        </w:rPr>
        <w:t xml:space="preserve">   DOSIMETRY</w:t>
      </w:r>
      <w:r>
        <w:rPr>
          <w:b/>
          <w:bCs/>
          <w:color w:val="8E5008"/>
          <w:spacing w:val="12"/>
          <w:sz w:val="14"/>
          <w:szCs w:val="14"/>
        </w:rPr>
        <w:t xml:space="preserve">   EXPERTISE</w:t>
      </w:r>
      <w:r>
        <w:rPr>
          <w:b/>
          <w:bCs/>
          <w:color w:val="8E5008"/>
          <w:spacing w:val="12"/>
          <w:sz w:val="14"/>
          <w:szCs w:val="14"/>
        </w:rPr>
        <w:t xml:space="preserve">   PAYER</w:t>
      </w:r>
    </w:p>
    <w:p>
      <w:pPr>
        <w:spacing w:after="50" w:line="276"/>
        <w:ind w:left="240"/>
      </w:pPr>
      <w:r>
        <w:rPr>
          <w:color w:val="15181F"/>
          <w:sz w:val="18"/>
          <w:szCs w:val="18"/>
        </w:rPr>
        <w:t xml:space="preserve">Y-90 to one or two segments, as a selected definitive curative-intent option.</w:t>
      </w:r>
    </w:p>
    <w:p>
      <w:pPr>
        <w:spacing w:after="50" w:line="276"/>
        <w:ind w:left="240"/>
      </w:pPr>
      <w:r>
        <w:rPr>
          <w:color w:val="15181F"/>
          <w:sz w:val="18"/>
          <w:szCs w:val="18"/>
        </w:rPr>
        <w:t xml:space="preserve">Solitary localized HCC with ablation unsuitable, full arterial coverage and ablative dosimetry. Strongest prospective evidence is solitary ≤3 cm.</w:t>
      </w:r>
    </w:p>
    <w:p>
      <w:pPr>
        <w:spacing w:after="50"/>
        <w:ind w:left="240"/>
      </w:pPr>
      <w:r>
        <w:rPr>
          <w:b/>
          <w:bCs/>
          <w:color w:val="8C2F26"/>
          <w:sz w:val="18"/>
          <w:szCs w:val="18"/>
        </w:rPr>
        <w:t xml:space="preserve">Caveat. </w:t>
      </w:r>
      <w:r>
        <w:rPr>
          <w:color w:val="15181F"/>
          <w:sz w:val="18"/>
          <w:szCs w:val="18"/>
        </w:rPr>
        <w:t xml:space="preserve">Hepatic reserve inadequate for the treated volume, unsafe lung-shunt fraction or non-target flow, overlapping prior radiation dose, personalised dosimetry unavailable.</w:t>
      </w:r>
    </w:p>
    <w:p>
      <w:pPr>
        <w:spacing w:after="60" w:line="276"/>
        <w:ind w:left="240"/>
      </w:pPr>
      <w:r>
        <w:rPr>
          <w:color w:val="5A6069"/>
          <w:sz w:val="16"/>
          <w:szCs w:val="16"/>
        </w:rPr>
        <w:t xml:space="preserve">Sources: LEGACY; RASER; NCCN v2.2026</w:t>
      </w:r>
    </w:p>
    <w:p>
      <w:pPr>
        <w:spacing w:after="50" w:before="120"/>
        <w:ind w:left="240"/>
      </w:pPr>
      <w:r>
        <w:rPr>
          <w:b/>
          <w:bCs/>
          <w:color w:val="15181F"/>
          <w:sz w:val="19"/>
          <w:szCs w:val="19"/>
        </w:rPr>
        <w:t xml:space="preserve">SBRT</w:t>
      </w:r>
      <w:r>
        <w:rPr>
          <w:color w:val="5A6069"/>
          <w:sz w:val="15"/>
          <w:szCs w:val="15"/>
        </w:rPr>
        <w:t xml:space="preserve">   grade B</w:t>
      </w:r>
      <w:r>
        <w:rPr>
          <w:b/>
          <w:bCs/>
          <w:color w:val="8E5008"/>
          <w:spacing w:val="12"/>
          <w:sz w:val="14"/>
          <w:szCs w:val="14"/>
        </w:rPr>
        <w:t xml:space="preserve">   EXPERTISE</w:t>
      </w:r>
    </w:p>
    <w:p>
      <w:pPr>
        <w:spacing w:after="50" w:line="276"/>
        <w:ind w:left="240"/>
      </w:pPr>
      <w:r>
        <w:rPr>
          <w:color w:val="15181F"/>
          <w:sz w:val="18"/>
          <w:szCs w:val="18"/>
        </w:rPr>
        <w:t xml:space="preserve">Selected definitive alternative. No prior treatment failure is required — catheter therapy need not fail first.</w:t>
      </w:r>
    </w:p>
    <w:p>
      <w:pPr>
        <w:spacing w:after="50" w:line="276"/>
        <w:ind w:left="240"/>
      </w:pPr>
      <w:r>
        <w:rPr>
          <w:color w:val="15181F"/>
          <w:sz w:val="18"/>
          <w:szCs w:val="18"/>
        </w:rPr>
        <w:t xml:space="preserve">Target unsuitable for both ablation and surgery, including difficult access and vessel-adjacent lesions, with preserved liver function and adequate uninvolved liver.</w:t>
      </w:r>
    </w:p>
    <w:p>
      <w:pPr>
        <w:spacing w:after="50"/>
        <w:ind w:left="240"/>
      </w:pPr>
      <w:r>
        <w:rPr>
          <w:b/>
          <w:bCs/>
          <w:color w:val="8C2F26"/>
          <w:sz w:val="18"/>
          <w:szCs w:val="18"/>
        </w:rPr>
        <w:t xml:space="preserve">Caveat. </w:t>
      </w:r>
      <w:r>
        <w:rPr>
          <w:color w:val="15181F"/>
          <w:sz w:val="18"/>
          <w:szCs w:val="18"/>
        </w:rPr>
        <w:t xml:space="preserve">Insufficient uninvolved liver, refractory ascites, unsafe dose to adjacent bowel or stomach, overlapping prior dose, decompensation.</w:t>
      </w:r>
    </w:p>
    <w:p>
      <w:pPr>
        <w:spacing w:after="60" w:line="276"/>
        <w:ind w:left="240"/>
      </w:pPr>
      <w:r>
        <w:rPr>
          <w:color w:val="5A6069"/>
          <w:sz w:val="16"/>
          <w:szCs w:val="16"/>
        </w:rPr>
        <w:t xml:space="preserve">Sources: SBRT vs RFA; ASTRO EBRT</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Serial locoregional therapy that delays transplant referral or consumes hepatic reserve.</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B · Intermediate</w:t>
      </w:r>
    </w:p>
    <w:p>
      <w:pPr>
        <w:spacing w:after="140"/>
      </w:pPr>
      <w:r>
        <w:rPr>
          <w:b/>
          <w:bCs/>
          <w:color w:val="176A87"/>
          <w:sz w:val="19"/>
          <w:szCs w:val="19"/>
        </w:rPr>
        <w:t xml:space="preserve">The question. </w:t>
      </w:r>
      <w:r>
        <w:rPr>
          <w:sz w:val="19"/>
          <w:szCs w:val="19"/>
        </w:rPr>
        <w:t xml:space="preserve">This liver-confined burden is beyond a curative resection or ablation: what is the declared endpoint of the next locoregional treatment, and what stops it being repeated into liver failure?</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Multinodular, beyond stage A</w:t>
      </w:r>
    </w:p>
    <w:p>
      <w:pPr>
        <w:pStyle w:val="ListParagraph"/>
        <w:numPr>
          <w:ilvl w:val="0"/>
          <w:numId w:val="2"/>
        </w:numPr>
        <w:spacing w:after="60" w:line="268"/>
      </w:pPr>
      <w:r>
        <w:rPr>
          <w:color w:val="15181F"/>
          <w:sz w:val="18"/>
          <w:szCs w:val="18"/>
        </w:rPr>
        <w:t xml:space="preserve">Liver-confined</w:t>
      </w:r>
    </w:p>
    <w:p>
      <w:pPr>
        <w:pStyle w:val="ListParagraph"/>
        <w:numPr>
          <w:ilvl w:val="0"/>
          <w:numId w:val="2"/>
        </w:numPr>
        <w:spacing w:after="60" w:line="268"/>
      </w:pPr>
      <w:r>
        <w:rPr>
          <w:color w:val="15181F"/>
          <w:sz w:val="18"/>
          <w:szCs w:val="18"/>
        </w:rPr>
        <w:t xml:space="preserve">ECOG 0</w:t>
      </w:r>
    </w:p>
    <w:p>
      <w:pPr>
        <w:pStyle w:val="ListParagraph"/>
        <w:numPr>
          <w:ilvl w:val="0"/>
          <w:numId w:val="2"/>
        </w:numPr>
        <w:spacing w:after="60" w:line="268"/>
      </w:pPr>
      <w:r>
        <w:rPr>
          <w:color w:val="15181F"/>
          <w:sz w:val="18"/>
          <w:szCs w:val="18"/>
        </w:rPr>
        <w:t xml:space="preserve">Preserved liver function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rPr>
          <w:color w:val="15181F"/>
          <w:sz w:val="19"/>
          <w:szCs w:val="19"/>
        </w:rPr>
        <w:t xml:space="preserve">Superselective conventional or drug-eluting-bead TACE. Bead choice is not the decision that matters — selectivity, a pre-declared response endpoint and stop rules govern the outcome.</w:t>
      </w:r>
    </w:p>
    <w:p>
      <w:pPr>
        <w:spacing w:after="50" w:line="276"/>
        <w:ind w:left="240"/>
      </w:pPr>
      <w:r>
        <w:rPr>
          <w:color w:val="15181F"/>
          <w:sz w:val="18"/>
          <w:szCs w:val="18"/>
        </w:rPr>
        <w:t xml:space="preserve">Multinodular arterialised liver-confined disease, preserved reserve, patent portal flow, superselective access achievable. Also bridge or downstage.</w:t>
      </w:r>
    </w:p>
    <w:p>
      <w:pPr>
        <w:spacing w:after="50"/>
        <w:ind w:left="240"/>
      </w:pPr>
      <w:r>
        <w:rPr>
          <w:b/>
          <w:bCs/>
          <w:color w:val="8C2F26"/>
          <w:sz w:val="18"/>
          <w:szCs w:val="18"/>
        </w:rPr>
        <w:t xml:space="preserve">Caveat. </w:t>
      </w:r>
      <w:r>
        <w:rPr>
          <w:color w:val="15181F"/>
          <w:sz w:val="18"/>
          <w:szCs w:val="18"/>
        </w:rPr>
        <w:t xml:space="preserve">Decompensation, ALBI grade 3, diffuse or infiltrative pattern, impaired portal flow, renal or infection risk, and inadequate benefit despite technically adequate treatment. Reassess after each session rather than against a fixed session count.</w:t>
      </w:r>
    </w:p>
    <w:p>
      <w:pPr>
        <w:spacing w:after="50" w:line="276"/>
        <w:ind w:left="240"/>
      </w:pPr>
      <w:r>
        <w:rPr>
          <w:i/>
          <w:iCs/>
          <w:color w:val="5A6069"/>
          <w:sz w:val="17"/>
          <w:szCs w:val="17"/>
        </w:rPr>
        <w:t xml:space="preserve">Usually the goal is control or transplant bridge and downstaging. EASL permits selected curative-intent use when other local options are infeasible — label that a weaker-evidence fallback, not equivalent to margin-complete ablation or radiation segmentectomy. Drug-eluting beads did not meet the response primary endpoint against conventional TACE and no consistent survival difference has been shown; bead choice is not the decision that matters. Repeated ineffective treatment consumes liver reserve. No automatic two-session rule without MDT context.</w:t>
      </w:r>
    </w:p>
    <w:p>
      <w:pPr>
        <w:spacing w:after="60" w:line="276"/>
        <w:ind w:left="240"/>
      </w:pPr>
      <w:r>
        <w:rPr>
          <w:color w:val="5A6069"/>
          <w:sz w:val="16"/>
          <w:szCs w:val="16"/>
        </w:rPr>
        <w:t xml:space="preserve">Sources: PRECISION V; DEB vs cTACE; EASL 2025</w:t>
      </w:r>
    </w:p>
    <w:p>
      <w:pPr>
        <w:spacing w:after="60" w:before="180"/>
      </w:pPr>
      <w:r>
        <w:rPr>
          <w:b/>
          <w:bCs/>
          <w:color w:val="176A87"/>
          <w:spacing w:val="16"/>
          <w:sz w:val="16"/>
          <w:szCs w:val="16"/>
        </w:rPr>
        <w:t xml:space="preserve">REASONABLE</w:t>
      </w:r>
      <w:r>
        <w:rPr>
          <w:color w:val="5A6069"/>
          <w:sz w:val="16"/>
          <w:szCs w:val="16"/>
        </w:rPr>
        <w:t xml:space="preserve">   grade B</w:t>
      </w:r>
      <w:r>
        <w:rPr>
          <w:b/>
          <w:bCs/>
          <w:color w:val="8E5008"/>
          <w:spacing w:val="12"/>
          <w:sz w:val="14"/>
          <w:szCs w:val="14"/>
        </w:rPr>
        <w:t xml:space="preserve">   DOSIMETRY</w:t>
      </w:r>
      <w:r>
        <w:rPr>
          <w:b/>
          <w:bCs/>
          <w:color w:val="8E5008"/>
          <w:spacing w:val="12"/>
          <w:sz w:val="14"/>
          <w:szCs w:val="14"/>
        </w:rPr>
        <w:t xml:space="preserve">   PAYER</w:t>
      </w:r>
    </w:p>
    <w:p>
      <w:pPr>
        <w:spacing w:after="60" w:line="276"/>
      </w:pPr>
      <w:r>
        <w:rPr>
          <w:color w:val="15181F"/>
          <w:sz w:val="19"/>
          <w:szCs w:val="19"/>
        </w:rPr>
        <w:t xml:space="preserve">Lobar radioembolisation with Y-90.</w:t>
      </w:r>
    </w:p>
    <w:p>
      <w:pPr>
        <w:spacing w:after="50" w:line="276"/>
        <w:ind w:left="240"/>
      </w:pPr>
      <w:r>
        <w:rPr>
          <w:color w:val="15181F"/>
          <w:sz w:val="18"/>
          <w:szCs w:val="18"/>
        </w:rPr>
        <w:t xml:space="preserve">Unilobar or segment-dominant burden; TACE intolerance or failure; planned radiation lobectomy with contralateral hypertrophy; selected portal-vein tumour thrombus.</w:t>
      </w:r>
    </w:p>
    <w:p>
      <w:pPr>
        <w:spacing w:after="50"/>
        <w:ind w:left="240"/>
      </w:pPr>
      <w:r>
        <w:rPr>
          <w:b/>
          <w:bCs/>
          <w:color w:val="8C2F26"/>
          <w:sz w:val="18"/>
          <w:szCs w:val="18"/>
        </w:rPr>
        <w:t xml:space="preserve">Caveat. </w:t>
      </w:r>
      <w:r>
        <w:rPr>
          <w:color w:val="15181F"/>
          <w:sz w:val="18"/>
          <w:szCs w:val="18"/>
        </w:rPr>
        <w:t xml:space="preserve">High-volume bilobar replacement, hyperbilirubinaemia, unsafe shunt fraction, inadequate future remnant, decompensation.</w:t>
      </w:r>
    </w:p>
    <w:p>
      <w:pPr>
        <w:spacing w:after="50" w:line="276"/>
        <w:ind w:left="240"/>
      </w:pPr>
      <w:r>
        <w:rPr>
          <w:i/>
          <w:iCs/>
          <w:color w:val="5A6069"/>
          <w:sz w:val="17"/>
          <w:szCs w:val="17"/>
        </w:rPr>
        <w:t xml:space="preserve">SARAH (n=467) and SIRveNIB (n=360) showed no survival advantage over sorafenib in locally advanced HCC without extrahepatic spread. DOSISPHERE-01 (n=60, open label) improved response and overall survival with personalised versus standard dosimetry, but overall survival was a secondary endpoint confounded by later resection in 36% versus 4%, and it did not compare Y-90 with resection, ablation or a modern systemic regimen.</w:t>
      </w:r>
    </w:p>
    <w:p>
      <w:pPr>
        <w:spacing w:after="60" w:line="276"/>
        <w:ind w:left="240"/>
      </w:pPr>
      <w:r>
        <w:rPr>
          <w:color w:val="5A6069"/>
          <w:sz w:val="16"/>
          <w:szCs w:val="16"/>
        </w:rPr>
        <w:t xml:space="preserve">Sources: PREMIERE; TRACE; DOSISPHERE-01</w:t>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rPr>
          <w:color w:val="15181F"/>
          <w:sz w:val="19"/>
          <w:szCs w:val="19"/>
        </w:rPr>
        <w:t xml:space="preserve">Systemic therapy as deliberate stage migration.</w:t>
      </w:r>
    </w:p>
    <w:p>
      <w:pPr>
        <w:spacing w:after="50" w:line="276"/>
        <w:ind w:left="240"/>
      </w:pPr>
      <w:r>
        <w:rPr>
          <w:color w:val="15181F"/>
          <w:sz w:val="18"/>
          <w:szCs w:val="18"/>
        </w:rPr>
        <w:t xml:space="preserve">Diffuse, high-burden or TACE-unsuitable disease.</w:t>
      </w:r>
    </w:p>
    <w:p>
      <w:pPr>
        <w:spacing w:after="50"/>
        <w:ind w:left="240"/>
      </w:pPr>
      <w:r>
        <w:rPr>
          <w:b/>
          <w:bCs/>
          <w:color w:val="8C2F26"/>
          <w:sz w:val="18"/>
          <w:szCs w:val="18"/>
        </w:rPr>
        <w:t xml:space="preserve">Caveat. </w:t>
      </w:r>
      <w:r>
        <w:rPr>
          <w:color w:val="15181F"/>
          <w:sz w:val="18"/>
          <w:szCs w:val="18"/>
        </w:rPr>
        <w:t xml:space="preserve">Pivotal evidence is Child-Pugh A and ECOG 0–1. Document variceal assessment and treat high-risk varices before the first dose of atezolizumab–bevacizumab.</w:t>
      </w:r>
    </w:p>
    <w:p>
      <w:pPr>
        <w:spacing w:after="60" w:line="276"/>
        <w:ind w:left="240"/>
      </w:pPr>
      <w:r>
        <w:rPr>
          <w:color w:val="5A6069"/>
          <w:sz w:val="16"/>
          <w:szCs w:val="16"/>
        </w:rPr>
        <w:t xml:space="preserve">Sources: IMbrave150; HIMALAYA / STRIDE; CheckMate 9DW</w:t>
      </w:r>
    </w:p>
    <w:p>
      <w:pPr>
        <w:spacing w:after="60" w:before="180"/>
      </w:pPr>
      <w:r>
        <w:rPr>
          <w:b/>
          <w:bCs/>
          <w:color w:val="176A87"/>
          <w:spacing w:val="16"/>
          <w:sz w:val="16"/>
          <w:szCs w:val="16"/>
        </w:rPr>
        <w:t xml:space="preserve">REASONABLE</w:t>
      </w:r>
      <w:r>
        <w:rPr>
          <w:color w:val="5A6069"/>
          <w:sz w:val="16"/>
          <w:szCs w:val="16"/>
        </w:rPr>
        <w:t xml:space="preserve">   grade B</w:t>
      </w:r>
      <w:r>
        <w:rPr>
          <w:b/>
          <w:bCs/>
          <w:color w:val="8E5008"/>
          <w:spacing w:val="12"/>
          <w:sz w:val="14"/>
          <w:szCs w:val="14"/>
        </w:rPr>
        <w:t xml:space="preserve">   EXPERTISE</w:t>
      </w:r>
    </w:p>
    <w:p>
      <w:pPr>
        <w:spacing w:after="60" w:line="276"/>
      </w:pPr>
      <w:r>
        <w:rPr>
          <w:color w:val="15181F"/>
          <w:sz w:val="19"/>
          <w:szCs w:val="19"/>
        </w:rPr>
        <w:t xml:space="preserve">SBRT or proton radiotherapy.</w:t>
      </w:r>
    </w:p>
    <w:p>
      <w:pPr>
        <w:spacing w:after="50" w:line="276"/>
        <w:ind w:left="240"/>
      </w:pPr>
      <w:r>
        <w:rPr>
          <w:color w:val="15181F"/>
          <w:sz w:val="18"/>
          <w:szCs w:val="18"/>
        </w:rPr>
        <w:t xml:space="preserve">Target unsuitable for both ablation and catheter therapy; vessel-adjacent lesion; residual or recurrent disease after locoregional therapy.</w:t>
      </w:r>
    </w:p>
    <w:p>
      <w:pPr>
        <w:spacing w:after="50"/>
        <w:ind w:left="240"/>
      </w:pPr>
      <w:r>
        <w:rPr>
          <w:b/>
          <w:bCs/>
          <w:color w:val="8C2F26"/>
          <w:sz w:val="18"/>
          <w:szCs w:val="18"/>
        </w:rPr>
        <w:t xml:space="preserve">Caveat. </w:t>
      </w:r>
      <w:r>
        <w:rPr>
          <w:color w:val="15181F"/>
          <w:sz w:val="18"/>
          <w:szCs w:val="18"/>
        </w:rPr>
        <w:t xml:space="preserve">Insufficient uninvolved liver, refractory ascites, unsafe dose to adjacent bowel or stomach, overlapping prior dose.</w:t>
      </w:r>
    </w:p>
    <w:p>
      <w:pPr>
        <w:spacing w:after="50" w:line="276"/>
        <w:ind w:left="240"/>
      </w:pPr>
      <w:r>
        <w:rPr>
          <w:i/>
          <w:iCs/>
          <w:color w:val="5A6069"/>
          <w:sz w:val="17"/>
          <w:szCs w:val="17"/>
        </w:rPr>
        <w:t xml:space="preserve">ASTRO makes conditional recommendations across these indications. RTOG 1112 did not meet its overall-survival primary endpoint (15.8 versus 12.3 months, one-sided P=.06), reached significance only on pre-planned adjustment, closed early, and used a sorafenib comparator that no longer reflects practice. A randomised study of 166 patients with a single recurrent HCC ≤5 cm favoured SBRT for local progression-free survival (HR 0.45, 95% CI 0.24–0.87, P=.014; 2-year 92.7% versus 75.8%) without a demonstrated difference in progression-free survival (HR 0.76, P=.190) or overall survival (HR 0.91, P=.830). This does not establish superiority for all newly diagnosed HCC.</w:t>
      </w:r>
    </w:p>
    <w:p>
      <w:pPr>
        <w:spacing w:after="60" w:line="276"/>
        <w:ind w:left="240"/>
      </w:pPr>
      <w:r>
        <w:rPr>
          <w:color w:val="5A6069"/>
          <w:sz w:val="16"/>
          <w:szCs w:val="16"/>
        </w:rPr>
        <w:t xml:space="preserve">Sources: ASTRO EBRT; SBRT vs RFA</w:t>
      </w:r>
    </w:p>
    <w:p>
      <w:pPr>
        <w:spacing w:after="60" w:before="180"/>
      </w:pPr>
      <w:r>
        <w:rPr>
          <w:b/>
          <w:bCs/>
          <w:color w:val="176A87"/>
          <w:spacing w:val="16"/>
          <w:sz w:val="16"/>
          <w:szCs w:val="16"/>
        </w:rPr>
        <w:t xml:space="preserve">TRIAL ONLY</w:t>
      </w:r>
      <w:r>
        <w:rPr>
          <w:color w:val="5A6069"/>
          <w:sz w:val="16"/>
          <w:szCs w:val="16"/>
        </w:rPr>
        <w:t xml:space="preserve">   grade C</w:t>
      </w:r>
      <w:r>
        <w:rPr>
          <w:b/>
          <w:bCs/>
          <w:color w:val="8E5008"/>
          <w:spacing w:val="12"/>
          <w:sz w:val="14"/>
          <w:szCs w:val="14"/>
        </w:rPr>
        <w:t xml:space="preserve">   EXPERTISE</w:t>
      </w:r>
      <w:r>
        <w:rPr>
          <w:b/>
          <w:bCs/>
          <w:color w:val="8E5008"/>
          <w:spacing w:val="12"/>
          <w:sz w:val="14"/>
          <w:szCs w:val="14"/>
        </w:rPr>
        <w:t xml:space="preserve">   PAYER</w:t>
      </w:r>
    </w:p>
    <w:p>
      <w:pPr>
        <w:spacing w:after="60" w:line="276"/>
      </w:pPr>
      <w:r>
        <w:rPr>
          <w:color w:val="15181F"/>
          <w:sz w:val="19"/>
          <w:szCs w:val="19"/>
        </w:rPr>
        <w:t xml:space="preserve">Hepatic arterial infusion or hepatic arterial infusion chemotherapy, under a trial or a specifically approved expert pathway with a declared conversion or control goal.</w:t>
      </w:r>
    </w:p>
    <w:p>
      <w:pPr>
        <w:spacing w:after="50" w:line="276"/>
        <w:ind w:left="240"/>
      </w:pPr>
      <w:r>
        <w:rPr>
          <w:color w:val="15181F"/>
          <w:sz w:val="18"/>
          <w:szCs w:val="18"/>
        </w:rPr>
        <w:t xml:space="preserve">Selected advanced liver-dominant HCC, under a trial or a specifically approved expert pathway, with a defined conversion or control goal.</w:t>
      </w:r>
    </w:p>
    <w:p>
      <w:pPr>
        <w:spacing w:after="50"/>
        <w:ind w:left="240"/>
      </w:pPr>
      <w:r>
        <w:rPr>
          <w:b/>
          <w:bCs/>
          <w:color w:val="8C2F26"/>
          <w:sz w:val="18"/>
          <w:szCs w:val="18"/>
        </w:rPr>
        <w:t xml:space="preserve">Caveat. </w:t>
      </w:r>
      <w:r>
        <w:rPr>
          <w:color w:val="15181F"/>
          <w:sz w:val="18"/>
          <w:szCs w:val="18"/>
        </w:rPr>
        <w:t xml:space="preserve">Not a routine Memorial Hermann first or second locoregional line. Must not displace suitable curative local therapy. Not interchangeable with colorectal FUDR pump protocols.</w:t>
      </w:r>
    </w:p>
    <w:p>
      <w:pPr>
        <w:spacing w:after="50" w:line="276"/>
        <w:ind w:left="240"/>
      </w:pPr>
      <w:r>
        <w:rPr>
          <w:i/>
          <w:iCs/>
          <w:color w:val="5A6069"/>
          <w:sz w:val="17"/>
          <w:szCs w:val="17"/>
        </w:rPr>
        <w:t xml:space="preserve">HAI and HAIC regimens, including regional Asian practice, have evidence for response and survival in defined populations — FOHAIC-1 randomised HAIC-FO against sorafenib in 262 patients — but they do not establish standalone cure. Any local adoption requires regimen-specific oncology review, expertise and a named goal.</w:t>
      </w:r>
    </w:p>
    <w:p>
      <w:pPr>
        <w:spacing w:after="60" w:line="276"/>
        <w:ind w:left="240"/>
      </w:pPr>
      <w:r>
        <w:rPr>
          <w:color w:val="5A6069"/>
          <w:sz w:val="16"/>
          <w:szCs w:val="16"/>
        </w:rPr>
        <w:t xml:space="preserve">Sources: FOHAIC-1</w:t>
      </w:r>
    </w:p>
    <w:p>
      <w:pPr>
        <w:spacing w:after="60" w:before="180"/>
      </w:pPr>
      <w:r>
        <w:rPr>
          <w:b/>
          <w:bCs/>
          <w:color w:val="176A87"/>
          <w:spacing w:val="16"/>
          <w:sz w:val="16"/>
          <w:szCs w:val="16"/>
        </w:rPr>
        <w:t xml:space="preserve">TRIAL ONLY</w:t>
      </w:r>
      <w:r>
        <w:rPr>
          <w:color w:val="5A6069"/>
          <w:sz w:val="16"/>
          <w:szCs w:val="16"/>
        </w:rPr>
        <w:t xml:space="preserve">   grade C</w:t>
      </w:r>
      <w:r>
        <w:rPr>
          <w:b/>
          <w:bCs/>
          <w:color w:val="8E5008"/>
          <w:spacing w:val="12"/>
          <w:sz w:val="14"/>
          <w:szCs w:val="14"/>
        </w:rPr>
        <w:t xml:space="preserve">   DEVICE</w:t>
      </w:r>
      <w:r>
        <w:rPr>
          <w:b/>
          <w:bCs/>
          <w:color w:val="8E5008"/>
          <w:spacing w:val="12"/>
          <w:sz w:val="14"/>
          <w:szCs w:val="14"/>
        </w:rPr>
        <w:t xml:space="preserve">   EXPERTISE</w:t>
      </w:r>
      <w:r>
        <w:rPr>
          <w:b/>
          <w:bCs/>
          <w:color w:val="8E5008"/>
          <w:spacing w:val="12"/>
          <w:sz w:val="14"/>
          <w:szCs w:val="14"/>
        </w:rPr>
        <w:t xml:space="preserve">   PAYER</w:t>
      </w:r>
    </w:p>
    <w:p>
      <w:pPr>
        <w:spacing w:after="60" w:line="276"/>
      </w:pPr>
      <w:r>
        <w:rPr>
          <w:color w:val="15181F"/>
          <w:sz w:val="19"/>
          <w:szCs w:val="19"/>
        </w:rPr>
        <w:t xml:space="preserve">Histotripsy, in a prospective trial or an institutional registry only, with explicit consent about oncologic uncertainty.</w:t>
      </w:r>
    </w:p>
    <w:p>
      <w:pPr>
        <w:spacing w:after="50" w:line="276"/>
        <w:ind w:left="240"/>
      </w:pPr>
      <w:r>
        <w:rPr>
          <w:color w:val="15181F"/>
          <w:sz w:val="18"/>
          <w:szCs w:val="18"/>
        </w:rPr>
        <w:t xml:space="preserve">Prospective trial or institutional registry only, with explicit consent about oncologic uncertainty: reliably visible target, adequate acoustic access, device-compliant size and depth, credentialed operator, independent standard-treatment review.</w:t>
      </w:r>
    </w:p>
    <w:p>
      <w:pPr>
        <w:spacing w:after="50"/>
        <w:ind w:left="240"/>
      </w:pPr>
      <w:r>
        <w:rPr>
          <w:b/>
          <w:bCs/>
          <w:color w:val="8C2F26"/>
          <w:sz w:val="18"/>
          <w:szCs w:val="18"/>
        </w:rPr>
        <w:t xml:space="preserve">Caveat. </w:t>
      </w:r>
      <w:r>
        <w:rPr>
          <w:color w:val="15181F"/>
          <w:sz w:val="18"/>
          <w:szCs w:val="18"/>
        </w:rPr>
        <w:t xml:space="preserve">Poor acoustic window, target not reliably visualised, or target outside the device working range — the #HOPE4LIVER screen-failure reasons; that trial treated up to three tumours &lt;3 cm with a transducer depth limit of 14–16 cm. Any use that would displace transplant, resection, ablation, TACE, radioembolisation or radiotherapy.</w:t>
      </w:r>
    </w:p>
    <w:p>
      <w:pPr>
        <w:spacing w:after="50" w:line="276"/>
        <w:ind w:left="240"/>
      </w:pPr>
      <w:r>
        <w:rPr>
          <w:i/>
          <w:iCs/>
          <w:color w:val="5A6069"/>
          <w:sz w:val="17"/>
          <w:szCs w:val="17"/>
        </w:rPr>
        <w:t xml:space="preserve">No tumour-specific curative evidence. The pivotal single-arm trial enrolled 44 patients, of whom only 18 had HCC. The one-year update (47 patients, 52 tumours) reported local control of 63.4% on the primary assessment against 90% post hoc. FDA device clearance for tumour destruction is a safety and performance determination; it does not establish survival benefit or equivalence to established ablation. A bridge-to-transplant use remains protocol-based, and a technical response does not establish transplant eligibility.</w:t>
      </w:r>
    </w:p>
    <w:p>
      <w:pPr>
        <w:spacing w:after="60" w:line="276"/>
        <w:ind w:left="240"/>
      </w:pPr>
      <w:r>
        <w:rPr>
          <w:color w:val="5A6069"/>
          <w:sz w:val="16"/>
          <w:szCs w:val="16"/>
        </w:rPr>
        <w:t xml:space="preserve">Sources: #HOPE4LIVER</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Repeating ineffective TACE without restaging and reserve review.</w:t>
      </w:r>
    </w:p>
    <w:p>
      <w:pPr>
        <w:spacing w:after="50" w:line="276"/>
        <w:ind w:left="240"/>
      </w:pPr>
      <w:r>
        <w:rPr>
          <w:i/>
          <w:iCs/>
          <w:color w:val="5A6069"/>
          <w:sz w:val="17"/>
          <w:szCs w:val="17"/>
        </w:rPr>
        <w:t xml:space="preserve">v0.8 withdrew the fixed two-session rule: reassess after each session, in MDT context.</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TACE combined with checkpoint inhibitors outside a protocol.</w:t>
      </w:r>
    </w:p>
    <w:p>
      <w:pPr>
        <w:spacing w:after="60" w:line="276"/>
        <w:ind w:left="240"/>
      </w:pPr>
      <w:r>
        <w:rPr>
          <w:color w:val="5A6069"/>
          <w:sz w:val="16"/>
          <w:szCs w:val="16"/>
        </w:rPr>
        <w:t xml:space="preserve">Sources: EMERALD-1; LEAP-012; EMERALD-3; LEAP-012 / EMERALD-1 commentary</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C · Advanced</w:t>
      </w:r>
    </w:p>
    <w:p>
      <w:pPr>
        <w:spacing w:after="140"/>
      </w:pPr>
      <w:r>
        <w:rPr>
          <w:b/>
          <w:bCs/>
          <w:color w:val="176A87"/>
          <w:sz w:val="19"/>
          <w:szCs w:val="19"/>
        </w:rPr>
        <w:t xml:space="preserve">The question. </w:t>
      </w:r>
      <w:r>
        <w:rPr>
          <w:sz w:val="19"/>
          <w:szCs w:val="19"/>
        </w:rPr>
        <w:t xml:space="preserve">Has the systemic backbone started — and is anything liver-directed being added without delaying it?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Macrovascular invasion</w:t>
      </w:r>
    </w:p>
    <w:p>
      <w:pPr>
        <w:pStyle w:val="ListParagraph"/>
        <w:numPr>
          <w:ilvl w:val="0"/>
          <w:numId w:val="2"/>
        </w:numPr>
        <w:spacing w:after="60" w:line="268"/>
      </w:pPr>
      <w:r>
        <w:rPr>
          <w:color w:val="15181F"/>
          <w:sz w:val="18"/>
          <w:szCs w:val="18"/>
        </w:rPr>
        <w:t xml:space="preserve">Extrahepatic spread</w:t>
      </w:r>
    </w:p>
    <w:p>
      <w:pPr>
        <w:pStyle w:val="ListParagraph"/>
        <w:numPr>
          <w:ilvl w:val="0"/>
          <w:numId w:val="2"/>
        </w:numPr>
        <w:spacing w:after="60" w:line="268"/>
      </w:pPr>
      <w:r>
        <w:rPr>
          <w:color w:val="15181F"/>
          <w:sz w:val="18"/>
          <w:szCs w:val="18"/>
        </w:rPr>
        <w:t xml:space="preserve">Cancer-related ECOG 1–2</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rPr>
          <w:color w:val="15181F"/>
          <w:sz w:val="19"/>
          <w:szCs w:val="19"/>
        </w:rPr>
        <w:t xml:space="preserve">Systemic therapy is the backbone. Start an immunotherapy combination when eligible and do not delay it for a liver-directed procedure.</w:t>
      </w:r>
    </w:p>
    <w:p>
      <w:pPr>
        <w:spacing w:after="50" w:line="276"/>
        <w:ind w:left="240"/>
      </w:pPr>
      <w:r>
        <w:t xml:space="preserve">Most pivotal combination evidence is in Child-Pugh A and ECOG 0–1. No head-to-head trial ranks the three first-line ICI combinations. Exploratory aetiology subgroups do not establish non-viral HCC as an exclusion; choose treatment by clinical eligibility, safety and patient preference.</w:t>
      </w:r>
      <w:r>
        <w:t xml:space="preserve"> </w:t>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2LTFdPC9EaXNwbGF5VGV4dD48cmVjb3JkPjxyZWMtbnVtYmVyPjE8L3JlYy1udW1iZXI+PGZvcmVpZ24ta2V5cz48a2V5IGFwcD0iRU4iIGRiLWlkPSIyYjI4NzQ5NS1hMmM3LTU0YzItODM3OC02MjhkMGY1MjliOWIiIHRpbWVzdGFtcD0iMTc5MzI4MzY4OS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qLmpoZXAuMjAyMS4xMS4wMzA8L3VybD48L3JlbGF0ZWQtdXJscz48cGRmLXVybHMvPjwvdXJscz48L3JlY29yZD48L0NpdGU+PC9FbmROb3RlPg==</w:fldData>
        </w:fldChar>
      </w:r>
      <w:r>
        <w:instrText xml:space="preserve"> ADDIN EN.CITE.DATA </w:instrText>
      </w:r>
      <w:r>
        <w:fldChar w:fldCharType="end"/>
      </w:r>
      <w:r>
        <w:fldChar w:fldCharType="separate"/>
      </w:r>
      <w:r>
        <w:t xml:space="preserve">[V16-2]</w:t>
      </w:r>
      <w:r>
        <w:fldChar w:fldCharType="end"/>
      </w:r>
    </w:p>
    <w:p>
      <w:pPr>
        <w:spacing w:after="50"/>
        <w:ind w:left="240"/>
      </w:pPr>
      <w:r>
        <w:t xml:space="preserve">Caveat. Assess and manage varices and anti-VEGF risk before atezolizumab–bevacizumab; bleeding risk is not limited to varices. With dual ICI, consider immune toxicity and the early mortality signal reported in CheckMate 9DW. Crossing survival curves do not establish a minimum expected-survival cutoff for an individual patient or rank the combinations. Poor liver reserve requires specialist review. Pre-transplant checkpoint exposure requires prospective transplant-specific review.</w:t>
      </w:r>
      <w:r>
        <w:t xml:space="preserve"> </w:t>
      </w:r>
      <w:r>
        <w:t xml:space="preserve"> </w:t>
      </w:r>
      <w:r>
        <w:t xml:space="preserve"> </w:t>
      </w:r>
      <w:r>
        <w:fldChar w:fldCharType="begin"/>
      </w:r>
      <w:r>
        <w:instrText xml:space="preserve"> ADDIN EN.CITE </w:instrText>
      </w:r>
      <w:r>
        <w:fldChar w:fldCharType="begin">
          <w:fldData>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TMDE0MC02NzM2KDI1KTAwNDAzLTk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2LTFdPC9EaXNwbGF5VGV4dD48cmVjb3JkPjxyZWMtbnVtYmVyPjE8L3JlYy1udW1iZXI+PGZvcmVpZ24ta2V5cz48a2V5IGFwcD0iRU4iIGRiLWlkPSIyYjI4NzQ5NS1hMmM3LTU0YzItODM3OC02MjhkMGY1MjliOWIiIHRpbWVzdGFtcD0iMTc5MzI4MzY4OS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p>
    <w:p>
      <w:pPr>
        <w:spacing w:after="60" w:line="276"/>
        <w:ind w:left="240"/>
      </w:pPr>
      <w:r>
        <w:rPr>
          <w:color w:val="5A6069"/>
          <w:sz w:val="16"/>
          <w:szCs w:val="16"/>
        </w:rPr>
        <w:t xml:space="preserve">Sources: IMbrave150; IMbrave150 update; HIMALAYA / STRIDE; CheckMate 9DW</w:t>
      </w:r>
    </w:p>
    <w:p>
      <w:pPr>
        <w:spacing w:after="60" w:before="180"/>
      </w:pPr>
      <w:r>
        <w:rPr>
          <w:b/>
          <w:bCs/>
          <w:color w:val="17365D"/>
          <w:spacing w:val="16"/>
          <w:sz w:val="16"/>
          <w:szCs w:val="16"/>
        </w:rPr>
        <w:t xml:space="preserve">STANDARD</w:t>
      </w:r>
      <w:r>
        <w:rPr>
          <w:color w:val="5A6069"/>
          <w:sz w:val="16"/>
          <w:szCs w:val="16"/>
        </w:rPr>
        <w:t xml:space="preserve">   grade A</w:t>
      </w:r>
    </w:p>
    <w:p>
      <w:pPr>
        <w:spacing w:after="100" w:line="276"/>
      </w:pPr>
      <w:r>
        <w:rPr>
          <w:i/>
          <w:iCs/>
          <w:color w:val="5A6069"/>
          <w:sz w:val="17"/>
          <w:szCs w:val="17"/>
        </w:rPr>
        <w:t xml:space="preserve">No head-to-head trial ranks these three, so none can be labelled preferred over the others on evidence. v0.2 listed them in an order that implies a hierarchy; that implication is removed. Atezolizumab–bevacizumab requires documented variceal assessment and treatment of high-risk varices before the first dose. Dual checkpoint regimens avoid the VEGF bleeding risk but carry immune toxicity; nivolumab–ipilimumab showed excess mortality in the first six months (HR 1.65) despite superior overall survival at 23.7 versus 20.6 months — which matters for a patient with a short runway.</w:t>
      </w:r>
    </w:p>
    <w:p>
      <w:pPr>
        <w:spacing w:after="50" w:before="120"/>
        <w:ind w:left="240"/>
      </w:pPr>
      <w:r>
        <w:rPr>
          <w:b/>
          <w:bCs/>
          <w:color w:val="15181F"/>
          <w:sz w:val="19"/>
          <w:szCs w:val="19"/>
        </w:rPr>
        <w:t xml:space="preserve">Atezolizumab plus bevacizumab</w:t>
      </w:r>
      <w:r>
        <w:rPr>
          <w:color w:val="5A6069"/>
          <w:sz w:val="15"/>
          <w:szCs w:val="15"/>
        </w:rPr>
        <w:t xml:space="preserve">   grade A</w:t>
      </w:r>
    </w:p>
    <w:p>
      <w:pPr>
        <w:spacing w:after="50" w:line="276"/>
        <w:ind w:left="240"/>
      </w:pPr>
      <w:r>
        <w:rPr>
          <w:color w:val="15181F"/>
          <w:sz w:val="18"/>
          <w:szCs w:val="18"/>
        </w:rPr>
        <w:t xml:space="preserve">IMbrave150 gave median overall survival of 19.2 against 13.4 months on sorafenib (HR 0.66, 95% CI 0.52-0.85).</w:t>
      </w:r>
    </w:p>
    <w:p>
      <w:pPr>
        <w:spacing w:after="50" w:line="276"/>
        <w:ind w:left="240"/>
      </w:pPr>
      <w:r>
        <w:t xml:space="preserve">Immunotherapy-eligible HCC with acceptable bleeding and vascular risk after variceal assessment and management. Viral etiology is not required.</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2LTFdPC9EaXNwbGF5VGV4dD48cmVjb3JkPjxyZWMtbnVtYmVyPjE8L3JlYy1udW1iZXI+PGZvcmVpZ24ta2V5cz48a2V5IGFwcD0iRU4iIGRiLWlkPSIyYjI4NzQ5NS1hMmM3LTU0YzItODM3OC02MjhkMGY1MjliOWIiIHRpbWVzdGFtcD0iMTc5MzI4MzY4OS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</w:fldData>
        </w:fldChar>
      </w:r>
      <w:r>
        <w:instrText xml:space="preserve"> ADDIN EN.CITE.DATA </w:instrText>
      </w:r>
      <w:r>
        <w:fldChar w:fldCharType="end"/>
      </w:r>
      <w:r>
        <w:fldChar w:fldCharType="separate"/>
      </w:r>
      <w:r>
        <w:t xml:space="preserve">[V16-5]</w:t>
      </w:r>
      <w:r>
        <w:fldChar w:fldCharType="end"/>
      </w:r>
    </w:p>
    <w:p>
      <w:pPr>
        <w:spacing w:after="50"/>
        <w:ind w:left="240"/>
      </w:pPr>
      <w:r>
        <w:t xml:space="preserve">Caveat. Document variceal assessment and management of high-risk varices before treatment. Trial eligibility selected patients with preserved reserve and controlled bleeding risk. The non-viral subgroup estimate was exploratory and imprecise; it does not establish lack of benefit or justify excluding all patients with non-viral HCC.</w:t>
      </w:r>
      <w:r>
        <w:t xml:space="preserve"> </w:t>
      </w:r>
      <w:r>
        <w:t xml:space="preserve"> </w:t>
      </w:r>
      <w:r>
        <w:t xml:space="preserve"> </w:t>
      </w:r>
      <w:r>
        <w:fldChar w:fldCharType="begin"/>
      </w:r>
      <w:r>
        <w:instrText xml:space="preserve"> ADDIN EN.CITE </w:instrText>
      </w:r>
      <w:r>
        <w:fldChar w:fldCharType="begin">
          <w:fldData>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qLmpoZXAuMjAyMS4xMS4wMzA8L3VybD48L3JlbGF0ZWQtdXJscz48cGRmLXVybHMvPjwvdXJscz48L3JlY29yZD48L0NpdGU+PC9FbmROb3RlPg==</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2LTFdPC9EaXNwbGF5VGV4dD48cmVjb3JkPjxyZWMtbnVtYmVyPjE8L3JlYy1udW1iZXI+PGZvcmVpZ24ta2V5cz48a2V5IGFwcD0iRU4iIGRiLWlkPSIyYjI4NzQ5NS1hMmM3LTU0YzItODM3OC02MjhkMGY1MjliOWIiIHRpbWVzdGFtcD0iMTc5MzI4MzY4OS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p>
    <w:p>
      <w:pPr>
        <w:spacing w:after="60" w:line="276"/>
        <w:ind w:left="240"/>
      </w:pPr>
      <w:r>
        <w:rPr>
          <w:color w:val="5A6069"/>
          <w:sz w:val="16"/>
          <w:szCs w:val="16"/>
        </w:rPr>
        <w:t xml:space="preserve">Sources: IMbrave150; IMbrave150 update</w:t>
      </w:r>
    </w:p>
    <w:p>
      <w:pPr>
        <w:spacing w:after="50" w:before="120"/>
        <w:ind w:left="240"/>
      </w:pPr>
      <w:r>
        <w:rPr>
          <w:b/>
          <w:bCs/>
          <w:color w:val="15181F"/>
          <w:sz w:val="19"/>
          <w:szCs w:val="19"/>
        </w:rPr>
        <w:t xml:space="preserve">Tremelimumab plus durvalumab (STRIDE)</w:t>
      </w:r>
      <w:r>
        <w:rPr>
          <w:color w:val="5A6069"/>
          <w:sz w:val="15"/>
          <w:szCs w:val="15"/>
        </w:rPr>
        <w:t xml:space="preserve">   grade A</w:t>
      </w:r>
    </w:p>
    <w:p>
      <w:pPr>
        <w:spacing w:after="50" w:line="276"/>
        <w:ind w:left="240"/>
      </w:pPr>
      <w:r>
        <w:rPr>
          <w:color w:val="15181F"/>
          <w:sz w:val="18"/>
          <w:szCs w:val="18"/>
        </w:rPr>
        <w:t xml:space="preserve">HIMALAYA gave 16.43 against 13.77 months on sorafenib (HR 0.78, 96.02% CI 0.65-0.93).</w:t>
      </w:r>
    </w:p>
    <w:p>
      <w:pPr>
        <w:spacing w:after="50" w:line="276"/>
        <w:ind w:left="240"/>
      </w:pPr>
      <w:r>
        <w:t xml:space="preserve">An anti-VEGF-free immune combination when bevacizumab is unsuitable and dual-checkpoint treatment is appropriate. Do not infer an individual nine-month survival eligibility threshold from crossing survival curves.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1Ni9FVklEb2EyMTAwMDcw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spacing w:after="50"/>
        <w:ind w:left="240"/>
      </w:pPr>
      <w:r>
        <w:rPr>
          <w:b/>
          <w:bCs/>
          <w:color w:val="8C2F26"/>
          <w:sz w:val="18"/>
          <w:szCs w:val="18"/>
        </w:rPr>
        <w:t xml:space="preserve">Caveat. </w:t>
      </w:r>
      <w:r>
        <w:rPr>
          <w:color w:val="15181F"/>
          <w:sz w:val="18"/>
          <w:szCs w:val="18"/>
        </w:rPr>
        <w:t xml:space="preserve">There was no progression-free survival benefit at all (HR 0.90, 0.77-1.05), and main portal vein thrombosis was excluded from the trial.</w:t>
      </w:r>
    </w:p>
    <w:p>
      <w:pPr>
        <w:spacing w:after="60" w:line="276"/>
        <w:ind w:left="240"/>
      </w:pPr>
      <w:r>
        <w:rPr>
          <w:color w:val="5A6069"/>
          <w:sz w:val="16"/>
          <w:szCs w:val="16"/>
        </w:rPr>
        <w:t xml:space="preserve">Sources: HIMALAYA / STRIDE</w:t>
      </w:r>
    </w:p>
    <w:p>
      <w:pPr>
        <w:spacing w:after="50" w:before="120"/>
        <w:ind w:left="240"/>
      </w:pPr>
      <w:r>
        <w:rPr>
          <w:b/>
          <w:bCs/>
          <w:color w:val="15181F"/>
          <w:sz w:val="19"/>
          <w:szCs w:val="19"/>
        </w:rPr>
        <w:t xml:space="preserve">Nivolumab plus ipilimumab</w:t>
      </w:r>
      <w:r>
        <w:rPr>
          <w:color w:val="5A6069"/>
          <w:sz w:val="15"/>
          <w:szCs w:val="15"/>
        </w:rPr>
        <w:t xml:space="preserve">   grade A</w:t>
      </w:r>
    </w:p>
    <w:p>
      <w:pPr>
        <w:spacing w:after="50" w:line="276"/>
        <w:ind w:left="240"/>
      </w:pPr>
      <w:r>
        <w:rPr>
          <w:color w:val="15181F"/>
          <w:sz w:val="18"/>
          <w:szCs w:val="18"/>
        </w:rPr>
        <w:t xml:space="preserve">CheckMate 9DW gave 23.7 against 20.6 months on lenvatinib or sorafenib (HR 0.79, 0.65-0.96).</w:t>
      </w:r>
    </w:p>
    <w:p>
      <w:pPr>
        <w:spacing w:after="50" w:line="276"/>
        <w:ind w:left="240"/>
      </w:pPr>
      <w:r>
        <w:rPr>
          <w:color w:val="15181F"/>
          <w:sz w:val="18"/>
          <w:szCs w:val="18"/>
        </w:rPr>
        <w:t xml:space="preserve">Dual checkpoint blockade without the VEGF bleeding risk, in a patient who can absorb early immune toxicity.</w:t>
      </w:r>
    </w:p>
    <w:p>
      <w:pPr>
        <w:spacing w:after="50"/>
        <w:ind w:left="240"/>
      </w:pPr>
      <w:r>
        <w:rPr>
          <w:b/>
          <w:bCs/>
          <w:color w:val="8C2F26"/>
          <w:sz w:val="18"/>
          <w:szCs w:val="18"/>
        </w:rPr>
        <w:t xml:space="preserve">Caveat. </w:t>
      </w:r>
      <w:r>
        <w:rPr>
          <w:color w:val="15181F"/>
          <w:sz w:val="18"/>
          <w:szCs w:val="18"/>
        </w:rPr>
        <w:t xml:space="preserve">Hazards cross: the piecewise hazard ratio is 1.65 (1.12-2.43) in the first six months, with 12 treatment-related deaths against 3, 11 of them inside that window and 9 fatal hepatic events. The restricted mean survival difference is 2.8 months (0.2-5.4) at 47 months, and Vp4 invasion was excluded.</w:t>
      </w:r>
    </w:p>
    <w:p>
      <w:pPr>
        <w:spacing w:after="60" w:line="276"/>
        <w:ind w:left="240"/>
      </w:pPr>
      <w:r>
        <w:rPr>
          <w:color w:val="5A6069"/>
          <w:sz w:val="16"/>
          <w:szCs w:val="16"/>
        </w:rPr>
        <w:t xml:space="preserve">Sources: CheckMate 9DW</w:t>
      </w:r>
    </w:p>
    <w:p>
      <w:pPr>
        <w:spacing w:after="60" w:line="276"/>
        <w:ind w:left="240"/>
      </w:pPr>
      <w:r>
        <w:rPr>
          <w:i/>
          <w:iCs/>
          <w:color w:val="5A6069"/>
          <w:sz w:val="16"/>
          <w:szCs w:val="16"/>
        </w:rPr>
        <w:t xml:space="preserve">Ratification item. Medical oncology must ratify the removal of any implied ranking among the three first-line immunotherapy regimens, and the mandatory variceal assessment before atezolizumab-bevacizumab.</w:t>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t xml:space="preserve">If all immune checkpoint therapy is unsuitable, consider lenvatinib or sorafenib. Durvalumab alone is an alternative only when combination therapy is unsuitable but PD-L1 therapy itself remains appropriate.</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spacing w:after="50" w:line="276"/>
        <w:ind w:left="240"/>
      </w:pPr>
      <w:r>
        <w:rPr>
          <w:color w:val="15181F"/>
          <w:sz w:val="18"/>
          <w:szCs w:val="18"/>
        </w:rPr>
        <w:t xml:space="preserve">Autoimmune disease, organ transplant, or another contraindication to checkpoint blockade. Match the tyrosine-kinase inhibitor to cardiovascular, renal, weight, hand-foot, diarrhoea and drug-interaction risk.</w:t>
      </w:r>
    </w:p>
    <w:p>
      <w:pPr>
        <w:spacing w:after="50"/>
        <w:ind w:left="240"/>
      </w:pPr>
      <w:r>
        <w:rPr>
          <w:b/>
          <w:bCs/>
          <w:color w:val="8C2F26"/>
          <w:sz w:val="18"/>
          <w:szCs w:val="18"/>
        </w:rPr>
        <w:t xml:space="preserve">Caveat. </w:t>
      </w:r>
      <w:r>
        <w:rPr>
          <w:color w:val="15181F"/>
          <w:sz w:val="18"/>
          <w:szCs w:val="18"/>
        </w:rPr>
        <w:t xml:space="preserve">Evidence is strongest in Child-Pugh A. Durvalumab monotherapy is graded B, not A.</w:t>
      </w:r>
    </w:p>
    <w:p>
      <w:pPr>
        <w:spacing w:after="50" w:line="276"/>
        <w:ind w:left="240"/>
      </w:pPr>
      <w:r>
        <w:rPr>
          <w:i/>
          <w:iCs/>
          <w:color w:val="5A6069"/>
          <w:sz w:val="17"/>
          <w:szCs w:val="17"/>
        </w:rPr>
        <w:t xml:space="preserve">Match the tyrosine-kinase inhibitor to cardiovascular, renal, weight, hand-foot, diarrhoea and drug-interaction risk. Evidence is strongest in Child-Pugh A.</w:t>
      </w:r>
    </w:p>
    <w:p>
      <w:pPr>
        <w:spacing w:after="60" w:line="276"/>
        <w:ind w:left="240"/>
      </w:pPr>
      <w:r>
        <w:rPr>
          <w:color w:val="5A6069"/>
          <w:sz w:val="16"/>
          <w:szCs w:val="16"/>
        </w:rPr>
        <w:t xml:space="preserve">Sources: HIMALAYA / STRIDE</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Add external beam radiotherapy or radioembolisation alongside systemic therapy. Both supporting trials used a sorafenib comparator: RTOG 1112 missed its primary survival endpoint (HR 0.77, 90% CI 0.59–1.01, one-sided p=0.06) and 15% of its patients then never started sorafenib, while the Asan trial gave TACE plus radiotherapy instead of sorafenib, with 91% crossover. Neither tested adding radiation to an immunotherapy backbone.</w:t>
      </w:r>
    </w:p>
    <w:p>
      <w:pPr>
        <w:spacing w:after="50" w:line="276"/>
        <w:ind w:left="240"/>
      </w:pPr>
      <w:r>
        <w:rPr>
          <w:color w:val="15181F"/>
          <w:sz w:val="18"/>
          <w:szCs w:val="18"/>
        </w:rPr>
        <w:t xml:space="preserve">Liver-dominant control, portal-vein tumour thrombus, or symptom control, where the anatomy is liver-confined, reserve is preserved and dosimetry is feasible.</w:t>
      </w:r>
    </w:p>
    <w:p>
      <w:pPr>
        <w:spacing w:after="50"/>
        <w:ind w:left="240"/>
      </w:pPr>
      <w:r>
        <w:rPr>
          <w:b/>
          <w:bCs/>
          <w:color w:val="8C2F26"/>
          <w:sz w:val="18"/>
          <w:szCs w:val="18"/>
        </w:rPr>
        <w:t xml:space="preserve">Caveat. </w:t>
      </w:r>
      <w:r>
        <w:rPr>
          <w:color w:val="15181F"/>
          <w:sz w:val="18"/>
          <w:szCs w:val="18"/>
        </w:rPr>
        <w:t xml:space="preserve">Do not let it delay or displace the systemic start — the most common harm in this group is a delayed systemic start, not the radiation itself. Document why local therapy is being added and when systemic therapy starts or resumes.</w:t>
      </w:r>
    </w:p>
    <w:p>
      <w:pPr>
        <w:spacing w:after="50" w:line="276"/>
        <w:ind w:left="240"/>
      </w:pPr>
      <w:r>
        <w:rPr>
          <w:i/>
          <w:iCs/>
          <w:color w:val="5A6069"/>
          <w:sz w:val="17"/>
          <w:szCs w:val="17"/>
        </w:rPr>
        <w:t xml:space="preserve">No randomised trial has tested this against a modern immunotherapy backbone. Both supporting trials used a sorafenib comparator.</w:t>
      </w:r>
    </w:p>
    <w:p>
      <w:pPr>
        <w:spacing w:after="60" w:line="276"/>
        <w:ind w:left="240"/>
      </w:pPr>
      <w:r>
        <w:rPr>
          <w:color w:val="5A6069"/>
          <w:sz w:val="16"/>
          <w:szCs w:val="16"/>
        </w:rPr>
        <w:t xml:space="preserve">Sources: RTOG 1112; TACE + EBRT; ASTRO EBRT</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After a first-line immunotherapy combination: a clinical trial first; otherwise a mechanistically appropriate tyrosine-kinase inhibitor - cabozantinib, lenvatinib or sorafenib if not previously used, regorafenib only after documented sorafenib tolerance - or ramucirumab if AFP is 400 ng/mL or above.</w:t>
      </w:r>
    </w:p>
    <w:p>
      <w:pPr>
        <w:spacing w:after="50" w:line="276"/>
        <w:ind w:left="240"/>
      </w:pPr>
      <w:r>
        <w:rPr>
          <w:color w:val="15181F"/>
          <w:sz w:val="18"/>
          <w:szCs w:val="18"/>
        </w:rPr>
        <w:t xml:space="preserve">Preserved liver function and performance status after a modern combination, with prior toxicity, best response achieved and the rationale recorded.</w:t>
      </w:r>
    </w:p>
    <w:p>
      <w:pPr>
        <w:spacing w:after="50"/>
        <w:ind w:left="240"/>
      </w:pPr>
      <w:r>
        <w:t xml:space="preserve">Caveat. The best sequence after a modern ICI combination is not established. Much of the pivotal later-line randomized evidence was generated after sorafenib; current post-ICI choices require documented extrapolation.</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spacing w:after="50" w:line="276"/>
        <w:ind w:left="240"/>
      </w:pPr>
      <w:r>
        <w:t xml:space="preserve">Record prior drugs, tolerance, best response, liver reserve and the reason for the chosen subsequent regimen. Post-sorafenib trials do not establish a preferred post-ICI sequence; patients treated with sorafenib still exist and remain relevant to those data.</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spacing w:after="60" w:line="276"/>
        <w:ind w:left="240"/>
      </w:pPr>
      <w:r>
        <w:rPr>
          <w:color w:val="5A6069"/>
          <w:sz w:val="16"/>
          <w:szCs w:val="16"/>
        </w:rPr>
        <w:t xml:space="preserve">Sources: CELESTIAL; RESORCE; REACH-2</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t xml:space="preserve">After a TKI in an ICI-naive patient, consider a previously unused guideline-supported immune regimen if eligible; otherwise select cabozantinib, regorafenib after tolerated sorafenib, or ramucirumab when AFP is at least 400 ng/mL. Confirm each label and current formulary pathway.</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spacing w:after="50" w:line="276"/>
        <w:ind w:left="240"/>
      </w:pPr>
      <w:r>
        <w:rPr>
          <w:color w:val="15181F"/>
          <w:sz w:val="18"/>
          <w:szCs w:val="18"/>
        </w:rPr>
        <w:t xml:space="preserve">Checkpoint-naive patient who remains eligible for an immune regimen.</w:t>
      </w:r>
    </w:p>
    <w:p>
      <w:pPr>
        <w:spacing w:after="50"/>
        <w:ind w:left="240"/>
      </w:pPr>
      <w:r>
        <w:rPr>
          <w:b/>
          <w:bCs/>
          <w:color w:val="8C2F26"/>
          <w:sz w:val="18"/>
          <w:szCs w:val="18"/>
        </w:rPr>
        <w:t xml:space="preserve">Caveat. </w:t>
      </w:r>
      <w:r>
        <w:rPr>
          <w:color w:val="15181F"/>
          <w:sz w:val="18"/>
          <w:szCs w:val="18"/>
        </w:rPr>
        <w:t xml:space="preserve">Avoid duplicative checkpoint therapy without evidence.</w:t>
      </w:r>
    </w:p>
    <w:p>
      <w:pPr>
        <w:spacing w:after="50" w:line="276"/>
        <w:ind w:left="240"/>
      </w:pPr>
      <w:r>
        <w:t xml:space="preserve">Avoid unselected single-agent checkpoint rechallenge after prior PD-1/PD-L1 treatment. Pembrolizumab has randomized evidence in KEYNOTE-394; the checked US HCC label specifies HBV-related HCC after systemic therapy other than a PD-1/PD-L1-containing regimen. Other uses require a distinct tumor-agnostic indication or an explicitly documented guideline/off-label pathway.</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yMDAvSkNPLjIyLjAwNjIw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p>
    <w:p>
      <w:pPr>
        <w:spacing w:after="60" w:line="276"/>
        <w:ind w:left="240"/>
      </w:pPr>
      <w:r>
        <w:rPr>
          <w:color w:val="5A6069"/>
          <w:sz w:val="16"/>
          <w:szCs w:val="16"/>
        </w:rPr>
        <w:t xml:space="preserve">Sources: KEYNOTE-394; CELESTIAL; RESORCE; REACH-2</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Child-Pugh B: individualise with an experienced hepatology and oncology team, or do not treat.</w:t>
      </w:r>
    </w:p>
    <w:p>
      <w:pPr>
        <w:spacing w:after="50" w:line="276"/>
        <w:ind w:left="240"/>
      </w:pPr>
      <w:r>
        <w:rPr>
          <w:color w:val="15181F"/>
          <w:sz w:val="18"/>
          <w:szCs w:val="18"/>
        </w:rPr>
        <w:t xml:space="preserve">Child-Pugh B7-B8 where cancer symptoms rather than liver-failure prognosis are driving the presentation.</w:t>
      </w:r>
    </w:p>
    <w:p>
      <w:pPr>
        <w:spacing w:after="50"/>
        <w:ind w:left="240"/>
      </w:pPr>
      <w:r>
        <w:rPr>
          <w:b/>
          <w:bCs/>
          <w:color w:val="8C2F26"/>
          <w:sz w:val="18"/>
          <w:szCs w:val="18"/>
        </w:rPr>
        <w:t xml:space="preserve">Caveat. </w:t>
      </w:r>
      <w:r>
        <w:rPr>
          <w:color w:val="15181F"/>
          <w:sz w:val="18"/>
          <w:szCs w:val="18"/>
        </w:rPr>
        <w:t xml:space="preserve">Child-Pugh B9 and above is rarely appropriate for systemic therapy outside a trial. Distinguish cancer symptoms from liver-failure prognosis before committing to treatment.</w:t>
      </w:r>
    </w:p>
    <w:p>
      <w:pPr>
        <w:spacing w:after="50" w:line="276"/>
        <w:ind w:left="240"/>
      </w:pPr>
      <w:r>
        <w:rPr>
          <w:i/>
          <w:iCs/>
          <w:color w:val="5A6069"/>
          <w:sz w:val="17"/>
          <w:szCs w:val="17"/>
        </w:rPr>
        <w:t xml:space="preserve">Benefit and toxicity evidence is weak and largely from subgroups and single-arm cohorts. Distinguish cancer symptoms from liver-failure prognosis before committing to treatment. Child-Pugh B9 and above is rarely appropriate for systemic therapy outside a trial. NCCN: therapies “may have limited safety data available for CTP Class B or C liver function”.</w:t>
      </w:r>
    </w:p>
    <w:p>
      <w:pPr>
        <w:spacing w:after="60" w:line="276"/>
        <w:ind w:left="240"/>
      </w:pPr>
      <w:r>
        <w:rPr>
          <w:color w:val="5A6069"/>
          <w:sz w:val="16"/>
          <w:szCs w:val="16"/>
        </w:rPr>
        <w:t xml:space="preserve">Sources: NCCN v2.2026</w:t>
      </w:r>
    </w:p>
    <w:p>
      <w:pPr>
        <w:spacing w:after="60" w:before="180"/>
      </w:pPr>
      <w:r>
        <w:rPr>
          <w:b/>
          <w:bCs/>
          <w:color w:val="176A87"/>
          <w:spacing w:val="16"/>
          <w:sz w:val="16"/>
          <w:szCs w:val="16"/>
        </w:rPr>
        <w:t xml:space="preserve">REASONABLE</w:t>
      </w:r>
      <w:r>
        <w:rPr>
          <w:color w:val="5A6069"/>
          <w:sz w:val="16"/>
          <w:szCs w:val="16"/>
        </w:rPr>
        <w:t xml:space="preserve">   grade C</w:t>
      </w:r>
      <w:r>
        <w:rPr>
          <w:b/>
          <w:bCs/>
          <w:color w:val="8E5008"/>
          <w:spacing w:val="12"/>
          <w:sz w:val="14"/>
          <w:szCs w:val="14"/>
        </w:rPr>
        <w:t xml:space="preserve">   TX-TIMING</w:t>
      </w:r>
    </w:p>
    <w:p>
      <w:pPr>
        <w:spacing w:after="60" w:line="276"/>
      </w:pPr>
      <w:r>
        <w:rPr>
          <w:color w:val="15181F"/>
          <w:sz w:val="19"/>
          <w:szCs w:val="19"/>
        </w:rPr>
        <w:t xml:space="preserve">In a transplant candidate, a pre-transplant checkpoint inhibitor only through transplant-specific review, with the washout interval, the immunosuppression plan and the alternative strategy agreed before the first dose.</w:t>
      </w:r>
    </w:p>
    <w:p>
      <w:pPr>
        <w:spacing w:after="50" w:line="276"/>
        <w:ind w:left="240"/>
      </w:pPr>
      <w:r>
        <w:rPr>
          <w:color w:val="15181F"/>
          <w:sz w:val="18"/>
          <w:szCs w:val="18"/>
        </w:rPr>
        <w:t xml:space="preserve">A listed or listable patient for whom no other bridging or systemic option is adequate, reviewed by transplant before the first dose rather than after it.</w:t>
      </w:r>
    </w:p>
    <w:p>
      <w:pPr>
        <w:spacing w:after="50"/>
        <w:ind w:left="240"/>
      </w:pPr>
      <w:r>
        <w:t xml:space="preserve">Caveat. Do not use checkpoint inhibitors as a routine bridging strategy. No washout interval is prospectively validated as universally safe. Retrospective timing associations inform proposed intervals but do not guarantee freedom from rejection; follow the transplant protocol and its OPEN meeting decision.</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EwPC9SZWNOdW0+PERpc3BsYXlUZXh0PltWMTYtMTBdPC9EaXNwbGF5VGV4dD48cmVjb3JkPjxyZWMtbnVtYmVyPjEwPC9yZWMtbnVtYmVyPjxmb3JlaWduLWtleXM+PGtleSBhcHA9IkVOIiBkYi1pZD0iMmIyODc0OTUtYTJjNy01NGMyLTgzNzgtNjI4ZDBmNTI5YjliIiB0aW1lc3RhbXA9IjE3OTMyODM2ODkiPjEw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TE8L1JlY051bT48RGlzcGxheVRleHQ+W1YxNi0xMV08L0Rpc3BsYXlUZXh0PjxyZWNvcmQ+PHJlYy1udW1iZXI+MTE8L3JlYy1udW1iZXI+PGZvcmVpZ24ta2V5cz48a2V5IGFwcD0iRU4iIGRiLWlkPSIyYjI4NzQ5NS1hMmM3LTU0YzItODM3OC02MjhkMGY1MjliOWIiIHRpbWVzdGFtcD0iMTc5MzI4MzY4OSI+MTE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spacing w:after="50" w:line="276"/>
        <w:ind w:left="240"/>
      </w:pPr>
      <w:r>
        <w:rPr>
          <w:i/>
          <w:iCs/>
          <w:color w:val="5A6069"/>
          <w:sz w:val="17"/>
          <w:szCs w:val="17"/>
        </w:rPr>
        <w:t xml:space="preserve">Document the washout interval agreed, the immunosuppression plan, and the alternative strategy if transplant becomes available early. TX-TIMING</w:t>
      </w:r>
    </w:p>
    <w:p>
      <w:pPr>
        <w:spacing w:after="60" w:line="276"/>
        <w:ind w:left="240"/>
      </w:pPr>
      <w:r>
        <w:t xml:space="preserve">Sources: pre-LT Moeckli cohort and VITALITY; the separately retained post-LT review addresses a different clinical setting.</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Radioembolisation as a substitute for systemic therapy.</w:t>
      </w:r>
    </w:p>
    <w:p>
      <w:pPr>
        <w:spacing w:after="60" w:line="276"/>
        <w:ind w:left="240"/>
      </w:pPr>
      <w:r>
        <w:rPr>
          <w:color w:val="5A6069"/>
          <w:sz w:val="16"/>
          <w:szCs w:val="16"/>
        </w:rPr>
        <w:t xml:space="preserve">Sources: SARAH; SIRveNIB</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Deferring systemic therapy to complete a locoregional series.</w:t>
      </w:r>
    </w:p>
    <w:p>
      <w:pPr>
        <w:spacing w:after="60" w:before="180"/>
      </w:pPr>
      <w:r>
        <w:rPr>
          <w:b/>
          <w:bCs/>
          <w:color w:val="8C2F26"/>
          <w:spacing w:val="16"/>
          <w:sz w:val="16"/>
          <w:szCs w:val="16"/>
        </w:rPr>
        <w:t xml:space="preserve">AVOID</w:t>
      </w:r>
      <w:r>
        <w:rPr>
          <w:color w:val="5A6069"/>
          <w:sz w:val="16"/>
          <w:szCs w:val="16"/>
        </w:rPr>
        <w:t xml:space="preserve">   grade —</w:t>
      </w:r>
      <w:r>
        <w:rPr>
          <w:b/>
          <w:bCs/>
          <w:color w:val="8E5008"/>
          <w:spacing w:val="12"/>
          <w:sz w:val="14"/>
          <w:szCs w:val="14"/>
        </w:rPr>
        <w:t xml:space="preserve">   TX-TIMING</w:t>
      </w:r>
    </w:p>
    <w:p>
      <w:pPr>
        <w:spacing w:after="60" w:line="276"/>
      </w:pPr>
      <w:r>
        <w:rPr>
          <w:color w:val="15181F"/>
          <w:sz w:val="19"/>
          <w:szCs w:val="19"/>
        </w:rPr>
        <w:t xml:space="preserve">Checkpoint blockade after transplantation, outside exceptional governance review.</w:t>
      </w:r>
    </w:p>
    <w:p>
      <w:pPr>
        <w:spacing w:after="50"/>
        <w:ind w:left="240"/>
      </w:pPr>
      <w:r>
        <w:rPr>
          <w:b/>
          <w:bCs/>
          <w:color w:val="8C2F26"/>
          <w:sz w:val="18"/>
          <w:szCs w:val="18"/>
        </w:rPr>
        <w:t xml:space="preserve">Caveat. </w:t>
      </w:r>
      <w:r>
        <w:rPr>
          <w:color w:val="15181F"/>
          <w:sz w:val="18"/>
          <w:szCs w:val="18"/>
        </w:rPr>
        <w:t xml:space="preserve">Pooled series report graft rejection in a substantial minority, with appreciable graft loss and mortality.</w:t>
      </w:r>
    </w:p>
    <w:p>
      <w:pPr>
        <w:spacing w:after="60" w:line="276"/>
        <w:ind w:left="240"/>
      </w:pPr>
      <w:r>
        <w:rPr>
          <w:color w:val="5A6069"/>
          <w:sz w:val="16"/>
          <w:szCs w:val="16"/>
        </w:rPr>
        <w:t xml:space="preserve">Sources: ICI after transplant</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D · Terminal</w:t>
      </w:r>
    </w:p>
    <w:p>
      <w:pPr>
        <w:spacing w:after="140"/>
      </w:pPr>
      <w:r>
        <w:rPr>
          <w:b/>
          <w:bCs/>
          <w:color w:val="176A87"/>
          <w:sz w:val="19"/>
          <w:szCs w:val="19"/>
        </w:rPr>
        <w:t xml:space="preserve">The question. </w:t>
      </w:r>
      <w:r>
        <w:rPr>
          <w:sz w:val="19"/>
          <w:szCs w:val="19"/>
        </w:rPr>
        <w:t xml:space="preserve">Is it the cancer or the liver that has brought this patient here, and was the transplant question asked before the label was applied?</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ECOG 3–4</w:t>
      </w:r>
    </w:p>
    <w:p>
      <w:pPr>
        <w:pStyle w:val="ListParagraph"/>
        <w:numPr>
          <w:ilvl w:val="0"/>
          <w:numId w:val="2"/>
        </w:numPr>
        <w:spacing w:after="60" w:line="268"/>
      </w:pPr>
      <w:r>
        <w:rPr>
          <w:color w:val="15181F"/>
          <w:sz w:val="18"/>
          <w:szCs w:val="18"/>
        </w:rPr>
        <w:t xml:space="preserve">Child-Pugh C not correctable by transplant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rPr>
          <w:color w:val="15181F"/>
          <w:sz w:val="19"/>
          <w:szCs w:val="19"/>
        </w:rPr>
        <w:t xml:space="preserve">Symptom-directed care with early specialist palliative involvement; treat reversible liver complications.</w:t>
      </w:r>
    </w:p>
    <w:p>
      <w:pPr>
        <w:spacing w:after="50" w:line="276"/>
        <w:ind w:left="240"/>
      </w:pPr>
      <w:r>
        <w:rPr>
          <w:color w:val="15181F"/>
          <w:sz w:val="18"/>
          <w:szCs w:val="18"/>
        </w:rPr>
        <w:t xml:space="preserve">ECOG 3–4, or Child-Pugh C that transplant cannot correct, after the transplant question has been asked and answered.</w:t>
      </w:r>
    </w:p>
    <w:p>
      <w:pPr>
        <w:spacing w:after="50"/>
        <w:ind w:left="240"/>
      </w:pPr>
      <w:r>
        <w:rPr>
          <w:b/>
          <w:bCs/>
          <w:color w:val="8C2F26"/>
          <w:sz w:val="18"/>
          <w:szCs w:val="18"/>
        </w:rPr>
        <w:t xml:space="preserve">Caveat. </w:t>
      </w:r>
      <w:r>
        <w:rPr>
          <w:color w:val="15181F"/>
          <w:sz w:val="18"/>
          <w:szCs w:val="18"/>
        </w:rPr>
        <w:t xml:space="preserve">Do not start systemic therapy at ECOG 3–4 or Child-Pugh C. Do not continue surveillance imaging that cannot change the plan.</w:t>
      </w:r>
    </w:p>
    <w:p>
      <w:pPr>
        <w:spacing w:after="60" w:line="276"/>
        <w:ind w:left="240"/>
      </w:pPr>
      <w:r>
        <w:rPr>
          <w:color w:val="5A6069"/>
          <w:sz w:val="16"/>
          <w:szCs w:val="16"/>
        </w:rPr>
        <w:t xml:space="preserve">Sources: BCLC 2026</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Re-evaluate for transplant.</w:t>
      </w:r>
    </w:p>
    <w:p>
      <w:pPr>
        <w:spacing w:after="50" w:line="276"/>
        <w:ind w:left="240"/>
      </w:pPr>
      <w:r>
        <w:rPr>
          <w:color w:val="15181F"/>
          <w:sz w:val="18"/>
          <w:szCs w:val="18"/>
        </w:rPr>
        <w:t xml:space="preserve">Decompensation rather than tumour is driving performance status — the liver failure, not the cancer, is the indication.</w:t>
      </w:r>
    </w:p>
    <w:p>
      <w:pPr>
        <w:spacing w:after="50"/>
        <w:ind w:left="240"/>
      </w:pPr>
      <w:r>
        <w:rPr>
          <w:b/>
          <w:bCs/>
          <w:color w:val="8C2F26"/>
          <w:sz w:val="18"/>
          <w:szCs w:val="18"/>
        </w:rPr>
        <w:t xml:space="preserve">Caveat. </w:t>
      </w:r>
      <w:r>
        <w:rPr>
          <w:color w:val="15181F"/>
          <w:sz w:val="18"/>
          <w:szCs w:val="18"/>
        </w:rPr>
        <w:t xml:space="preserve">This determination must be made before the patient is assigned stage D, not after. Once assigned, the label tends to stick.</w:t>
      </w:r>
    </w:p>
    <w:p>
      <w:pPr>
        <w:spacing w:after="50" w:line="276"/>
        <w:ind w:left="240"/>
      </w:pPr>
      <w:r>
        <w:rPr>
          <w:i/>
          <w:iCs/>
          <w:color w:val="5A6069"/>
          <w:sz w:val="17"/>
          <w:szCs w:val="17"/>
        </w:rPr>
        <w:t xml:space="preserve">Macrovascular invasion or extrahepatic spread still excludes the HCC exception, categorically.</w:t>
      </w:r>
    </w:p>
    <w:p>
      <w:pPr>
        <w:spacing w:after="60" w:line="276"/>
        <w:ind w:left="240"/>
      </w:pPr>
      <w:r>
        <w:rPr>
          <w:color w:val="5A6069"/>
          <w:sz w:val="16"/>
          <w:szCs w:val="16"/>
        </w:rPr>
        <w:t xml:space="preserve">Sources: Milan criteria</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Antitumour therapy without realistic benefit.</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Surveillance imaging that cannot change the plan.</w:t>
      </w:r>
    </w:p>
    <w:p>
      <w:pPr>
        <w:pBdr>
          <w:bottom w:val="single" w:color="D3DCE4" w:sz="6" w:space="1"/>
        </w:pBdr>
        <w:spacing w:after="80"/>
      </w:pPr>
    </w:p>
    <w:p>
      <w:pPr>
        <w:pStyle w:val="Heading1"/>
        <w:widowControl/>
        <w:keepNext/>
      </w:pPr>
      <w:bookmarkStart w:id="6100" w:name="liver_directed_treatment_matrix"/>
      <w:r>
        <w:t xml:space="preserve">Liver-directed treatment matrix</w:t>
      </w:r>
      <w:bookmarkEnd w:id="6100"/>
    </w:p>
    <w:p>
      <w:pPr>
        <w:pStyle w:val="Normal"/>
        <w:widowControl/>
        <w:spacing w:after="120"/>
      </w:pPr>
      <w:r>
        <w:t xml:space="preserve">Compare modalities by clinical role, anatomy, reserve, safety and evidence quality. This is not a ranked list. Local treatment and systemic treatment use the same matrix structure; the amount of detail reflects clinical decision needs, not which study prompted a discussion.</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Thermal ablation</w:t>
            </w:r>
          </w:p>
          <w:p>
            <w:pPr>
              <w:pStyle w:val="Normal"/>
              <w:widowControl/>
              <w:spacing w:after="55" w:line="240" w:lineRule="auto"/>
              <w:keepNext w:val="0"/>
              <w:keepLines/>
            </w:pPr>
            <w:r>
              <w:rPr>
                <w:sz w:val="21"/>
                <w:szCs w:val="21"/>
              </w:rPr>
              <w:t xml:space="preserve">MWA or RFA</w:t>
            </w:r>
          </w:p>
        </w:tc>
        <w:tc>
          <w:tcPr>
            <w:tcW w:w="4000" w:type="dxa"/>
            <w:vAlign w:val="top"/>
            <w:shd w:fill="F1F5F8"/>
          </w:tcPr>
          <w:p>
            <w:pPr>
              <w:pStyle w:val="Normal"/>
              <w:widowControl/>
              <w:spacing w:after="55" w:line="240" w:lineRule="auto"/>
              <w:keepNext w:val="0"/>
              <w:keepLines/>
            </w:pPr>
            <w:r>
              <w:rPr>
                <w:sz w:val="21"/>
                <w:szCs w:val="21"/>
              </w:rPr>
              <w:t xml:space="preserve">Small, accessible tumors, especially 3 cm or less, when the tumor and an adequate margin can be treated. Review ducts, bowel, vessels and heat sink. For 3–5 cm disease, consider alternatives or selected combinations; do not default to ablation alone above 5 cm.</w:t>
            </w:r>
          </w:p>
        </w:tc>
        <w:tc>
          <w:tcPr>
            <w:tcW w:w="4180" w:type="dxa"/>
            <w:vAlign w:val="top"/>
            <w:shd w:fill="F1F5F8"/>
          </w:tcPr>
          <w:p>
            <w:pPr>
              <w:pStyle w:val="Normal"/>
              <w:widowControl/>
              <w:spacing w:after="55" w:line="240" w:lineRule="auto"/>
              <w:keepNext w:val="0"/>
              <w:keepLines/>
            </w:pPr>
            <w:r>
              <w:rPr>
                <w:sz w:val="21"/>
                <w:szCs w:val="21"/>
              </w:rPr>
              <w:t xml:space="preserve">Guideline-supported definitive local treatment in selected early HCC, or a bridge. Technique, size and location influence local control; no universal preference between microwave and radiofrequency ablation.</w:t>
            </w:r>
          </w:p>
          <w:p>
            <w:pPr>
              <w:pStyle w:val="Normal"/>
              <w:widowControl/>
              <w:spacing w:after="120"/>
              <w:keepNext w:val="0"/>
            </w:pPr>
            <w:r>
              <w:t xml:space="preserve"/>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TI8L1JlY051bT48RGlzcGxheVRleHQ+W1YxNi0xMl08L0Rpc3BsYXlUZXh0PjxyZWNvcmQ+PHJlYy1udW1iZXI+MTI8L3JlYy1udW1iZXI+PGZvcmVpZ24ta2V5cz48a2V5IGFwcD0iRU4iIGRiLWlkPSIyYjI4NzQ5NS1hMmM3LTU0YzItODM3OC02MjhkMGY1MjliOWIiIHRpbWVzdGFtcD0iMTc5MzI4MzY4OSI+MTI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Z1bGwgdGV4dCByZWFkIGZvciB0aGUgVjE2IGV4dHJhaGVwYXRpYy1kaXNlYXNlIHJldmlldyAoY29tcGxldGUgbWFpbiB0ZXh0OyByZWxldmFudCBjb21wbGV0ZSBzZWN0aW9ucyBmb3IgbG9uZyBndWlkZWxpbmVzKS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69">
              <w:r>
                <w:rPr>
                  <w:color w:val="0563C1"/>
                  <w:u w:val="single"/>
                </w:rPr>
                <w:t>Source</w:t>
              </w:r>
            </w:hyperlink>
            <w:r>
              <w:t xml:space="preserve"> · </w:t>
            </w:r>
            <w:hyperlink r:id="rId70">
              <w:r>
                <w:rPr>
                  <w:color w:val="0563C1"/>
                  <w:u w:val="single"/>
                </w:rPr>
                <w:t>PDF</w:t>
              </w:r>
            </w:hyperlink>
            <w:r>
              <w:br/>
            </w:r>
            <w:hyperlink r:id="rId71">
              <w:r>
                <w:rPr>
                  <w:color w:val="0563C1"/>
                  <w:u w:val="single"/>
                </w:rPr>
                <w:t>Source</w:t>
              </w:r>
            </w:hyperlink>
            <w:r>
              <w:t xml:space="preserve"> · </w:t>
            </w:r>
            <w:hyperlink r:id="rId72">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Chemical ablation</w:t>
            </w:r>
          </w:p>
          <w:p>
            <w:pPr>
              <w:pStyle w:val="Normal"/>
              <w:widowControl/>
              <w:spacing w:after="55" w:line="240" w:lineRule="auto"/>
              <w:keepNext w:val="0"/>
              <w:keepLines/>
            </w:pPr>
            <w:r>
              <w:rPr>
                <w:sz w:val="21"/>
                <w:szCs w:val="21"/>
              </w:rPr>
              <w:t xml:space="preserve">Ethanol injection</w:t>
            </w:r>
          </w:p>
        </w:tc>
        <w:tc>
          <w:tcPr>
            <w:tcW w:w="4000" w:type="dxa"/>
            <w:vAlign w:val="top"/>
            <w:shd w:fill="FFFFFF"/>
          </w:tcPr>
          <w:p>
            <w:pPr>
              <w:pStyle w:val="Normal"/>
              <w:widowControl/>
              <w:spacing w:after="55" w:line="240" w:lineRule="auto"/>
              <w:keepNext w:val="0"/>
              <w:keepLines/>
            </w:pPr>
            <w:r>
              <w:rPr>
                <w:sz w:val="21"/>
                <w:szCs w:val="21"/>
              </w:rPr>
              <w:t xml:space="preserve">Selected small lesions when thermal treatment is unsuitable and local expertise supports use. The local guideline limits this option to tumors under 3 cm.</w:t>
            </w:r>
          </w:p>
        </w:tc>
        <w:tc>
          <w:tcPr>
            <w:tcW w:w="4180" w:type="dxa"/>
            <w:vAlign w:val="top"/>
            <w:shd w:fill="FFFFFF"/>
          </w:tcPr>
          <w:p>
            <w:pPr>
              <w:pStyle w:val="Normal"/>
              <w:widowControl/>
              <w:spacing w:after="55" w:line="240" w:lineRule="auto"/>
              <w:keepNext w:val="0"/>
              <w:keepLines/>
            </w:pPr>
            <w:r>
              <w:rPr>
                <w:sz w:val="21"/>
                <w:szCs w:val="21"/>
              </w:rPr>
              <w:t xml:space="preserve">A selective alternative, not the default for larger lesions. Record why the other local options are unsuitable.</w:t>
            </w:r>
          </w:p>
          <w:p>
            <w:pPr>
              <w:pStyle w:val="Normal"/>
              <w:widowControl/>
              <w:spacing w:after="120"/>
              <w:keepNext w:val="0"/>
            </w:pPr>
            <w:r>
              <w:t xml:space="preserve"/>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73">
              <w:r>
                <w:rPr>
                  <w:color w:val="0563C1"/>
                  <w:u w:val="single"/>
                </w:rPr>
                <w:t>Source</w:t>
              </w:r>
            </w:hyperlink>
            <w:r>
              <w:t xml:space="preserve"> · </w:t>
            </w:r>
            <w:hyperlink r:id="rId74">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Arterial embolization</w:t>
            </w:r>
          </w:p>
          <w:p>
            <w:pPr>
              <w:pStyle w:val="Normal"/>
              <w:widowControl/>
              <w:spacing w:after="55" w:line="240" w:lineRule="auto"/>
              <w:keepNext w:val="0"/>
              <w:keepLines/>
            </w:pPr>
            <w:r>
              <w:rPr>
                <w:sz w:val="21"/>
                <w:szCs w:val="21"/>
              </w:rPr>
              <w:t xml:space="preserve">Conventional TACE, DEB-TACE or bland TAE</w:t>
            </w:r>
          </w:p>
        </w:tc>
        <w:tc>
          <w:tcPr>
            <w:tcW w:w="4000" w:type="dxa"/>
            <w:vAlign w:val="top"/>
            <w:shd w:fill="F1F5F8"/>
          </w:tcPr>
          <w:p>
            <w:pPr>
              <w:pStyle w:val="Normal"/>
              <w:widowControl/>
              <w:spacing w:after="55" w:line="240" w:lineRule="auto"/>
              <w:keepNext w:val="0"/>
              <w:keepLines/>
            </w:pPr>
            <w:r>
              <w:rPr>
                <w:sz w:val="21"/>
                <w:szCs w:val="21"/>
              </w:rPr>
              <w:t xml:space="preserve">Liver-confined disease with adequate reserve and selectively targetable supply. Assess portal flow, bilirubin, decompensation, infection and nontarget ischemia. Technique and chemotherapy belong in the IR plan.</w:t>
            </w:r>
          </w:p>
        </w:tc>
        <w:tc>
          <w:tcPr>
            <w:tcW w:w="4180" w:type="dxa"/>
            <w:vAlign w:val="top"/>
            <w:shd w:fill="F1F5F8"/>
          </w:tcPr>
          <w:p>
            <w:pPr>
              <w:pStyle w:val="Normal"/>
              <w:widowControl/>
              <w:spacing w:after="55" w:line="240" w:lineRule="auto"/>
              <w:keepNext w:val="0"/>
              <w:keepLines/>
            </w:pPr>
            <w:r>
              <w:rPr>
                <w:sz w:val="21"/>
                <w:szCs w:val="21"/>
              </w:rPr>
              <w:t xml:space="preserve">Established treatment roles, with disease-control, bridge or downstaging intent specified separately. No technique is a universal best bridge. Bilirubin above 3 mg/dL is a relative safety concern, with selected segmental exceptions.</w:t>
            </w:r>
          </w:p>
          <w:p>
            <w:pPr>
              <w:pStyle w:val="Normal"/>
              <w:widowControl/>
              <w:spacing w:after="120"/>
              <w:keepNext w:val="0"/>
            </w:pPr>
            <w:r>
              <w:t xml:space="preserve"/>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TI8L1JlY051bT48RGlzcGxheVRleHQ+W1YxNi0xMl08L0Rpc3BsYXlUZXh0PjxyZWNvcmQ+PHJlYy1udW1iZXI+MTI8L3JlYy1udW1iZXI+PGZvcmVpZ24ta2V5cz48a2V5IGFwcD0iRU4iIGRiLWlkPSIyYjI4NzQ5NS1hMmM3LTU0YzItODM3OC02MjhkMGY1MjliOWIiIHRpbWVzdGFtcD0iMTc5MzI4MzY4OSI+MTI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Z1bGwgdGV4dCByZWFkIGZvciB0aGUgVjE2IGV4dHJhaGVwYXRpYy1kaXNlYXNlIHJldmlldyAoY29tcGxldGUgbWFpbiB0ZXh0OyByZWxldmFudCBjb21wbGV0ZSBzZWN0aW9ucyBmb3IgbG9uZyBndWlkZWxpbmVzKS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75">
              <w:r>
                <w:rPr>
                  <w:color w:val="0563C1"/>
                  <w:u w:val="single"/>
                </w:rPr>
                <w:t>Source</w:t>
              </w:r>
            </w:hyperlink>
            <w:r>
              <w:t xml:space="preserve"> · </w:t>
            </w:r>
            <w:hyperlink r:id="rId76">
              <w:r>
                <w:rPr>
                  <w:color w:val="0563C1"/>
                  <w:u w:val="single"/>
                </w:rPr>
                <w:t>PDF</w:t>
              </w:r>
            </w:hyperlink>
            <w:r>
              <w:br/>
            </w:r>
            <w:hyperlink r:id="rId77">
              <w:r>
                <w:rPr>
                  <w:color w:val="0563C1"/>
                  <w:u w:val="single"/>
                </w:rPr>
                <w:t>Source</w:t>
              </w:r>
            </w:hyperlink>
            <w:r>
              <w:t xml:space="preserve"> · </w:t>
            </w:r>
            <w:hyperlink r:id="rId78">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Radioembolization</w:t>
            </w:r>
          </w:p>
          <w:p>
            <w:pPr>
              <w:pStyle w:val="Normal"/>
              <w:widowControl/>
              <w:spacing w:after="55" w:line="240" w:lineRule="auto"/>
              <w:keepNext w:val="0"/>
              <w:keepLines/>
            </w:pPr>
            <w:r>
              <w:rPr>
                <w:sz w:val="21"/>
                <w:szCs w:val="21"/>
              </w:rPr>
              <w:t xml:space="preserve">Y90 TARE or radiation segmentectomy</w:t>
            </w:r>
          </w:p>
        </w:tc>
        <w:tc>
          <w:tcPr>
            <w:tcW w:w="4000" w:type="dxa"/>
            <w:vAlign w:val="top"/>
            <w:shd w:fill="FFFFFF"/>
          </w:tcPr>
          <w:p>
            <w:pPr>
              <w:pStyle w:val="Normal"/>
              <w:widowControl/>
              <w:spacing w:after="55" w:line="240" w:lineRule="auto"/>
              <w:keepNext w:val="0"/>
              <w:keepLines/>
            </w:pPr>
            <w:r>
              <w:rPr>
                <w:sz w:val="21"/>
                <w:szCs w:val="21"/>
              </w:rPr>
              <w:t xml:space="preserve">Choose a selective segmental or larger-volume plan according to tumor distribution and functional reserve. Require mapping, lung and nontarget assessment, and individualized dosimetry. Bilirubin above 2 mg/dL increases radiation-injury risk.</w:t>
            </w:r>
          </w:p>
        </w:tc>
        <w:tc>
          <w:tcPr>
            <w:tcW w:w="4180" w:type="dxa"/>
            <w:vAlign w:val="top"/>
            <w:shd w:fill="FFFFFF"/>
          </w:tcPr>
          <w:p>
            <w:pPr>
              <w:pStyle w:val="Normal"/>
              <w:widowControl/>
              <w:spacing w:after="55" w:line="240" w:lineRule="auto"/>
              <w:keepNext w:val="0"/>
              <w:keepLines/>
            </w:pPr>
            <w:r>
              <w:rPr>
                <w:sz w:val="21"/>
                <w:szCs w:val="21"/>
              </w:rPr>
              <w:t xml:space="preserve">RASER and LEGACY support selected early-HCC local control in uncontrolled cohorts. They do not establish superiority over other modalities or LT benefit. Small-segment results do not establish safety of bilobar treatment; dose compartments are not interchangeable.</w:t>
            </w:r>
          </w:p>
          <w:p>
            <w:pPr>
              <w:pStyle w:val="Normal"/>
              <w:widowControl/>
              <w:spacing w:after="120"/>
              <w:keepNext w:val="0"/>
            </w:pPr>
            <w:r>
              <w:t xml:space="preserve"/>
            </w:r>
            <w:r>
              <w:t xml:space="preserve"> </w:t>
            </w:r>
            <w:r>
              <w:t xml:space="preserve"> </w:t>
            </w:r>
            <w:r>
              <w:t xml:space="preserve"> </w:t>
            </w:r>
            <w:r>
              <w:fldChar w:fldCharType="begin"/>
            </w:r>
            <w:r>
              <w:instrText xml:space="preserve"> ADDIN EN.CITE </w:instrText>
            </w:r>
            <w:r>
              <w:fldChar w:fldCharType="begin">
                <w:fldData>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79">
              <w:r>
                <w:rPr>
                  <w:color w:val="0563C1"/>
                  <w:u w:val="single"/>
                </w:rPr>
                <w:t>Source</w:t>
              </w:r>
            </w:hyperlink>
            <w:r>
              <w:t xml:space="preserve"> · </w:t>
            </w:r>
            <w:hyperlink r:id="rId80">
              <w:r>
                <w:rPr>
                  <w:color w:val="0563C1"/>
                  <w:u w:val="single"/>
                </w:rPr>
                <w:t>PDF</w:t>
              </w:r>
            </w:hyperlink>
            <w:r>
              <w:br/>
            </w:r>
            <w:hyperlink r:id="rId81">
              <w:r>
                <w:rPr>
                  <w:color w:val="0563C1"/>
                  <w:u w:val="single"/>
                </w:rPr>
                <w:t>Source</w:t>
              </w:r>
            </w:hyperlink>
            <w:r>
              <w:t xml:space="preserve"> · </w:t>
            </w:r>
            <w:hyperlink r:id="rId82">
              <w:r>
                <w:rPr>
                  <w:color w:val="0563C1"/>
                  <w:u w:val="single"/>
                </w:rPr>
                <w:t>PDF</w:t>
              </w:r>
            </w:hyperlink>
            <w:r>
              <w:br/>
            </w:r>
            <w:hyperlink r:id="rId83">
              <w:r>
                <w:rPr>
                  <w:color w:val="0563C1"/>
                  <w:u w:val="single"/>
                </w:rPr>
                <w:t>Source</w:t>
              </w:r>
            </w:hyperlink>
            <w:r>
              <w:t xml:space="preserve"> · </w:t>
            </w:r>
            <w:hyperlink r:id="rId84">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External beam radiation</w:t>
            </w:r>
          </w:p>
          <w:p>
            <w:pPr>
              <w:pStyle w:val="Normal"/>
              <w:widowControl/>
              <w:spacing w:after="55" w:line="240" w:lineRule="auto"/>
              <w:keepNext w:val="0"/>
              <w:keepLines/>
            </w:pPr>
            <w:r>
              <w:rPr>
                <w:sz w:val="21"/>
                <w:szCs w:val="21"/>
              </w:rPr>
              <w:t xml:space="preserve">SBRT, other conformal RT or protons</w:t>
            </w:r>
          </w:p>
        </w:tc>
        <w:tc>
          <w:tcPr>
            <w:tcW w:w="4000" w:type="dxa"/>
            <w:vAlign w:val="top"/>
            <w:shd w:fill="F1F5F8"/>
          </w:tcPr>
          <w:p>
            <w:pPr>
              <w:pStyle w:val="Normal"/>
              <w:widowControl/>
              <w:spacing w:after="55" w:line="240" w:lineRule="auto"/>
              <w:keepNext w:val="0"/>
              <w:keepLines/>
            </w:pPr>
            <w:r>
              <w:rPr>
                <w:sz w:val="21"/>
                <w:szCs w:val="21"/>
              </w:rPr>
              <w:t xml:space="preserve">Consider when surgery, ablation or embolization is unsuitable or unsuccessful. Radiation oncology must meet normal-liver, bowel, stomach and biliary constraints, with motion management and prior-dose review.</w:t>
            </w:r>
          </w:p>
        </w:tc>
        <w:tc>
          <w:tcPr>
            <w:tcW w:w="4180" w:type="dxa"/>
            <w:vAlign w:val="top"/>
            <w:shd w:fill="F1F5F8"/>
          </w:tcPr>
          <w:p>
            <w:pPr>
              <w:pStyle w:val="Normal"/>
              <w:widowControl/>
              <w:spacing w:after="55" w:line="240" w:lineRule="auto"/>
              <w:keepNext w:val="0"/>
              <w:keepLines/>
            </w:pPr>
            <w:r>
              <w:rPr>
                <w:sz w:val="21"/>
                <w:szCs w:val="21"/>
              </w:rPr>
              <w:t xml:space="preserve">Guideline-supported local treatment. Most safety data are in Child-Pugh A and selected B7; much less is established for B8–C. Modality and fractionation are individualized; technical feasibility does not confer LT eligibility.</w:t>
            </w:r>
          </w:p>
          <w:p>
            <w:pPr>
              <w:pStyle w:val="Normal"/>
              <w:widowControl/>
              <w:spacing w:after="120"/>
              <w:keepNext w:val="0"/>
            </w:pPr>
            <w:r>
              <w:t xml:space="preserve"/>
            </w:r>
            <w:r>
              <w:t xml:space="preserve"> </w:t>
            </w:r>
            <w:r>
              <w:t xml:space="preserve"> </w:t>
            </w:r>
            <w:r>
              <w:t xml:space="preserve"> </w:t>
            </w:r>
            <w:r>
              <w:fldChar w:fldCharType="begin"/>
            </w:r>
            <w:r>
              <w:instrText xml:space="preserve"> ADDIN EN.CITE </w:instrText>
            </w:r>
            <w:r>
              <w:fldChar w:fldCharType="begin">
                <w:fldData>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wcnJvLjIwMjEuMDkuMDA0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85">
              <w:r>
                <w:rPr>
                  <w:color w:val="0563C1"/>
                  <w:u w:val="single"/>
                </w:rPr>
                <w:t>Source</w:t>
              </w:r>
            </w:hyperlink>
            <w:r>
              <w:t xml:space="preserve"> · </w:t>
            </w:r>
            <w:hyperlink r:id="rId86">
              <w:r>
                <w:rPr>
                  <w:color w:val="0563C1"/>
                  <w:u w:val="single"/>
                </w:rPr>
                <w:t>PDF</w:t>
              </w:r>
            </w:hyperlink>
            <w:r>
              <w:br/>
            </w:r>
            <w:hyperlink r:id="rId87">
              <w:r>
                <w:rPr>
                  <w:color w:val="0563C1"/>
                  <w:u w:val="single"/>
                </w:rPr>
                <w:t>Source</w:t>
              </w:r>
            </w:hyperlink>
            <w:r>
              <w:t xml:space="preserve"> · </w:t>
            </w:r>
            <w:hyperlink r:id="rId88">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Selected combined local treatment</w:t>
            </w:r>
          </w:p>
        </w:tc>
        <w:tc>
          <w:tcPr>
            <w:tcW w:w="4000" w:type="dxa"/>
            <w:vAlign w:val="top"/>
            <w:shd w:fill="FFFFFF"/>
          </w:tcPr>
          <w:p>
            <w:pPr>
              <w:pStyle w:val="Normal"/>
              <w:widowControl/>
              <w:spacing w:after="55" w:line="240" w:lineRule="auto"/>
              <w:keepNext w:val="0"/>
              <w:keepLines/>
            </w:pPr>
            <w:r>
              <w:rPr>
                <w:sz w:val="21"/>
                <w:szCs w:val="21"/>
              </w:rPr>
              <w:t xml:space="preserve">TACE plus ablation or TACE plus RT for a defined residual-disease or anatomical problem. Reassess reserve and toxicity before adding treatment; no automatic additional procedure after complete response.</w:t>
            </w:r>
          </w:p>
        </w:tc>
        <w:tc>
          <w:tcPr>
            <w:tcW w:w="4180" w:type="dxa"/>
            <w:vAlign w:val="top"/>
            <w:shd w:fill="FFFFFF"/>
          </w:tcPr>
          <w:p>
            <w:pPr>
              <w:pStyle w:val="Normal"/>
              <w:widowControl/>
              <w:spacing w:after="55" w:line="240" w:lineRule="auto"/>
              <w:keepNext w:val="0"/>
              <w:keepLines/>
            </w:pPr>
            <w:r>
              <w:rPr>
                <w:sz w:val="21"/>
                <w:szCs w:val="21"/>
              </w:rPr>
              <w:t xml:space="preserve">Selection and study setting matter. Do not treat a combination as uniformly superior to a technically adequate single modality.</w:t>
            </w:r>
          </w:p>
          <w:p>
            <w:pPr>
              <w:pStyle w:val="Normal"/>
              <w:widowControl/>
              <w:spacing w:after="120"/>
              <w:keepNext w:val="0"/>
            </w:pPr>
            <w:r>
              <w:t xml:space="preserve"/>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TI8L1JlY051bT48RGlzcGxheVRleHQ+W1YxNi0xMl08L0Rpc3BsYXlUZXh0PjxyZWNvcmQ+PHJlYy1udW1iZXI+MTI8L3JlYy1udW1iZXI+PGZvcmVpZ24ta2V5cz48a2V5IGFwcD0iRU4iIGRiLWlkPSIyYjI4NzQ5NS1hMmM3LTU0YzItODM3OC02MjhkMGY1MjliOWIiIHRpbWVzdGFtcD0iMTc5MzI4MzY4OSI+MTI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Z1bGwgdGV4dCByZWFkIGZvciB0aGUgVjE2IGV4dHJhaGVwYXRpYy1kaXNlYXNlIHJldmlldyAoY29tcGxldGUgbWFpbiB0ZXh0OyByZWxldmFudCBjb21wbGV0ZSBzZWN0aW9ucyBmb3IgbG9uZyBndWlkZWxpbmVzKS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89">
              <w:r>
                <w:rPr>
                  <w:color w:val="0563C1"/>
                  <w:u w:val="single"/>
                </w:rPr>
                <w:t>Source</w:t>
              </w:r>
            </w:hyperlink>
            <w:r>
              <w:t xml:space="preserve"> · </w:t>
            </w:r>
            <w:hyperlink r:id="rId90">
              <w:r>
                <w:rPr>
                  <w:color w:val="0563C1"/>
                  <w:u w:val="single"/>
                </w:rPr>
                <w:t>PDF</w:t>
              </w:r>
            </w:hyperlink>
            <w:r>
              <w:br/>
            </w:r>
            <w:hyperlink r:id="rId91">
              <w:r>
                <w:rPr>
                  <w:color w:val="0563C1"/>
                  <w:u w:val="single"/>
                </w:rPr>
                <w:t>Source</w:t>
              </w:r>
            </w:hyperlink>
            <w:r>
              <w:t xml:space="preserve"> · </w:t>
            </w:r>
            <w:hyperlink r:id="rId92">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Hepatic arterial infusion</w:t>
            </w:r>
          </w:p>
          <w:p>
            <w:pPr>
              <w:pStyle w:val="Normal"/>
              <w:widowControl/>
              <w:spacing w:after="55" w:line="240" w:lineRule="auto"/>
              <w:keepNext w:val="0"/>
              <w:keepLines/>
            </w:pPr>
            <w:r>
              <w:rPr>
                <w:sz w:val="21"/>
                <w:szCs w:val="21"/>
              </w:rPr>
              <w:t xml:space="preserve">FOLFOX-based HAIC</w:t>
            </w:r>
          </w:p>
        </w:tc>
        <w:tc>
          <w:tcPr>
            <w:tcW w:w="4000" w:type="dxa"/>
            <w:vAlign w:val="top"/>
            <w:shd w:fill="F1F5F8"/>
          </w:tcPr>
          <w:p>
            <w:pPr>
              <w:pStyle w:val="Normal"/>
              <w:widowControl/>
              <w:spacing w:after="55" w:line="240" w:lineRule="auto"/>
              <w:keepNext w:val="0"/>
              <w:keepLines/>
            </w:pPr>
            <w:r>
              <w:rPr>
                <w:sz w:val="21"/>
                <w:szCs w:val="21"/>
              </w:rPr>
              <w:t xml:space="preserve">Selected specialist or research use for advanced liver-dominant HCC. Distinguish catheter-based HAIC from an implanted FUDR pump used in other diseases.</w:t>
            </w:r>
          </w:p>
        </w:tc>
        <w:tc>
          <w:tcPr>
            <w:tcW w:w="4180" w:type="dxa"/>
            <w:vAlign w:val="top"/>
            <w:shd w:fill="F1F5F8"/>
          </w:tcPr>
          <w:p>
            <w:pPr>
              <w:pStyle w:val="Normal"/>
              <w:widowControl/>
              <w:spacing w:after="55" w:line="240" w:lineRule="auto"/>
              <w:keepNext w:val="0"/>
              <w:keepLines/>
            </w:pPr>
            <w:r>
              <w:rPr>
                <w:sz w:val="21"/>
                <w:szCs w:val="21"/>
              </w:rPr>
              <w:t xml:space="preserve">FOHAIC-1 is randomized advanced-HCC evidence from a selected setting; it does not establish routine US transplant bridging. Do not transfer its results into an LT-selection rule.</w:t>
            </w:r>
          </w:p>
          <w:p>
            <w:pPr>
              <w:pStyle w:val="Normal"/>
              <w:widowControl/>
              <w:spacing w:after="120"/>
              <w:keepNext w:val="0"/>
            </w:pPr>
            <w:r>
              <w:t xml:space="preserve"/>
            </w:r>
            <w:r>
              <w:t xml:space="preserve"> </w:t>
            </w:r>
            <w:r>
              <w:t xml:space="preserve"> </w:t>
            </w:r>
            <w:r>
              <w:t xml:space="preserve"> </w:t>
            </w:r>
            <w:r>
              <w:fldChar w:fldCharType="begin"/>
            </w:r>
            <w:r>
              <w:instrText xml:space="preserve"> ADDIN EN.CITE </w:instrText>
            </w:r>
            <w:r>
              <w:fldChar w:fldCharType="begin">
                <w:fldData>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</w:fldData>
              </w:fldChar>
            </w:r>
            <w:r>
              <w:instrText xml:space="preserve"> ADDIN EN.CITE.DATA </w:instrText>
            </w:r>
            <w:r>
              <w:fldChar w:fldCharType="end"/>
            </w:r>
            <w:r>
              <w:fldChar w:fldCharType="separate"/>
            </w:r>
            <w:r>
              <w:t xml:space="preserve">[V16-16]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93">
              <w:r>
                <w:rPr>
                  <w:color w:val="0563C1"/>
                  <w:u w:val="single"/>
                </w:rPr>
                <w:t>Source</w:t>
              </w:r>
            </w:hyperlink>
            <w:r>
              <w:t xml:space="preserve"> · </w:t>
            </w:r>
            <w:hyperlink r:id="rId94">
              <w:r>
                <w:rPr>
                  <w:color w:val="0563C1"/>
                  <w:u w:val="single"/>
                </w:rPr>
                <w:t>PDF</w:t>
              </w:r>
            </w:hyperlink>
            <w:r>
              <w:br/>
            </w:r>
            <w:hyperlink r:id="rId95">
              <w:r>
                <w:rPr>
                  <w:color w:val="0563C1"/>
                  <w:u w:val="single"/>
                </w:rPr>
                <w:t>Source</w:t>
              </w:r>
            </w:hyperlink>
            <w:r>
              <w:t xml:space="preserve"> · </w:t>
            </w:r>
            <w:hyperlink r:id="rId96">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Histotripsy</w:t>
            </w:r>
          </w:p>
        </w:tc>
        <w:tc>
          <w:tcPr>
            <w:tcW w:w="4000" w:type="dxa"/>
            <w:vAlign w:val="top"/>
            <w:shd w:fill="FFFFFF"/>
          </w:tcPr>
          <w:p>
            <w:pPr>
              <w:pStyle w:val="Normal"/>
              <w:widowControl/>
              <w:spacing w:after="55" w:line="240" w:lineRule="auto"/>
              <w:keepNext w:val="0"/>
              <w:keepLines/>
            </w:pPr>
            <w:r>
              <w:rPr>
                <w:sz w:val="21"/>
                <w:szCs w:val="21"/>
              </w:rPr>
              <w:t xml:space="preserve">An adequate acoustic window, target visibility and device-specific technical feasibility are required. Use an institutional pathway with explicit oncologic follow-up.</w:t>
            </w:r>
          </w:p>
        </w:tc>
        <w:tc>
          <w:tcPr>
            <w:tcW w:w="4180" w:type="dxa"/>
            <w:vAlign w:val="top"/>
            <w:shd w:fill="FFFFFF"/>
          </w:tcPr>
          <w:p>
            <w:pPr>
              <w:pStyle w:val="Normal"/>
              <w:widowControl/>
              <w:spacing w:after="55" w:line="240" w:lineRule="auto"/>
              <w:keepNext w:val="0"/>
              <w:keepLines/>
            </w:pPr>
            <w:r>
              <w:rPr>
                <w:sz w:val="21"/>
                <w:szCs w:val="21"/>
              </w:rPr>
              <w:t xml:space="preserve">HOPE4LIVER provides prospective technical and early safety evidence. Technical success is not established HCC cure, transplant access or post-LT survival benefit.</w:t>
            </w:r>
          </w:p>
          <w:p>
            <w:pPr>
              <w:pStyle w:val="Normal"/>
              <w:widowControl/>
              <w:spacing w:after="120"/>
              <w:keepNext w:val="0"/>
            </w:pPr>
            <w:r>
              <w:t xml:space="preserve"/>
            </w:r>
            <w:r>
              <w:t xml:space="preserve"> </w:t>
            </w:r>
            <w:r>
              <w:t xml:space="preserve"> </w:t>
            </w:r>
            <w:r>
              <w:t xml:space="preserve"> </w:t>
            </w:r>
            <w:r>
              <w:fldChar w:fldCharType="begin"/>
            </w:r>
            <w:r>
              <w:instrText xml:space="preserve"> ADDIN EN.CITE </w:instrText>
            </w:r>
            <w:r>
              <w:fldChar w:fldCharType="begin">
                <w:fldData>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xNDgvcmFkaW9sLjIzMzA1M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r>
              <w:br/>
            </w:r>
            <w:hyperlink r:id="rId97">
              <w:r>
                <w:rPr>
                  <w:color w:val="0563C1"/>
                  <w:u w:val="single"/>
                </w:rPr>
                <w:t>Source</w:t>
              </w:r>
            </w:hyperlink>
            <w:r>
              <w:t xml:space="preserve"> · </w:t>
            </w:r>
            <w:hyperlink r:id="rId98">
              <w:r>
                <w:rPr>
                  <w:color w:val="0563C1"/>
                  <w:u w:val="single"/>
                </w:rPr>
                <w:t>PDF</w:t>
              </w:r>
            </w:hyperlink>
          </w:p>
        </w:tc>
      </w:tr>
    </w:tbl>
    <w:p>
      <w:pPr>
        <w:pStyle w:val="Normal"/>
        <w:widowControl/>
        <w:spacing w:after="120"/>
      </w:pPr>
      <w:r>
        <w:t xml:space="preserve"/>
      </w:r>
    </w:p>
    <w:p>
      <w:pPr>
        <w:pStyle w:val="Heading1"/>
        <w:widowControl/>
        <w:keepNext/>
      </w:pPr>
      <w:r>
        <w:t xml:space="preserve">Systemic treatment matrix</w:t>
      </w:r>
    </w:p>
    <w:p>
      <w:pPr>
        <w:pStyle w:val="Normal"/>
        <w:widowControl/>
        <w:spacing w:after="120"/>
      </w:pPr>
      <w:r>
        <w:t xml:space="preserve">AFP level, AFP trajectory and radiographic viability answer different questions. Repeat an unexplained result, assess liver inflammation and obtain expert review of adequate multiphasic imaging; do not label AFP-only rise radiographic progression. No empiric LRT without a target. B1.1 proposals are OPEN, not automatic delisting rules.</w:t>
      </w:r>
    </w:p>
    <w:p>
      <w:pPr>
        <w:pStyle w:val="Normal"/>
        <w:widowControl/>
        <w:spacing w:after="120"/>
      </w:pPr>
      <w:r>
        <w:t xml:space="preserve">Use this matrix after staging, liver-reserve and performance assessment. Most pivotal combination trials enrolled Child-Pugh A and ECOG 0–1. Selected Child-Pugh B decisions need individual review; decompensated cirrhosis is not a routine combination-treatment setting. Row order and cross-trial median survival do not rank efficacy. Pharmacy must verify current formulation, dose, schedule, organ-function changes and interactions; this is not an administration order set.</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TI8L1JlY051bT48RGlzcGxheVRleHQ+W1YxNi0xMl08L0Rpc3BsYXlUZXh0PjxyZWNvcmQ+PHJlYy1udW1iZXI+MTI8L3JlYy1udW1iZXI+PGZvcmVpZ24ta2V5cz48a2V5IGFwcD0iRU4iIGRiLWlkPSIyYjI4NzQ5NS1hMmM3LTU0YzItODM3OC02MjhkMGY1MjliOWIiIHRpbWVzdGFtcD0iMTc5MzI4MzY4OSI+MTI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Z1bGwgdGV4dCByZWFkIGZvciB0aGUgVjE2IGV4dHJhaGVwYXRpYy1kaXNlYXNlIHJldmlldyAoY29tcGxldGUgbWFpbiB0ZXh0OyByZWxldmFudCBjb21wbGV0ZSBzZWN0aW9ucyBmb3IgbG9uZyBndWlkZWxpbmVzKS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2LTFdPC9EaXNwbGF5VGV4dD48cmVjb3JkPjxyZWMtbnVtYmVyPjE8L3JlYy1udW1iZXI+PGZvcmVpZ24ta2V5cz48a2V5IGFwcD0iRU4iIGRiLWlkPSIyYjI4NzQ5NS1hMmM3LTU0YzItODM3OC02MjhkMGY1MjliOWIiIHRpbWVzdGFtcD0iMTc5MzI4MzY4OS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pStyle w:val="Normal"/>
        <w:widowControl/>
        <w:spacing w:after="120"/>
      </w:pPr>
      <w:r>
        <w:t xml:space="preserve">Before treatment, document CBC, liver and renal tests, Child-Pugh, ECOG, hepatitis status and antiviral plan. Before ICI, assess autoimmune disease, prior transplant, infection and prior immune toxicity, with thyroid and other endocrine assessment as indicated. Before anti-VEGF treatment, assess bleeding/varices, blood pressure, proteinuria and planned surgery. Baseline endoscopy and variceal management should be current for atezolizumab–bevacizumab.</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TI8L1JlY051bT48RGlzcGxheVRleHQ+W1YxNi0xMl08L0Rpc3BsYXlUZXh0PjxyZWNvcmQ+PHJlYy1udW1iZXI+MTI8L3JlYy1udW1iZXI+PGZvcmVpZ24ta2V5cz48a2V5IGFwcD0iRU4iIGRiLWlkPSIyYjI4NzQ5NS1hMmM3LTU0YzItODM3OC02MjhkMGY1MjliOWIiIHRpbWVzdGFtcD0iMTc5MzI4MzY4OSI+MTI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Z1bGwgdGV4dCByZWFkIGZvciB0aGUgVjE2IGV4dHJhaGVwYXRpYy1kaXNlYXNlIHJldmlldyAoY29tcGxldGUgbWFpbiB0ZXh0OyByZWxldmFudCBjb21wbGV0ZSBzZWN0aW9ucyBmb3IgbG9uZyBndWlkZWxpbmVzKS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p>
    <w:p>
      <w:pPr>
        <w:pStyle w:val="Heading2"/>
        <w:widowControl/>
        <w:keepNext/>
      </w:pPr>
      <w:r>
        <w:t xml:space="preserve">First line systemic therapy</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Atezolizumab plus bevacizumab</w:t>
            </w:r>
          </w:p>
          <w:p>
            <w:pPr>
              <w:pStyle w:val="Normal"/>
              <w:widowControl/>
              <w:spacing w:after="55" w:line="240" w:lineRule="auto"/>
              <w:keepNext w:val="0"/>
              <w:keepLines/>
            </w:pPr>
            <w:r>
              <w:rPr>
                <w:sz w:val="21"/>
                <w:szCs w:val="21"/>
              </w:rPr>
              <w:t xml:space="preserve">First-line combination</w:t>
            </w:r>
          </w:p>
        </w:tc>
        <w:tc>
          <w:tcPr>
            <w:tcW w:w="4000" w:type="dxa"/>
            <w:vAlign w:val="top"/>
            <w:shd w:fill="F1F5F8"/>
          </w:tcPr>
          <w:p>
            <w:pPr>
              <w:pStyle w:val="Normal"/>
              <w:widowControl/>
              <w:spacing w:after="55" w:line="240" w:lineRule="auto"/>
              <w:keepNext w:val="0"/>
              <w:keepLines/>
            </w:pPr>
            <w:r>
              <w:rPr>
                <w:sz w:val="21"/>
                <w:szCs w:val="21"/>
              </w:rPr>
              <w:t xml:space="preserve">An ICI-based option when immune treatment and anti-VEGF therapy are appropriate. Assess and manage varices, recent bleeding, blood pressure, proteinuria and operative timing. Viral etiology is not required.</w:t>
            </w:r>
          </w:p>
        </w:tc>
        <w:tc>
          <w:tcPr>
            <w:tcW w:w="4180" w:type="dxa"/>
            <w:vAlign w:val="top"/>
            <w:shd w:fill="F1F5F8"/>
          </w:tcPr>
          <w:p>
            <w:pPr>
              <w:pStyle w:val="Normal"/>
              <w:widowControl/>
              <w:spacing w:after="55" w:line="240" w:lineRule="auto"/>
              <w:keepNext w:val="0"/>
              <w:keepLines/>
            </w:pPr>
            <w:r>
              <w:rPr>
                <w:sz w:val="21"/>
                <w:szCs w:val="21"/>
              </w:rPr>
              <w:t xml:space="preserve">IMbrave150 updated analysis: median OS 19.2 versus 13.4 months with sorafenib, HR 0.66. Mainly Child-Pugh A and ECOG 0–1. Not a head-to-head comparison with the other ICI combinations.</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qLmpoZXAuMjAyMS4xMS4wMzA8L3VybD48L3JlbGF0ZWQtdXJscz48cGRmLXVybHMvPjwvdXJscz48L3JlY29yZD48L0NpdGU+PC9FbmROb3RlPg==</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2LTFdPC9EaXNwbGF5VGV4dD48cmVjb3JkPjxyZWMtbnVtYmVyPjE8L3JlYy1udW1iZXI+PGZvcmVpZ24ta2V5cz48a2V5IGFwcD0iRU4iIGRiLWlkPSIyYjI4NzQ5NS1hMmM3LTU0YzItODM3OC02MjhkMGY1MjliOWIiIHRpbWVzdGFtcD0iMTc5MzI4MzY4OS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br/>
            </w:r>
            <w:hyperlink r:id="rId240">
              <w:r>
                <w:rPr>
                  <w:color w:val="0563C1"/>
                  <w:u w:val="single"/>
                </w:rPr>
                <w:t>Source</w:t>
              </w:r>
            </w:hyperlink>
            <w:r>
              <w:t xml:space="preserve"> · </w:t>
            </w:r>
            <w:hyperlink r:id="rId241">
              <w:r>
                <w:rPr>
                  <w:color w:val="0563C1"/>
                  <w:u w:val="single"/>
                </w:rPr>
                <w:t>PDF</w:t>
              </w:r>
            </w:hyperlink>
            <w:r>
              <w:br/>
            </w:r>
            <w:hyperlink r:id="rId242">
              <w:r>
                <w:rPr>
                  <w:color w:val="0563C1"/>
                  <w:u w:val="single"/>
                </w:rPr>
                <w:t>Source</w:t>
              </w:r>
            </w:hyperlink>
            <w:r>
              <w:t xml:space="preserve"> · </w:t>
            </w:r>
            <w:hyperlink r:id="rId243">
              <w:r>
                <w:rPr>
                  <w:color w:val="0563C1"/>
                  <w:u w:val="single"/>
                </w:rPr>
                <w:t>PDF</w:t>
              </w:r>
            </w:hyperlink>
            <w:r>
              <w:br/>
            </w:r>
            <w:hyperlink r:id="rId244">
              <w:r>
                <w:rPr>
                  <w:color w:val="0563C1"/>
                  <w:u w:val="single"/>
                </w:rPr>
                <w:t>Source</w:t>
              </w:r>
            </w:hyperlink>
            <w:r>
              <w:t xml:space="preserve"> · </w:t>
            </w:r>
            <w:hyperlink r:id="rId245">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Tremelimumab plus durvalumab</w:t>
            </w:r>
          </w:p>
          <w:p>
            <w:pPr>
              <w:pStyle w:val="Normal"/>
              <w:widowControl/>
              <w:spacing w:after="55" w:line="240" w:lineRule="auto"/>
              <w:keepNext w:val="0"/>
              <w:keepLines/>
            </w:pPr>
            <w:r>
              <w:rPr>
                <w:sz w:val="21"/>
                <w:szCs w:val="21"/>
              </w:rPr>
              <w:t xml:space="preserve">STRIDE first line</w:t>
            </w:r>
          </w:p>
        </w:tc>
        <w:tc>
          <w:tcPr>
            <w:tcW w:w="4000" w:type="dxa"/>
            <w:vAlign w:val="top"/>
            <w:shd w:fill="FFFFFF"/>
          </w:tcPr>
          <w:p>
            <w:pPr>
              <w:pStyle w:val="Normal"/>
              <w:widowControl/>
              <w:spacing w:after="55" w:line="240" w:lineRule="auto"/>
              <w:keepNext w:val="0"/>
              <w:keepLines/>
            </w:pPr>
            <w:r>
              <w:rPr>
                <w:sz w:val="21"/>
                <w:szCs w:val="21"/>
              </w:rPr>
              <w:t xml:space="preserve">Single priming tremelimumab dose followed by durvalumab maintenance. An anti-VEGF-free option if dual-checkpoint therapy is appropriate. Immune-related toxicity remains relevant.</w:t>
            </w:r>
          </w:p>
        </w:tc>
        <w:tc>
          <w:tcPr>
            <w:tcW w:w="4180" w:type="dxa"/>
            <w:vAlign w:val="top"/>
            <w:shd w:fill="FFFFFF"/>
          </w:tcPr>
          <w:p>
            <w:pPr>
              <w:pStyle w:val="Normal"/>
              <w:widowControl/>
              <w:spacing w:after="55" w:line="240" w:lineRule="auto"/>
              <w:keepNext w:val="0"/>
              <w:keepLines/>
            </w:pPr>
            <w:r>
              <w:rPr>
                <w:sz w:val="21"/>
                <w:szCs w:val="21"/>
              </w:rPr>
              <w:t xml:space="preserve">HIMALAYA: median OS 16.4 versus 13.8 months with sorafenib, HR 0.78. No head-to-head superiority over atezolizumab–bevacizumab or nivolumab–ipilimumab; no nine-month patient-selection rule.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1Ni9FVklEb2EyMTAwMDcw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</w:fldData>
              </w:fldChar>
            </w:r>
            <w:r>
              <w:instrText xml:space="preserve"> ADDIN EN.CITE.DATA </w:instrText>
            </w:r>
            <w:r>
              <w:fldChar w:fldCharType="end"/>
            </w:r>
            <w:r>
              <w:fldChar w:fldCharType="separate"/>
            </w:r>
            <w:r>
              <w:t xml:space="preserve">[V16-18]</w:t>
            </w:r>
            <w:r>
              <w:fldChar w:fldCharType="end"/>
            </w:r>
            <w:r>
              <w:br/>
            </w:r>
            <w:hyperlink r:id="rId246">
              <w:r>
                <w:rPr>
                  <w:color w:val="0563C1"/>
                  <w:u w:val="single"/>
                </w:rPr>
                <w:t>Source</w:t>
              </w:r>
            </w:hyperlink>
            <w:r>
              <w:t xml:space="preserve"> · </w:t>
            </w:r>
            <w:hyperlink r:id="rId247">
              <w:r>
                <w:rPr>
                  <w:color w:val="0563C1"/>
                  <w:u w:val="single"/>
                </w:rPr>
                <w:t>PDF</w:t>
              </w:r>
            </w:hyperlink>
            <w:r>
              <w:br/>
            </w:r>
            <w:hyperlink r:id="rId248">
              <w:r>
                <w:rPr>
                  <w:color w:val="0563C1"/>
                  <w:u w:val="single"/>
                </w:rPr>
                <w:t>Source</w:t>
              </w:r>
            </w:hyperlink>
            <w:r>
              <w:t xml:space="preserve"> · </w:t>
            </w:r>
            <w:hyperlink r:id="rId249">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Nivolumab plus ipilimumab</w:t>
            </w:r>
          </w:p>
          <w:p>
            <w:pPr>
              <w:pStyle w:val="Normal"/>
              <w:widowControl/>
              <w:spacing w:after="55" w:line="240" w:lineRule="auto"/>
              <w:keepNext w:val="0"/>
              <w:keepLines/>
            </w:pPr>
            <w:r>
              <w:rPr>
                <w:sz w:val="21"/>
                <w:szCs w:val="21"/>
              </w:rPr>
              <w:t xml:space="preserve">First-line combination</w:t>
            </w:r>
          </w:p>
        </w:tc>
        <w:tc>
          <w:tcPr>
            <w:tcW w:w="4000" w:type="dxa"/>
            <w:vAlign w:val="top"/>
            <w:shd w:fill="F1F5F8"/>
          </w:tcPr>
          <w:p>
            <w:pPr>
              <w:pStyle w:val="Normal"/>
              <w:widowControl/>
              <w:spacing w:after="55" w:line="240" w:lineRule="auto"/>
              <w:keepNext w:val="0"/>
              <w:keepLines/>
            </w:pPr>
            <w:r>
              <w:rPr>
                <w:sz w:val="21"/>
                <w:szCs w:val="21"/>
              </w:rPr>
              <w:t xml:space="preserve">Dual-checkpoint induction followed by nivolumab maintenance. Review immune-toxicity risk and the early mortality signal; do not infer safety before or after LT from nontransplant HCC trials.</w:t>
            </w:r>
          </w:p>
        </w:tc>
        <w:tc>
          <w:tcPr>
            <w:tcW w:w="4180" w:type="dxa"/>
            <w:vAlign w:val="top"/>
            <w:shd w:fill="F1F5F8"/>
          </w:tcPr>
          <w:p>
            <w:pPr>
              <w:pStyle w:val="Normal"/>
              <w:widowControl/>
              <w:spacing w:after="55" w:line="240" w:lineRule="auto"/>
              <w:keepNext w:val="0"/>
              <w:keepLines/>
            </w:pPr>
            <w:r>
              <w:rPr>
                <w:sz w:val="21"/>
                <w:szCs w:val="21"/>
              </w:rPr>
              <w:t xml:space="preserve">CheckMate 9DW: median OS 23.7 versus 20.6 months with lenvatinib or sorafenib, HR 0.79. US first-line approval in April 2025. Cross-trial median OS does not rank the ICI combinations.</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TMDE0MC02NzM2KDI1KTAwNDAzLTk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r>
              <w:br/>
            </w:r>
            <w:hyperlink r:id="rId250">
              <w:r>
                <w:rPr>
                  <w:color w:val="0563C1"/>
                  <w:u w:val="single"/>
                </w:rPr>
                <w:t>Source</w:t>
              </w:r>
            </w:hyperlink>
            <w:r>
              <w:t xml:space="preserve"> · </w:t>
            </w:r>
            <w:hyperlink r:id="rId251">
              <w:r>
                <w:rPr>
                  <w:color w:val="0563C1"/>
                  <w:u w:val="single"/>
                </w:rPr>
                <w:t>PDF</w:t>
              </w:r>
            </w:hyperlink>
            <w:r>
              <w:br/>
            </w:r>
            <w:hyperlink r:id="rId252">
              <w:r>
                <w:rPr>
                  <w:color w:val="0563C1"/>
                  <w:u w:val="single"/>
                </w:rPr>
                <w:t>Source</w:t>
              </w:r>
            </w:hyperlink>
            <w:r>
              <w:t xml:space="preserve"> · </w:t>
            </w:r>
            <w:hyperlink r:id="rId253">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Lenvatinib</w:t>
            </w:r>
          </w:p>
          <w:p>
            <w:pPr>
              <w:pStyle w:val="Normal"/>
              <w:widowControl/>
              <w:spacing w:after="55" w:line="240" w:lineRule="auto"/>
              <w:keepNext w:val="0"/>
              <w:keepLines/>
            </w:pPr>
            <w:r>
              <w:rPr>
                <w:sz w:val="21"/>
                <w:szCs w:val="21"/>
              </w:rPr>
              <w:t xml:space="preserve">First-line TKI alternative</w:t>
            </w:r>
          </w:p>
        </w:tc>
        <w:tc>
          <w:tcPr>
            <w:tcW w:w="4000" w:type="dxa"/>
            <w:vAlign w:val="top"/>
            <w:shd w:fill="FFFFFF"/>
          </w:tcPr>
          <w:p>
            <w:pPr>
              <w:pStyle w:val="Normal"/>
              <w:widowControl/>
              <w:spacing w:after="55" w:line="240" w:lineRule="auto"/>
              <w:keepNext w:val="0"/>
              <w:keepLines/>
            </w:pPr>
            <w:r>
              <w:rPr>
                <w:sz w:val="21"/>
                <w:szCs w:val="21"/>
              </w:rPr>
              <w:t xml:space="preserve">Consider when an ICI-containing regimen is unsuitable or after individualized review. Assess blood pressure, proteinuria, liver reserve, weight/appetite and operative timing. REFLECT excluded main portal-vein invasion, bile-duct invasion and at least 50% liver involvement; these are evidence boundaries, not universal label exclusions.</w:t>
            </w:r>
          </w:p>
        </w:tc>
        <w:tc>
          <w:tcPr>
            <w:tcW w:w="4180" w:type="dxa"/>
            <w:vAlign w:val="top"/>
            <w:shd w:fill="FFFFFF"/>
          </w:tcPr>
          <w:p>
            <w:pPr>
              <w:pStyle w:val="Normal"/>
              <w:widowControl/>
              <w:spacing w:after="55" w:line="240" w:lineRule="auto"/>
              <w:keepNext w:val="0"/>
              <w:keepLines/>
            </w:pPr>
            <w:r>
              <w:rPr>
                <w:sz w:val="21"/>
                <w:szCs w:val="21"/>
              </w:rPr>
              <w:t xml:space="preserve">REFLECT: median OS 13.6 versus 12.3 months with sorafenib; noninferiority met, HR 0.92. Not proof of superiority or routine safety in decompensated cirrhosis.</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</w:fldData>
              </w:fldChar>
            </w:r>
            <w:r>
              <w:instrText xml:space="preserve"> ADDIN EN.CITE.DATA </w:instrText>
            </w:r>
            <w:r>
              <w:fldChar w:fldCharType="end"/>
            </w:r>
            <w:r>
              <w:fldChar w:fldCharType="separate"/>
            </w:r>
            <w:r>
              <w:t xml:space="preserve">[V16-20]</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254">
              <w:r>
                <w:rPr>
                  <w:color w:val="0563C1"/>
                  <w:u w:val="single"/>
                </w:rPr>
                <w:t>Source</w:t>
              </w:r>
            </w:hyperlink>
            <w:r>
              <w:t xml:space="preserve"> · </w:t>
            </w:r>
            <w:hyperlink r:id="rId255">
              <w:r>
                <w:rPr>
                  <w:color w:val="0563C1"/>
                  <w:u w:val="single"/>
                </w:rPr>
                <w:t>PDF</w:t>
              </w:r>
            </w:hyperlink>
            <w:r>
              <w:br/>
            </w:r>
            <w:hyperlink r:id="rId256">
              <w:r>
                <w:rPr>
                  <w:color w:val="0563C1"/>
                  <w:u w:val="single"/>
                </w:rPr>
                <w:t>Source</w:t>
              </w:r>
            </w:hyperlink>
            <w:r>
              <w:t xml:space="preserve"> · </w:t>
            </w:r>
            <w:hyperlink r:id="rId257">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Sorafenib</w:t>
            </w:r>
          </w:p>
          <w:p>
            <w:pPr>
              <w:pStyle w:val="Normal"/>
              <w:widowControl/>
              <w:spacing w:after="55" w:line="240" w:lineRule="auto"/>
              <w:keepNext w:val="0"/>
              <w:keepLines/>
            </w:pPr>
            <w:r>
              <w:rPr>
                <w:sz w:val="21"/>
                <w:szCs w:val="21"/>
              </w:rPr>
              <w:t xml:space="preserve">First-line TKI alternative</w:t>
            </w:r>
          </w:p>
        </w:tc>
        <w:tc>
          <w:tcPr>
            <w:tcW w:w="4000" w:type="dxa"/>
            <w:vAlign w:val="top"/>
            <w:shd w:fill="F1F5F8"/>
          </w:tcPr>
          <w:p>
            <w:pPr>
              <w:pStyle w:val="Normal"/>
              <w:widowControl/>
              <w:spacing w:after="55" w:line="240" w:lineRule="auto"/>
              <w:keepNext w:val="0"/>
              <w:keepLines/>
            </w:pPr>
            <w:r>
              <w:rPr>
                <w:sz w:val="21"/>
                <w:szCs w:val="21"/>
              </w:rPr>
              <w:t xml:space="preserve">Consider when ICI-containing treatment is unsuitable. Monitor hand-foot skin toxicity, diarrhea, hypertension, weight and liver function. Reserve and anticipated benefit matter even when an oral agent is feasible.</w:t>
            </w:r>
          </w:p>
          <w:p>
            <w:pPr>
              <w:pStyle w:val="Normal"/>
              <w:widowControl/>
              <w:spacing w:after="55" w:line="240" w:lineRule="auto"/>
              <w:keepNext w:val="0"/>
              <w:keepLines/>
            </w:pPr>
            <w:r>
              <w:rPr>
                <w:sz w:val="21"/>
                <w:szCs w:val="21"/>
              </w:rPr>
              <w:t xml:space="preserve">Retain sorafenib as a guideline-supported TKI option when appropriate; not routine LT bridging or a way to treat an isolated AFP rise without a justified cancer indication.</w:t>
            </w:r>
          </w:p>
        </w:tc>
        <w:tc>
          <w:tcPr>
            <w:tcW w:w="4180" w:type="dxa"/>
            <w:vAlign w:val="top"/>
            <w:shd w:fill="F1F5F8"/>
          </w:tcPr>
          <w:p>
            <w:pPr>
              <w:pStyle w:val="Normal"/>
              <w:widowControl/>
              <w:spacing w:after="55" w:line="240" w:lineRule="auto"/>
              <w:keepNext w:val="0"/>
              <w:keepLines/>
            </w:pPr>
            <w:r>
              <w:rPr>
                <w:sz w:val="21"/>
                <w:szCs w:val="21"/>
              </w:rPr>
              <w:t xml:space="preserve">Median OS 10.7 versus 7.9 months; HR 0.69 (0.55–0.87). Radiologic time to progression 5.5 versus 2.8 months, HR 0.58; this is not PFS. ORR 2% versus 1%, no complete responses. Historical placebo comparison, not a comparison with current ICI combinations. Grade 3 diarrhea and hand–foot reaction each 8%; dose interruptions/reductions frequent. Little evidence for decompensated cirrhosis.</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</w:fldData>
              </w:fldChar>
            </w:r>
            <w:r>
              <w:instrText xml:space="preserve"> ADDIN EN.CITE.DATA </w:instrText>
            </w:r>
            <w:r>
              <w:fldChar w:fldCharType="end"/>
            </w:r>
            <w:r>
              <w:fldChar w:fldCharType="separate"/>
            </w:r>
            <w:r>
              <w:t xml:space="preserve">[V16-21]</w:t>
            </w:r>
            <w:r>
              <w:fldChar w:fldCharType="end"/>
            </w:r>
            <w:r>
              <w:t xml:space="preserve"> </w:t>
            </w:r>
            <w:r>
              <w:t xml:space="preserve"> </w:t>
            </w:r>
            <w:r>
              <w:fldChar w:fldCharType="begin"/>
            </w:r>
            <w:r>
              <w:instrText xml:space="preserve"> ADDIN EN.CITE </w:instrText>
            </w:r>
            <w:r>
              <w:fldChar w:fldCharType="begin">
                <w:fldData>PEVuZE5vdGU+PENpdGU+PEF1dGhvcj5TaW5nYWw8L0F1dGhvcj48WWVhcj4yMDIzPC9ZZWFyPjxSZWNOdW0+MTI8L1JlY051bT48RGlzcGxheVRleHQ+W1YxNi0xMl08L0Rpc3BsYXlUZXh0PjxyZWNvcmQ+PHJlYy1udW1iZXI+MTI8L3JlYy1udW1iZXI+PGZvcmVpZ24ta2V5cz48a2V5IGFwcD0iRU4iIGRiLWlkPSIyYjI4NzQ5NS1hMmM3LTU0YzItODM3OC02MjhkMGY1MjliOWIiIHRpbWVzdGFtcD0iMTc5MzI4MzY4OSI+MTI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Z1bGwgdGV4dCByZWFkIGZvciB0aGUgVjE2IGV4dHJhaGVwYXRpYy1kaXNlYXNlIHJldmlldyAoY29tcGxldGUgbWFpbiB0ZXh0OyByZWxldmFudCBjb21wbGV0ZSBzZWN0aW9ucyBmb3IgbG9uZyBndWlkZWxpbmVzKS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br/>
            </w:r>
            <w:hyperlink r:id="rId258">
              <w:r>
                <w:rPr>
                  <w:color w:val="0563C1"/>
                  <w:u w:val="single"/>
                </w:rPr>
                <w:t>Source</w:t>
              </w:r>
            </w:hyperlink>
            <w:r>
              <w:t xml:space="preserve"> · </w:t>
            </w:r>
            <w:hyperlink r:id="rId259">
              <w:r>
                <w:rPr>
                  <w:color w:val="0563C1"/>
                  <w:u w:val="single"/>
                </w:rPr>
                <w:t>PDF</w:t>
              </w:r>
            </w:hyperlink>
            <w:r>
              <w:br/>
            </w:r>
            <w:hyperlink r:id="rId260">
              <w:r>
                <w:rPr>
                  <w:color w:val="0563C1"/>
                  <w:u w:val="single"/>
                </w:rPr>
                <w:t>Source</w:t>
              </w:r>
            </w:hyperlink>
            <w:r>
              <w:t xml:space="preserve"> · </w:t>
            </w:r>
            <w:hyperlink r:id="rId261">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Durvalumab alone</w:t>
            </w:r>
          </w:p>
          <w:p>
            <w:pPr>
              <w:pStyle w:val="Normal"/>
              <w:widowControl/>
              <w:spacing w:after="55" w:line="240" w:lineRule="auto"/>
              <w:keepNext w:val="0"/>
              <w:keepLines/>
            </w:pPr>
            <w:r>
              <w:rPr>
                <w:sz w:val="21"/>
                <w:szCs w:val="21"/>
              </w:rPr>
              <w:t xml:space="preserve">Other first-line option</w:t>
            </w:r>
          </w:p>
        </w:tc>
        <w:tc>
          <w:tcPr>
            <w:tcW w:w="4000" w:type="dxa"/>
            <w:vAlign w:val="top"/>
            <w:shd w:fill="FFFFFF"/>
          </w:tcPr>
          <w:p>
            <w:pPr>
              <w:pStyle w:val="Normal"/>
              <w:widowControl/>
              <w:spacing w:after="55" w:line="240" w:lineRule="auto"/>
              <w:keepNext w:val="0"/>
              <w:keepLines/>
            </w:pPr>
            <w:r>
              <w:rPr>
                <w:sz w:val="21"/>
                <w:szCs w:val="21"/>
              </w:rPr>
              <w:t xml:space="preserve">Consider when combination treatment is unsuitable but PD-L1 therapy is acceptable. It is not an alternative when all ICI therapy is contraindicated. Guideline listing is separate from US-label approval of STRIDE.</w:t>
            </w:r>
          </w:p>
        </w:tc>
        <w:tc>
          <w:tcPr>
            <w:tcW w:w="4180" w:type="dxa"/>
            <w:vAlign w:val="top"/>
            <w:shd w:fill="FFFFFF"/>
          </w:tcPr>
          <w:p>
            <w:pPr>
              <w:pStyle w:val="Normal"/>
              <w:widowControl/>
              <w:spacing w:after="55" w:line="240" w:lineRule="auto"/>
              <w:keepNext w:val="0"/>
              <w:keepLines/>
            </w:pPr>
            <w:r>
              <w:rPr>
                <w:sz w:val="21"/>
                <w:szCs w:val="21"/>
              </w:rPr>
              <w:t xml:space="preserve">HIMALAYA showed OS noninferiority to sorafenib. The trial was not designed to establish that durvalumab alone and STRIDE are equivalent. US HCC labeling specifies the combination with tremelimumab.</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1Ni9FVklEb2EyMTAwMDcw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</w:fldData>
              </w:fldChar>
            </w:r>
            <w:r>
              <w:instrText xml:space="preserve"> ADDIN EN.CITE.DATA </w:instrText>
            </w:r>
            <w:r>
              <w:fldChar w:fldCharType="end"/>
            </w:r>
            <w:r>
              <w:fldChar w:fldCharType="separate"/>
            </w:r>
            <w:r>
              <w:t xml:space="preserve">[V16-18]</w:t>
            </w:r>
            <w:r>
              <w:fldChar w:fldCharType="end"/>
            </w:r>
            <w:r>
              <w:br/>
            </w:r>
            <w:hyperlink r:id="rId262">
              <w:r>
                <w:rPr>
                  <w:color w:val="0563C1"/>
                  <w:u w:val="single"/>
                </w:rPr>
                <w:t>Source</w:t>
              </w:r>
            </w:hyperlink>
            <w:r>
              <w:t xml:space="preserve"> · </w:t>
            </w:r>
            <w:hyperlink r:id="rId263">
              <w:r>
                <w:rPr>
                  <w:color w:val="0563C1"/>
                  <w:u w:val="single"/>
                </w:rPr>
                <w:t>PDF</w:t>
              </w:r>
            </w:hyperlink>
            <w:r>
              <w:br/>
            </w:r>
            <w:hyperlink r:id="rId264">
              <w:r>
                <w:rPr>
                  <w:color w:val="0563C1"/>
                  <w:u w:val="single"/>
                </w:rPr>
                <w:t>Source</w:t>
              </w:r>
            </w:hyperlink>
            <w:r>
              <w:t xml:space="preserve"> · </w:t>
            </w:r>
            <w:hyperlink r:id="rId265">
              <w:r>
                <w:rPr>
                  <w:color w:val="0563C1"/>
                  <w:u w:val="single"/>
                </w:rPr>
                <w:t>PDF</w:t>
              </w:r>
            </w:hyperlink>
            <w:r>
              <w:br/>
            </w:r>
            <w:hyperlink r:id="rId266">
              <w:r>
                <w:rPr>
                  <w:color w:val="0563C1"/>
                  <w:u w:val="single"/>
                </w:rPr>
                <w:t>Source</w:t>
              </w:r>
            </w:hyperlink>
            <w:r>
              <w:t xml:space="preserve"> · </w:t>
            </w:r>
            <w:hyperlink r:id="rId267">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Tislelizumab</w:t>
            </w:r>
          </w:p>
          <w:p>
            <w:pPr>
              <w:pStyle w:val="Normal"/>
              <w:widowControl/>
              <w:spacing w:after="55" w:line="240" w:lineRule="auto"/>
              <w:keepNext w:val="0"/>
              <w:keepLines/>
            </w:pPr>
            <w:r>
              <w:rPr>
                <w:sz w:val="21"/>
                <w:szCs w:val="21"/>
              </w:rPr>
              <w:t xml:space="preserve">Other guideline-listed first-line option</w:t>
            </w:r>
          </w:p>
        </w:tc>
        <w:tc>
          <w:tcPr>
            <w:tcW w:w="4000" w:type="dxa"/>
            <w:vAlign w:val="top"/>
            <w:shd w:fill="F1F5F8"/>
          </w:tcPr>
          <w:p>
            <w:pPr>
              <w:pStyle w:val="Normal"/>
              <w:widowControl/>
              <w:spacing w:after="55" w:line="240" w:lineRule="auto"/>
              <w:keepNext w:val="0"/>
              <w:keepLines/>
            </w:pPr>
            <w:r>
              <w:rPr>
                <w:sz w:val="21"/>
                <w:szCs w:val="21"/>
              </w:rPr>
              <w:t xml:space="preserve">An ICI option requiring oncology and formulary review. The checked US label does not include HCC; document the guideline-supported off-label rationale and immune-treatment eligibility.</w:t>
            </w:r>
          </w:p>
        </w:tc>
        <w:tc>
          <w:tcPr>
            <w:tcW w:w="4180" w:type="dxa"/>
            <w:vAlign w:val="top"/>
            <w:shd w:fill="F1F5F8"/>
          </w:tcPr>
          <w:p>
            <w:pPr>
              <w:pStyle w:val="Normal"/>
              <w:widowControl/>
              <w:spacing w:after="55" w:line="240" w:lineRule="auto"/>
              <w:keepNext w:val="0"/>
              <w:keepLines/>
            </w:pPr>
            <w:r>
              <w:rPr>
                <w:sz w:val="21"/>
                <w:szCs w:val="21"/>
              </w:rPr>
              <w:t xml:space="preserve">RATIONALE-301: median OS 15.9 versus 14.1 months with sorafenib, HR 0.85. Noninferiority met; superiority not demonstrated. Guideline category 1 does not itself confer US regulatory approval.</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</w:fldData>
              </w:fldChar>
            </w:r>
            <w:r>
              <w:instrText xml:space="preserve"> ADDIN EN.CITE.DATA </w:instrText>
            </w:r>
            <w:r>
              <w:fldChar w:fldCharType="end"/>
            </w:r>
            <w:r>
              <w:fldChar w:fldCharType="separate"/>
            </w:r>
            <w:r>
              <w:t xml:space="preserve">[V16-22]</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</w:fldData>
              </w:fldChar>
            </w:r>
            <w:r>
              <w:instrText xml:space="preserve"> ADDIN EN.CITE.DATA </w:instrText>
            </w:r>
            <w:r>
              <w:fldChar w:fldCharType="end"/>
            </w:r>
            <w:r>
              <w:fldChar w:fldCharType="separate"/>
            </w:r>
            <w:r>
              <w:t xml:space="preserve">[V16-23]</w:t>
            </w:r>
            <w:r>
              <w:fldChar w:fldCharType="end"/>
            </w:r>
            <w:r>
              <w:br/>
            </w:r>
            <w:hyperlink r:id="rId268">
              <w:r>
                <w:rPr>
                  <w:color w:val="0563C1"/>
                  <w:u w:val="single"/>
                </w:rPr>
                <w:t>Source</w:t>
              </w:r>
            </w:hyperlink>
            <w:r>
              <w:t xml:space="preserve"> · </w:t>
            </w:r>
            <w:hyperlink r:id="rId269">
              <w:r>
                <w:rPr>
                  <w:color w:val="0563C1"/>
                  <w:u w:val="single"/>
                </w:rPr>
                <w:t>PDF</w:t>
              </w:r>
            </w:hyperlink>
            <w:r>
              <w:br/>
            </w:r>
            <w:hyperlink r:id="rId270">
              <w:r>
                <w:rPr>
                  <w:color w:val="0563C1"/>
                  <w:u w:val="single"/>
                </w:rPr>
                <w:t>Source</w:t>
              </w:r>
            </w:hyperlink>
            <w:r>
              <w:t xml:space="preserve"> · </w:t>
            </w:r>
            <w:hyperlink r:id="rId271">
              <w:r>
                <w:rPr>
                  <w:color w:val="0563C1"/>
                  <w:u w:val="single"/>
                </w:rPr>
                <w:t>PDF</w:t>
              </w:r>
            </w:hyperlink>
            <w:r>
              <w:br/>
            </w:r>
            <w:hyperlink r:id="rId272">
              <w:r>
                <w:rPr>
                  <w:color w:val="0563C1"/>
                  <w:u w:val="single"/>
                </w:rPr>
                <w:t>Source</w:t>
              </w:r>
            </w:hyperlink>
            <w:r>
              <w:t xml:space="preserve"> · </w:t>
            </w:r>
            <w:hyperlink r:id="rId273">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Pembrolizumab</w:t>
            </w:r>
          </w:p>
          <w:p>
            <w:pPr>
              <w:pStyle w:val="Normal"/>
              <w:widowControl/>
              <w:spacing w:after="55" w:line="240" w:lineRule="auto"/>
              <w:keepNext w:val="0"/>
              <w:keepLines/>
            </w:pPr>
            <w:r>
              <w:rPr>
                <w:sz w:val="21"/>
                <w:szCs w:val="21"/>
              </w:rPr>
              <w:t xml:space="preserve">Other guideline-listed first-line option</w:t>
            </w:r>
          </w:p>
        </w:tc>
        <w:tc>
          <w:tcPr>
            <w:tcW w:w="4000" w:type="dxa"/>
            <w:vAlign w:val="top"/>
            <w:shd w:fill="FFFFFF"/>
          </w:tcPr>
          <w:p>
            <w:pPr>
              <w:pStyle w:val="Normal"/>
              <w:widowControl/>
              <w:spacing w:after="55" w:line="240" w:lineRule="auto"/>
              <w:keepNext w:val="0"/>
              <w:keepLines/>
            </w:pPr>
            <w:r>
              <w:rPr>
                <w:sz w:val="21"/>
                <w:szCs w:val="21"/>
              </w:rPr>
              <w:t xml:space="preserve">A category 2B option in the locally held NCCN v2.2026, not a preferred default and not a US HCC-labeled first-line indication. Requires an explicit oncology and formulary rationale.</w:t>
            </w:r>
          </w:p>
        </w:tc>
        <w:tc>
          <w:tcPr>
            <w:tcW w:w="4180" w:type="dxa"/>
            <w:vAlign w:val="top"/>
            <w:shd w:fill="FFFFFF"/>
          </w:tcPr>
          <w:p>
            <w:pPr>
              <w:pStyle w:val="Normal"/>
              <w:widowControl/>
              <w:spacing w:after="55" w:line="240" w:lineRule="auto"/>
              <w:keepNext w:val="0"/>
              <w:keepLines/>
            </w:pPr>
            <w:r>
              <w:rPr>
                <w:sz w:val="21"/>
                <w:szCs w:val="21"/>
              </w:rPr>
              <w:t xml:space="preserve">First-line support includes nonrandomized phase II evidence; do not borrow the second-line KEYNOTE-394 randomized result to imply a first-line phase III comparison. See guideline evidence list and current label.</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br/>
            </w:r>
            <w:hyperlink r:id="rId274">
              <w:r>
                <w:rPr>
                  <w:color w:val="0563C1"/>
                  <w:u w:val="single"/>
                </w:rPr>
                <w:t>Source</w:t>
              </w:r>
            </w:hyperlink>
            <w:r>
              <w:t xml:space="preserve"> · </w:t>
            </w:r>
            <w:hyperlink r:id="rId275">
              <w:r>
                <w:rPr>
                  <w:color w:val="0563C1"/>
                  <w:u w:val="single"/>
                </w:rPr>
                <w:t>PDF</w:t>
              </w:r>
            </w:hyperlink>
            <w:r>
              <w:br/>
            </w:r>
            <w:hyperlink r:id="rId276">
              <w:r>
                <w:rPr>
                  <w:color w:val="0563C1"/>
                  <w:u w:val="single"/>
                </w:rPr>
                <w:t>Source</w:t>
              </w:r>
            </w:hyperlink>
            <w:r>
              <w:t xml:space="preserve"> · </w:t>
            </w:r>
            <w:hyperlink r:id="rId277">
              <w:r>
                <w:rPr>
                  <w:color w:val="0563C1"/>
                  <w:u w:val="single"/>
                </w:rPr>
                <w:t>PDF</w:t>
              </w:r>
            </w:hyperlink>
          </w:p>
        </w:tc>
      </w:tr>
    </w:tbl>
    <w:p>
      <w:pPr>
        <w:pStyle w:val="Heading2"/>
        <w:widowControl/>
        <w:keepNext/>
      </w:pPr>
      <w:r>
        <w:t xml:space="preserve">Subsequent systemic therapy</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Cabozantinib</w:t>
            </w:r>
          </w:p>
          <w:p>
            <w:pPr>
              <w:pStyle w:val="Normal"/>
              <w:widowControl/>
              <w:spacing w:after="55" w:line="240" w:lineRule="auto"/>
              <w:keepNext w:val="0"/>
              <w:keepLines/>
            </w:pPr>
            <w:r>
              <w:rPr>
                <w:sz w:val="21"/>
                <w:szCs w:val="21"/>
              </w:rPr>
              <w:t xml:space="preserve">Subsequent treatment</w:t>
            </w:r>
          </w:p>
        </w:tc>
        <w:tc>
          <w:tcPr>
            <w:tcW w:w="4000" w:type="dxa"/>
            <w:vAlign w:val="top"/>
            <w:shd w:fill="F1F5F8"/>
          </w:tcPr>
          <w:p>
            <w:pPr>
              <w:pStyle w:val="Normal"/>
              <w:widowControl/>
              <w:spacing w:after="55" w:line="240" w:lineRule="auto"/>
              <w:keepNext w:val="0"/>
              <w:keepLines/>
            </w:pPr>
            <w:r>
              <w:rPr>
                <w:sz w:val="21"/>
                <w:szCs w:val="21"/>
              </w:rPr>
              <w:t xml:space="preserve">Select according to prior drugs, reserve, performance status and toxicity. Monitor diarrhea, hand-foot toxicity, hypertension, weight and interactions.</w:t>
            </w:r>
          </w:p>
        </w:tc>
        <w:tc>
          <w:tcPr>
            <w:tcW w:w="4180" w:type="dxa"/>
            <w:vAlign w:val="top"/>
            <w:shd w:fill="F1F5F8"/>
          </w:tcPr>
          <w:p>
            <w:pPr>
              <w:pStyle w:val="Normal"/>
              <w:widowControl/>
              <w:spacing w:after="55" w:line="240" w:lineRule="auto"/>
              <w:keepNext w:val="0"/>
              <w:keepLines/>
            </w:pPr>
            <w:r>
              <w:rPr>
                <w:sz w:val="21"/>
                <w:szCs w:val="21"/>
              </w:rPr>
              <w:t xml:space="preserve">CELESTIAL: median OS 10.2 versus 8.0 months with placebo, HR 0.76, in previously treated patients who had received sorafenib. Use after modern ICI combinations is an extrapolated sequence.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</w:fldData>
              </w:fldChar>
            </w:r>
            <w:r>
              <w:instrText xml:space="preserve"> ADDIN EN.CITE.DATA </w:instrText>
            </w:r>
            <w:r>
              <w:fldChar w:fldCharType="end"/>
            </w:r>
            <w:r>
              <w:fldChar w:fldCharType="separate"/>
            </w:r>
            <w:r>
              <w:t xml:space="preserve">[V16-24]</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278">
              <w:r>
                <w:rPr>
                  <w:color w:val="0563C1"/>
                  <w:u w:val="single"/>
                </w:rPr>
                <w:t>Source</w:t>
              </w:r>
            </w:hyperlink>
            <w:r>
              <w:t xml:space="preserve"> · </w:t>
            </w:r>
            <w:hyperlink r:id="rId279">
              <w:r>
                <w:rPr>
                  <w:color w:val="0563C1"/>
                  <w:u w:val="single"/>
                </w:rPr>
                <w:t>PDF</w:t>
              </w:r>
            </w:hyperlink>
            <w:r>
              <w:br/>
            </w:r>
            <w:hyperlink r:id="rId280">
              <w:r>
                <w:rPr>
                  <w:color w:val="0563C1"/>
                  <w:u w:val="single"/>
                </w:rPr>
                <w:t>Source</w:t>
              </w:r>
            </w:hyperlink>
            <w:r>
              <w:t xml:space="preserve"> · </w:t>
            </w:r>
            <w:hyperlink r:id="rId281">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Regorafenib</w:t>
            </w:r>
          </w:p>
          <w:p>
            <w:pPr>
              <w:pStyle w:val="Normal"/>
              <w:widowControl/>
              <w:spacing w:after="55" w:line="240" w:lineRule="auto"/>
              <w:keepNext w:val="0"/>
              <w:keepLines/>
            </w:pPr>
            <w:r>
              <w:rPr>
                <w:sz w:val="21"/>
                <w:szCs w:val="21"/>
              </w:rPr>
              <w:t xml:space="preserve">After tolerated sorafenib</w:t>
            </w:r>
          </w:p>
        </w:tc>
        <w:tc>
          <w:tcPr>
            <w:tcW w:w="4000" w:type="dxa"/>
            <w:vAlign w:val="top"/>
            <w:shd w:fill="FFFFFF"/>
          </w:tcPr>
          <w:p>
            <w:pPr>
              <w:pStyle w:val="Normal"/>
              <w:widowControl/>
              <w:spacing w:after="55" w:line="240" w:lineRule="auto"/>
              <w:keepNext w:val="0"/>
              <w:keepLines/>
            </w:pPr>
            <w:r>
              <w:rPr>
                <w:sz w:val="21"/>
                <w:szCs w:val="21"/>
              </w:rPr>
              <w:t xml:space="preserve">Best-supported sequence is progression on sorafenib that was tolerated. Do not treat intolerance to sorafenib as the trial-defined population. Assess skin toxicity, blood pressure and hepatic reserve.</w:t>
            </w:r>
          </w:p>
        </w:tc>
        <w:tc>
          <w:tcPr>
            <w:tcW w:w="4180" w:type="dxa"/>
            <w:vAlign w:val="top"/>
            <w:shd w:fill="FFFFFF"/>
          </w:tcPr>
          <w:p>
            <w:pPr>
              <w:pStyle w:val="Normal"/>
              <w:widowControl/>
              <w:spacing w:after="55" w:line="240" w:lineRule="auto"/>
              <w:keepNext w:val="0"/>
              <w:keepLines/>
            </w:pPr>
            <w:r>
              <w:rPr>
                <w:sz w:val="21"/>
                <w:szCs w:val="21"/>
              </w:rPr>
              <w:t xml:space="preserve">RESORCE: median OS 10.6 versus 7.8 months with placebo, HR 0.63. The study required sorafenib tolerance; the result does not establish an optimal post-ICI sequence.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UzAxNDAtNjczNigxNikzMjQ1My05PC91cmw+PC9yZWxhdGVkLXVybHM+PHBkZi11cmxzLz48L3VybHM+PC9yZWNvcmQ+PC9DaXRlPjwvRW5kTm90ZT4=</w:fldData>
              </w:fldChar>
            </w:r>
            <w:r>
              <w:instrText xml:space="preserve"> ADDIN EN.CITE.DATA </w:instrText>
            </w:r>
            <w:r>
              <w:fldChar w:fldCharType="end"/>
            </w:r>
            <w:r>
              <w:fldChar w:fldCharType="separate"/>
            </w:r>
            <w:r>
              <w:t xml:space="preserve">[V16-25]</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282">
              <w:r>
                <w:rPr>
                  <w:color w:val="0563C1"/>
                  <w:u w:val="single"/>
                </w:rPr>
                <w:t>Source</w:t>
              </w:r>
            </w:hyperlink>
            <w:r>
              <w:t xml:space="preserve"> · </w:t>
            </w:r>
            <w:hyperlink r:id="rId283">
              <w:r>
                <w:rPr>
                  <w:color w:val="0563C1"/>
                  <w:u w:val="single"/>
                </w:rPr>
                <w:t>PDF</w:t>
              </w:r>
            </w:hyperlink>
            <w:r>
              <w:br/>
            </w:r>
            <w:hyperlink r:id="rId284">
              <w:r>
                <w:rPr>
                  <w:color w:val="0563C1"/>
                  <w:u w:val="single"/>
                </w:rPr>
                <w:t>Source</w:t>
              </w:r>
            </w:hyperlink>
            <w:r>
              <w:t xml:space="preserve"> · </w:t>
            </w:r>
            <w:hyperlink r:id="rId285">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Ramucirumab</w:t>
            </w:r>
          </w:p>
          <w:p>
            <w:pPr>
              <w:pStyle w:val="Normal"/>
              <w:widowControl/>
              <w:spacing w:after="55" w:line="240" w:lineRule="auto"/>
              <w:keepNext w:val="0"/>
              <w:keepLines/>
            </w:pPr>
            <w:r>
              <w:rPr>
                <w:sz w:val="21"/>
                <w:szCs w:val="21"/>
              </w:rPr>
              <w:t xml:space="preserve">AFP-selected subsequent treatment</w:t>
            </w:r>
          </w:p>
        </w:tc>
        <w:tc>
          <w:tcPr>
            <w:tcW w:w="4000" w:type="dxa"/>
            <w:vAlign w:val="top"/>
            <w:shd w:fill="F1F5F8"/>
          </w:tcPr>
          <w:p>
            <w:pPr>
              <w:pStyle w:val="Normal"/>
              <w:widowControl/>
              <w:spacing w:after="55" w:line="240" w:lineRule="auto"/>
              <w:keepNext w:val="0"/>
              <w:keepLines/>
            </w:pPr>
            <w:r>
              <w:rPr>
                <w:sz w:val="21"/>
                <w:szCs w:val="21"/>
              </w:rPr>
              <w:t xml:space="preserve">AFP at least 400 ng/mL. Assess bleeding, hypertension, proteinuria and operative timing. Record prior therapy and whether the proposed sequence follows the label or guideline extrapolation.</w:t>
            </w:r>
          </w:p>
        </w:tc>
        <w:tc>
          <w:tcPr>
            <w:tcW w:w="4180" w:type="dxa"/>
            <w:vAlign w:val="top"/>
            <w:shd w:fill="F1F5F8"/>
          </w:tcPr>
          <w:p>
            <w:pPr>
              <w:pStyle w:val="Normal"/>
              <w:widowControl/>
              <w:spacing w:after="55" w:line="240" w:lineRule="auto"/>
              <w:keepNext w:val="0"/>
              <w:keepLines/>
            </w:pPr>
            <w:r>
              <w:rPr>
                <w:sz w:val="21"/>
                <w:szCs w:val="21"/>
              </w:rPr>
              <w:t xml:space="preserve">REACH-2: median OS 8.5 versus 7.3 months with placebo, HR 0.71, after sorafenib. Benefit is not established for AFP below 400 ng/mL or as a randomized post-ICI comparison.</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TMTQ3MC0yMDQ1KDE4KTMwOTM3LTk8L3VybD48L3JlbGF0ZWQtdXJscz48cGRmLXVybHMvPjwvdXJscz48L3JlY29yZD48L0NpdGU+PC9FbmROb3RlPg==</w:fldData>
              </w:fldChar>
            </w:r>
            <w:r>
              <w:instrText xml:space="preserve"> ADDIN EN.CITE.DATA </w:instrText>
            </w:r>
            <w:r>
              <w:fldChar w:fldCharType="end"/>
            </w:r>
            <w:r>
              <w:fldChar w:fldCharType="separate"/>
            </w:r>
            <w:r>
              <w:t xml:space="preserve">[V16-26]</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286">
              <w:r>
                <w:rPr>
                  <w:color w:val="0563C1"/>
                  <w:u w:val="single"/>
                </w:rPr>
                <w:t>Source</w:t>
              </w:r>
            </w:hyperlink>
            <w:r>
              <w:t xml:space="preserve"> · </w:t>
            </w:r>
            <w:hyperlink r:id="rId287">
              <w:r>
                <w:rPr>
                  <w:color w:val="0563C1"/>
                  <w:u w:val="single"/>
                </w:rPr>
                <w:t>PDF</w:t>
              </w:r>
            </w:hyperlink>
            <w:r>
              <w:br/>
            </w:r>
            <w:hyperlink r:id="rId288">
              <w:r>
                <w:rPr>
                  <w:color w:val="0563C1"/>
                  <w:u w:val="single"/>
                </w:rPr>
                <w:t>Source</w:t>
              </w:r>
            </w:hyperlink>
            <w:r>
              <w:t xml:space="preserve"> · </w:t>
            </w:r>
            <w:hyperlink r:id="rId289">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Pembrolizumab</w:t>
            </w:r>
          </w:p>
          <w:p>
            <w:pPr>
              <w:pStyle w:val="Normal"/>
              <w:widowControl/>
              <w:spacing w:after="55" w:line="240" w:lineRule="auto"/>
              <w:keepNext w:val="0"/>
              <w:keepLines/>
            </w:pPr>
            <w:r>
              <w:rPr>
                <w:sz w:val="21"/>
                <w:szCs w:val="21"/>
              </w:rPr>
              <w:t xml:space="preserve">Selected subsequent treatment</w:t>
            </w:r>
          </w:p>
        </w:tc>
        <w:tc>
          <w:tcPr>
            <w:tcW w:w="4000" w:type="dxa"/>
            <w:vAlign w:val="top"/>
            <w:shd w:fill="FFFFFF"/>
          </w:tcPr>
          <w:p>
            <w:pPr>
              <w:pStyle w:val="Normal"/>
              <w:widowControl/>
              <w:spacing w:after="55" w:line="240" w:lineRule="auto"/>
              <w:keepNext w:val="0"/>
              <w:keepLines/>
            </w:pPr>
            <w:r>
              <w:rPr>
                <w:sz w:val="21"/>
                <w:szCs w:val="21"/>
              </w:rPr>
              <w:t xml:space="preserve">The checked US HCC indication is HBV-related HCC after prior systemic therapy other than a PD-1/PD-L1 regimen. A different use needs a separate tumor-agnostic indication or explicit guideline/off-label rationale.</w:t>
            </w:r>
          </w:p>
        </w:tc>
        <w:tc>
          <w:tcPr>
            <w:tcW w:w="4180" w:type="dxa"/>
            <w:vAlign w:val="top"/>
            <w:shd w:fill="FFFFFF"/>
          </w:tcPr>
          <w:p>
            <w:pPr>
              <w:pStyle w:val="Normal"/>
              <w:widowControl/>
              <w:spacing w:after="55" w:line="240" w:lineRule="auto"/>
              <w:keepNext w:val="0"/>
              <w:keepLines/>
            </w:pPr>
            <w:r>
              <w:rPr>
                <w:sz w:val="21"/>
                <w:szCs w:val="21"/>
              </w:rPr>
              <w:t xml:space="preserve">KEYNOTE-394: median OS 14.6 versus 13.0 months with placebo, HR 0.79, in an Asian previously treated population. Does not establish benefit from routine PD-1 rechallenge after prior ICI failure.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yMDAvSkNPLjIyLjAwNjIwPC91cmw+PC9yZWxhdGVkLXVybHM+PHBkZi11cmxzLz48L3VybHM+PC9yZWNvcmQ+PC9DaXRlPjwvRW5kTm90ZT4=</w:fldData>
              </w:fldChar>
            </w:r>
            <w:r>
              <w:instrText xml:space="preserve"> ADDIN EN.CITE.DATA </w:instrText>
            </w:r>
            <w:r>
              <w:fldChar w:fldCharType="end"/>
            </w:r>
            <w:r>
              <w:fldChar w:fldCharType="separate"/>
            </w:r>
            <w:r>
              <w:t xml:space="preserve">[V16-9]</w:t>
            </w:r>
            <w:r>
              <w:fldChar w:fldCharType="end"/>
            </w:r>
            <w:r>
              <w:t xml:space="preserve"> </w:t>
            </w:r>
            <w:r>
              <w:t xml:space="preserve"> </w:t>
            </w:r>
            <w:r>
              <w:fldChar w:fldCharType="begin"/>
            </w:r>
            <w:r>
              <w:instrText xml:space="preserve"> ADDIN EN.CITE </w:instrText>
            </w:r>
            <w:r>
              <w:fldChar w:fldCharType="begin">
                <w:fldData>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br/>
            </w:r>
            <w:hyperlink r:id="rId290">
              <w:r>
                <w:rPr>
                  <w:color w:val="0563C1"/>
                  <w:u w:val="single"/>
                </w:rPr>
                <w:t>Source</w:t>
              </w:r>
            </w:hyperlink>
            <w:r>
              <w:t xml:space="preserve"> · </w:t>
            </w:r>
            <w:hyperlink r:id="rId291">
              <w:r>
                <w:rPr>
                  <w:color w:val="0563C1"/>
                  <w:u w:val="single"/>
                </w:rPr>
                <w:t>PDF</w:t>
              </w:r>
            </w:hyperlink>
            <w:r>
              <w:br/>
            </w:r>
            <w:hyperlink r:id="rId292">
              <w:r>
                <w:rPr>
                  <w:color w:val="0563C1"/>
                  <w:u w:val="single"/>
                </w:rPr>
                <w:t>Source</w:t>
              </w:r>
            </w:hyperlink>
            <w:r>
              <w:t xml:space="preserve"> · </w:t>
            </w:r>
            <w:hyperlink r:id="rId293">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Previously unused first-line regimen</w:t>
            </w:r>
          </w:p>
          <w:p>
            <w:pPr>
              <w:pStyle w:val="Normal"/>
              <w:widowControl/>
              <w:spacing w:after="55" w:line="240" w:lineRule="auto"/>
              <w:keepNext w:val="0"/>
              <w:keepLines/>
            </w:pPr>
            <w:r>
              <w:rPr>
                <w:sz w:val="21"/>
                <w:szCs w:val="21"/>
              </w:rPr>
              <w:t xml:space="preserve">Subsequent treatment</w:t>
            </w:r>
          </w:p>
        </w:tc>
        <w:tc>
          <w:tcPr>
            <w:tcW w:w="4000" w:type="dxa"/>
            <w:vAlign w:val="top"/>
            <w:shd w:fill="F1F5F8"/>
          </w:tcPr>
          <w:p>
            <w:pPr>
              <w:pStyle w:val="Normal"/>
              <w:widowControl/>
              <w:spacing w:after="55" w:line="240" w:lineRule="auto"/>
              <w:keepNext w:val="0"/>
              <w:keepLines/>
            </w:pPr>
            <w:r>
              <w:rPr>
                <w:sz w:val="21"/>
                <w:szCs w:val="21"/>
              </w:rPr>
              <w:t xml:space="preserve">Consider an appropriate unused regimen after documenting prior exposure, best response, tolerance and reason for switching. After an ICI combination, a suitable TKI or a clinical trial is often considered; do not reset all patients to a single sequence.</w:t>
            </w:r>
          </w:p>
        </w:tc>
        <w:tc>
          <w:tcPr>
            <w:tcW w:w="4180" w:type="dxa"/>
            <w:vAlign w:val="top"/>
            <w:shd w:fill="F1F5F8"/>
          </w:tcPr>
          <w:p>
            <w:pPr>
              <w:pStyle w:val="Normal"/>
              <w:widowControl/>
              <w:spacing w:after="55" w:line="240" w:lineRule="auto"/>
              <w:keepNext w:val="0"/>
              <w:keepLines/>
            </w:pPr>
            <w:r>
              <w:rPr>
                <w:sz w:val="21"/>
                <w:szCs w:val="21"/>
              </w:rPr>
              <w:t xml:space="preserve">Guidelines permit selected reuse of first-line options in later lines, but no comparative trial defines the best sequence after modern combinations. Pivotal later-line randomized trials largely followed sorafenib.</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2LTFdPC9EaXNwbGF5VGV4dD48cmVjb3JkPjxyZWMtbnVtYmVyPjE8L3JlYy1udW1iZXI+PGZvcmVpZ24ta2V5cz48a2V5IGFwcD0iRU4iIGRiLWlkPSIyYjI4NzQ5NS1hMmM3LTU0YzItODM3OC02MjhkMGY1MjliOWIiIHRpbWVzdGFtcD0iMTc5MzI4MzY4OS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br/>
            </w:r>
            <w:hyperlink r:id="rId294">
              <w:r>
                <w:rPr>
                  <w:color w:val="0563C1"/>
                  <w:u w:val="single"/>
                </w:rPr>
                <w:t>Source</w:t>
              </w:r>
            </w:hyperlink>
            <w:r>
              <w:t xml:space="preserve"> · </w:t>
            </w:r>
            <w:hyperlink r:id="rId295">
              <w:r>
                <w:rPr>
                  <w:color w:val="0563C1"/>
                  <w:u w:val="single"/>
                </w:rPr>
                <w:t>PDF</w:t>
              </w:r>
            </w:hyperlink>
            <w:r>
              <w:br/>
            </w:r>
            <w:hyperlink r:id="rId296">
              <w:r>
                <w:rPr>
                  <w:color w:val="0563C1"/>
                  <w:u w:val="single"/>
                </w:rPr>
                <w:t>Source</w:t>
              </w:r>
            </w:hyperlink>
            <w:r>
              <w:t xml:space="preserve"> · </w:t>
            </w:r>
            <w:hyperlink r:id="rId297">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Nivolumab alone or CTLA4-based salvage</w:t>
            </w:r>
          </w:p>
          <w:p>
            <w:pPr>
              <w:pStyle w:val="Normal"/>
              <w:widowControl/>
              <w:spacing w:after="55" w:line="240" w:lineRule="auto"/>
              <w:keepNext w:val="0"/>
              <w:keepLines/>
            </w:pPr>
            <w:r>
              <w:rPr>
                <w:sz w:val="21"/>
                <w:szCs w:val="21"/>
              </w:rPr>
              <w:t xml:space="preserve">Selected circumstances</w:t>
            </w:r>
          </w:p>
        </w:tc>
        <w:tc>
          <w:tcPr>
            <w:tcW w:w="4000" w:type="dxa"/>
            <w:vAlign w:val="top"/>
            <w:shd w:fill="FFFFFF"/>
          </w:tcPr>
          <w:p>
            <w:pPr>
              <w:pStyle w:val="Normal"/>
              <w:widowControl/>
              <w:spacing w:after="55" w:line="240" w:lineRule="auto"/>
              <w:keepNext w:val="0"/>
              <w:keepLines/>
            </w:pPr>
            <w:r>
              <w:rPr>
                <w:sz w:val="21"/>
                <w:szCs w:val="21"/>
              </w:rPr>
              <w:t xml:space="preserve">Nivolumab monotherapy is a guideline-listed option for selected ICI-naive patients, not a current US HCC-labeled indication. In CTLA4-naive patients after PD-1/PD-L1 therapy, selected combination salvage needs specialist review; prefer a suitable trial.</w:t>
            </w:r>
          </w:p>
        </w:tc>
        <w:tc>
          <w:tcPr>
            <w:tcW w:w="4180" w:type="dxa"/>
            <w:vAlign w:val="top"/>
            <w:shd w:fill="FFFFFF"/>
          </w:tcPr>
          <w:p>
            <w:pPr>
              <w:pStyle w:val="Normal"/>
              <w:widowControl/>
              <w:spacing w:after="55" w:line="240" w:lineRule="auto"/>
              <w:keepNext w:val="0"/>
              <w:keepLines/>
            </w:pPr>
            <w:r>
              <w:rPr>
                <w:sz w:val="21"/>
                <w:szCs w:val="21"/>
              </w:rPr>
              <w:t xml:space="preserve">Monotherapy support includes early-phase cohorts. Salvage nivolumab–ipilimumab or STRIDE after prior ICI is not supported by a definitive randomized sequencing comparison. Distinguish guideline use from current label and low-certainty retrospective evidence.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</w:fldData>
              </w:fldChar>
            </w:r>
            <w:r>
              <w:instrText xml:space="preserve"> ADDIN EN.CITE.DATA </w:instrText>
            </w:r>
            <w:r>
              <w:fldChar w:fldCharType="end"/>
            </w:r>
            <w:r>
              <w:fldChar w:fldCharType="separate"/>
            </w:r>
            <w:r>
              <w:t xml:space="preserve">[V16-19]</w:t>
            </w:r>
            <w:r>
              <w:fldChar w:fldCharType="end"/>
            </w:r>
            <w:r>
              <w:br/>
            </w:r>
            <w:hyperlink r:id="rId298">
              <w:r>
                <w:rPr>
                  <w:color w:val="0563C1"/>
                  <w:u w:val="single"/>
                </w:rPr>
                <w:t>Source</w:t>
              </w:r>
            </w:hyperlink>
            <w:r>
              <w:t xml:space="preserve"> · </w:t>
            </w:r>
            <w:hyperlink r:id="rId299">
              <w:r>
                <w:rPr>
                  <w:color w:val="0563C1"/>
                  <w:u w:val="single"/>
                </w:rPr>
                <w:t>PDF</w:t>
              </w:r>
            </w:hyperlink>
            <w:r>
              <w:br/>
            </w:r>
            <w:hyperlink r:id="rId300">
              <w:r>
                <w:rPr>
                  <w:color w:val="0563C1"/>
                  <w:u w:val="single"/>
                </w:rPr>
                <w:t>Source</w:t>
              </w:r>
            </w:hyperlink>
            <w:r>
              <w:t xml:space="preserve"> · </w:t>
            </w:r>
            <w:hyperlink r:id="rId301">
              <w:r>
                <w:rPr>
                  <w:color w:val="0563C1"/>
                  <w:u w:val="single"/>
                </w:rPr>
                <w:t>PDF</w:t>
              </w:r>
            </w:hyperlink>
          </w:p>
        </w:tc>
      </w:tr>
    </w:tbl>
    <w:p>
      <w:pPr>
        <w:pStyle w:val="Heading2"/>
        <w:widowControl/>
        <w:keepNext/>
      </w:pPr>
      <w:r>
        <w:t xml:space="preserve">Biomarker selected systemic therapy</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MSI-H or dMMR</w:t>
            </w:r>
          </w:p>
          <w:p>
            <w:pPr>
              <w:pStyle w:val="Normal"/>
              <w:widowControl/>
              <w:spacing w:after="55" w:line="240" w:lineRule="auto"/>
              <w:keepNext w:val="0"/>
              <w:keepLines/>
            </w:pPr>
            <w:r>
              <w:rPr>
                <w:sz w:val="21"/>
                <w:szCs w:val="21"/>
              </w:rPr>
              <w:t xml:space="preserve">Pembrolizumab or eligible dostarlimab</w:t>
            </w:r>
          </w:p>
        </w:tc>
        <w:tc>
          <w:tcPr>
            <w:tcW w:w="4000" w:type="dxa"/>
            <w:vAlign w:val="top"/>
            <w:shd w:fill="F1F5F8"/>
          </w:tcPr>
          <w:p>
            <w:pPr>
              <w:pStyle w:val="Normal"/>
              <w:widowControl/>
              <w:spacing w:after="55" w:line="240" w:lineRule="auto"/>
              <w:keepNext w:val="0"/>
              <w:keepLines/>
            </w:pPr>
            <w:r>
              <w:rPr>
                <w:sz w:val="21"/>
                <w:szCs w:val="21"/>
              </w:rPr>
              <w:t xml:space="preserve">For appropriate recurrent or advanced disease, verify the molecular result, prior-treatment requirements and exact current tumor-agnostic label. Prior ICI exposure and graft-rejection risk remain relevant.</w:t>
            </w:r>
          </w:p>
        </w:tc>
        <w:tc>
          <w:tcPr>
            <w:tcW w:w="4180" w:type="dxa"/>
            <w:vAlign w:val="top"/>
            <w:shd w:fill="F1F5F8"/>
          </w:tcPr>
          <w:p>
            <w:pPr>
              <w:pStyle w:val="Normal"/>
              <w:widowControl/>
              <w:spacing w:after="55" w:line="240" w:lineRule="auto"/>
              <w:keepNext w:val="0"/>
              <w:keepLines/>
            </w:pPr>
            <w:r>
              <w:rPr>
                <w:sz w:val="21"/>
                <w:szCs w:val="21"/>
              </w:rPr>
              <w:t xml:space="preserve">Rare findings in HCC. Evidence is largely tumor-agnostic rather than a dedicated HCC randomized comparison; a biomarker result does not establish LT eligibility.</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</w:fldData>
              </w:fldChar>
            </w:r>
            <w:r>
              <w:instrText xml:space="preserve"> ADDIN EN.CITE.DATA </w:instrText>
            </w:r>
            <w:r>
              <w:fldChar w:fldCharType="end"/>
            </w:r>
            <w:r>
              <w:fldChar w:fldCharType="separate"/>
            </w:r>
            <w:r>
              <w:t xml:space="preserve">[V16-8]</w:t>
            </w:r>
            <w:r>
              <w:fldChar w:fldCharType="end"/>
            </w:r>
            <w:r>
              <w:br/>
            </w:r>
            <w:hyperlink r:id="rId302">
              <w:r>
                <w:rPr>
                  <w:color w:val="0563C1"/>
                  <w:u w:val="single"/>
                </w:rPr>
                <w:t>Source</w:t>
              </w:r>
            </w:hyperlink>
            <w:r>
              <w:t xml:space="preserve"> · </w:t>
            </w:r>
            <w:hyperlink r:id="rId303">
              <w:r>
                <w:rPr>
                  <w:color w:val="0563C1"/>
                  <w:u w:val="single"/>
                </w:rPr>
                <w:t>PDF</w:t>
              </w:r>
            </w:hyperlink>
            <w:r>
              <w:br/>
            </w:r>
            <w:hyperlink r:id="rId304">
              <w:r>
                <w:rPr>
                  <w:color w:val="0563C1"/>
                  <w:u w:val="single"/>
                </w:rPr>
                <w:t>Source</w:t>
              </w:r>
            </w:hyperlink>
            <w:r>
              <w:t xml:space="preserve"> · </w:t>
            </w:r>
            <w:hyperlink r:id="rId305">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NTRK fusion</w:t>
            </w:r>
          </w:p>
          <w:p>
            <w:pPr>
              <w:pStyle w:val="Normal"/>
              <w:widowControl/>
              <w:spacing w:after="55" w:line="240" w:lineRule="auto"/>
              <w:keepNext w:val="0"/>
              <w:keepLines/>
            </w:pPr>
            <w:r>
              <w:rPr>
                <w:sz w:val="21"/>
                <w:szCs w:val="21"/>
              </w:rPr>
              <w:t xml:space="preserve">Larotrectinib, entrectinib or repotrectinib</w:t>
            </w:r>
          </w:p>
        </w:tc>
        <w:tc>
          <w:tcPr>
            <w:tcW w:w="4000" w:type="dxa"/>
            <w:vAlign w:val="top"/>
            <w:shd w:fill="FFFFFF"/>
          </w:tcPr>
          <w:p>
            <w:pPr>
              <w:pStyle w:val="Normal"/>
              <w:widowControl/>
              <w:spacing w:after="55" w:line="240" w:lineRule="auto"/>
              <w:keepNext w:val="0"/>
              <w:keepLines/>
            </w:pPr>
            <w:r>
              <w:rPr>
                <w:sz w:val="21"/>
                <w:szCs w:val="21"/>
              </w:rPr>
              <w:t xml:space="preserve">Confirm a qualifying NTRK fusion and the specific agent’s age, prior-treatment and resistance requirements. Select with molecular oncology; not for NTRK expression alone.</w:t>
            </w:r>
          </w:p>
        </w:tc>
        <w:tc>
          <w:tcPr>
            <w:tcW w:w="4180" w:type="dxa"/>
            <w:vAlign w:val="top"/>
            <w:shd w:fill="FFFFFF"/>
          </w:tcPr>
          <w:p>
            <w:pPr>
              <w:pStyle w:val="Normal"/>
              <w:widowControl/>
              <w:spacing w:after="55" w:line="240" w:lineRule="auto"/>
              <w:keepNext w:val="0"/>
              <w:keepLines/>
            </w:pPr>
            <w:r>
              <w:rPr>
                <w:sz w:val="21"/>
                <w:szCs w:val="21"/>
              </w:rPr>
              <w:t xml:space="preserve">Tumor-agnostic evidence, not an HCC-specific head-to-head ranking. NTRK fusions are exceptionally uncommon in HCC.</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306">
              <w:r>
                <w:rPr>
                  <w:color w:val="0563C1"/>
                  <w:u w:val="single"/>
                </w:rPr>
                <w:t>Source</w:t>
              </w:r>
            </w:hyperlink>
            <w:r>
              <w:t xml:space="preserve"> · </w:t>
            </w:r>
            <w:hyperlink r:id="rId307">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RET fusion</w:t>
            </w:r>
          </w:p>
          <w:p>
            <w:pPr>
              <w:pStyle w:val="Normal"/>
              <w:widowControl/>
              <w:spacing w:after="55" w:line="240" w:lineRule="auto"/>
              <w:keepNext w:val="0"/>
              <w:keepLines/>
            </w:pPr>
            <w:r>
              <w:rPr>
                <w:sz w:val="21"/>
                <w:szCs w:val="21"/>
              </w:rPr>
              <w:t xml:space="preserve">Selpercatinib</w:t>
            </w:r>
          </w:p>
        </w:tc>
        <w:tc>
          <w:tcPr>
            <w:tcW w:w="4000" w:type="dxa"/>
            <w:vAlign w:val="top"/>
            <w:shd w:fill="F1F5F8"/>
          </w:tcPr>
          <w:p>
            <w:pPr>
              <w:pStyle w:val="Normal"/>
              <w:widowControl/>
              <w:spacing w:after="55" w:line="240" w:lineRule="auto"/>
              <w:keepNext w:val="0"/>
              <w:keepLines/>
            </w:pPr>
            <w:r>
              <w:rPr>
                <w:sz w:val="21"/>
                <w:szCs w:val="21"/>
              </w:rPr>
              <w:t xml:space="preserve">Confirm a qualifying RET fusion and current tumor-agnostic indication. Review liver function, interactions and treatment alternatives.</w:t>
            </w:r>
          </w:p>
        </w:tc>
        <w:tc>
          <w:tcPr>
            <w:tcW w:w="4180" w:type="dxa"/>
            <w:vAlign w:val="top"/>
            <w:shd w:fill="F1F5F8"/>
          </w:tcPr>
          <w:p>
            <w:pPr>
              <w:pStyle w:val="Normal"/>
              <w:widowControl/>
              <w:spacing w:after="55" w:line="240" w:lineRule="auto"/>
              <w:keepNext w:val="0"/>
              <w:keepLines/>
            </w:pPr>
            <w:r>
              <w:rPr>
                <w:sz w:val="21"/>
                <w:szCs w:val="21"/>
              </w:rPr>
              <w:t xml:space="preserve">Basket-trial evidence underlies selected use. Not a general HCC systemic regimen or a transplant-selection biomarker.</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br/>
            </w:r>
            <w:hyperlink r:id="rId308">
              <w:r>
                <w:rPr>
                  <w:color w:val="0563C1"/>
                  <w:u w:val="single"/>
                </w:rPr>
                <w:t>Source</w:t>
              </w:r>
            </w:hyperlink>
            <w:r>
              <w:t xml:space="preserve"> · </w:t>
            </w:r>
            <w:hyperlink r:id="rId309">
              <w:r>
                <w:rPr>
                  <w:color w:val="0563C1"/>
                  <w:u w:val="single"/>
                </w:rPr>
                <w:t>PDF</w:t>
              </w:r>
            </w:hyperlink>
          </w:p>
        </w:tc>
      </w:tr>
    </w:tbl>
    <w:p>
      <w:pPr>
        <w:pStyle w:val="Heading2"/>
        <w:widowControl/>
        <w:keepNext/>
      </w:pPr>
      <w:r>
        <w:t xml:space="preserve">Systemic treatment combined with TACE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TACE plus lenvatinib and pembrolizumab</w:t>
            </w:r>
          </w:p>
        </w:tc>
        <w:tc>
          <w:tcPr>
            <w:tcW w:w="4000" w:type="dxa"/>
            <w:vAlign w:val="top"/>
            <w:shd w:fill="F1F5F8"/>
          </w:tcPr>
          <w:p>
            <w:pPr>
              <w:pStyle w:val="Normal"/>
              <w:widowControl/>
              <w:spacing w:after="55" w:line="240" w:lineRule="auto"/>
              <w:keepNext w:val="0"/>
              <w:keepLines/>
            </w:pPr>
            <w:r>
              <w:rPr>
                <w:sz w:val="21"/>
                <w:szCs w:val="21"/>
              </w:rPr>
              <w:t xml:space="preserve">Selected embolization-eligible unresectable HCC under a defined oncology/IR pathway. Assess reserve, combined toxicity and treatment intent. Not routine LT bridging.</w:t>
            </w:r>
          </w:p>
        </w:tc>
        <w:tc>
          <w:tcPr>
            <w:tcW w:w="4180" w:type="dxa"/>
            <w:vAlign w:val="top"/>
            <w:shd w:fill="F1F5F8"/>
          </w:tcPr>
          <w:p>
            <w:pPr>
              <w:pStyle w:val="Normal"/>
              <w:widowControl/>
              <w:spacing w:after="55" w:line="240" w:lineRule="auto"/>
              <w:keepNext w:val="0"/>
              <w:keepLines/>
            </w:pPr>
            <w:r>
              <w:rPr>
                <w:sz w:val="21"/>
                <w:szCs w:val="21"/>
              </w:rPr>
              <w:t xml:space="preserve">LEAP-012: randomized combination evidence with improved PFS. Do not equate PFS benefit with established LT access, post-LT survival or a universal survival advantage.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UzAxNDAtNjczNigyNCkwMjU3NS0zPC91cmw+PC9yZWxhdGVkLXVybHM+PHBkZi11cmxzLz48L3VybHM+PC9yZWNvcmQ+PC9DaXRlPjwvRW5kTm90ZT4=</w:fldData>
              </w:fldChar>
            </w:r>
            <w:r>
              <w:instrText xml:space="preserve"> ADDIN EN.CITE.DATA </w:instrText>
            </w:r>
            <w:r>
              <w:fldChar w:fldCharType="end"/>
            </w:r>
            <w:r>
              <w:fldChar w:fldCharType="separate"/>
            </w:r>
            <w:r>
              <w:t xml:space="preserve">[V16-27]</w:t>
            </w:r>
            <w:r>
              <w:fldChar w:fldCharType="end"/>
            </w:r>
            <w:r>
              <w:br/>
            </w:r>
            <w:hyperlink r:id="rId310">
              <w:r>
                <w:rPr>
                  <w:color w:val="0563C1"/>
                  <w:u w:val="single"/>
                </w:rPr>
                <w:t>Source</w:t>
              </w:r>
            </w:hyperlink>
            <w:r>
              <w:t xml:space="preserve"> · </w:t>
            </w:r>
            <w:hyperlink r:id="rId311">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TACE plus durvalumab and bevacizumab</w:t>
            </w:r>
          </w:p>
        </w:tc>
        <w:tc>
          <w:tcPr>
            <w:tcW w:w="4000" w:type="dxa"/>
            <w:vAlign w:val="top"/>
            <w:shd w:fill="FFFFFF"/>
          </w:tcPr>
          <w:p>
            <w:pPr>
              <w:pStyle w:val="Normal"/>
              <w:widowControl/>
              <w:spacing w:after="55" w:line="240" w:lineRule="auto"/>
              <w:keepNext w:val="0"/>
              <w:keepLines/>
            </w:pPr>
            <w:r>
              <w:rPr>
                <w:sz w:val="21"/>
                <w:szCs w:val="21"/>
              </w:rPr>
              <w:t xml:space="preserve">Selected embolization-eligible disease with immune and anti-VEGF safety assessment. Durvalumab without bevacizumab was a separate study arm, not an equivalent regimen.</w:t>
            </w:r>
          </w:p>
        </w:tc>
        <w:tc>
          <w:tcPr>
            <w:tcW w:w="4180" w:type="dxa"/>
            <w:vAlign w:val="top"/>
            <w:shd w:fill="FFFFFF"/>
          </w:tcPr>
          <w:p>
            <w:pPr>
              <w:pStyle w:val="Normal"/>
              <w:widowControl/>
              <w:spacing w:after="55" w:line="240" w:lineRule="auto"/>
              <w:keepNext w:val="0"/>
              <w:keepLines/>
            </w:pPr>
            <w:r>
              <w:rPr>
                <w:sz w:val="21"/>
                <w:szCs w:val="21"/>
              </w:rPr>
              <w:t xml:space="preserve">EMERALD-1: PFS improved with durvalumab–bevacizumab; durvalumab alone did not show the same benefit. Combination results do not validate routine transplant bridging.</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UzAxNDAtNjczNigyNCkwMjU1MS0wPC91cmw+PC9yZWxhdGVkLXVybHM+PHBkZi11cmxzLz48L3VybHM+PC9yZWNvcmQ+PC9DaXRlPjwvRW5kTm90ZT4=</w:fldData>
              </w:fldChar>
            </w:r>
            <w:r>
              <w:instrText xml:space="preserve"> ADDIN EN.CITE.DATA </w:instrText>
            </w:r>
            <w:r>
              <w:fldChar w:fldCharType="end"/>
            </w:r>
            <w:r>
              <w:fldChar w:fldCharType="separate"/>
            </w:r>
            <w:r>
              <w:t xml:space="preserve">[V16-28]</w:t>
            </w:r>
            <w:r>
              <w:fldChar w:fldCharType="end"/>
            </w:r>
            <w:r>
              <w:br/>
            </w:r>
            <w:hyperlink r:id="rId312">
              <w:r>
                <w:rPr>
                  <w:color w:val="0563C1"/>
                  <w:u w:val="single"/>
                </w:rPr>
                <w:t>Source</w:t>
              </w:r>
            </w:hyperlink>
            <w:r>
              <w:t xml:space="preserve"> · </w:t>
            </w:r>
            <w:hyperlink r:id="rId313">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TACE plus STRIDE with or without lenvatinib</w:t>
            </w:r>
          </w:p>
        </w:tc>
        <w:tc>
          <w:tcPr>
            <w:tcW w:w="4000" w:type="dxa"/>
            <w:vAlign w:val="top"/>
            <w:shd w:fill="F1F5F8"/>
          </w:tcPr>
          <w:p>
            <w:pPr>
              <w:pStyle w:val="Normal"/>
              <w:widowControl/>
              <w:spacing w:after="55" w:line="240" w:lineRule="auto"/>
              <w:keepNext w:val="0"/>
              <w:keepLines/>
            </w:pPr>
            <w:r>
              <w:rPr>
                <w:sz w:val="21"/>
                <w:szCs w:val="21"/>
              </w:rPr>
              <w:t xml:space="preserve">Keep the regimens distinct and verify the specific trial-supported arm and current institutional pathway. Review toxicity and whether treatment is nontransplant disease control or an approved LT-intent study.</w:t>
            </w:r>
          </w:p>
        </w:tc>
        <w:tc>
          <w:tcPr>
            <w:tcW w:w="4180" w:type="dxa"/>
            <w:vAlign w:val="top"/>
            <w:shd w:fill="F1F5F8"/>
          </w:tcPr>
          <w:p>
            <w:pPr>
              <w:pStyle w:val="Normal"/>
              <w:widowControl/>
              <w:spacing w:after="55" w:line="240" w:lineRule="auto"/>
              <w:keepNext w:val="0"/>
              <w:keepLines/>
            </w:pPr>
            <w:r>
              <w:rPr>
                <w:sz w:val="21"/>
                <w:szCs w:val="21"/>
              </w:rPr>
              <w:t xml:space="preserve">EMERALD-3 enrolled patients not amenable to transplantation at entry. Its randomized disease-control evidence cannot be converted into a standard LT-bridging recommendation.</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UzE0NzAtMjA0NSgyNikwMDI3OC0wPC91cmw+PC9yZWxhdGVkLXVybHM+PHBkZi11cmxzLz48L3VybHM+PC9yZWNvcmQ+PC9DaXRlPjwvRW5kTm90ZT4=</w:fldData>
              </w:fldChar>
            </w:r>
            <w:r>
              <w:instrText xml:space="preserve"> ADDIN EN.CITE.DATA </w:instrText>
            </w:r>
            <w:r>
              <w:fldChar w:fldCharType="end"/>
            </w:r>
            <w:r>
              <w:fldChar w:fldCharType="separate"/>
            </w:r>
            <w:r>
              <w:t xml:space="preserve">[V16-29]</w:t>
            </w:r>
            <w:r>
              <w:fldChar w:fldCharType="end"/>
            </w:r>
            <w:r>
              <w:br/>
            </w:r>
            <w:hyperlink r:id="rId314">
              <w:r>
                <w:rPr>
                  <w:color w:val="0563C1"/>
                  <w:u w:val="single"/>
                </w:rPr>
                <w:t>Source</w:t>
              </w:r>
            </w:hyperlink>
            <w:r>
              <w:t xml:space="preserve"> · </w:t>
            </w:r>
            <w:hyperlink r:id="rId315">
              <w:r>
                <w:rPr>
                  <w:color w:val="0563C1"/>
                  <w:u w:val="single"/>
                </w:rPr>
                <w:t>PDF</w:t>
              </w:r>
            </w:hyperlink>
          </w:p>
        </w:tc>
      </w:tr>
    </w:tbl>
    <w:p>
      <w:pPr>
        <w:pStyle w:val="Heading2"/>
        <w:widowControl/>
        <w:keepNext/>
      </w:pPr>
      <w:r>
        <w:t xml:space="preserve">Supporting study appraisals</w:t>
      </w:r>
    </w:p>
    <w:p>
      <w:pPr>
        <w:pStyle w:val="Heading2"/>
        <w:widowControl/>
        <w:keepNext/>
      </w:pPr>
      <w:r>
        <w:t xml:space="preserve">SHARP: sorafenib</w:t>
      </w:r>
    </w:p>
    <w:p>
      <w:pPr>
        <w:pStyle w:val="Normal"/>
        <w:widowControl/>
        <w:spacing w:after="120"/>
      </w:pPr>
      <w:r>
        <w:t xml:space="preserve">Retain sorafenib as a guideline-supported TKI option when appropriate; not routine LT bridging or a way to treat an isolated AFP rise without a justified cancer indication.</w:t>
      </w:r>
      <w:r>
        <w:t xml:space="preserve"> </w:t>
      </w:r>
      <w:r>
        <w:t xml:space="preserve"> </w:t>
      </w:r>
      <w:r>
        <w:fldChar w:fldCharType="begin"/>
      </w:r>
      <w:r>
        <w:instrText xml:space="preserve"> ADDIN EN.CITE </w:instrText>
      </w:r>
      <w:r>
        <w:fldChar w:fldCharType="begin">
          <w:fldData>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</w:fldData>
        </w:fldChar>
      </w:r>
      <w:r>
        <w:instrText xml:space="preserve"> ADDIN EN.CITE.DATA </w:instrText>
      </w:r>
      <w:r>
        <w:fldChar w:fldCharType="end"/>
      </w:r>
      <w:r>
        <w:fldChar w:fldCharType="separate"/>
      </w:r>
      <w:r>
        <w:t xml:space="preserve">[V16-21]</w:t>
      </w:r>
      <w:r>
        <w:fldChar w:fldCharType="end"/>
      </w:r>
      <w:r>
        <w:br/>
      </w:r>
      <w:hyperlink r:id="rId326">
        <w:r>
          <w:rPr>
            <w:color w:val="0563C1"/>
            <w:u w:val="single"/>
          </w:rPr>
          <w:t>Source</w:t>
        </w:r>
      </w:hyperlink>
      <w:r>
        <w:t xml:space="preserve"> · </w:t>
      </w:r>
      <w:hyperlink r:id="rId327">
        <w:r>
          <w:rPr>
            <w:color w:val="0563C1"/>
            <w:u w:val="single"/>
          </w:rPr>
          <w:t>PDF</w:t>
        </w:r>
      </w:hyperlink>
    </w:p>
    <w:p>
      <w:pPr>
        <w:pStyle w:val="Normal"/>
        <w:widowControl/>
        <w:spacing w:after="120"/>
      </w:pPr>
      <w:r>
        <w:t xml:space="preserve">Population and design: Randomized double-blind phase III, 602 advanced HCC patients without prior systemic therapy; 97% Child-Pugh A, ECOG 0–2. Sorafenib 400 mg twice daily versus placebo.</w:t>
      </w:r>
    </w:p>
    <w:p>
      <w:pPr>
        <w:pStyle w:val="Normal"/>
        <w:widowControl/>
        <w:spacing w:after="120"/>
      </w:pPr>
      <w:r>
        <w:t xml:space="preserve">Results: Median OS 10.7 versus 7.9 months; HR 0.69 (0.55–0.87). Radiologic time to progression 5.5 versus 2.8 months, HR 0.58; this is not PFS. ORR 2% versus 1%, no complete responses.</w:t>
      </w:r>
    </w:p>
    <w:p>
      <w:pPr>
        <w:pStyle w:val="Normal"/>
        <w:widowControl/>
        <w:spacing w:after="120"/>
      </w:pPr>
      <w:r>
        <w:t xml:space="preserve">Limits: Historical placebo comparison, not a comparison with current ICI combinations. Grade 3 diarrhea and hand–foot reaction each 8%; dose interruptions/reductions frequent. Little evidence for decompensated cirrhosis.</w:t>
      </w:r>
    </w:p>
    <w:p>
      <w:pPr>
        <w:pStyle w:val="Heading2"/>
        <w:widowControl/>
        <w:keepNext/>
      </w:pPr>
      <w:r>
        <w:t xml:space="preserve">AFP-only discordance: return to transplant review</w:t>
      </w:r>
    </w:p>
    <w:p>
      <w:pPr>
        <w:pStyle w:val="Normal"/>
        <w:widowControl/>
        <w:spacing w:after="120"/>
      </w:pPr>
      <w:r>
        <w:t xml:space="preserve">AFP level, AFP trajectory and radiographic viability answer different questions. Repeat an unexplained result, assess liver inflammation and obtain expert review of adequate multiphasic imaging; do not label AFP-only rise radiographic progression. No empiric LRT without a target. B1.1 proposals are OPEN, not automatic delisting rules.</w:t>
      </w:r>
      <w:r>
        <w:t xml:space="preserve"> </w:t>
      </w:r>
      <w:r>
        <w:t xml:space="preserve"> </w:t>
      </w:r>
      <w:r>
        <w:fldChar w:fldCharType="begin"/>
      </w:r>
      <w:r>
        <w:instrText xml:space="preserve"> ADDIN EN.CITE </w:instrText>
      </w:r>
      <w:r>
        <w:fldChar w:fldCharType="begin">
          <w:fldData>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</w:fldData>
        </w:fldChar>
      </w:r>
      <w:r>
        <w:instrText xml:space="preserve"> ADDIN EN.CITE.DATA </w:instrText>
      </w:r>
      <w:r>
        <w:fldChar w:fldCharType="end"/>
      </w:r>
      <w:r>
        <w:fldChar w:fldCharType="separate"/>
      </w:r>
      <w:r>
        <w:t xml:space="preserve">[V16-30]</w:t>
      </w:r>
      <w:r>
        <w:fldChar w:fldCharType="end"/>
      </w:r>
      <w:r>
        <w:t xml:space="preserve"> </w:t>
      </w:r>
      <w:r>
        <w:t xml:space="preserve"> </w:t>
      </w:r>
      <w:r>
        <w:fldChar w:fldCharType="begin"/>
      </w:r>
      <w:r>
        <w:instrText xml:space="preserve"> ADDIN EN.CITE </w:instrText>
      </w:r>
      <w:r>
        <w:fldChar w:fldCharType="begin">
          <w:fldData>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</w:fldData>
        </w:fldChar>
      </w:r>
      <w:r>
        <w:instrText xml:space="preserve"> ADDIN EN.CITE.DATA </w:instrText>
      </w:r>
      <w:r>
        <w:fldChar w:fldCharType="end"/>
      </w:r>
      <w:r>
        <w:fldChar w:fldCharType="separate"/>
      </w:r>
      <w:r>
        <w:t xml:space="preserve">[V16-31]</w:t>
      </w:r>
      <w:r>
        <w:fldChar w:fldCharType="end"/>
      </w:r>
      <w:r>
        <w:t xml:space="preserve"> </w:t>
      </w:r>
      <w:r>
        <w:t xml:space="preserve"> </w:t>
      </w:r>
      <w:r>
        <w:fldChar w:fldCharType="begin"/>
      </w:r>
      <w:r>
        <w:instrText xml:space="preserve"> ADDIN EN.CITE </w:instrText>
      </w:r>
      <w:r>
        <w:fldChar w:fldCharType="begin">
          <w:fldData>PEVuZE5vdGU+PENpdGU+PEF1dGhvcj5HaWFyZCBKTTwvQXV0aG9yPjxZZWFyPjIwMTg8L1llYXI+PFJlY051bT4zMjwvUmVjTnVtPjxEaXNwbGF5VGV4dD5bVjE2LTMyXTwvRGlzcGxheVRleHQ+PHJlY29yZD48cmVjLW51bWJlcj4zMjwvcmVjLW51bWJlcj48Zm9yZWlnbi1rZXlzPjxrZXkgYXBwPSJFTiIgZGItaWQ9IjJiMjg3NDk1LWEyYzctNTRjMi04Mzc4LTYyOGQwZjUyOWI5YiIgdGltZXN0YW1wPSIxNzkzMjgzNjg5Ij4zMj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[V16-32]</w:t>
      </w:r>
      <w:r>
        <w:fldChar w:fldCharType="end"/>
      </w:r>
      <w:r>
        <w:t xml:space="preserve"> </w:t>
      </w:r>
      <w:r>
        <w:t xml:space="preserve"> </w:t>
      </w:r>
      <w:r>
        <w:fldChar w:fldCharType="begin"/>
      </w:r>
      <w:r>
        <w:instrText xml:space="preserve"> ADDIN EN.CITE </w:instrText>
      </w:r>
      <w:r>
        <w:fldChar w:fldCharType="begin">
          <w:fldData>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</w:fldData>
        </w:fldChar>
      </w:r>
      <w:r>
        <w:instrText xml:space="preserve"> ADDIN EN.CITE.DATA </w:instrText>
      </w:r>
      <w:r>
        <w:fldChar w:fldCharType="end"/>
      </w:r>
      <w:r>
        <w:fldChar w:fldCharType="separate"/>
      </w:r>
      <w:r>
        <w:t xml:space="preserve">[V16-33]</w:t>
      </w:r>
      <w:r>
        <w:fldChar w:fldCharType="end"/>
      </w:r>
      <w:r>
        <w:t xml:space="preserve"> </w:t>
      </w:r>
      <w:r>
        <w:t xml:space="preserve"> </w:t>
      </w:r>
      <w:r>
        <w:fldChar w:fldCharType="begin"/>
      </w:r>
      <w:r>
        <w:instrText xml:space="preserve"> ADDIN EN.CITE </w:instrText>
      </w:r>
      <w:r>
        <w:fldChar w:fldCharType="begin">
          <w:fldData>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</w:fldData>
        </w:fldChar>
      </w:r>
      <w:r>
        <w:instrText xml:space="preserve"> ADDIN EN.CITE.DATA </w:instrText>
      </w:r>
      <w:r>
        <w:fldChar w:fldCharType="end"/>
      </w:r>
      <w:r>
        <w:fldChar w:fldCharType="separate"/>
      </w:r>
      <w:r>
        <w:t xml:space="preserve">[V16-34]</w:t>
      </w:r>
      <w:r>
        <w:fldChar w:fldCharType="end"/>
      </w:r>
      <w:r>
        <w:br/>
      </w:r>
      <w:hyperlink r:id="rId328">
        <w:r>
          <w:rPr>
            <w:color w:val="0563C1"/>
            <w:u w:val="single"/>
          </w:rPr>
          <w:t>Source</w:t>
        </w:r>
      </w:hyperlink>
      <w:r>
        <w:t xml:space="preserve"> · </w:t>
      </w:r>
      <w:hyperlink r:id="rId329">
        <w:r>
          <w:rPr>
            <w:color w:val="0563C1"/>
            <w:u w:val="single"/>
          </w:rPr>
          <w:t>PDF</w:t>
        </w:r>
      </w:hyperlink>
      <w:r>
        <w:br/>
      </w:r>
      <w:hyperlink r:id="rId330">
        <w:r>
          <w:rPr>
            <w:color w:val="0563C1"/>
            <w:u w:val="single"/>
          </w:rPr>
          <w:t>Source</w:t>
        </w:r>
      </w:hyperlink>
      <w:r>
        <w:t xml:space="preserve"> · </w:t>
      </w:r>
      <w:hyperlink r:id="rId331">
        <w:r>
          <w:rPr>
            <w:color w:val="0563C1"/>
            <w:u w:val="single"/>
          </w:rPr>
          <w:t>PDF</w:t>
        </w:r>
      </w:hyperlink>
      <w:r>
        <w:br/>
      </w:r>
      <w:hyperlink r:id="rId332">
        <w:r>
          <w:rPr>
            <w:color w:val="0563C1"/>
            <w:u w:val="single"/>
          </w:rPr>
          <w:t>Source</w:t>
        </w:r>
      </w:hyperlink>
      <w:r>
        <w:t xml:space="preserve"> · </w:t>
      </w:r>
      <w:hyperlink r:id="rId333">
        <w:r>
          <w:rPr>
            <w:color w:val="0563C1"/>
            <w:u w:val="single"/>
          </w:rPr>
          <w:t>PDF</w:t>
        </w:r>
      </w:hyperlink>
      <w:r>
        <w:br/>
      </w:r>
      <w:hyperlink r:id="rId334">
        <w:r>
          <w:rPr>
            <w:color w:val="0563C1"/>
            <w:u w:val="single"/>
          </w:rPr>
          <w:t>Source</w:t>
        </w:r>
      </w:hyperlink>
      <w:r>
        <w:t xml:space="preserve"> · </w:t>
      </w:r>
      <w:hyperlink r:id="rId335">
        <w:r>
          <w:rPr>
            <w:color w:val="0563C1"/>
            <w:u w:val="single"/>
          </w:rPr>
          <w:t>PDF</w:t>
        </w:r>
      </w:hyperlink>
      <w:r>
        <w:br/>
      </w:r>
      <w:hyperlink r:id="rId336">
        <w:r>
          <w:rPr>
            <w:color w:val="0563C1"/>
            <w:u w:val="single"/>
          </w:rPr>
          <w:t>Source</w:t>
        </w:r>
      </w:hyperlink>
      <w:r>
        <w:t xml:space="preserve"> · </w:t>
      </w:r>
      <w:hyperlink r:id="rId337">
        <w:r>
          <w:rPr>
            <w:color w:val="0563C1"/>
            <w:u w:val="single"/>
          </w:rPr>
          <w:t>PDF</w:t>
        </w:r>
      </w:hyperlink>
    </w:p>
    <w:p>
      <w:pPr>
        <w:pStyle w:val="Normal"/>
        <w:widowControl/>
        <w:spacing w:after="120"/>
      </w:pPr>
      <w:r>
        <w:t xml:space="preserve">OPEN proposals and meeting record: </w:t>
      </w:r>
      <w:hyperlink r:id="rId239">
        <w:r>
          <w:rPr>
            <w:color w:val="0563C1"/>
            <w:u w:val="single"/>
          </w:rPr>
          <w:t>HCC B1.1</w:t>
        </w:r>
      </w:hyperlink>
    </w:p>
    <w:p>
      <w:pPr>
        <w:pStyle w:val="Heading3"/>
        <w:widowControl/>
        <w:keepNext/>
      </w:pPr>
      <w:r>
        <w:t xml:space="preserve">Mehta 2019: AFP response</w:t>
      </w:r>
    </w:p>
    <w:p>
      <w:pPr>
        <w:pStyle w:val="Normal"/>
        <w:widowControl/>
        <w:spacing w:after="120"/>
      </w:pPr>
      <w:r>
        <w:t xml:space="preserve">Supports response-based biological review and the existing &gt;1000-to-&lt;500 allocation framework. Does not require AFP &lt;100 for every within-Milan candidate or prove a safe AFP-only exception.</w:t>
      </w:r>
      <w:r>
        <w:t xml:space="preserve"> </w:t>
      </w:r>
      <w:r>
        <w:t xml:space="preserve"> </w:t>
      </w:r>
      <w:r>
        <w:fldChar w:fldCharType="begin"/>
      </w:r>
      <w:r>
        <w:instrText xml:space="preserve"> ADDIN EN.CITE </w:instrText>
      </w:r>
      <w:r>
        <w:fldChar w:fldCharType="begin">
          <w:fldData>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</w:fldData>
        </w:fldChar>
      </w:r>
      <w:r>
        <w:instrText xml:space="preserve"> ADDIN EN.CITE.DATA </w:instrText>
      </w:r>
      <w:r>
        <w:fldChar w:fldCharType="end"/>
      </w:r>
      <w:r>
        <w:fldChar w:fldCharType="separate"/>
      </w:r>
      <w:r>
        <w:t xml:space="preserve">[V16-30]</w:t>
      </w:r>
      <w:r>
        <w:fldChar w:fldCharType="end"/>
      </w:r>
      <w:r>
        <w:br/>
      </w:r>
      <w:hyperlink r:id="rId316">
        <w:r>
          <w:rPr>
            <w:color w:val="0563C1"/>
            <w:u w:val="single"/>
          </w:rPr>
          <w:t>Source</w:t>
        </w:r>
      </w:hyperlink>
      <w:r>
        <w:t xml:space="preserve"> · </w:t>
      </w:r>
      <w:hyperlink r:id="rId317">
        <w:r>
          <w:rPr>
            <w:color w:val="0563C1"/>
            <w:u w:val="single"/>
          </w:rPr>
          <w:t>PDF</w:t>
        </w:r>
      </w:hyperlink>
    </w:p>
    <w:p>
      <w:pPr>
        <w:pStyle w:val="Normal"/>
        <w:widowControl/>
        <w:spacing w:after="120"/>
      </w:pPr>
      <w:r>
        <w:t xml:space="preserve">Population and design: Retrospective UNOS recipient cohort, 2005–2015; 407 patients with AFP &gt;1000 at least once and final AFP within 90 days of LT. Living-donor and multiorgan recipients excluded; 93.6% initially within Milan.</w:t>
      </w:r>
    </w:p>
    <w:p>
      <w:pPr>
        <w:pStyle w:val="Normal"/>
        <w:widowControl/>
        <w:spacing w:after="120"/>
      </w:pPr>
      <w:r>
        <w:t xml:space="preserve">Results: Five-year post-LT OS: 48.8% with final AFP &gt;1000, 67.0% at 101–499, and 88.4% at ≤100. Corresponding Kaplan–Meier recurrence estimates: 35.0%, 13.3%, and 7.2%. The 500–1000 group had only 17 patients. Differences between ≤100 and 101–499 were not statistically significant.</w:t>
      </w:r>
    </w:p>
    <w:p>
      <w:pPr>
        <w:pStyle w:val="Normal"/>
        <w:widowControl/>
        <w:spacing w:after="120"/>
      </w:pPr>
      <w:r>
        <w:t xml:space="preserve">Limits: Recipient-only, selected historical cohort; treatment and waiting time differed substantially between groups. Non-HCC death was censored for recurrence. No proof that forcing AFP lower causes benefit, no AFP-only/imaging-complete-response subgroup, and no LDLT validation.</w:t>
      </w:r>
    </w:p>
    <w:p>
      <w:pPr>
        <w:pStyle w:val="Heading3"/>
        <w:widowControl/>
        <w:keepNext/>
      </w:pPr>
      <w:r>
        <w:t xml:space="preserve">Goldman 2022: final AFP ≥500</w:t>
      </w:r>
    </w:p>
    <w:p>
      <w:pPr>
        <w:pStyle w:val="Normal"/>
        <w:widowControl/>
        <w:spacing w:after="120"/>
      </w:pPr>
      <w:r>
        <w:t xml:space="preserve">Supports discussing a conservative clinical hold at confirmed AFP ≥500, even without a prior &gt;1000 result. This is an OPEN local proposal, not a universal OPTN contraindication or a proven transplant-benefit cutoff.</w:t>
      </w:r>
      <w:r>
        <w:t xml:space="preserve"> </w:t>
      </w:r>
      <w:r>
        <w:t xml:space="preserve"> </w:t>
      </w:r>
      <w:r>
        <w:fldChar w:fldCharType="begin"/>
      </w:r>
      <w:r>
        <w:instrText xml:space="preserve"> ADDIN EN.CITE </w:instrText>
      </w:r>
      <w:r>
        <w:fldChar w:fldCharType="begin">
          <w:fldData>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</w:fldData>
        </w:fldChar>
      </w:r>
      <w:r>
        <w:instrText xml:space="preserve"> ADDIN EN.CITE.DATA </w:instrText>
      </w:r>
      <w:r>
        <w:fldChar w:fldCharType="end"/>
      </w:r>
      <w:r>
        <w:fldChar w:fldCharType="separate"/>
      </w:r>
      <w:r>
        <w:t xml:space="preserve">[V16-31]</w:t>
      </w:r>
      <w:r>
        <w:fldChar w:fldCharType="end"/>
      </w:r>
      <w:r>
        <w:br/>
      </w:r>
      <w:hyperlink r:id="rId318">
        <w:r>
          <w:rPr>
            <w:color w:val="0563C1"/>
            <w:u w:val="single"/>
          </w:rPr>
          <w:t>Source</w:t>
        </w:r>
      </w:hyperlink>
      <w:r>
        <w:t xml:space="preserve"> · </w:t>
      </w:r>
      <w:hyperlink r:id="rId319">
        <w:r>
          <w:rPr>
            <w:color w:val="0563C1"/>
            <w:u w:val="single"/>
          </w:rPr>
          <w:t>PDF</w:t>
        </w:r>
      </w:hyperlink>
    </w:p>
    <w:p>
      <w:pPr>
        <w:pStyle w:val="Normal"/>
        <w:widowControl/>
        <w:spacing w:after="120"/>
      </w:pPr>
      <w:r>
        <w:t xml:space="preserve">Population and design: UNOS 2005–2015; 1766 LT recipients with initial AFP 100–999. Only 879 had serial values; final AFP ≥500 subgroup n=109. LDLT excluded.</w:t>
      </w:r>
    </w:p>
    <w:p>
      <w:pPr>
        <w:pStyle w:val="Normal"/>
        <w:widowControl/>
        <w:spacing w:after="120"/>
      </w:pPr>
      <w:r>
        <w:t xml:space="preserve">Results: Five-year OS at final AFP &lt;100 / 100–499 / ≥500: 72.7% / 70.4% / 56.1%; recurrence: 13.1% / 18.7% / 24.2%. Final AFP ≥500: adjusted mortality HR 1.50 (95% CI 1.07–2.10), recurrence HR 1.88 (1.13–3.14).</w:t>
      </w:r>
    </w:p>
    <w:p>
      <w:pPr>
        <w:pStyle w:val="Normal"/>
        <w:widowControl/>
        <w:spacing w:after="120"/>
      </w:pPr>
      <w:r>
        <w:t xml:space="preserve">Limits: Historical recipient-only study, not a comparison of transplant versus no transplant. Many had only one AFP. In the ≥500 subgroup, 40.4% were ≥1000; small subgroups cannot establish equivalence. Recurrence estimates censor competing death.</w:t>
      </w:r>
    </w:p>
    <w:p>
      <w:pPr>
        <w:pStyle w:val="Heading3"/>
        <w:widowControl/>
        <w:keepNext/>
      </w:pPr>
      <w:r>
        <w:t xml:space="preserve">Giard 2018: AFP slope</w:t>
      </w:r>
    </w:p>
    <w:p>
      <w:pPr>
        <w:pStyle w:val="Normal"/>
        <w:widowControl/>
        <w:spacing w:after="120"/>
      </w:pPr>
      <w:r>
        <w:t xml:space="preserve">Use slope as an alert to reassess biology, imaging and inflammation, not a stand-alone absolute stop or permanent delisting rule.</w:t>
      </w:r>
      <w:r>
        <w:t xml:space="preserve"> </w:t>
      </w:r>
      <w:r>
        <w:t xml:space="preserve"> </w:t>
      </w:r>
      <w:r>
        <w:fldChar w:fldCharType="begin"/>
      </w:r>
      <w:r>
        <w:instrText xml:space="preserve"> ADDIN EN.CITE </w:instrText>
      </w:r>
      <w:r>
        <w:fldChar w:fldCharType="begin">
          <w:fldData>PEVuZE5vdGU+PENpdGU+PEF1dGhvcj5HaWFyZCBKTTwvQXV0aG9yPjxZZWFyPjIwMTg8L1llYXI+PFJlY051bT4zMjwvUmVjTnVtPjxEaXNwbGF5VGV4dD5bVjE2LTMyXTwvRGlzcGxheVRleHQ+PHJlY29yZD48cmVjLW51bWJlcj4zMjwvcmVjLW51bWJlcj48Zm9yZWlnbi1rZXlzPjxrZXkgYXBwPSJFTiIgZGItaWQ9IjJiMjg3NDk1LWEyYzctNTRjMi04Mzc4LTYyOGQwZjUyOWI5YiIgdGltZXN0YW1wPSIxNzkzMjgzNjg5Ij4zMj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[V16-32]</w:t>
      </w:r>
      <w:r>
        <w:fldChar w:fldCharType="end"/>
      </w:r>
      <w:r>
        <w:br/>
      </w:r>
      <w:hyperlink r:id="rId320">
        <w:r>
          <w:rPr>
            <w:color w:val="0563C1"/>
            <w:u w:val="single"/>
          </w:rPr>
          <w:t>Source</w:t>
        </w:r>
      </w:hyperlink>
      <w:r>
        <w:t xml:space="preserve"> · </w:t>
      </w:r>
      <w:hyperlink r:id="rId321">
        <w:r>
          <w:rPr>
            <w:color w:val="0563C1"/>
            <w:u w:val="single"/>
          </w:rPr>
          <w:t>PDF</w:t>
        </w:r>
      </w:hyperlink>
    </w:p>
    <w:p>
      <w:pPr>
        <w:pStyle w:val="Normal"/>
        <w:widowControl/>
        <w:spacing w:after="120"/>
      </w:pPr>
      <w:r>
        <w:t xml:space="preserve">Population and design: Single-center 336 transplanted T2/Milan patients, 2003–2013; 98.2% received LRT. Median five AFP measurements over 9.8 months. Slope fitted to all values; &gt;7.5 subgroup n=23.</w:t>
      </w:r>
    </w:p>
    <w:p>
      <w:pPr>
        <w:pStyle w:val="Normal"/>
        <w:widowControl/>
        <w:spacing w:after="120"/>
      </w:pPr>
      <w:r>
        <w:t xml:space="preserve">Results: AFP slope &gt;7.5 ng/mL/month: adjusted recurrence HR 3.0 (1.1–8.1), microvascular invasion OR 6.8 (1.6–28.7). Five-year recurrence-free probability 69.8% versus 87.4%; survival without recurrence 59.5% versus 75.3%. These are different endpoints, neither pair should be labeled overall survival.</w:t>
      </w:r>
    </w:p>
    <w:p>
      <w:pPr>
        <w:pStyle w:val="Normal"/>
        <w:widowControl/>
        <w:spacing w:after="120"/>
      </w:pPr>
      <w:r>
        <w:t xml:space="preserve">Limits: Small, data-selected cutoff group; no prospective hold/release validation. The long-term fitted slope cannot be inferred reliably from two closely spaced noisy results. Death was censored for recurrence-free probability.</w:t>
      </w:r>
    </w:p>
    <w:p>
      <w:pPr>
        <w:pStyle w:val="Heading3"/>
        <w:widowControl/>
        <w:keepNext/>
      </w:pPr>
      <w:r>
        <w:t xml:space="preserve">Halazun 2021: dynamic AFP/NYCA</w:t>
      </w:r>
    </w:p>
    <w:p>
      <w:pPr>
        <w:pStyle w:val="Normal"/>
        <w:widowControl/>
        <w:spacing w:after="120"/>
      </w:pPr>
      <w:r>
        <w:t xml:space="preserve">Use dynamic AFP as complementary risk information. The NYCA definition of response does not supersede the stricter OPTN requirement to fall below 500 after AFP &gt;1000.</w:t>
      </w:r>
      <w:r>
        <w:t xml:space="preserve"> </w:t>
      </w:r>
      <w:r>
        <w:t xml:space="preserve"> </w:t>
      </w:r>
      <w:r>
        <w:fldChar w:fldCharType="begin"/>
      </w:r>
      <w:r>
        <w:instrText xml:space="preserve"> ADDIN EN.CITE </w:instrText>
      </w:r>
      <w:r>
        <w:fldChar w:fldCharType="begin">
          <w:fldData>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</w:fldData>
        </w:fldChar>
      </w:r>
      <w:r>
        <w:instrText xml:space="preserve"> ADDIN EN.CITE.DATA </w:instrText>
      </w:r>
      <w:r>
        <w:fldChar w:fldCharType="end"/>
      </w:r>
      <w:r>
        <w:fldChar w:fldCharType="separate"/>
      </w:r>
      <w:r>
        <w:t xml:space="preserve">[V16-33]</w:t>
      </w:r>
      <w:r>
        <w:fldChar w:fldCharType="end"/>
      </w:r>
      <w:r>
        <w:br/>
      </w:r>
      <w:hyperlink r:id="rId322">
        <w:r>
          <w:rPr>
            <w:color w:val="0563C1"/>
            <w:u w:val="single"/>
          </w:rPr>
          <w:t>Source</w:t>
        </w:r>
      </w:hyperlink>
      <w:r>
        <w:t xml:space="preserve"> · </w:t>
      </w:r>
      <w:hyperlink r:id="rId323">
        <w:r>
          <w:rPr>
            <w:color w:val="0563C1"/>
            <w:u w:val="single"/>
          </w:rPr>
          <w:t>PDF</w:t>
        </w:r>
      </w:hyperlink>
    </w:p>
    <w:p>
      <w:pPr>
        <w:pStyle w:val="Normal"/>
        <w:widowControl/>
        <w:spacing w:after="120"/>
      </w:pPr>
      <w:r>
        <w:t xml:space="preserve">Population and design: External retrospective validation in 2236 LT recipients at eight centers, 2001–2013; 545 beyond Milan. Composite score combines tumor size, count and AFP response. Deaths within 90 postoperative days excluded.</w:t>
      </w:r>
    </w:p>
    <w:p>
      <w:pPr>
        <w:pStyle w:val="Normal"/>
        <w:widowControl/>
        <w:spacing w:after="120"/>
      </w:pPr>
      <w:r>
        <w:t xml:space="preserve">Results: Five-year competing-risk cumulative recurrence: 9.5%, 20.5%, 40.5% for low/intermediate/high NYCA categories. Discrimination C statistic 0.66. These are composite-score categories, not isolated AFP ranges.</w:t>
      </w:r>
    </w:p>
    <w:p>
      <w:pPr>
        <w:pStyle w:val="Normal"/>
        <w:widowControl/>
        <w:spacing w:after="120"/>
      </w:pPr>
      <w:r>
        <w:t xml:space="preserve">Limits: Recipient selection, exclusion of early deaths, no waitlist dropout or transplant-benefit comparison. Maximum-to-final AFP can miss a rebound below the original peak. Extreme-AFP response subgroup was tiny.</w:t>
      </w:r>
    </w:p>
    <w:p>
      <w:pPr>
        <w:pStyle w:val="Heading3"/>
        <w:widowControl/>
        <w:keepNext/>
      </w:pPr>
      <w:r>
        <w:t xml:space="preserve">Moriyama 2026: markers before imaging recurrence</w:t>
      </w:r>
    </w:p>
    <w:p>
      <w:pPr>
        <w:pStyle w:val="Normal"/>
        <w:widowControl/>
        <w:spacing w:after="120"/>
      </w:pPr>
      <w:r>
        <w:t xml:space="preserve">Supports prompt repeat markers and high-quality/alternate imaging for an unexplained rise. Does not prove occult recurrence in every individual, justify empiric systemic/LRT treatment without a target, or validate an AFP-only transplant cutoff.</w:t>
      </w:r>
      <w:r>
        <w:t xml:space="preserve"> </w:t>
      </w:r>
      <w:r>
        <w:t xml:space="preserve"> </w:t>
      </w:r>
      <w:r>
        <w:fldChar w:fldCharType="begin"/>
      </w:r>
      <w:r>
        <w:instrText xml:space="preserve"> ADDIN EN.CITE </w:instrText>
      </w:r>
      <w:r>
        <w:fldChar w:fldCharType="begin">
          <w:fldData>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</w:fldData>
        </w:fldChar>
      </w:r>
      <w:r>
        <w:instrText xml:space="preserve"> ADDIN EN.CITE.DATA </w:instrText>
      </w:r>
      <w:r>
        <w:fldChar w:fldCharType="end"/>
      </w:r>
      <w:r>
        <w:fldChar w:fldCharType="separate"/>
      </w:r>
      <w:r>
        <w:t xml:space="preserve">[V16-34]</w:t>
      </w:r>
      <w:r>
        <w:fldChar w:fldCharType="end"/>
      </w:r>
      <w:r>
        <w:br/>
      </w:r>
      <w:hyperlink r:id="rId324">
        <w:r>
          <w:rPr>
            <w:color w:val="0563C1"/>
            <w:u w:val="single"/>
          </w:rPr>
          <w:t>Source</w:t>
        </w:r>
      </w:hyperlink>
      <w:r>
        <w:t xml:space="preserve"> · </w:t>
      </w:r>
      <w:hyperlink r:id="rId325">
        <w:r>
          <w:rPr>
            <w:color w:val="0563C1"/>
            <w:u w:val="single"/>
          </w:rPr>
          <w:t>PDF</w:t>
        </w:r>
      </w:hyperlink>
    </w:p>
    <w:p>
      <w:pPr>
        <w:pStyle w:val="Normal"/>
        <w:widowControl/>
        <w:spacing w:after="120"/>
      </w:pPr>
      <w:r>
        <w:t xml:space="preserve">Population and design: Retrospective post-RFA, nontransplant cohort. Among 1620 initially treated patients, 907 episodes in 509 patients had elevated AFP, AFP-L3 and/or DCP without imaging evidence. Episodes are not independent patients and this is not AFP alone.</w:t>
      </w:r>
    </w:p>
    <w:p>
      <w:pPr>
        <w:pStyle w:val="Normal"/>
        <w:widowControl/>
        <w:spacing w:after="120"/>
      </w:pPr>
      <w:r>
        <w:t xml:space="preserve">Results: Recurrence was subsequently identified in 886 episodes; median detection interval 89 days. Local curative treatment 83.5% versus 78.8% and post-recurrence OS 3.55 versus 3.31 years for detection ≤180 versus &gt;180 days; differences were not statistically significant.</w:t>
      </w:r>
    </w:p>
    <w:p>
      <w:pPr>
        <w:pStyle w:val="Normal"/>
        <w:widowControl/>
        <w:spacing w:after="120"/>
      </w:pPr>
      <w:r>
        <w:t xml:space="preserve">Limits: RFA-specific, repeated episodes and competing losses; no LT cohort or tested optimal recall interval. Routine imaging is described as every four months in methods versus quarterly in abstract. Case-level AFP discrepancy between Figure 3 and Table 4 is not used.</w:t>
      </w:r>
    </w:p>
    <w:p>
      <w:pPr>
        <w:pStyle w:val="Heading2"/>
        <w:widowControl/>
        <w:keepNext/>
      </w:pPr>
      <w:r>
        <w:t xml:space="preserve">Boundary conditions and reassessment</w:t>
      </w:r>
    </w:p>
    <w:p>
      <w:pPr>
        <w:pStyle w:val="Normal"/>
        <w:widowControl/>
        <w:spacing w:after="120"/>
      </w:pPr>
      <w:r>
        <w:t xml:space="preserve">After resection or ablation, do not routinely add adjuvant atezolizumab–bevacizumab: the updated IMbrave050 result did not sustain the initial recurrence-free-survival benefit. Pre-LT ICI exposure needs prospective transplant review and a separate timing plan; after LT, do not automatically use the nontransplant ICI combinations because of rejection and graft-loss risk. The transplant protocols govern these decisions separately.</w:t>
      </w:r>
      <w:r>
        <w:t xml:space="preserve"> </w:t>
      </w:r>
      <w:r>
        <w:t xml:space="preserve"> </w:t>
      </w:r>
      <w:r>
        <w:t xml:space="preserve"> </w:t>
      </w:r>
      <w:r>
        <w:fldChar w:fldCharType="begin"/>
      </w:r>
      <w:r>
        <w:instrText xml:space="preserve"> ADDIN EN.CITE </w:instrText>
      </w:r>
      <w:r>
        <w:fldChar w:fldCharType="begin">
          <w:fldData>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qLmpoZXAuMjAyNi4wMS4wMDY8L3VybD48L3JlbGF0ZWQtdXJscz48cGRmLXVybHMvPjwvdXJscz48L3JlY29yZD48L0NpdGU+PC9FbmROb3RlPg==</w:fldData>
        </w:fldChar>
      </w:r>
      <w:r>
        <w:instrText xml:space="preserve"> ADDIN EN.CITE.DATA </w:instrText>
      </w:r>
      <w:r>
        <w:fldChar w:fldCharType="end"/>
      </w:r>
      <w:r>
        <w:fldChar w:fldCharType="separate"/>
      </w:r>
      <w:r>
        <w:t xml:space="preserve">[V16-35]</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5Ny9IRVAuMDAwMDAwMDAwMDAwMTI2OTwvdXJsPjwvcmVsYXRlZC11cmxzPjxwZGYtdXJscy8+PC91cmxzPjwvcmVjb3JkPjwvQ2l0ZT48L0VuZE5vdGU+</w:fldData>
        </w:fldChar>
      </w:r>
      <w:r>
        <w:instrText xml:space="preserve"> ADDIN EN.CITE.DATA </w:instrText>
      </w:r>
      <w:r>
        <w:fldChar w:fldCharType="end"/>
      </w:r>
      <w:r>
        <w:fldChar w:fldCharType="separate"/>
      </w:r>
      <w:r>
        <w:t xml:space="preserve">[V16-36]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EwPC9SZWNOdW0+PERpc3BsYXlUZXh0PltWMTYtMTBdPC9EaXNwbGF5VGV4dD48cmVjb3JkPjxyZWMtbnVtYmVyPjEwPC9yZWMtbnVtYmVyPjxmb3JlaWduLWtleXM+PGtleSBhcHA9IkVOIiBkYi1pZD0iMmIyODc0OTUtYTJjNy01NGMyLTgzNzgtNjI4ZDBmNTI5YjliIiB0aW1lc3RhbXA9IjE3OTMyODM2ODkiPjEw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</w:fldData>
        </w:fldChar>
      </w:r>
      <w:r>
        <w:instrText xml:space="preserve"> ADDIN EN.CITE.DATA </w:instrText>
      </w:r>
      <w:r>
        <w:fldChar w:fldCharType="end"/>
      </w:r>
      <w:r>
        <w:fldChar w:fldCharType="separate"/>
      </w:r>
      <w:r>
        <w:t xml:space="preserve">[V16-37]</w:t>
      </w:r>
      <w:r>
        <w:fldChar w:fldCharType="end"/>
      </w:r>
    </w:p>
    <w:p>
      <w:pPr>
        <w:pStyle w:val="Normal"/>
        <w:widowControl/>
        <w:spacing w:after="120"/>
      </w:pPr>
      <w:r>
        <w:t xml:space="preserve">Reassess clinical status, laboratory toxicity and radiographic response on the regimen-specific schedule. At progression or intolerance, re-stage, reassess liver reserve, review the previous drugs and revisit local, systemic, trial and supportive-care options in MDT. A radiographic response alone does not create transplant eligibility.</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TI8L1JlY051bT48RGlzcGxheVRleHQ+W1YxNi0xMl08L0Rpc3BsYXlUZXh0PjxyZWNvcmQ+PHJlYy1udW1iZXI+MTI8L3JlYy1udW1iZXI+PGZvcmVpZ24ta2V5cz48a2V5IGFwcD0iRU4iIGRiLWlkPSIyYjI4NzQ5NS1hMmM3LTU0YzItODM3OC02MjhkMGY1MjliOWIiIHRpbWVzdGFtcD0iMTc5MzI4MzY4OSI+MTI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Z1bGwgdGV4dCByZWFkIGZvciB0aGUgVjE2IGV4dHJhaGVwYXRpYy1kaXNlYXNlIHJldmlldyAoY29tcGxldGUgbWFpbiB0ZXh0OyByZWxldmFudCBjb21wbGV0ZSBzZWN0aW9ucyBmb3IgbG9uZyBndWlkZWxpbmVzKS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2LTFdPC9EaXNwbGF5VGV4dD48cmVjb3JkPjxyZWMtbnVtYmVyPjE8L3JlYy1udW1iZXI+PGZvcmVpZ24ta2V5cz48a2V5IGFwcD0iRU4iIGRiLWlkPSIyYjI4NzQ5NS1hMmM3LTU0YzItODM3OC02MjhkMGY1MjliOWIiIHRpbWVzdGFtcD0iMTc5MzI4MzY4OS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Ni03XTwvRGlzcGxheVRleHQ+PHJlY29yZD48cmVjLW51bWJlcj43PC9yZWMtbnVtYmVyPjxmb3JlaWduLWtleXM+PGtleSBhcHA9IkVOIiBkYi1pZD0iMmIyODc0OTUtYTJjNy01NGMyLTgzNzgtNjI4ZDBmNTI5YjliIiB0aW1lc3RhbXA9IjE3OTMyODM2ODk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pStyle w:val="Normal"/>
        <w:widowControl/>
        <w:spacing w:after="120"/>
      </w:pPr>
      <w:r>
        <w:t xml:space="preserve">Evidence access: source links appear in each matrix row. PDF links open the corresponding local depot copy when available. Missing full PDFs are explicitly marked; guideline listing, trial evidence and US-label status are separate statements.</w:t>
      </w: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The three questions, in order</w:t>
      </w:r>
    </w:p>
    <w:p>
      <w:pPr>
        <w:spacing w:after="120" w:line="276"/>
      </w:pPr>
      <w:r>
        <w:rPr>
          <w:i/>
          <w:iCs/>
          <w:color w:val="5A6069"/>
          <w:sz w:val="18"/>
          <w:szCs w:val="18"/>
        </w:rPr>
        <w:t xml:space="preserve">Stage assignment runs as three questions in sequence. Every yes settles the stage; every no moves to the next question, so performance status and spread are decided before tumour burden is ever asked.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QUESTION</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WHAT THE ANSWER SETTLES</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1. ECOG 3-4, or Child-Pugh C and not a transplant candidate?</w:t>
            </w:r>
          </w:p>
        </w:tc>
        <w:tc>
          <w:tcPr>
            <w:tcW w:type="dxa" w:w="5260"/>
            <w:tcMar>
              <w:top w:type="dxa" w:w="70"/>
              <w:left w:type="dxa" w:w="110"/>
              <w:bottom w:type="dxa" w:w="70"/>
              <w:right w:type="dxa" w:w="110"/>
            </w:tcMar>
            <w:vAlign w:val="top"/>
          </w:tcPr>
          <w:p>
            <w:pPr>
              <w:spacing w:after="0" w:line="276"/>
            </w:pPr>
            <w:r>
              <w:rPr>
                <w:color w:val="15181F"/>
                <w:sz w:val="17"/>
                <w:szCs w:val="17"/>
              </w:rPr>
              <w:t xml:space="preserve">Yes - stage D, terminal. No - next question.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2. Macrovascular invasion or extrahepatic spread?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Yes - stage C, advanced. No - next question.</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3. What is the tumour burden on the staging scan?</w:t>
            </w:r>
          </w:p>
        </w:tc>
        <w:tc>
          <w:tcPr>
            <w:tcW w:type="dxa" w:w="5260"/>
            <w:tcMar>
              <w:top w:type="dxa" w:w="70"/>
              <w:left w:type="dxa" w:w="110"/>
              <w:bottom w:type="dxa" w:w="70"/>
              <w:right w:type="dxa" w:w="110"/>
            </w:tcMar>
            <w:vAlign w:val="top"/>
          </w:tcPr>
          <w:p>
            <w:pPr>
              <w:spacing w:after="0" w:line="276"/>
            </w:pPr>
            <w:r>
              <w:rPr>
                <w:color w:val="15181F"/>
                <w:sz w:val="17"/>
                <w:szCs w:val="17"/>
              </w:rPr>
              <w:t xml:space="preserve">Solitary 2 cm or less - stage 0. Solitary of any size, or up to 3 nodules each 3 cm or less - stage A. Multinodular beyond A - stage B.</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Before any of it: is the diagnosis made?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LR-5 on multiphase CT or MRI in an at-risk liver; biopsy when imaging is indeterminate, decided at MDT.</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Staged with</w:t>
            </w:r>
          </w:p>
        </w:tc>
        <w:tc>
          <w:tcPr>
            <w:tcW w:type="dxa" w:w="5260"/>
            <w:tcMar>
              <w:top w:type="dxa" w:w="70"/>
              <w:left w:type="dxa" w:w="110"/>
              <w:bottom w:type="dxa" w:w="70"/>
              <w:right w:type="dxa" w:w="110"/>
            </w:tcMar>
            <w:vAlign w:val="top"/>
          </w:tcPr>
          <w:p>
            <w:pPr>
              <w:spacing w:after="0" w:line="276"/>
            </w:pPr>
            <w:r>
              <w:rPr>
                <w:color w:val="15181F"/>
                <w:sz w:val="17"/>
                <w:szCs w:val="17"/>
              </w:rPr>
              <w:t xml:space="preserve">Liver imaging and chest CT; ECOG; Child-Pugh and bilirubin; portal hypertension assessment; AFP. Nonresectability and transplant candidacy are assessed in parallel with the rest of staging, not after it.</w:t>
            </w:r>
          </w:p>
        </w:tc>
      </w:tr>
    </w:tbl>
    <w:p>
      <w:pPr>
        <w:spacing w:after="200" w:line="276"/>
      </w:pPr>
      <w:r>
        <w:rPr>
          <w:i/>
          <w:iCs/>
          <w:color w:val="5A6069"/>
          <w:sz w:val="16"/>
          <w:szCs w:val="16"/>
        </w:rPr>
        <w:t xml:space="preserve">Stage migration is permitted when anatomy, biology, liver function, transplant strategy, comorbidity, access or patient goals make the stage default unsuitable, and the reason must be recorded. It is not a licence to substitute a lower-evidence modality for a proven curative option.</w:t>
      </w:r>
    </w:p>
    <w:p>
      <w:pPr>
        <w:pStyle w:val="Heading3"/>
        <w:keepNext/>
        <w:spacing w:after="110" w:before="240"/>
      </w:pPr>
      <w:r>
        <w:rPr>
          <w:rFonts w:ascii="Cambria" w:cs="Cambria" w:eastAsia="Cambria" w:hAnsi="Cambria"/>
          <w:b/>
          <w:bCs/>
          <w:color w:val="17365D"/>
          <w:sz w:val="22"/>
          <w:szCs w:val="22"/>
        </w:rPr>
        <w:t xml:space="preserve">Child-Pugh</w:t>
      </w:r>
    </w:p>
    <w:p>
      <w:pPr>
        <w:spacing w:after="120" w:line="276"/>
      </w:pPr>
      <w:r>
        <w:rPr>
          <w:i/>
          <w:iCs/>
          <w:color w:val="5A6069"/>
          <w:sz w:val="18"/>
          <w:szCs w:val="18"/>
        </w:rPr>
        <w:t xml:space="preserve">Five parameters, 1 to 3 points each. Class A 5-6, class B 7-9, class C 10-15.</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PARAMETER</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1 POINT / 2 POINTS / 3 POINTS</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Bilirubin (mg/dL)</w:t>
            </w:r>
          </w:p>
        </w:tc>
        <w:tc>
          <w:tcPr>
            <w:tcW w:type="dxa" w:w="5260"/>
            <w:tcMar>
              <w:top w:type="dxa" w:w="70"/>
              <w:left w:type="dxa" w:w="110"/>
              <w:bottom w:type="dxa" w:w="70"/>
              <w:right w:type="dxa" w:w="110"/>
            </w:tcMar>
            <w:vAlign w:val="top"/>
          </w:tcPr>
          <w:p>
            <w:pPr>
              <w:spacing w:after="0" w:line="276"/>
            </w:pPr>
            <w:r>
              <w:rPr>
                <w:color w:val="15181F"/>
                <w:sz w:val="17"/>
                <w:szCs w:val="17"/>
              </w:rPr>
              <w:t xml:space="preserve">under 2 / 2-3 / over 3</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Albumin (g/dL)</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over 3.5 / 2.8-3.5 / under 2.8</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INR</w:t>
            </w:r>
          </w:p>
        </w:tc>
        <w:tc>
          <w:tcPr>
            <w:tcW w:type="dxa" w:w="5260"/>
            <w:tcMar>
              <w:top w:type="dxa" w:w="70"/>
              <w:left w:type="dxa" w:w="110"/>
              <w:bottom w:type="dxa" w:w="70"/>
              <w:right w:type="dxa" w:w="110"/>
            </w:tcMar>
            <w:vAlign w:val="top"/>
          </w:tcPr>
          <w:p>
            <w:pPr>
              <w:spacing w:after="0" w:line="276"/>
            </w:pPr>
            <w:r>
              <w:rPr>
                <w:color w:val="15181F"/>
                <w:sz w:val="17"/>
                <w:szCs w:val="17"/>
              </w:rPr>
              <w:t xml:space="preserve">under 1.7 / 1.7-2.3 / over 2.3</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Ascites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none / mild, diuretic-responsive / moderate to severe or refractory</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Encephalopathy</w:t>
            </w:r>
          </w:p>
        </w:tc>
        <w:tc>
          <w:tcPr>
            <w:tcW w:type="dxa" w:w="5260"/>
            <w:tcMar>
              <w:top w:type="dxa" w:w="70"/>
              <w:left w:type="dxa" w:w="110"/>
              <w:bottom w:type="dxa" w:w="70"/>
              <w:right w:type="dxa" w:w="110"/>
            </w:tcMar>
            <w:vAlign w:val="top"/>
          </w:tcPr>
          <w:p>
            <w:pPr>
              <w:spacing w:after="0" w:line="276"/>
            </w:pPr>
            <w:r>
              <w:rPr>
                <w:color w:val="15181F"/>
                <w:sz w:val="17"/>
                <w:szCs w:val="17"/>
              </w:rPr>
              <w:t xml:space="preserve">none / grade I-II / grade III-IV</w:t>
            </w:r>
          </w:p>
        </w:tc>
      </w:tr>
    </w:tbl>
    <w:p>
      <w:pPr>
        <w:spacing w:after="200" w:line="276"/>
      </w:pPr>
      <w:r>
        <w:rPr>
          <w:i/>
          <w:iCs/>
          <w:color w:val="5A6069"/>
          <w:sz w:val="16"/>
          <w:szCs w:val="16"/>
        </w:rPr>
        <w:t xml:space="preserve">In primary biliary cholangitis and primary sclerosing cholangitis the bilirubin bands are under 4, 4-10 and over 10 mg/dL. Class A means preserved function; it does not establish portal pressure - see the CSPH criteria. The roadmap also records ALBI and MELD 3.0, and Child-Pugh alone does not drive allocation.</w:t>
      </w:r>
    </w:p>
    <w:p>
      <w:pPr>
        <w:pStyle w:val="Heading3"/>
        <w:keepNext/>
        <w:spacing w:after="110" w:before="240"/>
      </w:pPr>
      <w:r>
        <w:rPr>
          <w:rFonts w:ascii="Cambria" w:cs="Cambria" w:eastAsia="Cambria" w:hAnsi="Cambria"/>
          <w:b/>
          <w:bCs/>
          <w:color w:val="17365D"/>
          <w:sz w:val="22"/>
          <w:szCs w:val="22"/>
        </w:rPr>
        <w:t xml:space="preserve">ECOG performance status</w:t>
      </w:r>
    </w:p>
    <w:p>
      <w:pPr>
        <w:spacing w:after="120" w:line="276"/>
      </w:pPr>
      <w:r>
        <w:rPr>
          <w:i/>
          <w:iCs/>
          <w:color w:val="5A6069"/>
          <w:sz w:val="18"/>
          <w:szCs w:val="18"/>
        </w:rPr>
        <w:t xml:space="preserve">In this pathway ECOG 3-4 settles stage D, and cancer-related ECOG 1-2 is part of stage C. Record whether the limitation comes from the tumour or from the liver, because that distinction decides whether transplant is still on the table.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GRADE</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DEFINITION</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0</w:t>
            </w:r>
          </w:p>
        </w:tc>
        <w:tc>
          <w:tcPr>
            <w:tcW w:type="dxa" w:w="5260"/>
            <w:tcMar>
              <w:top w:type="dxa" w:w="70"/>
              <w:left w:type="dxa" w:w="110"/>
              <w:bottom w:type="dxa" w:w="70"/>
              <w:right w:type="dxa" w:w="110"/>
            </w:tcMar>
            <w:vAlign w:val="top"/>
          </w:tcPr>
          <w:p>
            <w:pPr>
              <w:spacing w:after="0" w:line="276"/>
            </w:pPr>
            <w:r>
              <w:rPr>
                <w:color w:val="15181F"/>
                <w:sz w:val="17"/>
                <w:szCs w:val="17"/>
              </w:rPr>
              <w:t xml:space="preserve">Fully active, able to carry on all pre-disease performance without restriction.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1</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Restricted in physically strenuous activity but ambulatory and able to carry out work of a light or sedentary nature - light house work, office work.</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2</w:t>
            </w:r>
          </w:p>
        </w:tc>
        <w:tc>
          <w:tcPr>
            <w:tcW w:type="dxa" w:w="5260"/>
            <w:tcMar>
              <w:top w:type="dxa" w:w="70"/>
              <w:left w:type="dxa" w:w="110"/>
              <w:bottom w:type="dxa" w:w="70"/>
              <w:right w:type="dxa" w:w="110"/>
            </w:tcMar>
            <w:vAlign w:val="top"/>
          </w:tcPr>
          <w:p>
            <w:pPr>
              <w:spacing w:after="0" w:line="276"/>
            </w:pPr>
            <w:r>
              <w:rPr>
                <w:color w:val="15181F"/>
                <w:sz w:val="17"/>
                <w:szCs w:val="17"/>
              </w:rPr>
              <w:t xml:space="preserve">Ambulatory and capable of all self-care but unable to carry out any work activities; up and about more than 50% of waking hours.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3</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Capable of only limited self-care; confined to bed or chair more than 50% of waking hours.</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4</w:t>
            </w:r>
          </w:p>
        </w:tc>
        <w:tc>
          <w:tcPr>
            <w:tcW w:type="dxa" w:w="5260"/>
            <w:tcMar>
              <w:top w:type="dxa" w:w="70"/>
              <w:left w:type="dxa" w:w="110"/>
              <w:bottom w:type="dxa" w:w="70"/>
              <w:right w:type="dxa" w:w="110"/>
            </w:tcMar>
            <w:vAlign w:val="top"/>
          </w:tcPr>
          <w:p>
            <w:pPr>
              <w:spacing w:after="0" w:line="276"/>
            </w:pPr>
            <w:r>
              <w:rPr>
                <w:color w:val="15181F"/>
                <w:sz w:val="17"/>
                <w:szCs w:val="17"/>
              </w:rPr>
              <w:t xml:space="preserve">Completely disabled; cannot carry on any self-care; totally confined to bed or chair.</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5</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Dead.</w:t>
            </w:r>
          </w:p>
        </w:tc>
      </w:tr>
    </w:tbl>
    <w:p>
      <w:pPr>
        <w:spacing w:after="200" w:line="276"/>
      </w:pPr>
      <w:r>
        <w:rPr>
          <w:color w:val="15181F"/>
          <w:sz w:val="20"/>
          <w:szCs w:val="20"/>
        </w:rPr>
        <w:t xml:space="preserve"/>
      </w:r>
    </w:p>
    <w:p>
      <w:pPr>
        <w:pStyle w:val="Heading3"/>
        <w:keepNext/>
        <w:spacing w:after="110" w:before="240"/>
      </w:pPr>
      <w:r>
        <w:rPr>
          <w:rFonts w:ascii="Cambria" w:cs="Cambria" w:eastAsia="Cambria" w:hAnsi="Cambria"/>
          <w:b/>
          <w:bCs/>
          <w:color w:val="17365D"/>
          <w:sz w:val="22"/>
          <w:szCs w:val="22"/>
        </w:rPr>
        <w:t xml:space="preserve">Clinically significant portal hypertension, as the roadmap establishes it</w:t>
      </w:r>
    </w:p>
    <w:p>
      <w:pPr>
        <w:spacing w:after="120" w:line="276"/>
      </w:pPr>
      <w:r>
        <w:rPr>
          <w:i/>
          <w:iCs/>
          <w:color w:val="5A6069"/>
          <w:sz w:val="18"/>
          <w:szCs w:val="18"/>
        </w:rPr>
        <w:t xml:space="preserve">Child-Pugh class, MELD and the absence of decompensation establish preserved hepatic function. They do not establish portal pressure, and BCLC treats the two as separate axes: a patient can be Child-Pugh A with a normal MELD and still have CSPH.</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CRITERION</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FINDING AND HOW IT IS READ</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Reference standard</w:t>
            </w:r>
          </w:p>
        </w:tc>
        <w:tc>
          <w:tcPr>
            <w:tcW w:type="dxa" w:w="5260"/>
            <w:tcMar>
              <w:top w:type="dxa" w:w="70"/>
              <w:left w:type="dxa" w:w="110"/>
              <w:bottom w:type="dxa" w:w="70"/>
              <w:right w:type="dxa" w:w="110"/>
            </w:tcMar>
            <w:vAlign w:val="top"/>
          </w:tcPr>
          <w:p>
            <w:pPr>
              <w:spacing w:after="0" w:line="276"/>
            </w:pPr>
            <w:r>
              <w:rPr>
                <w:color w:val="15181F"/>
                <w:sz w:val="17"/>
                <w:szCs w:val="17"/>
              </w:rPr>
              <w:t xml:space="preserve">HVPG 10 mmHg or above defines CSPH. BCLC states HVPG remains the gold standard and non-invasive tools may rule it in or out; measure it when the decision turns on it.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Specific signs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Medium or large oesophageal varices; gastric varices; spontaneous portosystemic collaterals; spleen stiffness over 40 kPa in the absence of a myeloproliferative neoplasm. A shunt reported on staging CT is a staging finding, not an incidental one.</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Non-specific signs</w:t>
            </w:r>
          </w:p>
        </w:tc>
        <w:tc>
          <w:tcPr>
            <w:tcW w:type="dxa" w:w="5260"/>
            <w:tcMar>
              <w:top w:type="dxa" w:w="70"/>
              <w:left w:type="dxa" w:w="110"/>
              <w:bottom w:type="dxa" w:w="70"/>
              <w:right w:type="dxa" w:w="110"/>
            </w:tcMar>
            <w:vAlign w:val="top"/>
          </w:tcPr>
          <w:p>
            <w:pPr>
              <w:spacing w:after="0" w:line="276"/>
            </w:pPr>
            <w:r>
              <w:rPr>
                <w:color w:val="15181F"/>
                <w:sz w:val="17"/>
                <w:szCs w:val="17"/>
              </w:rPr>
              <w:t xml:space="preserve">Overt ascites; small oesophageal varices; platelets under 150 x 10^9/L; splenomegaly. Supportive but not sufficient alone, and absence does not exclude CSPH.</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Non-invasive rule-in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Liver stiffness 25 kPa or above, except in obese MASLD (BMI 30 kg/m2 or above); spleen stiffness at 100 Hz over 55 kPa; ANTICIPATE or ANTICIPATE-NASH 75% or above; NICER 75% or above.</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Non-invasive rule-out</w:t>
            </w:r>
          </w:p>
        </w:tc>
        <w:tc>
          <w:tcPr>
            <w:tcW w:type="dxa" w:w="5260"/>
            <w:tcMar>
              <w:top w:type="dxa" w:w="70"/>
              <w:left w:type="dxa" w:w="110"/>
              <w:bottom w:type="dxa" w:w="70"/>
              <w:right w:type="dxa" w:w="110"/>
            </w:tcMar>
            <w:vAlign w:val="top"/>
          </w:tcPr>
          <w:p>
            <w:pPr>
              <w:spacing w:after="0" w:line="276"/>
            </w:pPr>
            <w:r>
              <w:rPr>
                <w:color w:val="15181F"/>
                <w:sz w:val="17"/>
                <w:szCs w:val="17"/>
              </w:rPr>
              <w:t xml:space="preserve">Liver stiffness 15 kPa or less with platelets of 150 x 10^9/L or above carries a negative predictive value above 90% in compensated advanced chronic liver disease, but the thresholds are device- and technique-specific.</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What to record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The criterion used, its value and the date. “No portal hypertension” without a stated basis is not an acceptable entry when resection is being proposed.</w:t>
            </w:r>
          </w:p>
        </w:tc>
      </w:tr>
    </w:tbl>
    <w:p>
      <w:pPr>
        <w:spacing w:after="200" w:line="276"/>
      </w:pPr>
      <w:r>
        <w:rPr>
          <w:i/>
          <w:iCs/>
          <w:color w:val="5A6069"/>
          <w:sz w:val="16"/>
          <w:szCs w:val="16"/>
        </w:rPr>
        <w:t xml:space="preserve">Three situations where a portosystemic shunt does not settle the question: a cured or controlled aetiology, because varices and collaterals may persist after CSPH resolves; portosinusoidal vascular disorder, which must be ruled out when signs of portal hypertension coexist with an HVPG below 10 mmHg; and steatotic liver disease, where HVPG reliability may be suboptimal. Whether a large spontaneous shunt can itself lower measured HVPG is an unresolved local question - approval item 7.</w:t>
      </w:r>
    </w:p>
    <w:p>
      <w:pPr>
        <w:pStyle w:val="Heading3"/>
        <w:keepNext/>
        <w:spacing w:after="110" w:before="240"/>
      </w:pPr>
      <w:r>
        <w:rPr>
          <w:rFonts w:ascii="Cambria" w:cs="Cambria" w:eastAsia="Cambria" w:hAnsi="Cambria"/>
          <w:b/>
          <w:bCs/>
          <w:color w:val="17365D"/>
          <w:sz w:val="22"/>
          <w:szCs w:val="22"/>
        </w:rPr>
        <w:t xml:space="preserve">Transplant: eligibility pathways and the allocation clock</w:t>
      </w:r>
    </w:p>
    <w:p>
      <w:pPr>
        <w:spacing w:after="120" w:line="276"/>
      </w:pPr>
      <w:r>
        <w:rPr>
          <w:i/>
          <w:iCs/>
          <w:color w:val="5A6069"/>
          <w:sz w:val="18"/>
          <w:szCs w:val="18"/>
        </w:rPr>
        <w:t xml:space="preserve">Four kinds of statement that must not be blurred: OPTN policy is binding and changes without notice to this document; OPTN guidance informs but does not compel the review board; published evidence was generated under earlier allocation rules; local policy may be stricter and is then the operative constraint.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PATHWAY</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CRITERIA AND ACTION</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Milan / OPTN T2</w:t>
            </w:r>
          </w:p>
        </w:tc>
        <w:tc>
          <w:tcPr>
            <w:tcW w:type="dxa" w:w="5260"/>
            <w:tcMar>
              <w:top w:type="dxa" w:w="70"/>
              <w:left w:type="dxa" w:w="110"/>
              <w:bottom w:type="dxa" w:w="70"/>
              <w:right w:type="dxa" w:w="110"/>
            </w:tcMar>
            <w:vAlign w:val="top"/>
          </w:tcPr>
          <w:p>
            <w:pPr>
              <w:spacing w:after="0" w:line="276"/>
            </w:pPr>
            <w:r>
              <w:rPr>
                <w:color w:val="15181F"/>
                <w:sz w:val="17"/>
                <w:szCs w:val="17"/>
              </w:rPr>
              <w:t xml:space="preserve">One lesion 2 cm to 5 cm, or 2 to 3 lesions each 1 cm to 3 cm; no macrovascular invasion; no extrahepatic spread. The lower limits are OPTN T2 allocation rules - Milan set upper limits only. A solitary lesion under 2 cm is T1 and does not attract exception points.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Downstaging pool (UNOS-DS)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One lesion over 5 cm and up to 8 cm; or 2 to 3 lesions each 5 cm or less with at least one lesion over 3 cm and total diameter 8 cm or less; or 4 to 5 lesions each under 3 cm with total diameter 8 cm or less. Viable disease must be downstaged to within Milan and held there for the required observation period.</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AFP rule</w:t>
            </w:r>
          </w:p>
        </w:tc>
        <w:tc>
          <w:tcPr>
            <w:tcW w:type="dxa" w:w="5260"/>
            <w:tcMar>
              <w:top w:type="dxa" w:w="70"/>
              <w:left w:type="dxa" w:w="110"/>
              <w:bottom w:type="dxa" w:w="70"/>
              <w:right w:type="dxa" w:w="110"/>
            </w:tcMar>
            <w:vAlign w:val="top"/>
          </w:tcPr>
          <w:p>
            <w:pPr>
              <w:spacing w:after="0" w:line="276"/>
            </w:pPr>
            <w:r>
              <w:rPr>
                <w:color w:val="15181F"/>
                <w:sz w:val="17"/>
                <w:szCs w:val="17"/>
              </w:rPr>
              <w:t xml:space="preserve">An AFP at or above 1,000 ng/mL blocks the standard exception until it falls below 500 ng/mL after locoregional therapy. A later rise to 500 ng/mL or above requires review-board referral rather than automatic continuation.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Macrovascular invasion or extrahepatic spread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Excludes the HCC exception. Categorical, and not subject to stage migration or local override.</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Beyond the downstaging pool</w:t>
            </w:r>
          </w:p>
        </w:tc>
        <w:tc>
          <w:tcPr>
            <w:tcW w:type="dxa" w:w="5260"/>
            <w:tcMar>
              <w:top w:type="dxa" w:w="70"/>
              <w:left w:type="dxa" w:w="110"/>
              <w:bottom w:type="dxa" w:w="70"/>
              <w:right w:type="dxa" w:w="110"/>
            </w:tcMar>
            <w:vAlign w:val="top"/>
          </w:tcPr>
          <w:p>
            <w:pPr>
              <w:spacing w:after="0" w:line="276"/>
            </w:pPr>
            <w:r>
              <w:rPr>
                <w:color w:val="15181F"/>
                <w:sz w:val="17"/>
                <w:szCs w:val="17"/>
              </w:rPr>
              <w:t xml:space="preserve">Not an automatic exception route and not a recognised standard. Only through transplant governance and the national liver review board, or within a protocol, using sustained response and tumour biology rather than anatomy alone, with prospective outcome tracking.</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Listing and allocation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The initial request and the first extension receive calculated MELD; any extension after the first receives MMaT-3. Each exception is valid for 90 days, so two periods elapse first - roughly six months. Policy states the score table, not a six-month rule. MMaT is the median MELD at transplant for the donor hospital in that match run, not one national number.</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After transplant</w:t>
            </w:r>
          </w:p>
        </w:tc>
        <w:tc>
          <w:tcPr>
            <w:tcW w:type="dxa" w:w="5260"/>
            <w:tcMar>
              <w:top w:type="dxa" w:w="70"/>
              <w:left w:type="dxa" w:w="110"/>
              <w:bottom w:type="dxa" w:w="70"/>
              <w:right w:type="dxa" w:w="110"/>
            </w:tcMar>
            <w:vAlign w:val="top"/>
          </w:tcPr>
          <w:p>
            <w:pPr>
              <w:spacing w:after="0" w:line="276"/>
            </w:pPr>
            <w:r>
              <w:rPr>
                <w:color w:val="15181F"/>
                <w:sz w:val="17"/>
                <w:szCs w:val="17"/>
              </w:rPr>
              <w:t xml:space="preserve">Submit explant pathology within 60 days as required by policy. Record graft outcome, recurrence surveillance and the accountable clinical team.</w:t>
            </w:r>
          </w:p>
        </w:tc>
      </w:tr>
    </w:tbl>
    <w:p>
      <w:pPr>
        <w:spacing w:after="200" w:line="276"/>
      </w:pPr>
      <w:r>
        <w:rPr>
          <w:i/>
          <w:iCs/>
          <w:color w:val="5A6069"/>
          <w:sz w:val="16"/>
          <w:szCs w:val="16"/>
        </w:rPr>
        <w:t xml:space="preserve">Refer early: within Milan criteria, when the downstaging pool may apply, or when recurrent HCC combined with the severity of the underlying liver disease makes resection or ablation a poor long-term solution. Serial locoregional procedures accumulated while a referral is pending are a recognised failure mode of this pathway. Every numeric criterion must be re-verified against the current Policy 9 text before it is applied.</w:t>
      </w:r>
    </w:p>
    <w:p>
      <w:pPr>
        <w:pStyle w:val="Heading3"/>
        <w:keepNext/>
        <w:spacing w:after="110" w:before="240"/>
      </w:pPr>
      <w:r>
        <w:rPr>
          <w:rFonts w:ascii="Cambria" w:cs="Cambria" w:eastAsia="Cambria" w:hAnsi="Cambria"/>
          <w:b/>
          <w:bCs/>
          <w:color w:val="17365D"/>
          <w:sz w:val="22"/>
          <w:szCs w:val="22"/>
        </w:rPr>
        <w:t xml:space="preserve">LI-RADS, and the response algorithm that matches the treatment</w:t>
      </w:r>
    </w:p>
    <w:p>
      <w:pPr>
        <w:spacing w:after="120" w:line="276"/>
      </w:pPr>
      <w:r>
        <w:rPr>
          <w:i/>
          <w:iCs/>
          <w:color w:val="5A6069"/>
          <w:sz w:val="18"/>
          <w:szCs w:val="18"/>
        </w:rPr>
        <w:t xml:space="preserve">CT/MRI LI-RADS v2018 diagnostic algorithm and the v2024 treatment-response algorithms. These apply only in the at-risk population - cirrhosis of any cause, chronic hepatitis B, or current or prior HCC. OPTN class 5 criteria for listing are a separate system.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CATEGORY</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WHAT IT MEANS</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The four major features</w:t>
            </w:r>
          </w:p>
        </w:tc>
        <w:tc>
          <w:tcPr>
            <w:tcW w:type="dxa" w:w="5260"/>
            <w:tcMar>
              <w:top w:type="dxa" w:w="70"/>
              <w:left w:type="dxa" w:w="110"/>
              <w:bottom w:type="dxa" w:w="70"/>
              <w:right w:type="dxa" w:w="110"/>
            </w:tcMar>
            <w:vAlign w:val="top"/>
          </w:tcPr>
          <w:p>
            <w:pPr>
              <w:spacing w:after="0" w:line="276"/>
            </w:pPr>
            <w:r>
              <w:rPr>
                <w:color w:val="15181F"/>
                <w:sz w:val="17"/>
                <w:szCs w:val="17"/>
              </w:rPr>
              <w:t xml:space="preserve">Nonrim arterial phase hyperenhancement; nonperipheral washout; enhancing capsule; threshold growth, meaning a 50% or greater increase in size within 6 months. Size is the fifth criterion and sets the row of the diagnostic table.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LR-1 to LR-3</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Definitely benign; probably benign; intermediate probability of malignancy.</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LR-4</w:t>
            </w:r>
          </w:p>
        </w:tc>
        <w:tc>
          <w:tcPr>
            <w:tcW w:type="dxa" w:w="5260"/>
            <w:tcMar>
              <w:top w:type="dxa" w:w="70"/>
              <w:left w:type="dxa" w:w="110"/>
              <w:bottom w:type="dxa" w:w="70"/>
              <w:right w:type="dxa" w:w="110"/>
            </w:tcMar>
            <w:vAlign w:val="top"/>
          </w:tcPr>
          <w:p>
            <w:pPr>
              <w:spacing w:after="0" w:line="276"/>
            </w:pPr>
            <w:r>
              <w:rPr>
                <w:color w:val="15181F"/>
                <w:sz w:val="17"/>
                <w:szCs w:val="17"/>
              </w:rPr>
              <w:t xml:space="preserve">Probably HCC. Multidisciplinary review, repeat or alternative contrast imaging at about three months, or biopsy when an immediate diagnosis would change management.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LR-5</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Definitely HCC; treat as HCC without routine biopsy after multidisciplinary imaging confirmation. Requires 10 mm or more with nonrim APHE plus washout or threshold growth, or 20 mm or more with nonrim APHE plus any one additional feature. An observation under 10 mm cannot be LR-5.</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LR-M</w:t>
            </w:r>
          </w:p>
        </w:tc>
        <w:tc>
          <w:tcPr>
            <w:tcW w:type="dxa" w:w="5260"/>
            <w:tcMar>
              <w:top w:type="dxa" w:w="70"/>
              <w:left w:type="dxa" w:w="110"/>
              <w:bottom w:type="dxa" w:w="70"/>
              <w:right w:type="dxa" w:w="110"/>
            </w:tcMar>
            <w:vAlign w:val="top"/>
          </w:tcPr>
          <w:p>
            <w:pPr>
              <w:spacing w:after="0" w:line="276"/>
            </w:pPr>
            <w:r>
              <w:rPr>
                <w:color w:val="15181F"/>
                <w:sz w:val="17"/>
                <w:szCs w:val="17"/>
              </w:rPr>
              <w:t xml:space="preserve">Probably or definitely malignant but not HCC specific. Biopsy when feasible, because non-HCC malignancy changes the entire pathway.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LR-TIV</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Tumour in vein. Enhancing soft tissue within a vessel, whatever the parenchymal observation; biopsy when the vein finding is isolated.</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LR-TR, nonradiation algorithm</w:t>
            </w:r>
          </w:p>
        </w:tc>
        <w:tc>
          <w:tcPr>
            <w:tcW w:type="dxa" w:w="5260"/>
            <w:tcMar>
              <w:top w:type="dxa" w:w="70"/>
              <w:left w:type="dxa" w:w="110"/>
              <w:bottom w:type="dxa" w:w="70"/>
              <w:right w:type="dxa" w:w="110"/>
            </w:tcMar>
            <w:vAlign w:val="top"/>
          </w:tcPr>
          <w:p>
            <w:pPr>
              <w:spacing w:after="0" w:line="276"/>
            </w:pPr>
            <w:r>
              <w:t xml:space="preserve">After ablation or TACE: nonevaluable, nonviable, equivocal or viable. Under the 2024 nonradiation algorithm, masslike enhancement of any degree in any phase in or along the treated lesion indicates viability; optional MRI ancillary features may refine an equivocal assessment.</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</w:fldData>
              </w:fldChar>
            </w:r>
            <w:r>
              <w:instrText xml:space="preserve"> ADDIN EN.CITE.DATA </w:instrText>
            </w:r>
            <w:r>
              <w:fldChar w:fldCharType="end"/>
            </w:r>
            <w:r>
              <w:fldChar w:fldCharType="separate"/>
            </w:r>
            <w:r>
              <w:t xml:space="preserve">[V16-38]</w:t>
            </w:r>
            <w:r>
              <w:fldChar w:fldCharType="end"/>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LR-TR, radiation algorithm</w:t>
            </w:r>
          </w:p>
        </w:tc>
        <w:tc>
          <w:tcPr>
            <w:tcW w:type="dxa" w:w="5260"/>
            <w:shd w:fill="F1F4F8" w:color="auto" w:val="clear"/>
            <w:tcMar>
              <w:top w:type="dxa" w:w="70"/>
              <w:left w:type="dxa" w:w="110"/>
              <w:bottom w:type="dxa" w:w="70"/>
              <w:right w:type="dxa" w:w="110"/>
            </w:tcMar>
            <w:vAlign w:val="top"/>
          </w:tcPr>
          <w:p>
            <w:pPr>
              <w:spacing w:after="0" w:line="276"/>
            </w:pPr>
            <w:r>
              <w:t xml:space="preserve">After SBRT or Y90: nonevaluable, nonviable, nonprogressing or viable. Stable or decreasing masslike enhancement may be nonprogressing; new or increasing masslike enhancement favors viability. Ancillary MRI features can support an upgrade. Nonprogressing is not proof of complete necrosis. Follow serially; do not retreat on enhancement alone. There is no equivocal category.</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</w:fldData>
              </w:fldChar>
            </w:r>
            <w:r>
              <w:instrText xml:space="preserve"> ADDIN EN.CITE.DATA </w:instrText>
            </w:r>
            <w:r>
              <w:fldChar w:fldCharType="end"/>
            </w:r>
            <w:r>
              <w:fldChar w:fldCharType="separate"/>
            </w:r>
            <w:r>
              <w:t xml:space="preserve">[V16-38]</w:t>
            </w:r>
            <w:r>
              <w:fldChar w:fldCharType="end"/>
            </w:r>
          </w:p>
        </w:tc>
      </w:tr>
    </w:tbl>
    <w:p>
      <w:pPr>
        <w:spacing w:after="200" w:line="276"/>
      </w:pPr>
      <w:r>
        <w:rPr>
          <w:i/>
          <w:iCs/>
          <w:color w:val="5A6069"/>
          <w:sz w:val="16"/>
          <w:szCs w:val="16"/>
        </w:rPr>
        <w:t xml:space="preserve">Applying the nonradiation algorithm after radioembolisation or SBRT is a recurring and consequential error in this pathway: it turns expected delayed necrosis into a false call of residual tumour. The treatment-response algorithms have no outcome validation, and the response framework is graded C to D.</w:t>
      </w:r>
    </w:p>
    <w:p>
      <w:pPr>
        <w:pStyle w:val="Heading3"/>
        <w:keepNext/>
        <w:spacing w:after="110" w:before="240"/>
      </w:pPr>
      <w:r>
        <w:rPr>
          <w:rFonts w:ascii="Cambria" w:cs="Cambria" w:eastAsia="Cambria" w:hAnsi="Cambria"/>
          <w:b/>
          <w:bCs/>
          <w:color w:val="17365D"/>
          <w:sz w:val="22"/>
          <w:szCs w:val="22"/>
        </w:rPr>
        <w:t xml:space="preserve">The response loop - when to look, with what, and what to ask</w:t>
      </w:r>
    </w:p>
    <w:p>
      <w:pPr>
        <w:spacing w:after="120" w:line="276"/>
      </w:pPr>
      <w:r>
        <w:rPr>
          <w:i/>
          <w:iCs/>
          <w:color w:val="5A6069"/>
          <w:sz w:val="18"/>
          <w:szCs w:val="18"/>
        </w:rPr>
        <w:t xml:space="preserve">The response-assessment framework is expert consensus, grade C to D, not randomised evidence.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TREATMENT</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FIRST ASSESSMENT, FRAMEWORK AND THE MANDATORY RETURN QUESTION</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Ablation or TACE</w:t>
            </w:r>
          </w:p>
        </w:tc>
        <w:tc>
          <w:tcPr>
            <w:tcW w:type="dxa" w:w="5260"/>
            <w:tcMar>
              <w:top w:type="dxa" w:w="70"/>
              <w:left w:type="dxa" w:w="110"/>
              <w:bottom w:type="dxa" w:w="70"/>
              <w:right w:type="dxa" w:w="110"/>
            </w:tcMar>
            <w:vAlign w:val="top"/>
          </w:tcPr>
          <w:p>
            <w:pPr>
              <w:spacing w:after="0" w:line="276"/>
            </w:pPr>
            <w:r>
              <w:rPr>
                <w:color w:val="15181F"/>
                <w:sz w:val="17"/>
                <w:szCs w:val="17"/>
              </w:rPr>
              <w:t xml:space="preserve">About 4-6 weeks. LI-RADS treatment response, nonradiation algorithm v2024, with AFP and liver function. Complete response? Residual viable target? New untreated disease? Is retreatment safe?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Radioembolisation or SBRT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Usually 8-12 weeks, then serially. LI-RADS treatment response, radiation algorithm v2024; recognise the nonprogressing category and expect delayed necrosis. Is enhancement decreasing or stable, or truly progressing? Is liver function preserved?</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Systemic therapy</w:t>
            </w:r>
          </w:p>
        </w:tc>
        <w:tc>
          <w:tcPr>
            <w:tcW w:type="dxa" w:w="5260"/>
            <w:tcMar>
              <w:top w:type="dxa" w:w="70"/>
              <w:left w:type="dxa" w:w="110"/>
              <w:bottom w:type="dxa" w:w="70"/>
              <w:right w:type="dxa" w:w="110"/>
            </w:tcMar>
            <w:vAlign w:val="top"/>
          </w:tcPr>
          <w:p>
            <w:pPr>
              <w:spacing w:after="0" w:line="276"/>
            </w:pPr>
            <w:r>
              <w:rPr>
                <w:color w:val="15181F"/>
                <w:sz w:val="17"/>
                <w:szCs w:val="17"/>
              </w:rPr>
              <w:t xml:space="preserve">Every 6-12 weeks by regimen and tempo. RECIST 1.1 for trials and extrahepatic disease; mRECIST may supplement assessment of intrahepatic viable tumour but should not drive a switch decision alone. Continue, manage toxicity, add local control, switch line, or move to symptom-focused care?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Transplant waitlist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At least every 3 months. Viable tumour burden, AFP and its trajectory, vascular and extrahepatic status, exception status. Still within criteria? Bridge or downstage needed? Internal hold? Who owns the next step?</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After a complete response</w:t>
            </w:r>
          </w:p>
        </w:tc>
        <w:tc>
          <w:tcPr>
            <w:tcW w:type="dxa" w:w="5260"/>
            <w:tcMar>
              <w:top w:type="dxa" w:w="70"/>
              <w:left w:type="dxa" w:w="110"/>
              <w:bottom w:type="dxa" w:w="70"/>
              <w:right w:type="dxa" w:w="110"/>
            </w:tcMar>
            <w:vAlign w:val="top"/>
          </w:tcPr>
          <w:p>
            <w:pPr>
              <w:spacing w:after="0" w:line="276"/>
            </w:pPr>
            <w:r>
              <w:rPr>
                <w:color w:val="15181F"/>
                <w:sz w:val="17"/>
                <w:szCs w:val="17"/>
              </w:rPr>
              <w:t xml:space="preserve">Every 3-6 months for two years, then every six months, for at least five years. Multiphase liver CT or MRI, chest imaging as appropriate, AFP with its trend; care for the underlying liver disease continues alongside. New lesion, rising AFP, or change in liver function - back to MDT? Which option now applies?</w:t>
            </w:r>
          </w:p>
        </w:tc>
      </w:tr>
    </w:tbl>
    <w:p>
      <w:pPr>
        <w:spacing w:after="200" w:line="276"/>
      </w:pPr>
      <w:r>
        <w:rPr>
          <w:i/>
          <w:iCs/>
          <w:color w:val="5A6069"/>
          <w:sz w:val="16"/>
          <w:szCs w:val="16"/>
        </w:rPr>
        <w:t xml:space="preserve">Every reassessment returns to the MDT when there is viable tumour, a discordant interpretation, a new lesion, stage migration, treatment toxicity, a change in transplant eligibility, or uncertainty about the next modality. After each locoregional treatment, reassess liver function, clinical recovery, AFP trajectory, new disease, and whether a viable target remains - not simply whether another procedure is technically possible. Every repeat cycle must name, in the note: the viable target, the expected benefit, the liver-function cost, the owner and the reassessment date.</w:t>
      </w:r>
    </w:p>
    <w:p>
      <w:pPr>
        <w:pStyle w:val="Heading3"/>
        <w:keepNext/>
        <w:spacing w:after="110" w:before="240"/>
      </w:pPr>
      <w:r>
        <w:rPr>
          <w:rFonts w:ascii="Cambria" w:cs="Cambria" w:eastAsia="Cambria" w:hAnsi="Cambria"/>
          <w:b/>
          <w:bCs/>
          <w:color w:val="17365D"/>
          <w:sz w:val="22"/>
          <w:szCs w:val="22"/>
        </w:rPr>
        <w:t xml:space="preserve">Recommendation labels used on this page</w:t>
      </w:r>
    </w:p>
    <w:p>
      <w:pPr>
        <w:spacing w:after="120" w:line="276"/>
      </w:pPr>
      <w:r>
        <w:rPr>
          <w:i/>
          <w:iCs/>
          <w:color w:val="5A6069"/>
          <w:sz w:val="18"/>
          <w:szCs w:val="18"/>
        </w:rPr>
        <w:t xml:space="preserve">Five labels appear in the stage columns. Two of them are not in the legend above, because only this pathway uses them.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LABEL</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WHAT IT MEANS</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Standard</w:t>
            </w:r>
          </w:p>
        </w:tc>
        <w:tc>
          <w:tcPr>
            <w:tcW w:type="dxa" w:w="5260"/>
            <w:tcMar>
              <w:top w:type="dxa" w:w="70"/>
              <w:left w:type="dxa" w:w="110"/>
              <w:bottom w:type="dxa" w:w="70"/>
              <w:right w:type="dxa" w:w="110"/>
            </w:tcMar>
            <w:vAlign w:val="top"/>
          </w:tcPr>
          <w:p>
            <w:pPr>
              <w:spacing w:after="0" w:line="276"/>
            </w:pPr>
            <w:r>
              <w:rPr>
                <w:color w:val="15181F"/>
                <w:sz w:val="17"/>
                <w:szCs w:val="17"/>
              </w:rPr>
              <w:t xml:space="preserve">Default when eligibility is met; departure needs a recorded reason.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Preferred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Favoured only for the stated phenotype, not a general default.</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Reasonable</w:t>
            </w:r>
          </w:p>
        </w:tc>
        <w:tc>
          <w:tcPr>
            <w:tcW w:type="dxa" w:w="5260"/>
            <w:tcMar>
              <w:top w:type="dxa" w:w="70"/>
              <w:left w:type="dxa" w:w="110"/>
              <w:bottom w:type="dxa" w:w="70"/>
              <w:right w:type="dxa" w:w="110"/>
            </w:tcMar>
            <w:vAlign w:val="top"/>
          </w:tcPr>
          <w:p>
            <w:pPr>
              <w:spacing w:after="0" w:line="276"/>
            </w:pPr>
            <w:r>
              <w:rPr>
                <w:color w:val="15181F"/>
                <w:sz w:val="17"/>
                <w:szCs w:val="17"/>
              </w:rPr>
              <w:t xml:space="preserve">Acceptable after documented MDT review; benefit is context dependent.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Trial only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Protocol or mandatory outcomes registry; effectiveness evidence is immature.</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Avoid</w:t>
            </w:r>
          </w:p>
        </w:tc>
        <w:tc>
          <w:tcPr>
            <w:tcW w:type="dxa" w:w="5260"/>
            <w:tcMar>
              <w:top w:type="dxa" w:w="70"/>
              <w:left w:type="dxa" w:w="110"/>
              <w:bottom w:type="dxa" w:w="70"/>
              <w:right w:type="dxa" w:w="110"/>
            </w:tcMar>
            <w:vAlign w:val="top"/>
          </w:tcPr>
          <w:p>
            <w:pPr>
              <w:spacing w:after="0" w:line="276"/>
            </w:pPr>
            <w:r>
              <w:rPr>
                <w:color w:val="15181F"/>
                <w:sz w:val="17"/>
                <w:szCs w:val="17"/>
              </w:rPr>
              <w:t xml:space="preserve">Expected harm, futility, or absent benefit generally outweighs benefit.</w:t>
            </w:r>
          </w:p>
        </w:tc>
      </w:tr>
    </w:tbl>
    <w:p>
      <w:pPr>
        <w:spacing w:after="200" w:line="276"/>
      </w:pPr>
      <w:r>
        <w:rPr>
          <w:i/>
          <w:iCs/>
          <w:color w:val="5A6069"/>
          <w:sz w:val="16"/>
          <w:szCs w:val="16"/>
        </w:rPr>
        <w:t xml:space="preserve">A strong label does not imply a high grade, and the two are set independently. Several operating requirements are deliberately Standard at grade D because they are local policy choices.</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Six-monthly ultrasound plus AFP surveillance saves lives.</w:t>
      </w:r>
    </w:p>
    <w:p>
      <w:pPr>
        <w:spacing w:after="40" w:line="276"/>
        <w:ind w:left="260"/>
      </w:pPr>
      <w:r>
        <w:rPr>
          <w:color w:val="15181F"/>
          <w:sz w:val="18"/>
          <w:szCs w:val="18"/>
        </w:rPr>
        <w:t xml:space="preserve">One randomised trial supports it. Zhang 2004 found 32 HCC deaths versus 54, a mortality rate ratio of 0.63 (95% CI 0.41 to 0.98), but it randomised factories and schools as clusters and then analysed individuals as independent, dropped 384 of the 9,757 people allocated to screening after randomisation, achieved only 58.2% compliance, and never reported all-cause mortality. Crude HCC incidence was 37% higher in the screened arm (rate ratio 1.37, 95% CI 0.99 to 1.89), which the authors read as over-diagnosis. The population was HBsAg carriers aged 35 to 59 in Shanghai, mostly without documented cirrhosis. All evidence in cirrhosis is observational. What should decide instead is whether any HCC treatment, including transplant, would be offered at all; competing mortality from the liver disease; the patient's own view of a 0.5-year lead time and of over-diagnosis. Audit: proportion of surveillance orders left open in patients for whom no treatment would be offered; visualisation score recorded separately from the ultrasound category.</w:t>
      </w:r>
    </w:p>
    <w:p>
      <w:pPr>
        <w:spacing w:after="40" w:line="276"/>
        <w:ind w:left="260"/>
      </w:pPr>
      <w:r>
        <w:rPr>
          <w:color w:val="5A6069"/>
          <w:sz w:val="16"/>
          <w:szCs w:val="16"/>
        </w:rPr>
        <w:t xml:space="preserve">Sources: Surveillance RCT; AASLD 2023</w:t>
      </w:r>
    </w:p>
    <w:p>
      <w:pPr>
        <w:spacing w:after="60" w:before="160"/>
      </w:pPr>
      <w:r>
        <w:rPr>
          <w:b/>
          <w:bCs/>
          <w:color w:val="8E5008"/>
          <w:sz w:val="19"/>
          <w:szCs w:val="19"/>
        </w:rPr>
        <w:t xml:space="preserve">2. </w:t>
      </w:r>
      <w:r>
        <w:rPr>
          <w:b/>
          <w:bCs/>
          <w:sz w:val="19"/>
          <w:szCs w:val="19"/>
        </w:rPr>
        <w:t xml:space="preserve">LI-RADS gives a diagnosis of HCC without tissue.</w:t>
      </w:r>
    </w:p>
    <w:p>
      <w:pPr>
        <w:spacing w:after="40" w:line="276"/>
        <w:ind w:left="260"/>
      </w:pPr>
      <w:r>
        <w:rPr>
          <w:color w:val="15181F"/>
          <w:sz w:val="18"/>
          <w:szCs w:val="18"/>
        </w:rPr>
        <w:t xml:space="preserve">LR-5 as a non-invasive diagnostic standard rests on guideline consensus, not on a randomised or prospectively validated comparison against pathology in this population. The LI-RADS treatment-response algorithms, including the separate radiation algorithm this roadmap insists on, have no outcome validation at all; the page already grades the response framework C to D. AASLD calls its own document a guidance, with no mandatory systematic review, no GRADE and several Strong Recommendations resting on Level 5 expert opinion. What should decide instead is whether a wrong call would change the plan now: transplant listing, an imminent resection, or a suspicion of non-HCC malignancy. Audit: cases where the nonradiation algorithm was applied after radioembolisation or SBRT; LR-4 and LR-M cases whose tissue was obtained before transplant discussion.</w:t>
      </w:r>
    </w:p>
    <w:p>
      <w:pPr>
        <w:spacing w:after="40" w:line="276"/>
        <w:ind w:left="260"/>
      </w:pPr>
      <w:r>
        <w:rPr>
          <w:color w:val="5A6069"/>
          <w:sz w:val="16"/>
          <w:szCs w:val="16"/>
        </w:rPr>
        <w:t xml:space="preserve">Sources: LI-RADS; AASLD 2023; AASLD critical update</w:t>
      </w:r>
    </w:p>
    <w:p>
      <w:pPr>
        <w:spacing w:after="60" w:before="160"/>
      </w:pPr>
      <w:r>
        <w:rPr>
          <w:b/>
          <w:bCs/>
          <w:color w:val="8E5008"/>
          <w:sz w:val="19"/>
          <w:szCs w:val="19"/>
        </w:rPr>
        <w:t xml:space="preserve">3. </w:t>
      </w:r>
      <w:r>
        <w:rPr>
          <w:b/>
          <w:bCs/>
          <w:sz w:val="19"/>
          <w:szCs w:val="19"/>
        </w:rPr>
        <w:t xml:space="preserve">Clinically significant portal hypertension predicts decompensation after resection, so resection should be reconsidered when it is present.</w:t>
      </w:r>
    </w:p>
    <w:p>
      <w:pPr>
        <w:spacing w:after="40" w:line="276"/>
        <w:ind w:left="260"/>
      </w:pPr>
      <w:r>
        <w:rPr>
          <w:color w:val="15181F"/>
          <w:sz w:val="18"/>
          <w:szCs w:val="18"/>
        </w:rPr>
        <w:t xml:space="preserve">The index study is 29 patients with 11 events and 44 candidate variables screened: HVPG odds ratio 1.90 per mmHg (95% CI 1.12 to 3.22), with unresolved decompensation in 11 of 15 patients at an HVPG of 10 mmHg or more and 0 of 14 below it, a separation too clean to reproduce. The meta-analysis that quantified it pooled crude, unadjusted estimates from 11 mostly retrospective single-centre studies: 3-year mortality odds ratio 2.09 (95% CI 1.52 to 2.88), 5-year 2.07 (1.51 to 2.84), early decompensation 3.04 (2.02 to 4.59). The effect size depends on how CSPH was measured, from 8.00 (2.59 to 24.69) in HVPG-based studies to 1.76 (1.38 to 2.25) with surrogate markers, and the HVPG decompensation subgroup is three small studies with a confidence interval of 2.81 to 80.06. What should decide instead is extent of hepatectomy, future liver remnant, MELD, and whether the patient is within Milan and could be transplanted instead. Audit: every resection proposal records which criterion established or excluded CSPH, its value and its date; decompensation at 90 days by remnant and by extent of resection.</w:t>
      </w:r>
    </w:p>
    <w:p>
      <w:pPr>
        <w:spacing w:after="40" w:line="276"/>
        <w:ind w:left="260"/>
      </w:pPr>
      <w:r>
        <w:rPr>
          <w:color w:val="5A6069"/>
          <w:sz w:val="16"/>
          <w:szCs w:val="16"/>
        </w:rPr>
        <w:t xml:space="preserve">Sources: Bruix 1996; Berzigotti meta-analysis; Citterio 2016</w:t>
      </w:r>
    </w:p>
    <w:p>
      <w:pPr>
        <w:spacing w:after="60" w:before="160"/>
      </w:pPr>
      <w:r>
        <w:rPr>
          <w:b/>
          <w:bCs/>
          <w:color w:val="8E5008"/>
          <w:sz w:val="19"/>
          <w:szCs w:val="19"/>
        </w:rPr>
        <w:t xml:space="preserve">4. </w:t>
      </w:r>
      <w:r>
        <w:rPr>
          <w:b/>
          <w:bCs/>
          <w:sz w:val="19"/>
          <w:szCs w:val="19"/>
        </w:rPr>
        <w:t xml:space="preserve">The only randomised test shows resection is safe in clinically significant portal hypertension.</w:t>
      </w:r>
    </w:p>
    <w:p>
      <w:pPr>
        <w:spacing w:after="40" w:line="276"/>
        <w:ind w:left="260"/>
      </w:pPr>
      <w:r>
        <w:rPr>
          <w:color w:val="15181F"/>
          <w:sz w:val="18"/>
          <w:szCs w:val="18"/>
        </w:rPr>
        <w:t xml:space="preserve">Yuan 2024 randomised 160 HBV-related patients within Milan, 80 per arm, and found 5-year overall survival of 69.5% after hepatectomy versus 64.9% after ablation with or without TACE (HR 1.29, 95% CI 0.78 to 2.12, P = 0.325) and recurrence-free survival of 46.2% versus 45.0% (P = 0.783). A confidence interval from 0.78 to 2.12 cannot exclude a two-fold difference either way, and the trial was powered for a superiority it did not find. CSPH was diagnosed by platelet count, splenomegaly, vessel calibre and varices; no HVPG was measured anywhere in the trial, so it is not anchored to the 10 mmHg threshold the BCLC rule rests on. Of 2,077 patients screened, 160 were randomised, 98.7% and 96.2% were Child-Pugh A and the mean tumour was 2.6 cm. What should decide instead is which reading of CSPH the board has adopted; whether the planned resection is minor or laparoscopic; aetiology, since this trial is entirely hepatitis B. Audit: decompensation and Clavien-Dindo grade III or higher complications in resected patients with a recorded CSPH criterion.</w:t>
      </w:r>
    </w:p>
    <w:p>
      <w:pPr>
        <w:spacing w:after="40" w:line="276"/>
        <w:ind w:left="260"/>
      </w:pPr>
      <w:r>
        <w:rPr>
          <w:color w:val="5A6069"/>
          <w:sz w:val="16"/>
          <w:szCs w:val="16"/>
        </w:rPr>
        <w:t xml:space="preserve">Sources: Yuan 2024 RCT</w:t>
      </w:r>
    </w:p>
    <w:p>
      <w:pPr>
        <w:spacing w:after="60" w:before="160"/>
      </w:pPr>
      <w:r>
        <w:rPr>
          <w:b/>
          <w:bCs/>
          <w:color w:val="8E5008"/>
          <w:sz w:val="19"/>
          <w:szCs w:val="19"/>
        </w:rPr>
        <w:t xml:space="preserve">5. </w:t>
      </w:r>
      <w:r>
        <w:rPr>
          <w:b/>
          <w:bCs/>
          <w:sz w:val="19"/>
          <w:szCs w:val="19"/>
        </w:rPr>
        <w:t xml:space="preserve">Non-invasive testing can rule clinically significant portal hypertension in or out in a surgical candidate with HCC.</w:t>
      </w:r>
    </w:p>
    <w:p>
      <w:pPr>
        <w:spacing w:after="40" w:line="276"/>
        <w:ind w:left="260"/>
      </w:pPr>
      <w:r>
        <w:rPr>
          <w:color w:val="15181F"/>
          <w:sz w:val="18"/>
          <w:szCs w:val="18"/>
        </w:rPr>
        <w:t xml:space="preserve">Baveno VIII's three HCC-specific statements are all new, graded level of evidence 3 with weak strength, at 94% faculty agreement; they are expert consensus, not prospectively validated practice. The rule-out combination of liver stiffness 15 kPa or less with platelets of 150 x 10 to the 9th per litre or more carries a negative predictive value above 90% in compensated advanced chronic liver disease, but the thresholds are device- and technique-specific, are not validated in obese MASLD, and the faculty's own research agenda still lists the prognostic role of HVPG before surgery as unresolved. In macrovascular invasion the faculty state non-invasive tests may not be applicable at all. What should decide instead is whether the resection decision actually turns on portal pressure, in which case measure HVPG; aetiology and BMI; whether a shunt reflects current or historical physiology. Audit: proportion of resection decisions made on a non-invasive criterion where HVPG was available and not measured.</w:t>
      </w:r>
    </w:p>
    <w:p>
      <w:pPr>
        <w:spacing w:after="40" w:line="276"/>
        <w:ind w:left="260"/>
      </w:pPr>
      <w:r>
        <w:rPr>
          <w:color w:val="5A6069"/>
          <w:sz w:val="16"/>
          <w:szCs w:val="16"/>
        </w:rPr>
        <w:t xml:space="preserve">Sources: Baveno VIII; Baveno VII</w:t>
      </w:r>
    </w:p>
    <w:p>
      <w:pPr>
        <w:spacing w:after="60" w:before="160"/>
      </w:pPr>
      <w:r>
        <w:rPr>
          <w:b/>
          <w:bCs/>
          <w:color w:val="8E5008"/>
          <w:sz w:val="19"/>
          <w:szCs w:val="19"/>
        </w:rPr>
        <w:t xml:space="preserve">6. </w:t>
      </w:r>
      <w:r>
        <w:rPr>
          <w:b/>
          <w:bCs/>
          <w:sz w:val="19"/>
          <w:szCs w:val="19"/>
        </w:rPr>
        <w:t xml:space="preserve">Resection and thermal ablation are equivalent for small HCC.</w:t>
      </w:r>
    </w:p>
    <w:p>
      <w:pPr>
        <w:spacing w:after="40" w:line="276"/>
        <w:ind w:left="260"/>
      </w:pPr>
      <w:r>
        <w:rPr>
          <w:color w:val="15181F"/>
          <w:sz w:val="18"/>
          <w:szCs w:val="18"/>
        </w:rPr>
        <w:t xml:space="preserve">No trial has shown equivalence. SURF-RCT closed at 302 of a planned 600 patients, leaving 67.2% power, and reported 5-year overall survival of 74.6% versus 70.4% (HR 0.96, 95% CI 0.64 to 1.43) and recurrence-free survival of 42.9% versus 42.7% (HR 0.90, 0.67 to 1.22). Local control was not equal: recurrence at the treated site was 12 of 150 (8.0%) after resection versus 24 of 152 (15.8%) after ablation (P = 0.03), and 19 of 382 (5.0%) versus 49 of 371 (13.2%) in the parallel cohort. The population was far narrower than the entry criteria: 90% solitary, about 65% no larger than 2.0 cm, median 1.8 cm, with tumours near vessels, bile ducts or adjacent organs excluded as unfeasible for ablation. Chen 2006 is quoted for the same claim but 19 of its 90 ablation patients (21%) withdrew and had resection instead, and a single RFA session achieved complete necrosis in only 62.0%. What should decide instead is tumour size and location, achievable circumferential margin, hepatic reserve and portal pressure, and whether salvage of a local recurrence will actually be available. Audit: local recurrence at the treated site by modality and by size band; proportion of 3 to 5 cm tumours treated with single-probe ablation and called curative-intent.</w:t>
      </w:r>
    </w:p>
    <w:p>
      <w:pPr>
        <w:spacing w:after="40" w:line="276"/>
        <w:ind w:left="260"/>
      </w:pPr>
      <w:r>
        <w:rPr>
          <w:color w:val="5A6069"/>
          <w:sz w:val="16"/>
          <w:szCs w:val="16"/>
        </w:rPr>
        <w:t xml:space="preserve">Sources: SURF trial; SURF final; Chen RCT; Ng RCT; Xia RCT</w:t>
      </w:r>
    </w:p>
    <w:p>
      <w:pPr>
        <w:spacing w:after="60" w:before="160"/>
      </w:pPr>
      <w:r>
        <w:rPr>
          <w:b/>
          <w:bCs/>
          <w:color w:val="8E5008"/>
          <w:sz w:val="19"/>
          <w:szCs w:val="19"/>
        </w:rPr>
        <w:t xml:space="preserve">7. </w:t>
      </w:r>
      <w:r>
        <w:rPr>
          <w:b/>
          <w:bCs/>
          <w:sz w:val="19"/>
          <w:szCs w:val="19"/>
        </w:rPr>
        <w:t xml:space="preserve">Microwave ablation is preferred over radiofrequency ablation.</w:t>
      </w:r>
    </w:p>
    <w:p>
      <w:pPr>
        <w:spacing w:after="40" w:line="276"/>
        <w:ind w:left="260"/>
      </w:pPr>
      <w:r>
        <w:rPr>
          <w:color w:val="15181F"/>
          <w:sz w:val="18"/>
          <w:szCs w:val="18"/>
        </w:rPr>
        <w:t xml:space="preserve">No randomised superiority. The one randomised comparison was a superiority trial that did not show superiority and did not test non-inferiority: 2-year local tumour progression in 6 of 98 lesions (6%) after microwave versus 12 of 104 (12%) after radiofrequency, risk ratio 1.62 (95% CI 0.66 to 3.94), P = 0.27, with 2-year overall survival of 86% versus 84%. Mean lesion size was 18 mm and only 11 lesions measured 3 to 4 cm, which is the size range where microwave is argued to help. The analysis was per protocol, one device was used throughout, and the manufacturer funded the trial. The BCLC 2026 preference for microwave up to 3 to 4 cm is a change of guideline position, not a trial result. What should decide instead is tumour size, proximity to large vessels, expected procedure time, operator familiarity. Audit: local tumour progression at 12 and 24 months by device.</w:t>
      </w:r>
    </w:p>
    <w:p>
      <w:pPr>
        <w:spacing w:after="40" w:line="276"/>
        <w:ind w:left="260"/>
      </w:pPr>
      <w:r>
        <w:rPr>
          <w:color w:val="5A6069"/>
          <w:sz w:val="16"/>
          <w:szCs w:val="16"/>
        </w:rPr>
        <w:t xml:space="preserve">Sources: MWA vs RFA; BCLC 2026</w:t>
      </w:r>
    </w:p>
    <w:p>
      <w:pPr>
        <w:spacing w:after="60" w:before="160"/>
      </w:pPr>
      <w:r>
        <w:rPr>
          <w:b/>
          <w:bCs/>
          <w:color w:val="8E5008"/>
          <w:sz w:val="19"/>
          <w:szCs w:val="19"/>
        </w:rPr>
        <w:t xml:space="preserve">8. </w:t>
      </w:r>
      <w:r>
        <w:rPr>
          <w:b/>
          <w:bCs/>
          <w:sz w:val="19"/>
          <w:szCs w:val="19"/>
        </w:rPr>
        <w:t xml:space="preserve">Thermal ablation achieves near-complete local control in very early HCC.</w:t>
      </w:r>
    </w:p>
    <w:p>
      <w:pPr>
        <w:spacing w:after="40" w:line="276"/>
        <w:ind w:left="260"/>
      </w:pPr>
      <w:r>
        <w:rPr>
          <w:color w:val="15181F"/>
          <w:sz w:val="18"/>
          <w:szCs w:val="18"/>
        </w:rPr>
        <w:t xml:space="preserve">The 97.2% sustained complete response (212 of 218) comes from a retrospective multicentre cohort with no control group, and it sits alongside 5-year disease-free survival of 20% (95% CI 7 to 36) and 80% recurrence at 5 years. Operability was assigned retrospectively from age and laboratory criteria rather than by surgical assessment, and the 5-year survival of 68% quoted against surgery is from the selected 100 of 218 patients called operable. Fourteen of 232 otherwise eligible patients (6.0%) could not be treated because the tumour sat in a high-risk area or was poorly visible on ultrasound, which are the tumours hardest to ablate. What should decide instead is background liver disease rather than the index lesion, since it governs the recurrence that follows; whether transplant is the better long-term answer. Audit: local control and overall recurrence reported separately; proportion of cases abandoned for poor visibility or unsafe route.</w:t>
      </w:r>
    </w:p>
    <w:p>
      <w:pPr>
        <w:spacing w:after="40" w:line="276"/>
        <w:ind w:left="260"/>
      </w:pPr>
      <w:r>
        <w:rPr>
          <w:color w:val="5A6069"/>
          <w:sz w:val="16"/>
          <w:szCs w:val="16"/>
        </w:rPr>
        <w:t xml:space="preserve">Sources: Livraghi</w:t>
      </w:r>
    </w:p>
    <w:p>
      <w:pPr>
        <w:spacing w:after="60" w:before="160"/>
      </w:pPr>
      <w:r>
        <w:rPr>
          <w:b/>
          <w:bCs/>
          <w:color w:val="8E5008"/>
          <w:sz w:val="19"/>
          <w:szCs w:val="19"/>
        </w:rPr>
        <w:t xml:space="preserve">9. </w:t>
      </w:r>
      <w:r>
        <w:rPr>
          <w:b/>
          <w:bCs/>
          <w:sz w:val="19"/>
          <w:szCs w:val="19"/>
        </w:rPr>
        <w:t xml:space="preserve">Milan criteria identify the patients who do well after transplant.</w:t>
      </w:r>
    </w:p>
    <w:p>
      <w:pPr>
        <w:spacing w:after="40" w:line="276"/>
        <w:ind w:left="260"/>
      </w:pPr>
      <w:r>
        <w:rPr>
          <w:color w:val="15181F"/>
          <w:sz w:val="18"/>
          <w:szCs w:val="18"/>
        </w:rPr>
        <w:t xml:space="preserve">The criteria were derived and validated in the same 48-patient cohort with only 4 recurrences, and the authors state the analyses of T stage, nodule number and AFP had very low power. Four-year overall survival was 75% and recurrence-free survival 83% overall, but the 85% versus 50% separation that defines the criteria was obtained by applying them to explant pathology, not to preoperative imaging: 13 of 48 patients (27%) were understaged before surgery despite angiography and CT arterial portography. Median follow-up was 26 months with only 5 patients still at risk at 48 months. There is no external validation, and the era had no MELD allocation, no AFP selection and a 143-day median wait. The lower bounds on the page, a lesion of 2 cm or more and lesions of 1 cm or more, are OPTN T2 allocation rules; Milan set upper limits only. What should decide instead is explant risk the imaging cannot see, AFP and its trajectory, the severity of the underlying liver disease, and current waiting-list behaviour at this centre. Audit: explant stage against last pre-transplant imaging stage, reported as an understaging rate; recurrence by whether explant was within or beyond Milan.</w:t>
      </w:r>
    </w:p>
    <w:p>
      <w:pPr>
        <w:spacing w:after="40" w:line="276"/>
        <w:ind w:left="260"/>
      </w:pPr>
      <w:r>
        <w:rPr>
          <w:color w:val="5A6069"/>
          <w:sz w:val="16"/>
          <w:szCs w:val="16"/>
        </w:rPr>
        <w:t xml:space="preserve">Sources: Milan criteria</w:t>
      </w:r>
    </w:p>
    <w:p>
      <w:pPr>
        <w:spacing w:after="60" w:before="160"/>
      </w:pPr>
      <w:r>
        <w:rPr>
          <w:b/>
          <w:bCs/>
          <w:color w:val="8E5008"/>
          <w:sz w:val="19"/>
          <w:szCs w:val="19"/>
        </w:rPr>
        <w:t xml:space="preserve">10. </w:t>
      </w:r>
      <w:r>
        <w:rPr>
          <w:b/>
          <w:bCs/>
          <w:sz w:val="19"/>
          <w:szCs w:val="19"/>
        </w:rPr>
        <w:t xml:space="preserve">Downstaging into Milan criteria selects favourable biology.</w:t>
      </w:r>
    </w:p>
    <w:p>
      <w:pPr>
        <w:spacing w:after="40" w:line="276"/>
        <w:ind w:left="260"/>
      </w:pPr>
      <w:r>
        <w:rPr>
          <w:color w:val="15181F"/>
          <w:sz w:val="18"/>
          <w:szCs w:val="18"/>
        </w:rPr>
        <w:t xml:space="preserve">It selects imaging response, which is not the same thing. In MERITS-LT, 174 of 209 patients (83.3%) were downstaged to within Milan, but cumulative dropout was 22.5% at 1 year and 37.3% at 2 years, and on explant 42.8% were beyond Milan and 17.5% had microvascular invasion, twice the rate of earlier reports. Only 63 patients (30.1%) were transplanted, with post-transplant follow-up of a median 1.7 years and recurrence in 5 of 63 (7.9%); intention-to-treat survival was 92.5% at 1 year and 73.0% at 3 years. The authors conclude Milan criteria should be a minimum requirement, not a sufficient one. The cohort also predates the current median-MELD-minus-3 rule, so its dropout and transplant probabilities do not describe present waiting-list behaviour. What should decide instead is total tumour burden and its trend, AFP and AFP-L3, time held within criteria, and the competing claim of non-cancer candidates on the same graft. Audit: dropout and understaging rates in our own downstaged patients; number of locoregional procedures per patient before listing.</w:t>
      </w:r>
    </w:p>
    <w:p>
      <w:pPr>
        <w:spacing w:after="40" w:line="276"/>
        <w:ind w:left="260"/>
      </w:pPr>
      <w:r>
        <w:rPr>
          <w:color w:val="5A6069"/>
          <w:sz w:val="16"/>
          <w:szCs w:val="16"/>
        </w:rPr>
        <w:t xml:space="preserve">Sources: MERITS-LT</w:t>
      </w:r>
    </w:p>
    <w:p>
      <w:pPr>
        <w:spacing w:after="60" w:before="160"/>
      </w:pPr>
      <w:r>
        <w:rPr>
          <w:b/>
          <w:bCs/>
          <w:color w:val="8E5008"/>
          <w:sz w:val="19"/>
          <w:szCs w:val="19"/>
        </w:rPr>
        <w:t xml:space="preserve">11. </w:t>
      </w:r>
      <w:r>
        <w:rPr>
          <w:b/>
          <w:bCs/>
          <w:sz w:val="19"/>
          <w:szCs w:val="19"/>
        </w:rPr>
        <w:t xml:space="preserve">The XXL trial shows transplant beats continued locoregional therapy after downstaging.</w:t>
      </w:r>
    </w:p>
    <w:p>
      <w:pPr>
        <w:spacing w:after="40" w:line="276"/>
        <w:ind w:left="260"/>
      </w:pPr>
      <w:r>
        <w:rPr>
          <w:color w:val="15181F"/>
          <w:sz w:val="18"/>
          <w:szCs w:val="18"/>
        </w:rPr>
        <w:t xml:space="preserve">XXL closed at 45 of a planned 260 patients after Italian allocation policy changed, so the 5-year survival of 77.5% versus 31.2% (HR 0.22, 95% CI 0.08 to 0.61) rests on 21 deaths against a prespecified 87, with a conditional power calculation substituted for the missing events. The control arm was unstandardised best available therapy chosen per centre between 2011 and 2015, when sorafenib was the only systemic option, so a 31.2% comparator may understate what current systemic therapy achieves. Downstaging itself was centre-specific, TACE alone in 49%, so the 73% success rate is not a reproducible protocol, and tumour burden had rebounded from a median of 0 at randomisation to 4.8 on explant. What should decide instead is what the realistic alternative to transplant is for this patient today, not in 2015; graft availability; the response achieved and how long it has held. Audit: outcomes of patients downstaged and listed versus downstaged and not listed, tracked prospectively.</w:t>
      </w:r>
    </w:p>
    <w:p>
      <w:pPr>
        <w:spacing w:after="40" w:line="276"/>
        <w:ind w:left="260"/>
      </w:pPr>
      <w:r>
        <w:rPr>
          <w:color w:val="5A6069"/>
          <w:sz w:val="16"/>
          <w:szCs w:val="16"/>
        </w:rPr>
        <w:t xml:space="preserve">Sources: XXL trial</w:t>
      </w:r>
    </w:p>
    <w:p>
      <w:pPr>
        <w:spacing w:after="60" w:before="160"/>
      </w:pPr>
      <w:r>
        <w:rPr>
          <w:b/>
          <w:bCs/>
          <w:color w:val="8E5008"/>
          <w:sz w:val="19"/>
          <w:szCs w:val="19"/>
        </w:rPr>
        <w:t xml:space="preserve">12. </w:t>
      </w:r>
      <w:r>
        <w:rPr>
          <w:b/>
          <w:bCs/>
          <w:sz w:val="19"/>
          <w:szCs w:val="19"/>
        </w:rPr>
        <w:t xml:space="preserve">The AFP rule is a single clear threshold.</w:t>
      </w:r>
    </w:p>
    <w:p>
      <w:pPr>
        <w:spacing w:after="40" w:line="276"/>
        <w:ind w:left="260"/>
      </w:pPr>
      <w:r>
        <w:rPr>
          <w:color w:val="15181F"/>
          <w:sz w:val="18"/>
          <w:szCs w:val="18"/>
        </w:rPr>
        <w:t xml:space="preserve">Two guidelines give different rules and neither threshold was derived from a trial. EASL 2025 makes an AFP above 1,000 ng/mL an absolute contraindication whatever the tumour burden and requires 1,000 or less for 3 months before listing; AASLD 2023 and OPTN policy allow listing once an AFP of 1,000 or more falls below 500 ng/mL. In the Milan cohort an AFP above or below 300 ng/mL was not significantly related to survival or recurrence, on 4 recurrences. In MERITS-LT the only independent predictor of dropout was a pre-treatment AFP-L3 of 10% or more, sub-hazard ratio 3.7 (95% CI 1.27 to 10.79), and it was measured in only 83 of 209 patients. BCLC 2026 still names no AFP decline that qualifies a downstaged patient. What should decide instead is which policy actually binds this listing, the trajectory rather than a single value, and what treatment lay between the values. Audit: every AFP recorded with its date and the intervening treatment; review-board referrals triggered by a rise to 500 ng/mL or above.</w:t>
      </w:r>
    </w:p>
    <w:p>
      <w:pPr>
        <w:spacing w:after="40" w:line="276"/>
        <w:ind w:left="260"/>
      </w:pPr>
      <w:r>
        <w:rPr>
          <w:color w:val="5A6069"/>
          <w:sz w:val="16"/>
          <w:szCs w:val="16"/>
        </w:rPr>
        <w:t xml:space="preserve">Sources: EASL 2025; AASLD 2023; OPTN Policy 9; Milan criteria; MERITS-LT; BCLC 2026</w:t>
      </w:r>
    </w:p>
    <w:p>
      <w:pPr>
        <w:spacing w:after="60" w:before="160"/>
      </w:pPr>
      <w:r>
        <w:rPr>
          <w:b/>
          <w:bCs/>
          <w:color w:val="8E5008"/>
          <w:sz w:val="19"/>
          <w:szCs w:val="19"/>
        </w:rPr>
        <w:t xml:space="preserve">13. </w:t>
      </w:r>
      <w:r>
        <w:rPr>
          <w:b/>
          <w:bCs/>
          <w:sz w:val="19"/>
          <w:szCs w:val="19"/>
        </w:rPr>
        <w:t xml:space="preserve">Exception points follow successful downstaging.</w:t>
      </w:r>
    </w:p>
    <w:p>
      <w:pPr>
        <w:spacing w:after="40" w:line="276"/>
        <w:ind w:left="260"/>
      </w:pPr>
      <w:r>
        <w:rPr>
          <w:color w:val="15181F"/>
          <w:sz w:val="18"/>
          <w:szCs w:val="18"/>
        </w:rPr>
        <w:t xml:space="preserve">They follow a policy clock. The initial request and the first extension receive calculated MELD; only an extension after the first receives MMaT-3, and since each exception runs 90 days two periods elapse first, roughly six months. Policy states the score table, not a six-month rule, the rule changes without notice to this document, and no outcome evidence shows that the waiting construct selects better transplant candidates. MMaT is the median MELD at transplant for the donor hospital in that match run, not one national number. What should decide instead is the current Policy 9 text on the day of the decision, the acquisition circle, and local policy where it is stricter. Audit: a named owner and a calendar date for re-verifying Policy 9 criteria against this document; listing dates against first exception request dates.</w:t>
      </w:r>
    </w:p>
    <w:p>
      <w:pPr>
        <w:spacing w:after="40" w:line="276"/>
        <w:ind w:left="260"/>
      </w:pPr>
      <w:r>
        <w:rPr>
          <w:color w:val="5A6069"/>
          <w:sz w:val="16"/>
          <w:szCs w:val="16"/>
        </w:rPr>
        <w:t xml:space="preserve">Sources: OPTN Policy 9</w:t>
      </w:r>
    </w:p>
    <w:p>
      <w:pPr>
        <w:spacing w:after="60" w:before="160"/>
      </w:pPr>
      <w:r>
        <w:rPr>
          <w:b/>
          <w:bCs/>
          <w:color w:val="8E5008"/>
          <w:sz w:val="19"/>
          <w:szCs w:val="19"/>
        </w:rPr>
        <w:t xml:space="preserve">14. </w:t>
      </w:r>
      <w:r>
        <w:rPr>
          <w:b/>
          <w:bCs/>
          <w:sz w:val="19"/>
          <w:szCs w:val="19"/>
        </w:rPr>
        <w:t xml:space="preserve">Checkpoint inhibitors before transplant are manageable with a washout.</w:t>
      </w:r>
    </w:p>
    <w:p>
      <w:pPr>
        <w:spacing w:after="40" w:line="276"/>
        <w:ind w:left="260"/>
      </w:pPr>
      <w:r>
        <w:t xml:space="preserve">No pre-transplant washout interval is prospectively validated as universally safe. The 52-patient pooled analysis cited previously studied checkpoint treatment AFTER transplantation, not washout BEFORE transplantation; its rejection rates cannot define a pre-LT interval. Pre-LT cohorts, including Moeckli and VITALITY, provide separate observational evidence and remain subject to selection bias. What should decide is the transplant-specific review of response, reserve, last dose, possible graft timing and alternatives. Audit every pre-LT exposure, the agreed interval, transplant date and rejection outcome. Use the transplant protocol’s OPEN decision, not a guarantee of safety.</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EwPC9SZWNOdW0+PERpc3BsYXlUZXh0PltWMTYtMTBdPC9EaXNwbGF5VGV4dD48cmVjb3JkPjxyZWMtbnVtYmVyPjEwPC9yZWMtbnVtYmVyPjxmb3JlaWduLWtleXM+PGtleSBhcHA9IkVOIiBkYi1pZD0iMmIyODc0OTUtYTJjNy01NGMyLTgzNzgtNjI4ZDBmNTI5YjliIiB0aW1lc3RhbXA9IjE3OTMyODM2ODkiPjEw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TE8L1JlY051bT48RGlzcGxheVRleHQ+W1YxNi0xMV08L0Rpc3BsYXlUZXh0PjxyZWNvcmQ+PHJlYy1udW1iZXI+MTE8L3JlYy1udW1iZXI+PGZvcmVpZ24ta2V5cz48a2V5IGFwcD0iRU4iIGRiLWlkPSIyYjI4NzQ5NS1hMmM3LTU0YzItODM3OC02MjhkMGY1MjliOWIiIHRpbWVzdGFtcD0iMTc5MzI4MzY4OSI+MTE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spacing w:after="40" w:line="276"/>
        <w:ind w:left="260"/>
      </w:pPr>
      <w:r>
        <w:t xml:space="preserve">Sources: pre-LT Moeckli cohort and VITALITY; the separately retained post-LT review addresses a different clinical setting.</w:t>
      </w:r>
    </w:p>
    <w:p>
      <w:pPr>
        <w:spacing w:after="60" w:before="160"/>
      </w:pPr>
      <w:r>
        <w:rPr>
          <w:b/>
          <w:bCs/>
          <w:color w:val="8E5008"/>
          <w:sz w:val="19"/>
          <w:szCs w:val="19"/>
        </w:rPr>
        <w:t xml:space="preserve">15. </w:t>
      </w:r>
      <w:r>
        <w:rPr>
          <w:b/>
          <w:bCs/>
          <w:sz w:val="19"/>
          <w:szCs w:val="19"/>
        </w:rPr>
        <w:t xml:space="preserve">TACE is the standard of care for intermediate-stage HCC, grade A.</w:t>
      </w:r>
    </w:p>
    <w:p>
      <w:pPr>
        <w:spacing w:after="40" w:line="276"/>
        <w:ind w:left="260"/>
      </w:pPr>
      <w:r>
        <w:rPr>
          <w:color w:val="15181F"/>
          <w:sz w:val="18"/>
          <w:szCs w:val="18"/>
        </w:rPr>
        <w:t xml:space="preserve">The randomised base is two small trials. Llovet 2002 randomised 112 of 903 screened patients (12%) and was stopped at the ninth sequential inspection after 71 deaths against a planned 85 per comparison, giving a hazard ratio of 0.47 (95% CI 0.25 to 0.91) for chemoembolisation versus no anticancer treatment, with the single baseline imbalance, a lower bilirubin in the chemoembolisation arm, adjusted for after it was seen. Its bland embolisation arm achieved a similar response rate without a significant survival benefit (adjusted HR 0.57, 95% CI 0.31 to 1.04). Lo 2002 analysed 79 patients at one Hong Kong centre, relative risk of death 0.50 (0.31 to 0.81), with no benefit demonstrable in tumours over 5 cm or in unilobar portal vein obstruction. The Cochrane review that pooled the randomised embolisation trials found no survival benefit once trials with early stopping and co-interventions were excluded (HR 1.22, 95% CI 0.82 to 1.83) and none in trials at low risk of selection bias (HR 0.88, 0.71 to 1.10). The comparator in both trials was no anticancer treatment, which no longer exists. What should decide instead is selectivity achievable, portal flow, ALBI and liver-function trajectory, and whether a declared control or downstaging goal exists at all. Audit: decompensation at 30 and 90 days after TACE; number of sessions per patient and liver-function change across them.</w:t>
      </w:r>
    </w:p>
    <w:p>
      <w:pPr>
        <w:spacing w:after="40" w:line="276"/>
        <w:ind w:left="260"/>
      </w:pPr>
      <w:r>
        <w:rPr>
          <w:color w:val="5A6069"/>
          <w:sz w:val="16"/>
          <w:szCs w:val="16"/>
        </w:rPr>
        <w:t xml:space="preserve">Sources: EASL 2025</w:t>
      </w:r>
    </w:p>
    <w:p>
      <w:pPr>
        <w:spacing w:after="60" w:before="160"/>
      </w:pPr>
      <w:r>
        <w:rPr>
          <w:b/>
          <w:bCs/>
          <w:color w:val="8E5008"/>
          <w:sz w:val="19"/>
          <w:szCs w:val="19"/>
        </w:rPr>
        <w:t xml:space="preserve">16. </w:t>
      </w:r>
      <w:r>
        <w:rPr>
          <w:b/>
          <w:bCs/>
          <w:sz w:val="19"/>
          <w:szCs w:val="19"/>
        </w:rPr>
        <w:t xml:space="preserve">Drug-eluting-bead and conventional TACE are equivalent.</w:t>
      </w:r>
    </w:p>
    <w:p>
      <w:pPr>
        <w:spacing w:after="40" w:line="276"/>
        <w:ind w:left="260"/>
      </w:pPr>
      <w:r>
        <w:rPr>
          <w:color w:val="15181F"/>
          <w:sz w:val="18"/>
          <w:szCs w:val="18"/>
        </w:rPr>
        <w:t xml:space="preserve">Equivalence was never shown; superiority failed twice. PRECISION V was a phase 2 trial that missed its primary endpoint, 6-month objective response of 51.6% versus 43.5%, a difference of 8.1% (two-sided 95% repeated confidence interval minus 4.8 to 22.6), one-sided P = 0.11, with no time-to-progression or survival data at all and a fixed 150 mg doxorubicin dose against a body-surface-area-adjusted comparator. PRECISION ITALIA stopped for futility at 177 of a planned 214 patients: 2-year survival 56.8% versus 55.4% (P = 0.949) and median time to progression 9 months in both arms. The one reproducible difference is pain, in 22 of 89 (24.7%) after beads versus 63 of 88 (71.6%) after conventional TACE, with grade 3 pain in 0 versus 16 (18.2%). What should decide instead is selectivity achieved, operator familiarity, cost, and the pain burden the patient will carry. Audit: objective response and decompensation by bead versus lipiodol technique, and post-procedural analgesia requirement.</w:t>
      </w:r>
    </w:p>
    <w:p>
      <w:pPr>
        <w:spacing w:after="40" w:line="276"/>
        <w:ind w:left="260"/>
      </w:pPr>
      <w:r>
        <w:rPr>
          <w:color w:val="5A6069"/>
          <w:sz w:val="16"/>
          <w:szCs w:val="16"/>
        </w:rPr>
        <w:t xml:space="preserve">Sources: PRECISION V; DEB vs cTACE</w:t>
      </w:r>
    </w:p>
    <w:p>
      <w:pPr>
        <w:spacing w:after="60" w:before="160"/>
      </w:pPr>
      <w:r>
        <w:rPr>
          <w:b/>
          <w:bCs/>
          <w:color w:val="8E5008"/>
          <w:sz w:val="19"/>
          <w:szCs w:val="19"/>
        </w:rPr>
        <w:t xml:space="preserve">17. </w:t>
      </w:r>
      <w:r>
        <w:rPr>
          <w:b/>
          <w:bCs/>
          <w:sz w:val="19"/>
          <w:szCs w:val="19"/>
        </w:rPr>
        <w:t xml:space="preserve">Radioembolisation is an alternative to TACE in BCLC B.</w:t>
      </w:r>
    </w:p>
    <w:p>
      <w:pPr>
        <w:spacing w:after="40" w:line="276"/>
        <w:ind w:left="260"/>
      </w:pPr>
      <w:r>
        <w:rPr>
          <w:color w:val="15181F"/>
          <w:sz w:val="18"/>
          <w:szCs w:val="18"/>
        </w:rPr>
        <w:t xml:space="preserve">PREMIERE improved time to progression without a demonstrated survival difference, but 35 of its 45 patients were BCLC A. It stopped for slow accrual at 45 of a planned 124 patients with no prespecified interim analysis, so the hazard ratio of 0.122 rests on 12 progression events with a confidence interval of 0.027 to 0.557, and median overall survival was 17.7 versus 18.6 months (P = 0.99). Half the radioembolisation arm was Child-Pugh B at first treatment versus 24% in the TACE arm. TRACE, a single-centre phase II trial, improved time to progression and overall survival against DEB-TACE (median 30.2 versus 15.6 months, HR 0.48, 95% CI 0.28 to 0.82, whole intention-to-treat population, 85% BCLC B) but was stopped early at interim analysis with 72 of the 136 patients needed, and the TACE arm carried 5 grade 5 events including three definitely treatment-related septic deaths against one after radioembolisation, so the control arm may have been harmed rather than the treatment arm helped. This supports selected disease-control use, not proof of cure or superiority to resection or ablation. What should decide instead is unilobar versus bilobar distribution, shunt fraction, remnant volume, whether hypertrophy is a goal. Audit: time to progression, decompensation at 90 days, downstaging rate.</w:t>
      </w:r>
    </w:p>
    <w:p>
      <w:pPr>
        <w:spacing w:after="40" w:line="276"/>
        <w:ind w:left="260"/>
      </w:pPr>
      <w:r>
        <w:rPr>
          <w:color w:val="5A6069"/>
          <w:sz w:val="16"/>
          <w:szCs w:val="16"/>
        </w:rPr>
        <w:t xml:space="preserve">Sources: PREMIERE; TRACE</w:t>
      </w:r>
    </w:p>
    <w:p>
      <w:pPr>
        <w:spacing w:after="60" w:before="160"/>
      </w:pPr>
      <w:r>
        <w:rPr>
          <w:b/>
          <w:bCs/>
          <w:color w:val="8E5008"/>
          <w:sz w:val="19"/>
          <w:szCs w:val="19"/>
        </w:rPr>
        <w:t xml:space="preserve">18. </w:t>
      </w:r>
      <w:r>
        <w:rPr>
          <w:b/>
          <w:bCs/>
          <w:sz w:val="19"/>
          <w:szCs w:val="19"/>
        </w:rPr>
        <w:t xml:space="preserve">Radiation segmentectomy is a curative-intent option for ablation-unsuitable solitary tumours.</w:t>
      </w:r>
    </w:p>
    <w:p>
      <w:pPr>
        <w:spacing w:after="40" w:line="276"/>
        <w:ind w:left="260"/>
      </w:pPr>
      <w:r>
        <w:rPr>
          <w:color w:val="15181F"/>
          <w:sz w:val="18"/>
          <w:szCs w:val="18"/>
        </w:rPr>
        <w:t xml:space="preserve">Single-arm data only, and the endpoints are imaging. RASER treated 29 patients with a solitary tumour of 3 cm or less: target-lesion complete response in 24 of 29 (83%), a sustained complete response after one treatment in 26 of 29 (90%), target-lesion progression in 3 of 29 (10%) and overall progression in 9 of 29 (31%) at a median follow-up of 691 days, read by one unblinded in-house radiologist with no comparator and 5 of 29 (17%) lost to follow-up. All 8 explants showed 100% necrosis of the target lesion, but 3 of those 8 livers held additional untreated HCC, one with vascular invasion. LEGACY is retrospective, 162 patients, median tumour 2.7 cm with 62% under 3 cm: best response of 88.3% (95% CI 82.4 to 92.4) by localised mRECIST falls to a confirmed 46.3% (38.8 to 54.0) by RECIST 1.1, and 45 patients (28%) went on to transplant or resection, so its 86.6% 3-year survival cannot be attributed to the radiation. Both studies were funded by the microsphere manufacturer. What should decide instead is segmental anatomy, tumour size, remnant volume, dosimetry feasibility, transplant timing. Audit: complete response, local progression, and transplant explant pathology.</w:t>
      </w:r>
    </w:p>
    <w:p>
      <w:pPr>
        <w:spacing w:after="40" w:line="276"/>
        <w:ind w:left="260"/>
      </w:pPr>
      <w:r>
        <w:rPr>
          <w:color w:val="5A6069"/>
          <w:sz w:val="16"/>
          <w:szCs w:val="16"/>
        </w:rPr>
        <w:t xml:space="preserve">Sources: RASER; LEGACY</w:t>
      </w:r>
    </w:p>
    <w:p>
      <w:pPr>
        <w:spacing w:after="60" w:before="160"/>
      </w:pPr>
      <w:r>
        <w:rPr>
          <w:b/>
          <w:bCs/>
          <w:color w:val="8E5008"/>
          <w:sz w:val="19"/>
          <w:szCs w:val="19"/>
        </w:rPr>
        <w:t xml:space="preserve">19. </w:t>
      </w:r>
      <w:r>
        <w:rPr>
          <w:b/>
          <w:bCs/>
          <w:sz w:val="19"/>
          <w:szCs w:val="19"/>
        </w:rPr>
        <w:t xml:space="preserve">Lobar radioembolisation grows the contralateral lobe enough to make an unresectable patient resectable.</w:t>
      </w:r>
    </w:p>
    <w:p>
      <w:pPr>
        <w:spacing w:after="40" w:line="276"/>
        <w:ind w:left="260"/>
      </w:pPr>
      <w:r>
        <w:rPr>
          <w:color w:val="15181F"/>
          <w:sz w:val="18"/>
          <w:szCs w:val="18"/>
        </w:rPr>
        <w:t xml:space="preserve">Radiation lobectomy rests on one retrospective single-centre volumetric cohort of 83 patients, only 67 with HCC, selected post hoc from about 700 lobar treatments with no portal vein embolisation comparator. A future liver remnant above 40% was reached in 25 of 83 (30%), median maximal hypertrophy was 26% (range minus 14 to 86), and the 45% figure required more than 9 months of waiting, during which median Child-Pugh deteriorated from 6 to 7 and new left-lobe tumours appeared in 13 of 67 HCC patients (19%) at a median of 224 days. Only 11 of 83 patients (13%) reached surgery, 5 resections and 6 transplants. The remnant is a volume ratio with irradiated parenchyma in the denominator and no functional test was done, so the gain may overstate the safe remnant. What should decide instead is how long the patient can wait, whether portal vein embolisation would be faster, functional rather than volumetric remnant assessment, and the risk of new contralateral disease during the interval. Audit: remnant volume and function before and after, interval to operation, and the proportion who actually reach resection.</w:t>
      </w:r>
    </w:p>
    <w:p>
      <w:pPr>
        <w:spacing w:after="60" w:before="160"/>
      </w:pPr>
      <w:r>
        <w:rPr>
          <w:b/>
          <w:bCs/>
          <w:color w:val="8E5008"/>
          <w:sz w:val="19"/>
          <w:szCs w:val="19"/>
        </w:rPr>
        <w:t xml:space="preserve">20. </w:t>
      </w:r>
      <w:r>
        <w:rPr>
          <w:b/>
          <w:bCs/>
          <w:sz w:val="19"/>
          <w:szCs w:val="19"/>
        </w:rPr>
        <w:t xml:space="preserve">Personalised dosimetry is now the standard for radioembolisation.</w:t>
      </w:r>
    </w:p>
    <w:p>
      <w:pPr>
        <w:spacing w:after="40" w:line="276"/>
        <w:ind w:left="260"/>
      </w:pPr>
      <w:r>
        <w:rPr>
          <w:color w:val="15181F"/>
          <w:sz w:val="18"/>
          <w:szCs w:val="18"/>
        </w:rPr>
        <w:t xml:space="preserve">DOSISPHERE-01 is a phase 2 trial of 60 randomised and 56 treated patients, stopped at a planned interim analysis for efficacy on an unmasked investigator-read endpoint, the EASL response of a single index lesion at 3 months: 20 of 28 (71%) versus 10 of 28 (36%), P = 0.0074. Overall survival of 26.6 versus 10.7 months (HR 0.421, 95% CI 0.215 to 0.826) is a secondary endpoint resting on 14 deaths in the personalised arm, and progression-free survival, the harder endpoint, did not differ (HR 0.71, 0.39 to 1.30, P = 0.26). Ten of 28 patients in the personalised arm went on to curative resection versus one, so part of the survival difference is surgery. Entry required an index lesion of 7 cm or more and 30% hepatic reserve, and the authors state generalisability to lesions under 7 cm and to resin microspheres is untested. The sponsor makes the device. What should decide instead is index lesion size, hepatic reserve, whether an ablative tumour dose is achievable, and whether conversion to surgery is the actual goal. Audit: prescribed and achieved tumour absorbed dose recorded for every treatment; response by dose band.</w:t>
      </w:r>
    </w:p>
    <w:p>
      <w:pPr>
        <w:spacing w:after="40" w:line="276"/>
        <w:ind w:left="260"/>
      </w:pPr>
      <w:r>
        <w:rPr>
          <w:color w:val="5A6069"/>
          <w:sz w:val="16"/>
          <w:szCs w:val="16"/>
        </w:rPr>
        <w:t xml:space="preserve">Sources: DOSISPHERE-01</w:t>
      </w:r>
    </w:p>
    <w:p>
      <w:pPr>
        <w:spacing w:after="60" w:before="160"/>
      </w:pPr>
      <w:r>
        <w:rPr>
          <w:b/>
          <w:bCs/>
          <w:color w:val="8E5008"/>
          <w:sz w:val="19"/>
          <w:szCs w:val="19"/>
        </w:rPr>
        <w:t xml:space="preserve">21. </w:t>
      </w:r>
      <w:r>
        <w:rPr>
          <w:b/>
          <w:bCs/>
          <w:sz w:val="19"/>
          <w:szCs w:val="19"/>
        </w:rPr>
        <w:t xml:space="preserve">Radioembolisation is not a substitute for systemic therapy in advanced HCC.</w:t>
      </w:r>
    </w:p>
    <w:p>
      <w:pPr>
        <w:spacing w:after="40" w:line="276"/>
        <w:ind w:left="260"/>
      </w:pPr>
      <w:r>
        <w:rPr>
          <w:color w:val="15181F"/>
          <w:sz w:val="18"/>
          <w:szCs w:val="18"/>
        </w:rPr>
        <w:t xml:space="preserve">The position is right but the evidence behind it is weaker than it looks. SARAH gave an intention-to-treat overall survival of 8.0 versus 9.9 months (HR 1.15, 95% CI 0.94 to 1.41, P = 0.18) while 53 of 237 patients (22%) assigned radioembolisation never received it; per protocol the medians were identical at 9.9 months (HR 0.99, 0.79 to 1.24). SIRveNIB gave 8.8 versus 10.0 months (HR 1.12, 0.9 to 1.4, P = 0.36) with only 130 of 182 (71.4%) treated, and patients from 5 of its 11 countries flew to Singapore for treatment. SORAMIC was negative in intention to treat (HR 1.01, 0.81 to 1.25) with 47.2% of patients missing the allocated treatment or having major protocol deviations. All three used body-surface-area or manufacturer-recommended activity rather than personalised dosimetry, and SARAH's own dose-response analysis found median survival of 14.1 months when the tumour absorbed dose reached 100 Gy or more versus 6.1 months below it. The comparator in all three was sorafenib, which is no longer first line. What should decide instead is whether the disease is truly liver-dominant, the delay to the systemic start, dosimetry capability, and liver-function cost. Audit: time from decision to systemic-therapy start; patients who received a liver-directed procedure instead of a first-line systemic combination.</w:t>
      </w:r>
    </w:p>
    <w:p>
      <w:pPr>
        <w:spacing w:after="40" w:line="276"/>
        <w:ind w:left="260"/>
      </w:pPr>
      <w:r>
        <w:rPr>
          <w:color w:val="5A6069"/>
          <w:sz w:val="16"/>
          <w:szCs w:val="16"/>
        </w:rPr>
        <w:t xml:space="preserve">Sources: SARAH; SIRveNIB</w:t>
      </w:r>
    </w:p>
    <w:p>
      <w:pPr>
        <w:spacing w:after="60" w:before="160"/>
      </w:pPr>
      <w:r>
        <w:rPr>
          <w:b/>
          <w:bCs/>
          <w:color w:val="8E5008"/>
          <w:sz w:val="19"/>
          <w:szCs w:val="19"/>
        </w:rPr>
        <w:t xml:space="preserve">22. </w:t>
      </w:r>
      <w:r>
        <w:rPr>
          <w:b/>
          <w:bCs/>
          <w:sz w:val="19"/>
          <w:szCs w:val="19"/>
        </w:rPr>
        <w:t xml:space="preserve">SBRT controls HCC better than thermal ablation.</w:t>
      </w:r>
    </w:p>
    <w:p>
      <w:pPr>
        <w:spacing w:after="40" w:line="276"/>
        <w:ind w:left="260"/>
      </w:pPr>
      <w:r>
        <w:rPr>
          <w:color w:val="15181F"/>
          <w:sz w:val="18"/>
          <w:szCs w:val="18"/>
        </w:rPr>
        <w:t xml:space="preserve">The only randomised comparison enrolled 166 patients with a solitary recurrent HCC of 5 cm or less after curative treatment, and its primary endpoint was a composite local progression-free survival that counts death from any cause: HR 0.45 (95% CI 0.24 to 0.87), P = 0.014, 3-year rate 84.3% versus 67.3%. The arms reached that endpoint differently, 8 of 14 SBRT events being deaths without local progression against 7 of 27 for RFA, so the result turns on 14 local progression events. Progression-free survival (HR 0.76, 0.50 to 1.15, P = 0.190) and overall survival (HR 0.91, 0.37 to 2.22, P = 0.830, 19 deaths) were indistinguishable, and the advantage was significant only in tumours of 2 cm or less (HR 0.39, 0.17 to 0.89), not at 2 to 5 cm (0.58, 0.20 to 1.68, P = 0.310). The retrospective Michigan series pointing the other way, with the SBRT advantage growing with size, had channelled allocation: the SBRT group had a median of 2 prior liver-directed treatments versus 0 and better Child-Pugh. Overall survival was identical there too. What should decide instead is anatomical suitability for a percutaneous route, tumour size, uninvolved liver volume, prior radiation dose, and whether a bridge to transplant is intended. Audit: local progression and liver-function change at 12 months by modality; proportion of SBRT cases chosen for anatomy rather than after ablation failure.</w:t>
      </w:r>
    </w:p>
    <w:p>
      <w:pPr>
        <w:spacing w:after="40" w:line="276"/>
        <w:ind w:left="260"/>
      </w:pPr>
      <w:r>
        <w:rPr>
          <w:color w:val="5A6069"/>
          <w:sz w:val="16"/>
          <w:szCs w:val="16"/>
        </w:rPr>
        <w:t xml:space="preserve">Sources: SBRT vs RFA</w:t>
      </w:r>
    </w:p>
    <w:p>
      <w:pPr>
        <w:spacing w:after="60" w:before="160"/>
      </w:pPr>
      <w:r>
        <w:rPr>
          <w:b/>
          <w:bCs/>
          <w:color w:val="8E5008"/>
          <w:sz w:val="19"/>
          <w:szCs w:val="19"/>
        </w:rPr>
        <w:t xml:space="preserve">23. </w:t>
      </w:r>
      <w:r>
        <w:rPr>
          <w:b/>
          <w:bCs/>
          <w:sz w:val="19"/>
          <w:szCs w:val="19"/>
        </w:rPr>
        <w:t xml:space="preserve">External beam radiotherapy gives survival comparable with resection and ablation in early HCC.</w:t>
      </w:r>
    </w:p>
    <w:p>
      <w:pPr>
        <w:spacing w:after="40" w:line="276"/>
        <w:ind w:left="260"/>
      </w:pPr>
      <w:r>
        <w:rPr>
          <w:color w:val="15181F"/>
          <w:sz w:val="18"/>
          <w:szCs w:val="18"/>
        </w:rPr>
        <w:t xml:space="preserve">The figures BCLC 2026 cites come from a retrospective individual-patient cohort with no resection, ablation or TACE arm: 4,913 patients from 30 of 96 eligible centres (31%), the centres identified because they had published favourable outcomes. Median overall survival was 6.8 years (95% CI 5.7 to 8.7) for BCLC-0, 4.6 (4.1 to 5.1) for BCLC-A and 3.6 (3.0 to 4.9) for BCLC-B, but 58% of the cohort was BCLC-C, 60% had been treated before, BCLC stage had to be re-adjudicated because reported staging was discordant, and treatment-naive BCLC-B patients survived 6.3 years, longer than treatment-naive BCLC-A, which is not a believable ordering. The proportional hazards assumption was formally violated in all four Cox models and the authors say their hazard ratios should be interpreted with caution. ASTRO's strong recommendation for EBRT as a potential first-line single therapy rests on single-arm and retrospective series; its own task force states no randomised trial has compared EBRT with thermal ablation or catheter-based therapy, and surgical oncologists published a formal dissent. What should decide instead is whether surgery, transplant or ablation has actually been excluded and why; uninvolved liver volume; prior dose; decompensation risk. Audit: child-Pugh and ALBI change at 3 and 12 months after liver radiotherapy; proportion of EBRT cases in whom resection or ablation was never formally assessed.</w:t>
      </w:r>
    </w:p>
    <w:p>
      <w:pPr>
        <w:spacing w:after="40" w:line="276"/>
        <w:ind w:left="260"/>
      </w:pPr>
      <w:r>
        <w:rPr>
          <w:color w:val="5A6069"/>
          <w:sz w:val="16"/>
          <w:szCs w:val="16"/>
        </w:rPr>
        <w:t xml:space="preserve">Sources: EBRT cohort; ASTRO EBRT; BCLC 2026</w:t>
      </w:r>
    </w:p>
    <w:p>
      <w:pPr>
        <w:spacing w:after="60" w:before="160"/>
      </w:pPr>
      <w:r>
        <w:rPr>
          <w:b/>
          <w:bCs/>
          <w:color w:val="8E5008"/>
          <w:sz w:val="19"/>
          <w:szCs w:val="19"/>
        </w:rPr>
        <w:t xml:space="preserve">24. </w:t>
      </w:r>
      <w:r>
        <w:rPr>
          <w:b/>
          <w:bCs/>
          <w:sz w:val="19"/>
          <w:szCs w:val="19"/>
        </w:rPr>
        <w:t xml:space="preserve">Adding SBRT or radioembolisation to systemic therapy helps liver-dominant BCLC C.</w:t>
      </w:r>
    </w:p>
    <w:p>
      <w:pPr>
        <w:spacing w:after="40" w:line="276"/>
        <w:ind w:left="260"/>
      </w:pPr>
      <w:r>
        <w:rPr>
          <w:color w:val="15181F"/>
          <w:sz w:val="18"/>
          <w:szCs w:val="18"/>
        </w:rPr>
        <w:t xml:space="preserve">No randomised test against a modern immunotherapy backbone. RTOG 1112 missed its primary endpoint: median overall survival 15.8 months (90% CI 11.4 to 19.2) versus 12.3 (10.6 to 14.3), HR 0.77 (90% CI 0.59 to 1.01), one-sided P = .06, and significance appears only in the multivariable model (HR 0.72, P = .04). It needed 368 patients and 277 events, closed early in March 2021 and analysed 177 patients and 153 deaths at 65% power; 13 of 85 patients (15%) in the SBRT arm never started sorafenib and 19 of 92 (20.7%) controls later received radiotherapy. The Asan trial of TACE plus 40 Gy against sorafenib reported overall survival of 55.0 versus 43.0 weeks (HR 0.61, 95% CI 0.38 to 0.98) as a secondary endpoint, but 90.7% of the sorafenib arm had crossed over by 24 weeks, so it compares two sequencing strategies, and it never reported how many of its 90 patients had cirrhosis. The neoadjuvant radiotherapy trial for portal vein tumour thrombus that ASTRO cites counted only tumour-related death, drew 157 of 164 patients from one hospital and cost 11% of patients their operation. What should decide instead is liver-dominant burden, symptom burden, uninvolved-liver volume, prior dose, time to systemic start. Audit: time from decision to systemic-therapy start; hepatic progression-free survival.</w:t>
      </w:r>
    </w:p>
    <w:p>
      <w:pPr>
        <w:spacing w:after="40" w:line="276"/>
        <w:ind w:left="260"/>
      </w:pPr>
      <w:r>
        <w:rPr>
          <w:color w:val="5A6069"/>
          <w:sz w:val="16"/>
          <w:szCs w:val="16"/>
        </w:rPr>
        <w:t xml:space="preserve">Sources: RTOG 1112; TACE + EBRT; ASTRO EBRT</w:t>
      </w:r>
    </w:p>
    <w:p>
      <w:pPr>
        <w:spacing w:after="60" w:before="160"/>
      </w:pPr>
      <w:r>
        <w:rPr>
          <w:b/>
          <w:bCs/>
          <w:color w:val="8E5008"/>
          <w:sz w:val="19"/>
          <w:szCs w:val="19"/>
        </w:rPr>
        <w:t xml:space="preserve">25. </w:t>
      </w:r>
      <w:r>
        <w:rPr>
          <w:b/>
          <w:bCs/>
          <w:sz w:val="19"/>
          <w:szCs w:val="19"/>
        </w:rPr>
        <w:t xml:space="preserve">SBRT is a reasonable option for residual disease after an incomplete TACE.</w:t>
      </w:r>
    </w:p>
    <w:p>
      <w:pPr>
        <w:spacing w:after="40" w:line="276"/>
        <w:ind w:left="260"/>
      </w:pPr>
      <w:r>
        <w:rPr>
          <w:color w:val="15181F"/>
          <w:sz w:val="18"/>
          <w:szCs w:val="18"/>
        </w:rPr>
        <w:t xml:space="preserve">One randomised trial of 40 patients at a single Italian centre supports it, against a planned 50, powered on an implausible hazard ratio of 0.18. One-year local control was 84% versus 23% (HR 0.15, 95% CI 0.04 to 0.4, P = 0.0002) and progression-free survival 9 versus 4 months (HR 0.43, 0.21 to 0.87), but distant recurrence-free survival did not differ and overall survival was identical at 31 versus 30 months (P = 0.472). The comparator was mostly bland embolisation, 15 of 19, not conventional or drug-eluting-bead TACE, and 10 of 19 control patients crossed over to SBRT. The parallel randomised comparison of SBRT with DEB-TACE as primary therapy, TRENDY, closed at 30 of 100 planned patients and was negative on its primary endpoint (time to progression HR 0.45, 95% CI 0.16 to 1.32, P = .15); its quoted 100% versus 54% local control is a post hoc per-protocol analysis, the prespecified comparison giving P = .075. What should decide instead is whether a viable target remains and is reachable, liver-function trajectory, prior dose to that volume, and what a well-selected TACE rechallenge would achieve. Audit: local control and decompensation after consolidative SBRT; cases re-embolised versus irradiated after an incomplete first TACE.</w:t>
      </w:r>
    </w:p>
    <w:p>
      <w:pPr>
        <w:spacing w:after="60" w:before="160"/>
      </w:pPr>
      <w:r>
        <w:rPr>
          <w:b/>
          <w:bCs/>
          <w:color w:val="8E5008"/>
          <w:sz w:val="19"/>
          <w:szCs w:val="19"/>
        </w:rPr>
        <w:t xml:space="preserve">26. </w:t>
      </w:r>
      <w:r>
        <w:rPr>
          <w:b/>
          <w:bCs/>
          <w:sz w:val="19"/>
          <w:szCs w:val="19"/>
        </w:rPr>
        <w:t xml:space="preserve">Histotripsy met its endpoints in the HOPE4LIVER pivotal trial.</w:t>
      </w:r>
    </w:p>
    <w:p>
      <w:pPr>
        <w:spacing w:after="40" w:line="276"/>
        <w:ind w:left="260"/>
      </w:pPr>
      <w:r>
        <w:rPr>
          <w:color w:val="15181F"/>
          <w:sz w:val="18"/>
          <w:szCs w:val="18"/>
        </w:rPr>
        <w:t xml:space="preserve">It met a technical endpoint in a population that is not the one a tumour board would send for ablation. The co-primary endpoints were technical success, 42 of 44 treated tumours (95%, 95% CI 84 to 100) against a 70% performance goal that the authors say was agreed with the FDA for achievable enrolment and was not intended to identify a difference from existing therapies, and procedure-related major complications, 3 of 44 participants (7%, 2 to 18) against a 25% goal. Neither is tumour control. Only 18 of 44 participants (41%) had HCC, 4 of the 25 metastatic patients had more than 20 liver lesions, mean tumour diameter was 1.5 cm, the treatment zone averaged 3.6 cm, 38 of 44 tumours were in segments II to IV and none in segments VII or VIII. Technique efficacy had already fallen to 83% (30 of 36) at 30 days, and one grade 5 hepatic failure occurred in 44 participants despite the planned volume being achieved. The one-year update of 47 patients and 52 tumours reports freedom from local progression of 63.4% on the prespecified core-laboratory read against 90% on a post hoc read made once all imaging was available, with reader agreement of 70.8% to 84%; 12-month overall survival was 58.6% overall and 73.3% in HCC. FDA clearance for tumour destruction is a safety and performance determination. What should decide instead is acoustic window and target visibility, segment, device working range, and whether any established curative option would be displaced. Audit: every histotripsy case in a prospective registry with the prespecified rather than post hoc local-control read; one-year local progression and liver-function change.</w:t>
      </w:r>
    </w:p>
    <w:p>
      <w:pPr>
        <w:spacing w:after="40" w:line="276"/>
        <w:ind w:left="260"/>
      </w:pPr>
      <w:r>
        <w:rPr>
          <w:color w:val="5A6069"/>
          <w:sz w:val="16"/>
          <w:szCs w:val="16"/>
        </w:rPr>
        <w:t xml:space="preserve">Sources: #HOPE4LIVER</w:t>
      </w:r>
    </w:p>
    <w:p>
      <w:pPr>
        <w:spacing w:after="60" w:before="160"/>
      </w:pPr>
      <w:r>
        <w:rPr>
          <w:b/>
          <w:bCs/>
          <w:color w:val="8E5008"/>
          <w:sz w:val="19"/>
          <w:szCs w:val="19"/>
        </w:rPr>
        <w:t xml:space="preserve">27. </w:t>
      </w:r>
      <w:r>
        <w:rPr>
          <w:b/>
          <w:bCs/>
          <w:sz w:val="19"/>
          <w:szCs w:val="19"/>
        </w:rPr>
        <w:t xml:space="preserve">Three first-line immunotherapy combinations are interchangeable because none is ranked above the others.</w:t>
      </w:r>
    </w:p>
    <w:p>
      <w:pPr>
        <w:spacing w:after="40" w:line="276"/>
        <w:ind w:left="260"/>
      </w:pPr>
      <w:r>
        <w:t xml:space="preserve">None has been compared with another, and each was tested against a different and now-superseded comparator, so the absence of a ranking is a gap, not a finding. IMbrave150 gave 19.2 versus 13.4 months against sorafenib (HR 0.66, 95% CI 0.52 to 0.85) with an exploratory non-viral subgroup estimate of HR 1.05 (0.68 to 1.63; median 17.0 versus 18.1 months), which does not establish treatment futility in non-viral HCC, and only 422 of 1,447 real-world patients on tyrosine-kinase inhibitors (29%) would have met its eligibility. HIMALAYA gave 16.43 versus 13.77 months (HR 0.78, 96.02% CI 0.65 to 0.93) with no progression-free survival benefit at all (HR 0.90, 0.77 to 1.05), curves separating only after 9 months, and main portal vein thrombosis excluded. CheckMate 9DW gave 23.7 versus 20.6 months against lenvatinib or sorafenib (HR 0.79, 0.65 to 0.96) with crossing hazards, a piecewise hazard ratio of 1.65 (1.12 to 2.43) in the first 6 months, 12 treatment-related deaths against 3 with 11 of the 12 inside that window and 9 of them fatal hepatic events, a restricted mean survival difference of only 2.8 months (0.2 to 5.4) at 47 months, and Vp4 invasion excluded. What should decide instead is variceal and bleeding risk, liver reserve, pace of disease, autoimmune history, and transplant intent. Neither aetiology alone nor a survival-curve crossing point is a validated patient-selection cutoff. Audit: early mortality at 6 months by regimen; variceal assessment documented before the first dose of atezolizumab-bevacizumab.</w:t>
      </w:r>
      <w:r>
        <w:t xml:space="preserve"> </w:t>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2LTFdPC9EaXNwbGF5VGV4dD48cmVjb3JkPjxyZWMtbnVtYmVyPjE8L3JlYy1udW1iZXI+PGZvcmVpZ24ta2V5cz48a2V5IGFwcD0iRU4iIGRiLWlkPSIyYjI4NzQ5NS1hMmM3LTU0YzItODM3OC02MjhkMGY1MjliOWIiIHRpbWVzdGFtcD0iMTc5MzI4MzY4OS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qLmpoZXAuMjAyMS4xMS4wMzA8L3VybD48L3JlbGF0ZWQtdXJscz48cGRmLXVybHMvPjwvdXJscz48L3JlY29yZD48L0NpdGU+PC9FbmROb3RlPg==</w:fldData>
        </w:fldChar>
      </w:r>
      <w:r>
        <w:instrText xml:space="preserve"> ADDIN EN.CITE.DATA </w:instrText>
      </w:r>
      <w:r>
        <w:fldChar w:fldCharType="end"/>
      </w:r>
      <w:r>
        <w:fldChar w:fldCharType="separate"/>
      </w:r>
      <w:r>
        <w:t xml:space="preserve">[V16-2]</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1Ni9FVklEb2EyMTAwMDcw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TMDE0MC02NzM2KDI1KTAwNDAzLTk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spacing w:after="40" w:line="276"/>
        <w:ind w:left="260"/>
      </w:pPr>
      <w:r>
        <w:rPr>
          <w:color w:val="5A6069"/>
          <w:sz w:val="16"/>
          <w:szCs w:val="16"/>
        </w:rPr>
        <w:t xml:space="preserve">Sources: IMbrave150; IMbrave150 update; HIMALAYA / STRIDE; CheckMate 9DW</w:t>
      </w:r>
    </w:p>
    <w:p>
      <w:pPr>
        <w:spacing w:after="60" w:before="160"/>
      </w:pPr>
      <w:r>
        <w:rPr>
          <w:b/>
          <w:bCs/>
          <w:color w:val="8E5008"/>
          <w:sz w:val="19"/>
          <w:szCs w:val="19"/>
        </w:rPr>
        <w:t xml:space="preserve">28. </w:t>
      </w:r>
      <w:r>
        <w:rPr>
          <w:b/>
          <w:bCs/>
          <w:sz w:val="19"/>
          <w:szCs w:val="19"/>
        </w:rPr>
        <w:t xml:space="preserve">There is a second-line sequence after a first-line immunotherapy combination.</w:t>
      </w:r>
    </w:p>
    <w:p>
      <w:pPr>
        <w:spacing w:after="40" w:line="276"/>
        <w:ind w:left="260"/>
      </w:pPr>
      <w:r>
        <w:rPr>
          <w:color w:val="15181F"/>
          <w:sz w:val="18"/>
          <w:szCs w:val="18"/>
        </w:rPr>
        <w:t xml:space="preserve">There is no randomised evidence for any sequence after a modern combination; every agent on the list was tested after sorafenib, in a population that no longer exists, and each gain is small. CELESTIAL gave 10.2 versus 8.0 months (HR 0.76, 95% CI 0.63 to 0.92) but stopped at 484 of 621 planned deaths (78%), with a hazard ratio of 1.11 in hepatitis C disease, grade 3 or 4 events in 68% and a median delivered dose of 35.8 mg against an intended 60. RESORCE gave 10.6 versus 7.8 months (HR 0.63, 0.50 to 0.79) but enrolled only patients who had tolerated sorafenib at 400 mg or more, and every treated patient had an adverse event. REACH-2 gave 8.5 versus 7.3 months (HR 0.710, 0.531 to 0.949) with no significant response (5% versus 1%) and no improvement in symptoms, and its baseline AFP was imbalanced against the experimental arm, so adjusting for it dropped the placebo median to 6.7 months. KEYNOTE-394 gave 14.6 versus 13.0 months at a one-sided P of .0180 against a boundary of .0193, with 85% of patients from mainland China and about 80% hepatitis B. What should decide instead is prior toxicity, best response achieved, liver function now, AFP for the ramucirumab indication, and trial availability first. Audit: reason for selection recorded for every second-line decision; grade 3 or higher toxicity and liver-function change by agent.</w:t>
      </w:r>
    </w:p>
    <w:p>
      <w:pPr>
        <w:spacing w:after="40" w:line="276"/>
        <w:ind w:left="260"/>
      </w:pPr>
      <w:r>
        <w:rPr>
          <w:color w:val="5A6069"/>
          <w:sz w:val="16"/>
          <w:szCs w:val="16"/>
        </w:rPr>
        <w:t xml:space="preserve">Sources: CELESTIAL; RESORCE; REACH-2; KEYNOTE-394</w:t>
      </w:r>
    </w:p>
    <w:p>
      <w:pPr>
        <w:spacing w:after="60" w:before="160"/>
      </w:pPr>
      <w:r>
        <w:rPr>
          <w:b/>
          <w:bCs/>
          <w:color w:val="8E5008"/>
          <w:sz w:val="19"/>
          <w:szCs w:val="19"/>
        </w:rPr>
        <w:t xml:space="preserve">29. </w:t>
      </w:r>
      <w:r>
        <w:rPr>
          <w:b/>
          <w:bCs/>
          <w:sz w:val="19"/>
          <w:szCs w:val="19"/>
        </w:rPr>
        <w:t xml:space="preserve">TACE combined with checkpoint inhibitors is to be avoided outside a protocol.</w:t>
      </w:r>
    </w:p>
    <w:p>
      <w:pPr>
        <w:spacing w:after="40" w:line="276"/>
        <w:ind w:left="260"/>
      </w:pPr>
      <w:r>
        <w:rPr>
          <w:color w:val="15181F"/>
          <w:sz w:val="18"/>
          <w:szCs w:val="18"/>
        </w:rPr>
        <w:t xml:space="preserve">The position is correct, but it rests on absent survival benefit rather than on demonstrated harm, and the toxicity is the measured part. All three phase 3 trials met a progression-free survival endpoint and none has shown an overall-survival benefit. EMERALD-1 gave 15.0 versus 8.2 months (HR 0.77, 95% CI 0.61 to 0.98, P = 0.032) with durvalumab plus TACE no better than TACE alone (HR 0.94, 0.75 to 1.19), so the effect appears to come from bevacizumab with no bevacizumab-plus-TACE arm to confirm it, and its interim survival analysis was withheld. LEAP-012 gave 14.6 versus 10.0 months (HR 0.66, 0.51 to 0.84) with an interim overall-survival hazard ratio of 0.80 (0.57 to 1.11, one-sided P = 0.087 against a 0.0012 threshold) and a final registry-posted figure of 0.98; its progression definition required new intrahepatic tumours to meet LI-RADS 5 criteria, and without that rule the placebo median fell from 10.0 to 8.4 months. EMERALD-3 gave 13.0 versus 9.8 months (HR 0.70, 0.57 to 0.86) with overall survival at 40% maturity of 39.5 versus 34.7 months (HR 0.84, 0.65 to 1.09, P = 0.18) and a restricted mean survival difference of 1.48 months (minus 1.21 to 4.16). The cost is grade 3 or worse treatment-related events in 71% versus 32% in LEAP-012 and 63% versus 19% in EMERALD-3, immune-mediated events in 48%, and treatment-related deaths in 4 and 7 patients. Over 40% of each trial was outside BCLC B and none had a TACE-free arm, so the question of whether to add TACE to systemic therapy rather than the reverse is untouched. What should decide instead is tumour burden and stage, liver function, performance status, variceal status, goals of therapy, and whether the same drugs given sequentially after progression would do as well. Audit: every protocol or registry case logged with its selection rationale, grade 3 or higher toxicity and liver-function trajectory.</w:t>
      </w:r>
    </w:p>
    <w:p>
      <w:pPr>
        <w:spacing w:after="40" w:line="276"/>
        <w:ind w:left="260"/>
      </w:pPr>
      <w:r>
        <w:rPr>
          <w:color w:val="5A6069"/>
          <w:sz w:val="16"/>
          <w:szCs w:val="16"/>
        </w:rPr>
        <w:t xml:space="preserve">Sources: EMERALD-1; LEAP-012; EMERALD-3; LEAP-012 registry; EMERALD-1 registry; LEAP-012 / EMERALD-1 commentary</w:t>
      </w:r>
    </w:p>
    <w:p>
      <w:pPr>
        <w:spacing w:after="60" w:before="160"/>
      </w:pPr>
      <w:r>
        <w:rPr>
          <w:b/>
          <w:bCs/>
          <w:color w:val="8E5008"/>
          <w:sz w:val="19"/>
          <w:szCs w:val="19"/>
        </w:rPr>
        <w:t xml:space="preserve">30. </w:t>
      </w:r>
      <w:r>
        <w:rPr>
          <w:b/>
          <w:bCs/>
          <w:sz w:val="19"/>
          <w:szCs w:val="19"/>
        </w:rPr>
        <w:t xml:space="preserve">There is no adjuvant strategy after resection or ablation.</w:t>
      </w:r>
    </w:p>
    <w:p>
      <w:pPr>
        <w:spacing w:after="40" w:line="276"/>
        <w:ind w:left="260"/>
      </w:pPr>
      <w:r>
        <w:rPr>
          <w:color w:val="15181F"/>
          <w:sz w:val="18"/>
          <w:szCs w:val="18"/>
        </w:rPr>
        <w:t xml:space="preserve">That statement concerns atezolizumab plus bevacizumab in a global population, and it is correct for that question: IMbrave050 was declared positive at a first interim analysis under stopping rules assuming proportional hazards that did not hold, recurrence-free survival hazard ratio 0.72 (adjusted 95% CI 0.53 to 0.98), and the updated analysis lost it, median 33.2 versus 36.0 months, HR 0.90 (0.72 to 1.12), with overall survival numerically unfavourable (HR 1.26, 0.85 to 1.87) on 100 deaths among 668 patients, 30% crossover, grade 3 or 4 events in 36% to 41% versus 13% and grade 5 events in 6 patients (2%) versus 1. It is not a statement about every adjuvant strategy. Two Chinese randomised trials report benefit and the page is silent on them: one cycle of reduced-dose adjuvant TACE after resection of high-risk HBV-related HCC gave 3-year recurrence-free survival of 56.0% versus 42.1% (HR 0.68, 95% CI 0.49 to 0.93) and overall survival of 85.2% versus 77.4% (HR 0.59, 0.36 to 0.97) on 64 deaths, in 280 of 1,393 consecutive resections at one centre with an unblinded surveillance control that never had the extra angiogram; adjuvant FOLFOX hepatic arterial infusion for microvascular invasion gave median disease-free survival of 20.3 versus 10.0 months (HR 0.59, 0.43 to 0.81) with overall survival not significant (HR 0.64, 0.36 to 1.14) on 47 deaths, and microvascular invasion was neither graded nor used for stratification. What should decide instead is whether the patient resembles the trial populations at all, the recurrence risk recorded at resection, surveillance intensity, and trial availability. Audit: recurrence detected on surveillance and the proportion salvaged with curative intent; any adjuvant therapy given outside a trial, with its rationale.</w:t>
      </w:r>
    </w:p>
    <w:p>
      <w:pPr>
        <w:spacing w:after="40" w:line="276"/>
        <w:ind w:left="260"/>
      </w:pPr>
      <w:r>
        <w:rPr>
          <w:color w:val="5A6069"/>
          <w:sz w:val="16"/>
          <w:szCs w:val="16"/>
        </w:rPr>
        <w:t xml:space="preserve">Sources: IMbrave050; IMbrave050 update</w:t>
      </w:r>
    </w:p>
    <w:p>
      <w:pPr>
        <w:spacing w:after="60" w:before="160"/>
      </w:pPr>
      <w:r>
        <w:rPr>
          <w:b/>
          <w:bCs/>
          <w:color w:val="8E5008"/>
          <w:sz w:val="19"/>
          <w:szCs w:val="19"/>
        </w:rPr>
        <w:t xml:space="preserve">31. </w:t>
      </w:r>
      <w:r>
        <w:rPr>
          <w:b/>
          <w:bCs/>
          <w:sz w:val="19"/>
          <w:szCs w:val="19"/>
        </w:rPr>
        <w:t xml:space="preserve">Hepatic arterial infusion is trial-only because the evidence is immature.</w:t>
      </w:r>
    </w:p>
    <w:p>
      <w:pPr>
        <w:spacing w:after="40" w:line="276"/>
        <w:ind w:left="260"/>
      </w:pPr>
      <w:r>
        <w:rPr>
          <w:color w:val="15181F"/>
          <w:sz w:val="18"/>
          <w:szCs w:val="18"/>
        </w:rPr>
        <w:t xml:space="preserve">The randomised evidence is not immature; it is geographically narrow and partly a conversion-surgery effect. FOHAIC-1 gave median overall survival of 13.9 versus 8.2 months against sorafenib (HR 0.408, 95% CI 0.301 to 0.552) at a single Chinese centre, 92% hepatitis B, median tumour 11.2 cm. Against conventional TACE in large HCC, FOLFOX infusion gave 23.1 versus 16.1 months (HR 0.58, 0.45 to 0.75), but 24% of that arm went on to curative resection versus 12%, and the authors concede the gap would be narrower without prompt resection. Added to sorafenib in portal vein invasion it gave 13.37 versus 7.13 months (HR 0.35, 0.26 to 0.48), with 16 of 125 patients resected versus 1. Every trial is Chinese, open-label, predominantly hepatitis B, and the comparators are sorafenib or conventional TACE; the technique needed a median of 2 catheter-tip repositionings per cycle and collateral re-embolisation in 54% of patients, and the investigators argue this is why it succeeded where implanted-port trials failed. What should decide instead is whether a conversion-to-surgery goal is declared and realistic, interventional capacity for repeated catheterisation, and whether a first-line systemic combination is being displaced. Audit: every HAIC case with a named goal, the number of cycles delivered, and whether resection followed.</w:t>
      </w:r>
    </w:p>
    <w:p>
      <w:pPr>
        <w:spacing w:after="40" w:line="276"/>
        <w:ind w:left="260"/>
      </w:pPr>
      <w:r>
        <w:rPr>
          <w:color w:val="5A6069"/>
          <w:sz w:val="16"/>
          <w:szCs w:val="16"/>
        </w:rPr>
        <w:t xml:space="preserve">Sources: FOHAIC-1</w:t>
      </w:r>
    </w:p>
    <w:p>
      <w:pPr>
        <w:spacing w:after="60" w:before="160"/>
      </w:pPr>
      <w:r>
        <w:rPr>
          <w:b/>
          <w:bCs/>
          <w:color w:val="8E5008"/>
          <w:sz w:val="19"/>
          <w:szCs w:val="19"/>
        </w:rPr>
        <w:t xml:space="preserve">32. </w:t>
      </w:r>
      <w:r>
        <w:rPr>
          <w:b/>
          <w:bCs/>
          <w:sz w:val="19"/>
          <w:szCs w:val="19"/>
        </w:rPr>
        <w:t xml:space="preserve">A fixed two-session TACE failure threshold is not a universal rule.</w:t>
      </w:r>
    </w:p>
    <w:p>
      <w:pPr>
        <w:spacing w:after="40" w:line="276"/>
        <w:ind w:left="260"/>
      </w:pPr>
      <w:r>
        <w:rPr>
          <w:color w:val="15181F"/>
          <w:sz w:val="18"/>
          <w:szCs w:val="18"/>
        </w:rPr>
        <w:t xml:space="preserve">A pragmatic consensus threshold, not a validated rule; published TACE-refractoriness definitions differ. EASL states that after one or two consecutive TACEs without response other therapies should be considered, at level of evidence 3, and no study has compared switching at a fixed session count with reassessing after each session. v0.8 withdrew the fixed rule in favour of reassessment after each session. What should decide instead is selectivity achieved, response pattern, liver-function trajectory, remaining downstaging goal. Audit: outcomes of patients switched at two sessions versus continued.</w:t>
      </w:r>
    </w:p>
    <w:p>
      <w:pPr>
        <w:spacing w:after="40" w:line="276"/>
        <w:ind w:left="260"/>
      </w:pPr>
      <w:r>
        <w:rPr>
          <w:color w:val="5A6069"/>
          <w:sz w:val="16"/>
          <w:szCs w:val="16"/>
        </w:rPr>
        <w:t xml:space="preserve">Sources: EASL 2025</w:t>
      </w:r>
    </w:p>
    <w:p>
      <w:pPr>
        <w:spacing w:after="60" w:before="160"/>
      </w:pPr>
      <w:r>
        <w:rPr>
          <w:b/>
          <w:bCs/>
          <w:color w:val="8E5008"/>
          <w:sz w:val="19"/>
          <w:szCs w:val="19"/>
        </w:rPr>
        <w:t xml:space="preserve">33. </w:t>
      </w:r>
      <w:r>
        <w:rPr>
          <w:b/>
          <w:bCs/>
          <w:sz w:val="19"/>
          <w:szCs w:val="19"/>
        </w:rPr>
        <w:t xml:space="preserve">Bridging therapy on the waiting list reduces dropout, and the modality does not matter.</w:t>
      </w:r>
    </w:p>
    <w:p>
      <w:pPr>
        <w:spacing w:after="40" w:line="276"/>
        <w:ind w:left="260"/>
      </w:pPr>
      <w:r>
        <w:rPr>
          <w:color w:val="15181F"/>
          <w:sz w:val="18"/>
          <w:szCs w:val="18"/>
        </w:rPr>
        <w:t xml:space="preserve">The only comparative series is a single-centre retrospective intention-to-treat analysis in which the arms were not comparable and SBRT was by design reserved for patients who could not have TACE or RFA. Dropout was 6 of 36 (16.7%) after SBRT, 20 of 99 (20.2%) after TACE and 41 of 244 (16.8%) after RFA (P = 0.7), but only 13 of 36 SBRT patients (36.1%) and 22 of 99 TACE patients (22.7%) were within Milan against 214 of 244 RFA patients (87.7%), and the SBRT arm had higher MELD and worse Child-Pugh. Explant complete necrosis was 4 of 30 (13.3%) after SBRT versus 17 of 70 (24.3%) after TACE and 87 of 177 (49.2%) after RFA (P below 0.001), and liver function deteriorated after SBRT in 38.9% versus 19.4% and 13.0%. With 6 dropouts in the SBRT arm the study is underpowered for its own endpoint and the authors read it as feasibility, not equivalence. No trial has compared bridging with no bridging. What should decide instead is expected waiting time, liver function, whether the tumour is the threat to listing or the cirrhosis is, and what the explant is likely to show. Audit: waitlist dropout and explant necrosis by bridging modality; number of locoregional procedures before transplant.</w:t>
      </w:r>
    </w:p>
    <w:p>
      <w:pPr>
        <w:spacing w:after="60" w:before="160"/>
      </w:pPr>
      <w:r>
        <w:rPr>
          <w:b/>
          <w:bCs/>
          <w:color w:val="8E5008"/>
          <w:sz w:val="19"/>
          <w:szCs w:val="19"/>
        </w:rPr>
        <w:t xml:space="preserve">34. </w:t>
      </w:r>
      <w:r>
        <w:rPr>
          <w:b/>
          <w:bCs/>
          <w:sz w:val="19"/>
          <w:szCs w:val="19"/>
        </w:rPr>
        <w:t xml:space="preserve">An approximate 10 to 12 case agenda cap improves decision quality.</w:t>
      </w:r>
    </w:p>
    <w:p>
      <w:pPr>
        <w:spacing w:after="40" w:line="276"/>
        <w:ind w:left="260"/>
      </w:pPr>
      <w:r>
        <w:rPr>
          <w:color w:val="15181F"/>
          <w:sz w:val="18"/>
          <w:szCs w:val="18"/>
        </w:rPr>
        <w:t xml:space="preserve">An operational judgement with no comparative outcome evidence. The same applies to the quality targets on this page: the 90% and 95% thresholds, the one-business-day urgent triage standard and the three-procedure investigation trigger are all chosen rather than derived, and the curative-first discipline measure is new and was previously unmeasured. What should decide instead is case complexity mix, attendance, available time, urgent-lane volume. Audit: decision completeness and deferral rate by agenda length.</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Who is the accountable system HCC pathway owner, and who chairs the tumour board neutrally?</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conference is required to produce one recommendation, one accountable owner, one due date and one reassessment plan; without a named pathway owner and a chair with no stake in the modality chosen, the synthesis step has nobody to perform it.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the Epic submission form, the MDT note template, the registry minimum dataset and the urgent-case rule approved as written?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BCLC stage, the liver scores, AFP and the curative-assessment fields are what the whole pathway is built on, so they have to be captured at submission rather than reconstructed afterwards. Programme operations owns the registry dataset and who is accountable for entry.</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are the modality-specific liver-function and dosimetry thresholds, rather than one universal bilirubin cut-off?</w:t>
            </w:r>
          </w:p>
        </w:tc>
        <w:tc>
          <w:tcPr>
            <w:tcW w:type="dxa" w:w="4740"/>
            <w:tcMar>
              <w:top w:type="dxa" w:w="70"/>
              <w:left w:type="dxa" w:w="110"/>
              <w:bottom w:type="dxa" w:w="70"/>
              <w:right w:type="dxa" w:w="110"/>
            </w:tcMar>
            <w:vAlign w:val="top"/>
          </w:tcPr>
          <w:p>
            <w:pPr>
              <w:spacing w:after="0" w:line="276"/>
            </w:pPr>
            <w:r>
              <w:rPr>
                <w:color w:val="15181F"/>
                <w:sz w:val="17"/>
                <w:szCs w:val="17"/>
              </w:rPr>
              <w:t xml:space="preserve">Each locoregional modality fails the liver in a different way, so hepatology must set the Child-Pugh, ALBI and MELD thresholds that bar each one, and interventional radiology the dosimetry limits. A single bilirubin number cannot carry that work.</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the locoregional selector and the stop-and-switch rules ratified jointly, in the exact wording of the document?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selector is the page's operative content and it crosses six specialties; a concept everyone agrees with and a table nobody has signed is not a ratified pathway. Hepatobiliary and transplant surgery, hepatology, interventional radiology, radiation oncology, diagnostic radiology and medical oncology each own part of it.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reading of resection in clinically significant portal hypertension does this programme adopt?</w:t>
            </w:r>
          </w:p>
        </w:tc>
        <w:tc>
          <w:tcPr>
            <w:tcW w:type="dxa" w:w="4740"/>
            <w:tcMar>
              <w:top w:type="dxa" w:w="70"/>
              <w:left w:type="dxa" w:w="110"/>
              <w:bottom w:type="dxa" w:w="70"/>
              <w:right w:type="dxa" w:w="110"/>
            </w:tcMar>
            <w:vAlign w:val="top"/>
          </w:tcPr>
          <w:p>
            <w:pPr>
              <w:spacing w:after="0" w:line="276"/>
            </w:pPr>
            <w:r>
              <w:rPr>
                <w:color w:val="15181F"/>
                <w:sz w:val="17"/>
                <w:szCs w:val="17"/>
              </w:rPr>
              <w:t xml:space="preserve">BCLC holds that with CSPH resection carries significant risk and transplantation offers better survival; the only randomised test, in 160 hepatitis B patients within Milan, found no significant difference and its authors call resection safe. Leaving both readings side by side lets each board choose its own, which is not a pathway.</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May a non-invasive Baveno VIII rule-in or rule-out stand in for HVPG when the resection decision turns on portal pressure?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Baveno VIII HCC statements are new, graded level of evidence 3 with weak strength, and the thresholds are device- and technique-specific and unvalidated in obese MASLD. Recording the criterion used, its value and its date must be a condition of proposing resection, because “no portal hypertension” without a stated basis is the most common way this decision is made on incomplete information.</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Can a large spontaneous portosystemic shunt lower measured HVPG enough to make a sub-10 mmHg value unreliable?</w:t>
            </w:r>
          </w:p>
        </w:tc>
        <w:tc>
          <w:tcPr>
            <w:tcW w:type="dxa" w:w="4740"/>
            <w:tcMar>
              <w:top w:type="dxa" w:w="70"/>
              <w:left w:type="dxa" w:w="110"/>
              <w:bottom w:type="dxa" w:w="70"/>
              <w:right w:type="dxa" w:w="110"/>
            </w:tcMar>
            <w:vAlign w:val="top"/>
          </w:tcPr>
          <w:p>
            <w:pPr>
              <w:spacing w:after="0" w:line="276"/>
            </w:pPr>
            <w:r>
              <w:rPr>
                <w:color w:val="15181F"/>
                <w:sz w:val="17"/>
                <w:szCs w:val="17"/>
              </w:rPr>
              <w:t xml:space="preserve">This is a physiological concern raised in practice that the roadmap has not verified against a primary source, and it decides whether a reassuring HVPG can be trusted in a patient with a shunt on staging CT. Hepatology has to rule on it before a sub-10 value is treated as reassuring.</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May radiation segmentectomy be offered as a definitive curative-intent option on single-arm evidence, above what tumour size may it not, and is personalised dosimetry required before it is described that way?</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evidence is single-arm with imaging endpoints: RASER treated 29 patients and LEGACY is retrospective with 28% going on to transplant or resection, so its survival cannot be attributed to the radiation. The page grades it C rather than B, and what that implies for consent has to be settled before the word curative is used.</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this roadmap adopt the BCLC 2026 preference for microwave over radiofrequency up to 3 to 4 cm, and is that preference stated as operational rather than outcome-based?</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one randomised comparison was a superiority trial that did not show superiority and did not test non-inferiority, at a mean lesion size of 18 mm with only 11 lesions in the 3 to 4 cm range the preference is argued for. Calling it operational is accurate; calling it outcome-based is not.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this roadmap adopt the BCLC 2026 placement of external beam radiotherapy as an ablative alternative in BCLC 0 and A?</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supporting survival figures come from a retrospective multinational individual-patient cohort of 30 of 96 eligible centres, selected because they had published favourable outcomes, with no resection, ablation or TACE arm and a formally violated proportional hazards assumption. Radiation oncology must agree what grade that supports.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AFP rule actually binds listing at this centre?</w:t>
            </w:r>
          </w:p>
        </w:tc>
        <w:tc>
          <w:tcPr>
            <w:tcW w:type="dxa" w:w="4740"/>
            <w:tcMar>
              <w:top w:type="dxa" w:w="70"/>
              <w:left w:type="dxa" w:w="110"/>
              <w:bottom w:type="dxa" w:w="70"/>
              <w:right w:type="dxa" w:w="110"/>
            </w:tcMar>
            <w:vAlign w:val="top"/>
          </w:tcPr>
          <w:p>
            <w:pPr>
              <w:spacing w:after="0" w:line="276"/>
            </w:pPr>
            <w:r>
              <w:rPr>
                <w:color w:val="15181F"/>
                <w:sz w:val="17"/>
                <w:szCs w:val="17"/>
              </w:rPr>
              <w:t xml:space="preserve">OPTN and AASLD allow listing once an AFP of 1,000 ng/mL or more falls below 500, while EASL treats an AFP above 1,000 as an absolute contraindication requiring three months at or below 1,000. Two incompatible rules cannot both govern the same listing decision, and transplant surgery must also name who monitors it.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histotripsy begin as trial-only or registry-only, and under what credentialing, target criteria, consent language and outcome review cadence?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pivotal trial met a technical endpoint in a population no tumour board would send for ablation: only 18 of 44 participants had HCC, none of the tumours were in segments VII or VIII, and the one-year local control is 63.4% on the prespecified core-laboratory read against 90% post hoc. The registry must record the prespecified read, not the post hoc one.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TACE combined with checkpoint inhibitors protocol-only until an overall-survival benefit is demonstrated, and are the trial toxicity rates part of the consent conversation?</w:t>
            </w:r>
          </w:p>
        </w:tc>
        <w:tc>
          <w:tcPr>
            <w:tcW w:type="dxa" w:w="4740"/>
            <w:tcMar>
              <w:top w:type="dxa" w:w="70"/>
              <w:left w:type="dxa" w:w="110"/>
              <w:bottom w:type="dxa" w:w="70"/>
              <w:right w:type="dxa" w:w="110"/>
            </w:tcMar>
            <w:vAlign w:val="top"/>
          </w:tcPr>
          <w:p>
            <w:pPr>
              <w:spacing w:after="0" w:line="276"/>
            </w:pPr>
            <w:r>
              <w:rPr>
                <w:color w:val="15181F"/>
                <w:sz w:val="17"/>
                <w:szCs w:val="17"/>
              </w:rPr>
              <w:t xml:space="preserve">All three phase 3 trials met a progression-free survival endpoint and none has shown an overall-survival benefit, while grade 3 or worse treatment-related events ran at 71% against 32% and 63% against 19%, with immune-mediated events in 48% and treatment-related deaths in both trials. The position is defensible on absent benefit, not on demonstrated harm, so the trigger to re-review has to be named too.</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any adjuvant locoregional therapy, TACE or hepatic arterial infusion, offered after high-risk resection?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AASLD statement against adjuvant therapy concerns atezolizumab plus bevacizumab, whose recurrence-free survival signal was lost on updated analysis; it is not a statement about every adjuvant strategy. The two randomised adjuvant locoregional trials that do report benefit are single-country hepatitis B populations with unblinded controls, so whether they apply here is a local judgement.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15</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pre-transplant checkpoint-inhibitor washout is required, through what approval route, and is local transplant policy at least as strict as OPTN policy?</w:t>
            </w:r>
          </w:p>
        </w:tc>
        <w:tc>
          <w:tcPr>
            <w:tcW w:type="dxa" w:w="4740"/>
            <w:tcMar>
              <w:top w:type="dxa" w:w="70"/>
              <w:left w:type="dxa" w:w="110"/>
              <w:bottom w:type="dxa" w:w="70"/>
              <w:right w:type="dxa" w:w="110"/>
            </w:tcMar>
            <w:vAlign w:val="top"/>
          </w:tcPr>
          <w:p>
            <w:pPr>
              <w:spacing w:after="0" w:line="276"/>
            </w:pPr>
            <w:r>
              <w:t xml:space="preserve">The earlier 52-patient review concerns ICI AFTER LT and cannot define a pre-LT washout. Pre-LT cohorts provide observational timing evidence, not a universally safe cutoff. Agree the plan before the first dose and record last exposure, proposed interval, urgency, alternatives and transplant-governance approval. The transplant protocol’s OPEN decision remains controlling.</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EwPC9SZWNOdW0+PERpc3BsYXlUZXh0PltWMTYtMTBdPC9EaXNwbGF5VGV4dD48cmVjb3JkPjxyZWMtbnVtYmVyPjEwPC9yZWMtbnVtYmVyPjxmb3JlaWduLWtleXM+PGtleSBhcHA9IkVOIiBkYi1pZD0iMmIyODc0OTUtYTJjNy01NGMyLTgzNzgtNjI4ZDBmNTI5YjliIiB0aW1lc3RhbXA9IjE3OTMyODM2ODkiPjEw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TE8L1JlY051bT48RGlzcGxheVRleHQ+W1YxNi0xMV08L0Rpc3BsYXlUZXh0PjxyZWNvcmQ+PHJlYy1udW1iZXI+MTE8L3JlYy1udW1iZXI+PGZvcmVpZ24ta2V5cz48a2V5IGFwcD0iRU4iIGRiLWlkPSIyYjI4NzQ5NS1hMmM3LTU0YzItODM3OC02MjhkMGY1MjliOWIiIHRpbWVzdGFtcD0iMTc5MzI4MzY4OSI+MTE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May SBRT be used as a transplant bridge, and who adjudicates the choice of bridging modality?</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In the only comparative series explant complete necrosis was 13.3% after SBRT against 24.3% after TACE and 49.2% after radiofrequency ablation, with liver function deteriorating in 38.9% against 19.4% and 13.0% — but SBRT was reserved by design for patients who could not have the other two, so the arms are not comparable. Someone has to own the choice rather than let availability decide it.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17</w:t>
            </w:r>
          </w:p>
        </w:tc>
        <w:tc>
          <w:tcPr>
            <w:tcW w:type="dxa" w:w="4100"/>
            <w:tcMar>
              <w:top w:type="dxa" w:w="70"/>
              <w:left w:type="dxa" w:w="110"/>
              <w:bottom w:type="dxa" w:w="70"/>
              <w:right w:type="dxa" w:w="110"/>
            </w:tcMar>
            <w:vAlign w:val="top"/>
          </w:tcPr>
          <w:p>
            <w:pPr>
              <w:spacing w:after="0" w:line="276"/>
            </w:pPr>
            <w:r>
              <w:rPr>
                <w:color w:val="15181F"/>
                <w:sz w:val="17"/>
                <w:szCs w:val="17"/>
              </w:rPr>
              <w:t xml:space="preserve">Who owns the response-assessment call, which LI-RADS treatment-response algorithm applies after radiation-based therapy, and how is a discordant read resolved?</w:t>
            </w:r>
          </w:p>
        </w:tc>
        <w:tc>
          <w:tcPr>
            <w:tcW w:type="dxa" w:w="4740"/>
            <w:tcMar>
              <w:top w:type="dxa" w:w="70"/>
              <w:left w:type="dxa" w:w="110"/>
              <w:bottom w:type="dxa" w:w="70"/>
              <w:right w:type="dxa" w:w="110"/>
            </w:tcMar>
            <w:vAlign w:val="top"/>
          </w:tcPr>
          <w:p>
            <w:pPr>
              <w:spacing w:after="0" w:line="276"/>
            </w:pPr>
            <w:r>
              <w:rPr>
                <w:color w:val="15181F"/>
                <w:sz w:val="17"/>
                <w:szCs w:val="17"/>
              </w:rPr>
              <w:t xml:space="preserve">Applying the nonradiation algorithm after radioembolisation or SBRT turns expected delayed necrosis into a false call of residual tumour, and it is a recurring and consequential error in this pathway. The treatment-response algorithms have no outcome validation at all, so the owner and the tie-break rule are the only controls available.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Are the 90% and 95% quality thresholds, the one-business-day urgent triage standard and the three-procedure investigation trigger accepted as operational judgements set for the pilot and revisable?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None of these numbers is derived from comparative outcome evidence; they were chosen, and the curative-first discipline measure is new and was previously unmeasured. Agreeing that openly is what keeps them auditable for adherence rather than quoted as effectiveness targets.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19</w:t>
            </w:r>
          </w:p>
        </w:tc>
        <w:tc>
          <w:tcPr>
            <w:tcW w:type="dxa" w:w="4100"/>
            <w:tcMar>
              <w:top w:type="dxa" w:w="70"/>
              <w:left w:type="dxa" w:w="110"/>
              <w:bottom w:type="dxa" w:w="70"/>
              <w:right w:type="dxa" w:w="110"/>
            </w:tcMar>
            <w:vAlign w:val="top"/>
          </w:tcPr>
          <w:p>
            <w:pPr>
              <w:spacing w:after="0" w:line="276"/>
            </w:pPr>
            <w:r>
              <w:rPr>
                <w:color w:val="15181F"/>
                <w:sz w:val="17"/>
                <w:szCs w:val="17"/>
              </w:rPr>
              <w:t xml:space="preserve">Who owns re-verifying OPTN Policy 9 criteria, drug labelling and device authorisations against this document, and by what calendar date?</w:t>
            </w:r>
          </w:p>
        </w:tc>
        <w:tc>
          <w:tcPr>
            <w:tcW w:type="dxa" w:w="4740"/>
            <w:tcMar>
              <w:top w:type="dxa" w:w="70"/>
              <w:left w:type="dxa" w:w="110"/>
              <w:bottom w:type="dxa" w:w="70"/>
              <w:right w:type="dxa" w:w="110"/>
            </w:tcMar>
            <w:vAlign w:val="top"/>
          </w:tcPr>
          <w:p>
            <w:pPr>
              <w:spacing w:after="0" w:line="276"/>
            </w:pPr>
            <w:r>
              <w:rPr>
                <w:color w:val="15181F"/>
                <w:sz w:val="17"/>
                <w:szCs w:val="17"/>
              </w:rPr>
              <w:t xml:space="preserve">OPTN policy is binding and changes without notice to this document, and every numeric criterion must be re-verified against the current Policy 9 text before it is applied to a listing decision. Without a named owner and a date, the page silently goes stale.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the pathway piloted for 90 days and audited over 20 consecutive cases before it is approved as a clinical practice guideline?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page is a draft for multidisciplinary and institutional governance review, not active clinical policy, and the operating requirements are evidence grade D by construction. A pilot with a fixed audit is what converts a stakeholder-derived document into something that can be approved.</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Content is taken from the Memorial Hermann Adult Hepatocellular Carcinoma System Roadmap, draft v0.8 (Batch 07, evidence-audit corrections, 4 October 2026), and converted to the shared pathway schema on 7 October 2026 (Batch 08) so that this page and its document set are driven by one file. The five units here are BCLC stages rather than sequential gates: stage assignment is itself the decision tree, and performance status and spread are settled before tumour burden is asked. The liver-directed matrix and its 79 references come from LRT_Evidence_Matrix in the same batch, where every PMID was verified against PubMed on 3 October 2026; 78 of those 79 now have a full text in Ref_Depot_LRT, 53 of them downloaded through the TMC resolver and filed on 5 October, each identified from its own full text rather than its download file name. The last, Ng 2017 (Br J Surg, PMID 29091283), was obtained and read in full on 29 October 2026. Batch 08: all 71 papers in the HCC depot were read in full and abstracted, each with the limitations the authors state themselves and an independent critique of what the text supports but the authors do not raise. The ‘what we do that is not evidence based’ table was rebuilt against those abstracts and grew from 6 statements to 34, and the ratification list from 9 items to 20. Nothing was removed from the pathway: where the full-text read weakened the basis for a position, the position stands and the table says how well supported it actually is. Batch 07 had already changed 14 HCC statements — 4 discrepant, 10 partly matching, across 29 text edits — and the ablation, SBRT, HAIC, Y-90, TACE-plus-immunotherapy and first-line systemic rows were reworded where a one-line evidence string had carried only the favourable half of a result. Quoted NCCN positions are from Hepatocellular Carcinoma v2.2026 (14 August 2026) with original PDF page numbers. OPTN criteria are from Policy 9.5.I and Policy 9.4.C–E, checked 1 October 2026; OPTN policy is binding and changes without notice to this document, while the Adult MELD Exceptions for Transplant Oncology document is review-board guidance and not policy. The Child-Pugh, ECOG and LI-RADS tables in the quick reference are standard reference material rather than roadmap content, and must be verified against the ACR CT/MRI LI-RADS v2018 core and v2024 treatment-response algorithms before they are used for reporting. Status: draft for multidisciplinary and institutional governance review. Not active clinical policy. It does not replace clinician judgement, current drug labelling, OPTN policy, or patient-specific informed consent. Every criterion drawn from OPTN policy, drug labelling or device authorisation must be re-verified against the current source at implementation and at each scheduled review, and clinical transplant candidacy and allocation eligibility remain separate judgements.</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bookmarkStart w:id="16010" w:name="HCC_R1"/>
      <w:r>
        <w:t xml:space="preserve">HCC-R1 — Liver treatment after extrahepatic disease responds</w:t>
      </w:r>
      <w:bookmarkEnd w:id="16010"/>
    </w:p>
    <w:p>
      <w:pPr>
        <w:pStyle w:val="Normal"/>
        <w:widowControl/>
        <w:spacing w:after="120"/>
      </w:pPr>
      <w:r>
        <w:t xml:space="preserve">Status: Proposed; MDT selection. OPEN proposal for multidisciplinary review; not activated.</w:t>
      </w:r>
    </w:p>
    <w:p>
      <w:pPr>
        <w:pStyle w:val="Normal"/>
        <w:widowControl/>
        <w:spacing w:after="120"/>
      </w:pPr>
      <w:r>
        <w:t xml:space="preserve">Question: After extrahepatic HCC responds to systemic therapy or is treated locally, when should resection or ablation of the liver tumor be offered?</w:t>
      </w:r>
    </w:p>
    <w:p>
      <w:pPr>
        <w:pStyle w:val="Normal"/>
        <w:widowControl/>
        <w:spacing w:after="120"/>
      </w:pPr>
      <w:r>
        <w:t xml:space="preserve">Proposed position (OPEN): Offer curative-intent liver resection or ablation, with treatment of every residual extrahepatic site, only to selected patients after MDT review, and present it as life-prolonging multimodal therapy, not cure. Use the JLCA definition of localized extrahepatic spread; all other extrahepatic disease stays systemic-therapy-led. This roadmap position does not open transplantation (HCC-B5).</w:t>
      </w:r>
    </w:p>
    <w:p>
      <w:pPr>
        <w:pStyle w:val="Heading3"/>
        <w:widowControl/>
        <w:keepNext/>
      </w:pPr>
      <w:r>
        <w:t xml:space="preserve">Proposed rules</w:t>
      </w:r>
    </w:p>
    <w:p>
      <w:pPr>
        <w:pStyle w:val="Normal"/>
        <w:widowControl/>
        <w:spacing w:after="120"/>
        <w:numPr>
          <w:ilvl w:val="0"/>
          <w:numId w:val="6"/>
        </w:numPr>
      </w:pPr>
      <w:r>
        <w:t xml:space="preserve">Localized extrahepatic spread (JLCA 2023, BR1): a solitary node at station 3, 8 or 12; localized peritoneal disease (P1); a unilateral adrenal metastasis; or a few lung metastases. All other extrahepatic disease is BR2: benefit of surgery uncertain.</w:t>
      </w:r>
    </w:p>
    <w:p>
      <w:pPr>
        <w:pStyle w:val="Normal"/>
        <w:widowControl/>
        <w:spacing w:after="120"/>
        <w:numPr>
          <w:ilvl w:val="0"/>
          <w:numId w:val="6"/>
        </w:numPr>
      </w:pPr>
      <w:r>
        <w:t xml:space="preserve">Before surgery: response or stable disease of every extrahepatic site on serial imaging, no new lesions, current whole-body staging, every intrahepatic and extrahepatic site treatable (resection, ablation or stereotactic radiotherapy), adequate liver reserve, ECOG 0–1. No guideline sets the interval; the MDT records the interval it uses.</w:t>
      </w:r>
    </w:p>
    <w:p>
      <w:pPr>
        <w:pStyle w:val="Normal"/>
        <w:widowControl/>
        <w:spacing w:after="120"/>
        <w:numPr>
          <w:ilvl w:val="0"/>
          <w:numId w:val="6"/>
        </w:numPr>
      </w:pPr>
      <w:r>
        <w:t xml:space="preserve">AASLD 2023 does not support systemic therapy before resection outside trials. Record the decision as an MDT exception or enroll in a study or registry; plan continued systemic therapy and surveillance.</w:t>
      </w:r>
    </w:p>
    <w:p>
      <w:pPr>
        <w:pStyle w:val="Normal"/>
        <w:widowControl/>
        <w:spacing w:after="120"/>
        <w:numPr>
          <w:ilvl w:val="0"/>
          <w:numId w:val="6"/>
        </w:numPr>
      </w:pPr>
      <w:r>
        <w:t xml:space="preserve">Counsel that recurrence is the rule: after stereotactic radiotherapy to oligometastases, 2-year progression-free survival was 0%; after borderline-resectable surgery, 3-year recurrence-free survival was 19.7%.</w:t>
      </w:r>
    </w:p>
    <w:p>
      <w:pPr>
        <w:pStyle w:val="Normal"/>
        <w:widowControl/>
        <w:spacing w:after="120"/>
      </w:pPr>
      <w:r>
        <w:t xml:space="preserve">Why: National and multicentre cohorts associate surgery after response with longer survival, but every comparison is biased toward the operated patients. JLCA gives the only explicit definition of the limited extrahepatic disease for which surgery may help.</w:t>
      </w:r>
    </w:p>
    <w:p>
      <w:pPr>
        <w:pStyle w:val="Heading3"/>
        <w:widowControl/>
        <w:keepNext/>
      </w:pPr>
      <w:r>
        <w:t xml:space="preserve">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Source</w:t>
            </w:r>
          </w:p>
        </w:tc>
        <w:tc>
          <w:tcPr>
            <w:tcW w:w="4000"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4180"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JLCA/JSHBPS 2023 resectability consensus (Akahoshi 2024)</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Japanese expert consensus on oncological resectability (17 panelists). Statement 9 (15/17): extrahepatic spread is basically BR2; localized spread could be BR1 (solitary node at station 3, 8 or 12; P1 peritoneum; unilateral adrenal; few lung metastases).</w:t>
            </w:r>
          </w:p>
        </w:tc>
        <w:tc>
          <w:tcPr>
            <w:tcW w:w="4180" w:type="dxa"/>
            <w:vAlign w:val="top"/>
            <w:shd w:fill="F1F5F8"/>
          </w:tcPr>
          <w:p>
            <w:pPr>
              <w:pStyle w:val="Normal"/>
              <w:widowControl/>
              <w:spacing w:after="55" w:line="240" w:lineRule="auto"/>
              <w:keepNext w:val="0"/>
              <w:keepLines/>
            </w:pPr>
            <w:r>
              <w:rPr>
                <w:sz w:val="21"/>
                <w:szCs w:val="21"/>
              </w:rPr>
              <w:t xml:space="preserve">Results: Cites 5-year survival of 29.5% after resection of node-positive HCC and 27–66% after lung metastasectomy.</w:t>
            </w:r>
          </w:p>
          <w:p>
            <w:pPr>
              <w:pStyle w:val="Normal"/>
              <w:widowControl/>
              <w:spacing w:after="55" w:line="240" w:lineRule="auto"/>
              <w:keepNext w:val="0"/>
              <w:keepLines/>
            </w:pPr>
            <w:r>
              <w:rPr>
                <w:sz w:val="21"/>
                <w:szCs w:val="21"/>
              </w:rPr>
              <w:t xml:space="preserve">Limits: Surgeon-only panel; a classification, not a treatment recommendation; permissive (“could be”); no response or interval criteria.</w:t>
            </w:r>
          </w:p>
          <w:p>
            <w:pPr>
              <w:pStyle w:val="Normal"/>
              <w:widowControl/>
              <w:spacing w:after="55" w:line="240" w:lineRule="auto"/>
              <w:keepNext w:val="0"/>
              <w:keepLines/>
            </w:pPr>
            <w:r>
              <w:rPr>
                <w:sz w:val="21"/>
                <w:szCs w:val="21"/>
              </w:rPr>
              <w:t xml:space="preserve">Liver Cancer 2024; Statement 9 and summary.</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E1OS8wMDA1Mzg2Mjc8L3VybD48L3JlbGF0ZWQtdXJscz48L3VybHM+PC9yZWNvcmQ+PC9DaXRlPjwvRW5kTm90ZT4=</w:fldData>
              </w:fldChar>
            </w:r>
            <w:r>
              <w:instrText xml:space="preserve"> ADDIN EN.CITE.DATA </w:instrText>
            </w:r>
            <w:r>
              <w:fldChar w:fldCharType="end"/>
            </w:r>
            <w:r>
              <w:fldChar w:fldCharType="separate"/>
            </w:r>
            <w:r>
              <w:t xml:space="preserve">[V16-39]</w:t>
            </w:r>
            <w:r>
              <w:fldChar w:fldCharType="end"/>
            </w:r>
            <w:r>
              <w:br/>
            </w:r>
            <w:hyperlink r:id="rId414">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Zhang 2024 · surgery after response with EHD</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15-centre cohort, 150 patients with extrahepatic metastases whose intrahepatic tumor reached partial or complete response (mRECIST). Only 8 of 26 operated patients had their metastases removed; 85% had partial (not complete) response of extrahepatic disease.</w:t>
            </w:r>
          </w:p>
        </w:tc>
        <w:tc>
          <w:tcPr>
            <w:tcW w:w="4180" w:type="dxa"/>
            <w:vAlign w:val="top"/>
            <w:shd w:fill="FFFFFF"/>
          </w:tcPr>
          <w:p>
            <w:pPr>
              <w:pStyle w:val="Normal"/>
              <w:widowControl/>
              <w:spacing w:after="55" w:line="240" w:lineRule="auto"/>
              <w:keepNext w:val="0"/>
              <w:keepLines/>
            </w:pPr>
            <w:r>
              <w:rPr>
                <w:sz w:val="21"/>
                <w:szCs w:val="21"/>
              </w:rPr>
              <w:t xml:space="preserve">Results: Median survival 16.5 vs 11.3 months from response (surgery vs none); progression-free survival not different.</w:t>
            </w:r>
          </w:p>
          <w:p>
            <w:pPr>
              <w:pStyle w:val="Normal"/>
              <w:widowControl/>
              <w:spacing w:after="55" w:line="240" w:lineRule="auto"/>
              <w:keepNext w:val="0"/>
              <w:keepLines/>
            </w:pPr>
            <w:r>
              <w:rPr>
                <w:sz w:val="21"/>
                <w:szCs w:val="21"/>
              </w:rPr>
              <w:t xml:space="preserve">Limits: Immortal-time bias; operated patients more often oligometastatic; counts inconsistent.</w:t>
            </w:r>
          </w:p>
          <w:p>
            <w:pPr>
              <w:pStyle w:val="Normal"/>
              <w:widowControl/>
              <w:spacing w:after="55" w:line="240" w:lineRule="auto"/>
              <w:keepNext w:val="0"/>
              <w:keepLines/>
            </w:pPr>
            <w:r>
              <w:rPr>
                <w:sz w:val="21"/>
                <w:szCs w:val="21"/>
              </w:rPr>
              <w:t xml:space="preserve">Sci Rep 2024;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AzOC9zNDE1OTgtMDI0LTYwMzc5LXg8L3VybD48L3JlbGF0ZWQtdXJscz48L3VybHM+PC9yZWNvcmQ+PC9DaXRlPjwvRW5kTm90ZT4=</w:fldData>
              </w:fldChar>
            </w:r>
            <w:r>
              <w:instrText xml:space="preserve"> ADDIN EN.CITE.DATA </w:instrText>
            </w:r>
            <w:r>
              <w:fldChar w:fldCharType="end"/>
            </w:r>
            <w:r>
              <w:fldChar w:fldCharType="separate"/>
            </w:r>
            <w:r>
              <w:t xml:space="preserve">[V16-40]</w:t>
            </w:r>
            <w:r>
              <w:fldChar w:fldCharType="end"/>
            </w:r>
            <w:r>
              <w:br/>
            </w:r>
            <w:hyperlink r:id="rId415">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Choi 2025 · NCDB curative treatment after ICI</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US national cancer database, 4,329 patients on first-line immunotherapy. 138 (3.2%) had curative treatment afterwards, including 15 with distant and 10 with nodal metastasis.</w:t>
            </w:r>
          </w:p>
        </w:tc>
        <w:tc>
          <w:tcPr>
            <w:tcW w:w="4180" w:type="dxa"/>
            <w:vAlign w:val="top"/>
            <w:shd w:fill="F1F5F8"/>
          </w:tcPr>
          <w:p>
            <w:pPr>
              <w:pStyle w:val="Normal"/>
              <w:widowControl/>
              <w:spacing w:after="55" w:line="240" w:lineRule="auto"/>
              <w:keepNext w:val="0"/>
              <w:keepLines/>
            </w:pPr>
            <w:r>
              <w:rPr>
                <w:sz w:val="21"/>
                <w:szCs w:val="21"/>
              </w:rPr>
              <w:t xml:space="preserve">Results: Propensity-matched HR 0.22 (0.14–0.33) for death with curative treatment.</w:t>
            </w:r>
          </w:p>
          <w:p>
            <w:pPr>
              <w:pStyle w:val="Normal"/>
              <w:widowControl/>
              <w:spacing w:after="55" w:line="240" w:lineRule="auto"/>
              <w:keepNext w:val="0"/>
              <w:keepLines/>
            </w:pPr>
            <w:r>
              <w:rPr>
                <w:sz w:val="21"/>
                <w:szCs w:val="21"/>
              </w:rPr>
              <w:t xml:space="preserve">Limits: Immortal-time bias; curative intent uncertain; modality not separated for the 15 distant and 10 nodal patients.</w:t>
            </w:r>
          </w:p>
          <w:p>
            <w:pPr>
              <w:pStyle w:val="Normal"/>
              <w:widowControl/>
              <w:spacing w:after="55" w:line="240" w:lineRule="auto"/>
              <w:keepNext w:val="0"/>
              <w:keepLines/>
            </w:pPr>
            <w:r>
              <w:rPr>
                <w:sz w:val="21"/>
                <w:szCs w:val="21"/>
              </w:rPr>
              <w:t xml:space="preserve">Liver Cancer 2025; Tables 1–3.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TU5LzAwMDU0NzIzMDwvdXJsPjwvcmVsYXRlZC11cmxzPjwvdXJscz48L3JlY29yZD48L0NpdGU+PC9FbmROb3RlPg==</w:fldData>
              </w:fldChar>
            </w:r>
            <w:r>
              <w:instrText xml:space="preserve"> ADDIN EN.CITE.DATA </w:instrText>
            </w:r>
            <w:r>
              <w:fldChar w:fldCharType="end"/>
            </w:r>
            <w:r>
              <w:fldChar w:fldCharType="separate"/>
            </w:r>
            <w:r>
              <w:t xml:space="preserve">[V16-41]</w:t>
            </w:r>
            <w:r>
              <w:fldChar w:fldCharType="end"/>
            </w:r>
            <w:r>
              <w:br/>
            </w:r>
            <w:hyperlink r:id="rId416">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Hasegawa 2014 · node-positive HCC, Japanese survey</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Japanese national survey, 14,872 resections. 112 with pathologically proven nodal metastasis.</w:t>
            </w:r>
          </w:p>
        </w:tc>
        <w:tc>
          <w:tcPr>
            <w:tcW w:w="4180" w:type="dxa"/>
            <w:vAlign w:val="top"/>
            <w:shd w:fill="FFFFFF"/>
          </w:tcPr>
          <w:p>
            <w:pPr>
              <w:pStyle w:val="Normal"/>
              <w:widowControl/>
              <w:spacing w:after="55" w:line="240" w:lineRule="auto"/>
              <w:keepNext w:val="0"/>
              <w:keepLines/>
            </w:pPr>
            <w:r>
              <w:rPr>
                <w:sz w:val="21"/>
                <w:szCs w:val="21"/>
              </w:rPr>
              <w:t xml:space="preserve">Results: 3-year survival 38.9% (nodal) vs 27.2% (distant stage IVB).</w:t>
            </w:r>
          </w:p>
          <w:p>
            <w:pPr>
              <w:pStyle w:val="Normal"/>
              <w:widowControl/>
              <w:spacing w:after="55" w:line="240" w:lineRule="auto"/>
              <w:keepNext w:val="0"/>
              <w:keepLines/>
            </w:pPr>
            <w:r>
              <w:rPr>
                <w:sz w:val="21"/>
                <w:szCs w:val="21"/>
              </w:rPr>
              <w:t xml:space="preserve">Limits: Pre-immunotherapy era; surgeon-selected patients.</w:t>
            </w:r>
          </w:p>
          <w:p>
            <w:pPr>
              <w:pStyle w:val="Normal"/>
              <w:widowControl/>
              <w:spacing w:after="55" w:line="240" w:lineRule="auto"/>
              <w:keepNext w:val="0"/>
              <w:keepLines/>
            </w:pPr>
            <w:r>
              <w:rPr>
                <w:sz w:val="21"/>
                <w:szCs w:val="21"/>
              </w:rPr>
              <w:t xml:space="preserve">Ann Surg 2014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</w:fldData>
              </w:fldChar>
            </w:r>
            <w:r>
              <w:instrText xml:space="preserve"> ADDIN EN.CITE.DATA </w:instrText>
            </w:r>
            <w:r>
              <w:fldChar w:fldCharType="end"/>
            </w:r>
            <w:r>
              <w:fldChar w:fldCharType="separate"/>
            </w:r>
            <w:r>
              <w:t xml:space="preserve">[V16-42]</w:t>
            </w:r>
            <w:r>
              <w:fldChar w:fldCharType="end"/>
            </w:r>
            <w:r>
              <w:br/>
            </w:r>
            <w:hyperlink r:id="rId417">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Midorikawa 2020 · resection of extrahepatic recurrence</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Comparison of 64 patients with extrahepatic recurrence and controlled liver disease. Nodes, adrenal, peritoneum, lung or brain; resectable.</w:t>
            </w:r>
          </w:p>
        </w:tc>
        <w:tc>
          <w:tcPr>
            <w:tcW w:w="4180" w:type="dxa"/>
            <w:vAlign w:val="top"/>
            <w:shd w:fill="F1F5F8"/>
          </w:tcPr>
          <w:p>
            <w:pPr>
              <w:pStyle w:val="Normal"/>
              <w:widowControl/>
              <w:spacing w:after="55" w:line="240" w:lineRule="auto"/>
              <w:keepNext w:val="0"/>
              <w:keepLines/>
            </w:pPr>
            <w:r>
              <w:rPr>
                <w:sz w:val="21"/>
                <w:szCs w:val="21"/>
              </w:rPr>
              <w:t xml:space="preserve">Results: 5-year survival 60.5% with resection vs 9.1% without.</w:t>
            </w:r>
          </w:p>
          <w:p>
            <w:pPr>
              <w:pStyle w:val="Normal"/>
              <w:widowControl/>
              <w:spacing w:after="55" w:line="240" w:lineRule="auto"/>
              <w:keepNext w:val="0"/>
              <w:keepLines/>
            </w:pPr>
            <w:r>
              <w:rPr>
                <w:sz w:val="21"/>
                <w:szCs w:val="21"/>
              </w:rPr>
              <w:t xml:space="preserve">Limits: Small, strongly selected, pre-immunotherapy.</w:t>
            </w:r>
          </w:p>
          <w:p>
            <w:pPr>
              <w:pStyle w:val="Normal"/>
              <w:widowControl/>
              <w:spacing w:after="55" w:line="240" w:lineRule="auto"/>
              <w:keepNext w:val="0"/>
              <w:keepLines/>
            </w:pPr>
            <w:r>
              <w:rPr>
                <w:sz w:val="21"/>
                <w:szCs w:val="21"/>
              </w:rPr>
              <w:t xml:space="preserve">Hepatol Res 2020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</w:fldData>
              </w:fldChar>
            </w:r>
            <w:r>
              <w:instrText xml:space="preserve"> ADDIN EN.CITE.DATA </w:instrText>
            </w:r>
            <w:r>
              <w:fldChar w:fldCharType="end"/>
            </w:r>
            <w:r>
              <w:fldChar w:fldCharType="separate"/>
            </w:r>
            <w:r>
              <w:t xml:space="preserve">[V16-43]</w:t>
            </w:r>
            <w:r>
              <w:fldChar w:fldCharType="end"/>
            </w:r>
            <w:r>
              <w:br/>
            </w:r>
            <w:hyperlink r:id="rId418">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Choi 2024 · SABR for oligometastatic HCC, phase II</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Phase II trial, 40 patients with controlled HCC and 1–5 metastases. Stereotactic ablative radiotherapy to all metastases.</w:t>
            </w:r>
          </w:p>
        </w:tc>
        <w:tc>
          <w:tcPr>
            <w:tcW w:w="4180" w:type="dxa"/>
            <w:vAlign w:val="top"/>
            <w:shd w:fill="FFFFFF"/>
          </w:tcPr>
          <w:p>
            <w:pPr>
              <w:pStyle w:val="Normal"/>
              <w:widowControl/>
              <w:spacing w:after="55" w:line="240" w:lineRule="auto"/>
              <w:keepNext w:val="0"/>
              <w:keepLines/>
            </w:pPr>
            <w:r>
              <w:rPr>
                <w:sz w:val="21"/>
                <w:szCs w:val="21"/>
              </w:rPr>
              <w:t xml:space="preserve">Results: 2-year survival 80%; 2-year progression-free survival 0%.</w:t>
            </w:r>
          </w:p>
          <w:p>
            <w:pPr>
              <w:pStyle w:val="Normal"/>
              <w:widowControl/>
              <w:spacing w:after="55" w:line="240" w:lineRule="auto"/>
              <w:keepNext w:val="0"/>
              <w:keepLines/>
            </w:pPr>
            <w:r>
              <w:rPr>
                <w:sz w:val="21"/>
                <w:szCs w:val="21"/>
              </w:rPr>
              <w:t xml:space="preserve">Limits: Single arm, short follow-up.</w:t>
            </w:r>
          </w:p>
          <w:p>
            <w:pPr>
              <w:pStyle w:val="Normal"/>
              <w:widowControl/>
              <w:spacing w:after="55" w:line="240" w:lineRule="auto"/>
              <w:keepNext w:val="0"/>
              <w:keepLines/>
            </w:pPr>
            <w:r>
              <w:rPr>
                <w:sz w:val="21"/>
                <w:szCs w:val="21"/>
              </w:rPr>
              <w:t xml:space="preserve">J Hepatol 2024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</w:fldData>
              </w:fldChar>
            </w:r>
            <w:r>
              <w:instrText xml:space="preserve"> ADDIN EN.CITE.DATA </w:instrText>
            </w:r>
            <w:r>
              <w:fldChar w:fldCharType="end"/>
            </w:r>
            <w:r>
              <w:fldChar w:fldCharType="separate"/>
            </w:r>
            <w:r>
              <w:t xml:space="preserve">[V16-44]</w:t>
            </w:r>
            <w:r>
              <w:fldChar w:fldCharType="end"/>
            </w:r>
            <w:r>
              <w:br/>
            </w:r>
            <w:hyperlink r:id="rId419">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Shin 2024 · lung metastasectomy vs SBRT</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Weighted comparison, 209 patients with lung oligometastases. Metastasectomy vs stereotactic radiotherapy.</w:t>
            </w:r>
          </w:p>
        </w:tc>
        <w:tc>
          <w:tcPr>
            <w:tcW w:w="4180" w:type="dxa"/>
            <w:vAlign w:val="top"/>
            <w:shd w:fill="F1F5F8"/>
          </w:tcPr>
          <w:p>
            <w:pPr>
              <w:pStyle w:val="Normal"/>
              <w:widowControl/>
              <w:spacing w:after="55" w:line="240" w:lineRule="auto"/>
              <w:keepNext w:val="0"/>
              <w:keepLines/>
            </w:pPr>
            <w:r>
              <w:rPr>
                <w:sz w:val="21"/>
                <w:szCs w:val="21"/>
              </w:rPr>
              <w:t xml:space="preserve">Results: 2-year local control 98.2% vs 97.0% (unweighted); weighted 2-year progression-free survival 23.0% vs 24.7%.</w:t>
            </w:r>
          </w:p>
          <w:p>
            <w:pPr>
              <w:pStyle w:val="Normal"/>
              <w:widowControl/>
              <w:spacing w:after="55" w:line="240" w:lineRule="auto"/>
              <w:keepNext w:val="0"/>
              <w:keepLines/>
            </w:pPr>
            <w:r>
              <w:rPr>
                <w:sz w:val="21"/>
                <w:szCs w:val="21"/>
              </w:rPr>
              <w:t xml:space="preserve">Limits: No systemic-only comparator.</w:t>
            </w:r>
          </w:p>
          <w:p>
            <w:pPr>
              <w:pStyle w:val="Normal"/>
              <w:widowControl/>
              <w:spacing w:after="55" w:line="240" w:lineRule="auto"/>
              <w:keepNext w:val="0"/>
              <w:keepLines/>
            </w:pPr>
            <w:r>
              <w:rPr>
                <w:sz w:val="21"/>
                <w:szCs w:val="21"/>
              </w:rPr>
              <w:t xml:space="preserve">Int J Radiat Oncol Biol Phys 2024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</w:fldData>
              </w:fldChar>
            </w:r>
            <w:r>
              <w:instrText xml:space="preserve"> ADDIN EN.CITE.DATA </w:instrText>
            </w:r>
            <w:r>
              <w:fldChar w:fldCharType="end"/>
            </w:r>
            <w:r>
              <w:fldChar w:fldCharType="separate"/>
            </w:r>
            <w:r>
              <w:t xml:space="preserve">[V16-45]</w:t>
            </w:r>
            <w:r>
              <w:fldChar w:fldCharType="end"/>
            </w:r>
            <w:r>
              <w:br/>
            </w:r>
            <w:hyperlink r:id="rId420">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Shindoh 2025 · borderline-resectable HCC</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Nationwide Japanese study, 1,509 borderline-resectable HCC. BR1 as defined by the 2023 consensus, which includes localized extrahepatic spread; the number with extrahepatic spread is not given in the abstract.</w:t>
            </w:r>
          </w:p>
        </w:tc>
        <w:tc>
          <w:tcPr>
            <w:tcW w:w="4180" w:type="dxa"/>
            <w:vAlign w:val="top"/>
            <w:shd w:fill="FFFFFF"/>
          </w:tcPr>
          <w:p>
            <w:pPr>
              <w:pStyle w:val="Normal"/>
              <w:widowControl/>
              <w:spacing w:after="55" w:line="240" w:lineRule="auto"/>
              <w:keepNext w:val="0"/>
              <w:keepLines/>
            </w:pPr>
            <w:r>
              <w:rPr>
                <w:sz w:val="21"/>
                <w:szCs w:val="21"/>
              </w:rPr>
              <w:t xml:space="preserve">Results: 5-year disease-specific survival 40.8%; 3-year recurrence-free survival 19.7%.</w:t>
            </w:r>
          </w:p>
          <w:p>
            <w:pPr>
              <w:pStyle w:val="Normal"/>
              <w:widowControl/>
              <w:spacing w:after="55" w:line="240" w:lineRule="auto"/>
              <w:keepNext w:val="0"/>
              <w:keepLines/>
            </w:pPr>
            <w:r>
              <w:rPr>
                <w:sz w:val="21"/>
                <w:szCs w:val="21"/>
              </w:rPr>
              <w:t xml:space="preserve">Limits: No extrahepatic subgroup in the abstract.</w:t>
            </w:r>
          </w:p>
          <w:p>
            <w:pPr>
              <w:pStyle w:val="Normal"/>
              <w:widowControl/>
              <w:spacing w:after="55" w:line="240" w:lineRule="auto"/>
              <w:keepNext w:val="0"/>
              <w:keepLines/>
            </w:pPr>
            <w:r>
              <w:rPr>
                <w:sz w:val="21"/>
                <w:szCs w:val="21"/>
              </w:rPr>
              <w:t xml:space="preserve">J Hepatobiliary Pancreat Sci 2025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</w:fldData>
              </w:fldChar>
            </w:r>
            <w:r>
              <w:instrText xml:space="preserve"> ADDIN EN.CITE.DATA </w:instrText>
            </w:r>
            <w:r>
              <w:fldChar w:fldCharType="end"/>
            </w:r>
            <w:r>
              <w:fldChar w:fldCharType="separate"/>
            </w:r>
            <w:r>
              <w:t xml:space="preserve">[V16-46]</w:t>
            </w:r>
            <w:r>
              <w:fldChar w:fldCharType="end"/>
            </w:r>
            <w:r>
              <w:br/>
            </w:r>
            <w:hyperlink r:id="rId421">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AASLD 2023 HCC practice guidance</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AASLD 2023 practice guidance. No section on surgery after treated extrahepatic disease.</w:t>
            </w:r>
          </w:p>
        </w:tc>
        <w:tc>
          <w:tcPr>
            <w:tcW w:w="4180" w:type="dxa"/>
            <w:vAlign w:val="top"/>
            <w:shd w:fill="F1F5F8"/>
          </w:tcPr>
          <w:p>
            <w:pPr>
              <w:pStyle w:val="Normal"/>
              <w:widowControl/>
              <w:spacing w:after="55" w:line="240" w:lineRule="auto"/>
              <w:keepNext w:val="0"/>
              <w:keepLines/>
            </w:pPr>
            <w:r>
              <w:rPr>
                <w:sz w:val="21"/>
                <w:szCs w:val="21"/>
              </w:rPr>
              <w:t xml:space="preserve">Results: Does not recommend systemic therapy before resection outside trials.</w:t>
            </w:r>
          </w:p>
          <w:p>
            <w:pPr>
              <w:pStyle w:val="Normal"/>
              <w:widowControl/>
              <w:spacing w:after="55" w:line="240" w:lineRule="auto"/>
              <w:keepNext w:val="0"/>
              <w:keepLines/>
            </w:pPr>
            <w:r>
              <w:rPr>
                <w:sz w:val="21"/>
                <w:szCs w:val="21"/>
              </w:rPr>
              <w:t xml:space="preserve">Limits: Pre-dates most conversion data.</w:t>
            </w:r>
          </w:p>
          <w:p>
            <w:pPr>
              <w:pStyle w:val="Normal"/>
              <w:widowControl/>
              <w:spacing w:after="55" w:line="240" w:lineRule="auto"/>
              <w:keepNext w:val="0"/>
              <w:keepLines/>
            </w:pPr>
            <w:r>
              <w:rPr>
                <w:sz w:val="21"/>
                <w:szCs w:val="21"/>
              </w:rPr>
              <w:t xml:space="preserve">Hepatology 2023 (relevant sections read).</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W5nYWw8L0F1dGhvcj48WWVhcj4yMDIzPC9ZZWFyPjxSZWNOdW0+MTI8L1JlY051bT48RGlzcGxheVRleHQ+W1YxNi0xMl08L0Rpc3BsYXlUZXh0PjxyZWNvcmQ+PHJlYy1udW1iZXI+MTI8L3JlYy1udW1iZXI+PGZvcmVpZ24ta2V5cz48a2V5IGFwcD0iRU4iIGRiLWlkPSIyYjI4NzQ5NS1hMmM3LTU0YzItODM3OC02MjhkMGY1MjliOWIiIHRpbWVzdGFtcD0iMTc5MzI4MzY4OSI+MTI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Z1bGwgdGV4dCByZWFkIGZvciB0aGUgVjE2IGV4dHJhaGVwYXRpYy1kaXNlYXNlIHJldmlldyAoY29tcGxldGUgbWFpbiB0ZXh0OyByZWxldmFudCBjb21wbGV0ZSBzZWN0aW9ucyBmb3IgbG9uZyBndWlkZWxpbmVzKS4gVjggc291cmNlL2d1aWRlbGluZV92YXJpYW50X2ZpbmFsX2NoZWNrLmpzb24gZG9jdW1lbnRzIGlkZW50aWNhbCB0ZXh0IGFuZCB0aGUgdHdvLWJ5dGUgRU9GIGRpZmZlcmVuY2UuIEN1cnJlbnQgT1BUTiBwb2xpY3kgZ292ZXJucyBhbGxvY2F0aW9uLjwvbm90ZXM+PHVybHM+PHJlbGF0ZWQtdXJscz48dXJsPmh0dHBzOi8vZG9pLm9yZy8xMC4xMDk3L0hFUC4wMDAwMDAwMDAwMDAwNDY2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br/>
            </w:r>
            <w:hyperlink r:id="rId422">
              <w:r>
                <w:rPr>
                  <w:color w:val="0563C1"/>
                  <w:u w:val="single"/>
                </w:rPr>
                <w:t>Source</w:t>
              </w:r>
            </w:hyperlink>
            <w:r>
              <w:t xml:space="preserve"> · </w:t>
            </w:r>
            <w:hyperlink r:id="rId423">
              <w:r>
                <w:rPr>
                  <w:color w:val="0563C1"/>
                  <w:u w:val="single"/>
                </w:rPr>
                <w:t>PDF</w:t>
              </w:r>
            </w:hyperlink>
          </w:p>
        </w:tc>
      </w:tr>
    </w:tbl>
    <w:p>
      <w:pPr>
        <w:pStyle w:val="Normal"/>
        <w:widowControl/>
        <w:spacing w:after="120"/>
      </w:pPr>
      <w:r>
        <w:t xml:space="preserve"/>
      </w:r>
    </w:p>
    <w:p>
      <w:pPr>
        <w:pStyle w:val="Normal"/>
        <w:widowControl/>
        <w:spacing w:after="120"/>
      </w:pPr>
      <w:r>
        <w:t xml:space="preserve">Against, or uncertain: All cohorts select fit patients with few lesions; benefit may reflect biology rather than surgery. AASLD does not support preoperative systemic therapy outside trials.</w:t>
      </w:r>
    </w:p>
    <w:p>
      <w:pPr>
        <w:pStyle w:val="Normal"/>
        <w:widowControl/>
        <w:spacing w:after="120"/>
      </w:pPr>
      <w:r>
        <w:t xml:space="preserve">Certainty: Low for longer survival after resection of limited, responded extrahepatic disease; very low for cure.</w:t>
      </w:r>
    </w:p>
    <w:p>
      <w:pPr>
        <w:pStyle w:val="Normal"/>
        <w:widowControl/>
        <w:spacing w:after="120"/>
      </w:pPr>
      <w:r>
        <w:t xml:space="preserve">What would change the answer: Prospective or randomized data on surgery after response in oligometastatic HCC.</w:t>
      </w:r>
    </w:p>
    <w:p>
      <w:pPr>
        <w:pStyle w:val="Heading3"/>
        <w:widowControl/>
        <w:keepNext/>
      </w:pPr>
      <w:r>
        <w:t xml:space="preserve">HCC-R1 — meeting decision</w:t>
      </w:r>
    </w:p>
    <w:p>
      <w:pPr>
        <w:pStyle w:val="Normal"/>
        <w:widowControl/>
        <w:spacing w:after="120"/>
      </w:pPr>
      <w:r>
        <w:t xml:space="preserve">Group decision / accepted position: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t xml:space="preserve">Original roadmap references and study critiques are retained below. The newly linked treatment-matrix references are listed separately at the end; this update does not claim a fresh full reread of every retained source.</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AASLD 2023. </w:t>
      </w:r>
      <w:r>
        <w:rPr>
          <w:sz w:val="17"/>
          <w:szCs w:val="17"/>
        </w:rPr>
        <w:t xml:space="preserve">Singal AG, Llovet JM, Yarchoan M, et al. AASLD Practice Guidance on prevention, diagnosis, and treatment of hepatocellular carcinoma. Hepatology. 2023;78(6):1922-1965.</w:t>
      </w:r>
    </w:p>
    <w:p>
      <w:pPr>
        <w:spacing w:after="70"/>
        <w:ind w:left="360" w:hanging="360"/>
      </w:pPr>
      <w:r>
        <w:rPr>
          <w:b/>
          <w:bCs/>
          <w:color w:val="17365D"/>
          <w:sz w:val="17"/>
          <w:szCs w:val="17"/>
        </w:rPr>
        <w:t xml:space="preserve">AASLD critical update. </w:t>
      </w:r>
      <w:r>
        <w:rPr>
          <w:sz w:val="17"/>
          <w:szCs w:val="17"/>
        </w:rPr>
        <w:t xml:space="preserve">Taddei TH, Brown DB, Yarchoan M, et al. Critical Update: AASLD Practice Guidance on prevention, diagnosis, and treatment of hepatocellular carcinoma. Hepatology. 2025;82(1):272-274.</w:t>
      </w:r>
    </w:p>
    <w:p>
      <w:pPr>
        <w:spacing w:after="70"/>
        <w:ind w:left="360" w:hanging="360"/>
      </w:pPr>
      <w:r>
        <w:rPr>
          <w:b/>
          <w:bCs/>
          <w:color w:val="17365D"/>
          <w:sz w:val="17"/>
          <w:szCs w:val="17"/>
        </w:rPr>
        <w:t xml:space="preserve">ASTRO EBRT. </w:t>
      </w:r>
      <w:r>
        <w:rPr>
          <w:sz w:val="17"/>
          <w:szCs w:val="17"/>
        </w:rPr>
        <w:t xml:space="preserve">Apisarnthanarax S, Barry A, Cao M, et al. External beam radiation therapy for primary liver cancers: an ASTRO clinical practice guideline. Pract Radiat Oncol. 2022;12(1):28-51.</w:t>
      </w:r>
    </w:p>
    <w:p>
      <w:pPr>
        <w:spacing w:after="70"/>
        <w:ind w:left="360" w:hanging="360"/>
      </w:pPr>
      <w:r>
        <w:rPr>
          <w:b/>
          <w:bCs/>
          <w:color w:val="17365D"/>
          <w:sz w:val="17"/>
          <w:szCs w:val="17"/>
        </w:rPr>
        <w:t xml:space="preserve">BCLC 2022. </w:t>
      </w:r>
      <w:r>
        <w:rPr>
          <w:sz w:val="17"/>
          <w:szCs w:val="17"/>
        </w:rPr>
        <w:t xml:space="preserve">Reig M, Forner A, Rimola J, et al. BCLC strategy for prognosis prediction and treatment recommendation: the 2022 update. J Hepatol. 2022;76(3):681-693.</w:t>
      </w:r>
    </w:p>
    <w:p>
      <w:pPr>
        <w:spacing w:after="70"/>
        <w:ind w:left="360" w:hanging="360"/>
      </w:pPr>
      <w:r>
        <w:rPr>
          <w:b/>
          <w:bCs/>
          <w:color w:val="17365D"/>
          <w:sz w:val="17"/>
          <w:szCs w:val="17"/>
        </w:rPr>
        <w:t xml:space="preserve">BCLC 2026. </w:t>
      </w:r>
      <w:r>
        <w:rPr>
          <w:sz w:val="17"/>
          <w:szCs w:val="17"/>
        </w:rPr>
        <w:t xml:space="preserve">Reig M, Sanduzzi-Zamparelli M, Forner A, et al. BCLC strategy for prognosis prediction and treatment recommendations: the 2026 update. J Hepatol. 2026;84(3):631-654.</w:t>
      </w:r>
    </w:p>
    <w:p>
      <w:pPr>
        <w:spacing w:after="70"/>
        <w:ind w:left="360" w:hanging="360"/>
      </w:pPr>
      <w:r>
        <w:rPr>
          <w:b/>
          <w:bCs/>
          <w:color w:val="17365D"/>
          <w:sz w:val="17"/>
          <w:szCs w:val="17"/>
        </w:rPr>
        <w:t xml:space="preserve">EASL 2025. </w:t>
      </w:r>
      <w:r>
        <w:rPr>
          <w:sz w:val="17"/>
          <w:szCs w:val="17"/>
        </w:rPr>
        <w:t xml:space="preserve">EASL Clinical Practice Guidelines on the management of hepatocellular carcinoma. J Hepatol. 2025;82(2):315-374.</w:t>
      </w:r>
    </w:p>
    <w:p>
      <w:pPr>
        <w:spacing w:after="70"/>
        <w:ind w:left="360" w:hanging="360"/>
      </w:pPr>
      <w:r>
        <w:rPr>
          <w:b/>
          <w:bCs/>
          <w:color w:val="17365D"/>
          <w:sz w:val="17"/>
          <w:szCs w:val="17"/>
        </w:rPr>
        <w:t xml:space="preserve">LI-RADS. </w:t>
      </w:r>
      <w:r>
        <w:rPr>
          <w:sz w:val="17"/>
          <w:szCs w:val="17"/>
        </w:rPr>
        <w:t xml:space="preserve">American College of Radiology. CT/MRI LI-RADS v2018 core, CT/MRI Treatment Response Assessment v2024 (separate nonradiation and radiation algorithms), US LI-RADS Surveillance v2024.</w:t>
      </w:r>
    </w:p>
    <w:p>
      <w:pPr>
        <w:spacing w:after="70"/>
        <w:ind w:left="360" w:hanging="360"/>
      </w:pPr>
      <w:r>
        <w:rPr>
          <w:b/>
          <w:bCs/>
          <w:color w:val="17365D"/>
          <w:sz w:val="17"/>
          <w:szCs w:val="17"/>
        </w:rPr>
        <w:t xml:space="preserve">NCCN v2.2026. </w:t>
      </w:r>
      <w:r>
        <w:rPr>
          <w:sz w:val="17"/>
          <w:szCs w:val="17"/>
        </w:rPr>
        <w:t xml:space="preserve">National Comprehensive Cancer Network. NCCN Clinical Practice Guidelines in Oncology: Hepatocellular Carcinoma. Version 2.2026, 14 August 2026.</w:t>
      </w:r>
    </w:p>
    <w:p>
      <w:pPr>
        <w:spacing w:after="70"/>
        <w:ind w:left="360" w:hanging="360"/>
      </w:pPr>
      <w:r>
        <w:rPr>
          <w:b/>
          <w:bCs/>
          <w:color w:val="17365D"/>
          <w:sz w:val="17"/>
          <w:szCs w:val="17"/>
        </w:rPr>
        <w:t xml:space="preserve">OPTN Policy 9. </w:t>
      </w:r>
      <w:r>
        <w:rPr>
          <w:sz w:val="17"/>
          <w:szCs w:val="17"/>
        </w:rPr>
        <w:t xml:space="preserve">Organ Procurement and Transplantation Network. Policy 9: allocation of livers and liver-intestines, including Policy 9.5 MELD or PELD score exceptions. HRSA. Verify the current effective version before applying any criterion.</w:t>
      </w:r>
    </w:p>
    <w:p>
      <w:pPr>
        <w:pStyle w:val="Heading3"/>
        <w:keepNext/>
        <w:spacing w:after="110" w:before="240"/>
      </w:pPr>
      <w:r>
        <w:rPr>
          <w:rFonts w:ascii="Cambria" w:cs="Cambria" w:eastAsia="Cambria" w:hAnsi="Cambria"/>
          <w:b/>
          <w:bCs/>
          <w:color w:val="17365D"/>
          <w:sz w:val="22"/>
          <w:szCs w:val="22"/>
        </w:rPr>
        <w:t xml:space="preserve">Adjuvant therapy</w:t>
      </w:r>
    </w:p>
    <w:p>
      <w:pPr>
        <w:spacing w:after="70"/>
        <w:ind w:left="360" w:hanging="360"/>
      </w:pPr>
      <w:r>
        <w:rPr>
          <w:b/>
          <w:bCs/>
          <w:color w:val="17365D"/>
          <w:sz w:val="17"/>
          <w:szCs w:val="17"/>
        </w:rPr>
        <w:t xml:space="preserve">IMbrave050. </w:t>
      </w:r>
      <w:r>
        <w:rPr>
          <w:sz w:val="17"/>
          <w:szCs w:val="17"/>
        </w:rPr>
        <w:t xml:space="preserve">Qin S, Chen M, Cheng AL, et al. Atezolizumab plus bevacizumab versus active surveillance in patients with resected or ablated high-risk hepatocellular carcinoma (IMbrave050). Lancet. 2023;402(10415):1835-1847.</w:t>
      </w:r>
    </w:p>
    <w:p>
      <w:pPr>
        <w:spacing w:after="70"/>
        <w:ind w:left="360" w:hanging="360"/>
      </w:pPr>
      <w:r>
        <w:rPr>
          <w:b/>
          <w:bCs/>
          <w:color w:val="17365D"/>
          <w:sz w:val="17"/>
          <w:szCs w:val="17"/>
        </w:rPr>
        <w:t xml:space="preserve">IMbrave050 update. </w:t>
      </w:r>
      <w:r>
        <w:rPr>
          <w:sz w:val="17"/>
          <w:szCs w:val="17"/>
        </w:rPr>
        <w:t xml:space="preserve">Yopp A, Chen M, Cheng AL, et al. Updated data from IMbrave050: adjuvant atezolizumab plus bevacizumab for high-risk hepatocellular carcinoma. J Hepatol. 2026;84(6):1102-1111.</w:t>
      </w:r>
    </w:p>
    <w:p>
      <w:pPr>
        <w:pStyle w:val="Heading3"/>
        <w:keepNext/>
        <w:spacing w:after="110" w:before="240"/>
      </w:pPr>
      <w:r>
        <w:rPr>
          <w:rFonts w:ascii="Cambria" w:cs="Cambria" w:eastAsia="Cambria" w:hAnsi="Cambria"/>
          <w:b/>
          <w:bCs/>
          <w:color w:val="17365D"/>
          <w:sz w:val="22"/>
          <w:szCs w:val="22"/>
        </w:rPr>
        <w:t xml:space="preserve">Chemoembolisation</w:t>
      </w:r>
    </w:p>
    <w:p>
      <w:pPr>
        <w:spacing w:after="70"/>
        <w:ind w:left="360" w:hanging="360"/>
      </w:pPr>
      <w:r>
        <w:rPr>
          <w:b/>
          <w:bCs/>
          <w:color w:val="17365D"/>
          <w:sz w:val="17"/>
          <w:szCs w:val="17"/>
        </w:rPr>
        <w:t xml:space="preserve">DEB vs cTACE. </w:t>
      </w:r>
      <w:r>
        <w:rPr>
          <w:sz w:val="17"/>
          <w:szCs w:val="17"/>
        </w:rPr>
        <w:t xml:space="preserve">Golfieri R, Giampalma E, Renzulli M, et al. Randomised controlled trial of doxorubicin-eluting beads vs conventional chemoembolisation for hepatocellular carcinoma. Br J Cancer. 2014;111(2):255-264.</w:t>
      </w:r>
    </w:p>
    <w:p>
      <w:pPr>
        <w:spacing w:after="70"/>
        <w:ind w:left="360" w:hanging="360"/>
      </w:pPr>
      <w:r>
        <w:rPr>
          <w:b/>
          <w:bCs/>
          <w:color w:val="17365D"/>
          <w:sz w:val="17"/>
          <w:szCs w:val="17"/>
        </w:rPr>
        <w:t xml:space="preserve">PRECISION V. </w:t>
      </w:r>
      <w:r>
        <w:rPr>
          <w:sz w:val="17"/>
          <w:szCs w:val="17"/>
        </w:rPr>
        <w:t xml:space="preserve">Lammer J, Malagari K, Vogl T, et al. Prospective randomized study of doxorubicin-eluting-bead embolization in the treatment of hepatocellular carcinoma: results of the PRECISION V study. Cardiovasc Intervent Radiol. 2010;33(1):41-52.</w:t>
      </w:r>
    </w:p>
    <w:p>
      <w:pPr>
        <w:pStyle w:val="Heading3"/>
        <w:keepNext/>
        <w:spacing w:after="110" w:before="240"/>
      </w:pPr>
      <w:r>
        <w:rPr>
          <w:rFonts w:ascii="Cambria" w:cs="Cambria" w:eastAsia="Cambria" w:hAnsi="Cambria"/>
          <w:b/>
          <w:bCs/>
          <w:color w:val="17365D"/>
          <w:sz w:val="22"/>
          <w:szCs w:val="22"/>
        </w:rPr>
        <w:t xml:space="preserve">Histotripsy</w:t>
      </w:r>
    </w:p>
    <w:p>
      <w:pPr>
        <w:spacing w:after="70"/>
        <w:ind w:left="360" w:hanging="360"/>
      </w:pPr>
      <w:r>
        <w:rPr>
          <w:b/>
          <w:bCs/>
          <w:color w:val="17365D"/>
          <w:sz w:val="17"/>
          <w:szCs w:val="17"/>
        </w:rPr>
        <w:t xml:space="preserve">#HOPE4LIVER. </w:t>
      </w:r>
      <w:r>
        <w:rPr>
          <w:sz w:val="17"/>
          <w:szCs w:val="17"/>
        </w:rPr>
        <w:t xml:space="preserve">Mendiratta-Lala M, Wiggermann P, Pech M, et al. The #HOPE4LIVER single-arm pivotal trial for histotripsy of primary and metastatic liver tumors. Radiology. 2024;312(3):e233051.</w:t>
      </w:r>
    </w:p>
    <w:p>
      <w:pPr>
        <w:pStyle w:val="Heading3"/>
        <w:keepNext/>
        <w:spacing w:after="110" w:before="240"/>
      </w:pPr>
      <w:r>
        <w:rPr>
          <w:rFonts w:ascii="Cambria" w:cs="Cambria" w:eastAsia="Cambria" w:hAnsi="Cambria"/>
          <w:b/>
          <w:bCs/>
          <w:color w:val="17365D"/>
          <w:sz w:val="22"/>
          <w:szCs w:val="22"/>
        </w:rPr>
        <w:t xml:space="preserve">Locoregional + systemic</w:t>
      </w:r>
    </w:p>
    <w:p>
      <w:pPr>
        <w:spacing w:after="70"/>
        <w:ind w:left="360" w:hanging="360"/>
      </w:pPr>
      <w:r>
        <w:rPr>
          <w:b/>
          <w:bCs/>
          <w:color w:val="17365D"/>
          <w:sz w:val="17"/>
          <w:szCs w:val="17"/>
        </w:rPr>
        <w:t xml:space="preserve">EMERALD-1. </w:t>
      </w:r>
      <w:r>
        <w:rPr>
          <w:sz w:val="17"/>
          <w:szCs w:val="17"/>
        </w:rPr>
        <w:t xml:space="preserve">Sangro B, Kudo M, Erinjeri JP, et al. Durvalumab with or without bevacizumab with transarterial chemoembolisation in hepatocellular carcinoma (EMERALD-1). Lancet. 2025;405(10474):216-232.</w:t>
      </w:r>
    </w:p>
    <w:p>
      <w:pPr>
        <w:spacing w:after="70"/>
        <w:ind w:left="360" w:hanging="360"/>
      </w:pPr>
      <w:r>
        <w:rPr>
          <w:b/>
          <w:bCs/>
          <w:color w:val="17365D"/>
          <w:sz w:val="17"/>
          <w:szCs w:val="17"/>
        </w:rPr>
        <w:t xml:space="preserve">EMERALD-1 registry. </w:t>
      </w:r>
      <w:r>
        <w:rPr>
          <w:sz w:val="17"/>
          <w:szCs w:val="17"/>
        </w:rPr>
        <w:t xml:space="preserve">ClinicalTrials.gov NCT03778957 (EMERALD-1). Final overall-survival analysis did not demonstrate a benefit. Registry or sponsor disclosure; confirm against the peer-reviewed report before use.</w:t>
      </w:r>
    </w:p>
    <w:p>
      <w:pPr>
        <w:spacing w:after="70"/>
        <w:ind w:left="360" w:hanging="360"/>
      </w:pPr>
      <w:r>
        <w:rPr>
          <w:b/>
          <w:bCs/>
          <w:color w:val="17365D"/>
          <w:sz w:val="17"/>
          <w:szCs w:val="17"/>
        </w:rPr>
        <w:t xml:space="preserve">EMERALD-3. </w:t>
      </w:r>
      <w:r>
        <w:rPr>
          <w:sz w:val="17"/>
          <w:szCs w:val="17"/>
        </w:rPr>
        <w:t xml:space="preserve">Kudo M, Abou-Alfa GK, Ren Z, et al. Durvalumab and tremelimumab, with or without lenvatinib, combined with transarterial chemoembolisation in embolisation-eligible hepatocellular carcinoma (EMERALD-3). Lancet Oncol. 2026;27(9):1077-1093.</w:t>
      </w:r>
    </w:p>
    <w:p>
      <w:pPr>
        <w:spacing w:after="70"/>
        <w:ind w:left="360" w:hanging="360"/>
      </w:pPr>
      <w:r>
        <w:rPr>
          <w:b/>
          <w:bCs/>
          <w:color w:val="17365D"/>
          <w:sz w:val="17"/>
          <w:szCs w:val="17"/>
        </w:rPr>
        <w:t xml:space="preserve">FOHAIC-1. </w:t>
      </w:r>
      <w:r>
        <w:rPr>
          <w:sz w:val="17"/>
          <w:szCs w:val="17"/>
        </w:rPr>
        <w:t xml:space="preserve">Lyu N, Wang X, Li JB, et al. Arterial chemotherapy of oxaliplatin plus fluorouracil versus sorafenib in advanced hepatocellular carcinoma: a biomolecular exploratory, randomized, phase III trial (FOHAIC-1). J Clin Oncol. 2022;40(5):468-480.</w:t>
      </w:r>
    </w:p>
    <w:p>
      <w:pPr>
        <w:spacing w:after="70"/>
        <w:ind w:left="360" w:hanging="360"/>
      </w:pPr>
      <w:r>
        <w:rPr>
          <w:b/>
          <w:bCs/>
          <w:color w:val="17365D"/>
          <w:sz w:val="17"/>
          <w:szCs w:val="17"/>
        </w:rPr>
        <w:t xml:space="preserve">LEAP-012. </w:t>
      </w:r>
      <w:r>
        <w:rPr>
          <w:sz w:val="17"/>
          <w:szCs w:val="17"/>
        </w:rPr>
        <w:t xml:space="preserve">Kudo M, Ren Z, Guo Y, et al. Transarterial chemoembolisation combined with lenvatinib plus pembrolizumab versus dual placebo for unresectable, non-metastatic hepatocellular carcinoma (LEAP-012). Lancet. 2025;405(10474):203-215.</w:t>
      </w:r>
    </w:p>
    <w:p>
      <w:pPr>
        <w:spacing w:after="70"/>
        <w:ind w:left="360" w:hanging="360"/>
      </w:pPr>
      <w:r>
        <w:rPr>
          <w:b/>
          <w:bCs/>
          <w:color w:val="17365D"/>
          <w:sz w:val="17"/>
          <w:szCs w:val="17"/>
        </w:rPr>
        <w:t xml:space="preserve">LEAP-012 / EMERALD-1 commentary. </w:t>
      </w:r>
      <w:r>
        <w:rPr>
          <w:sz w:val="17"/>
          <w:szCs w:val="17"/>
        </w:rPr>
        <w:t xml:space="preserve">Singal AG, Garcia-Reyes K, Kelley RK, Kim E. Impact of LEAP-012 and EMERALD-1 in the management of HCC. JHEP Rep. 2026;8:101664.</w:t>
      </w:r>
    </w:p>
    <w:p>
      <w:pPr>
        <w:spacing w:after="70"/>
        <w:ind w:left="360" w:hanging="360"/>
      </w:pPr>
      <w:r>
        <w:rPr>
          <w:b/>
          <w:bCs/>
          <w:color w:val="17365D"/>
          <w:sz w:val="17"/>
          <w:szCs w:val="17"/>
        </w:rPr>
        <w:t xml:space="preserve">LEAP-012 registry. </w:t>
      </w:r>
      <w:r>
        <w:rPr>
          <w:sz w:val="17"/>
          <w:szCs w:val="17"/>
        </w:rPr>
        <w:t xml:space="preserve">ClinicalTrials.gov NCT04246177 (LEAP-012). Final overall-survival results posted to the registry; no overall-survival benefit demonstrated. Registry posting, not peer reviewed at the time of writing.</w:t>
      </w:r>
    </w:p>
    <w:p>
      <w:pPr>
        <w:pStyle w:val="Heading3"/>
        <w:keepNext/>
        <w:spacing w:after="110" w:before="240"/>
      </w:pPr>
      <w:r>
        <w:rPr>
          <w:rFonts w:ascii="Cambria" w:cs="Cambria" w:eastAsia="Cambria" w:hAnsi="Cambria"/>
          <w:b/>
          <w:bCs/>
          <w:color w:val="17365D"/>
          <w:sz w:val="22"/>
          <w:szCs w:val="22"/>
        </w:rPr>
        <w:t xml:space="preserve">Portal hypertension</w:t>
      </w:r>
    </w:p>
    <w:p>
      <w:pPr>
        <w:spacing w:after="70"/>
        <w:ind w:left="360" w:hanging="360"/>
      </w:pPr>
      <w:r>
        <w:rPr>
          <w:b/>
          <w:bCs/>
          <w:color w:val="17365D"/>
          <w:sz w:val="17"/>
          <w:szCs w:val="17"/>
        </w:rPr>
        <w:t xml:space="preserve">Baveno VII. </w:t>
      </w:r>
      <w:r>
        <w:rPr>
          <w:sz w:val="17"/>
          <w:szCs w:val="17"/>
        </w:rPr>
        <w:t xml:space="preserve">de Franchis R, Bosch J, Garcia-Tsao G, et al. Baveno VII — renewing consensus in portal hypertension. J Hepatol. 2022;76:959-974.</w:t>
      </w:r>
    </w:p>
    <w:p>
      <w:pPr>
        <w:spacing w:after="70"/>
        <w:ind w:left="360" w:hanging="360"/>
      </w:pPr>
      <w:r>
        <w:rPr>
          <w:b/>
          <w:bCs/>
          <w:color w:val="17365D"/>
          <w:sz w:val="17"/>
          <w:szCs w:val="17"/>
        </w:rPr>
        <w:t xml:space="preserve">Baveno VIII. </w:t>
      </w:r>
      <w:r>
        <w:rPr>
          <w:sz w:val="17"/>
          <w:szCs w:val="17"/>
        </w:rPr>
        <w:t xml:space="preserve">Berzigotti A, Mandorfer M, Pons M, et al; Baveno VIII Faculty. Baveno VIII — advancing consensus in portal hypertension. J Hepatol. 2026. Epub ahead of print.</w:t>
      </w:r>
    </w:p>
    <w:p>
      <w:pPr>
        <w:spacing w:after="70"/>
        <w:ind w:left="360" w:hanging="360"/>
      </w:pPr>
      <w:r>
        <w:rPr>
          <w:b/>
          <w:bCs/>
          <w:color w:val="17365D"/>
          <w:sz w:val="17"/>
          <w:szCs w:val="17"/>
        </w:rPr>
        <w:t xml:space="preserve">Berzigotti meta-analysis. </w:t>
      </w:r>
      <w:r>
        <w:rPr>
          <w:sz w:val="17"/>
          <w:szCs w:val="17"/>
        </w:rPr>
        <w:t xml:space="preserve">Berzigotti A, Reig M, Abraldes JG, et al. Portal hypertension and the outcome of surgery for hepatocellular carcinoma in compensated cirrhosis: a systematic review and meta-analysis. Hepatology. 2015;61:526-536.</w:t>
      </w:r>
    </w:p>
    <w:p>
      <w:pPr>
        <w:spacing w:after="70"/>
        <w:ind w:left="360" w:hanging="360"/>
      </w:pPr>
      <w:r>
        <w:rPr>
          <w:b/>
          <w:bCs/>
          <w:color w:val="17365D"/>
          <w:sz w:val="17"/>
          <w:szCs w:val="17"/>
        </w:rPr>
        <w:t xml:space="preserve">Bruix 1996. </w:t>
      </w:r>
      <w:r>
        <w:rPr>
          <w:sz w:val="17"/>
          <w:szCs w:val="17"/>
        </w:rPr>
        <w:t xml:space="preserve">Bruix J, Castells A, Bosch J, et al. Surgical resection of hepatocellular carcinoma in cirrhotic patients: prognostic value of preoperative portal pressure. Gastroenterology. 1996;111:1018-1022.</w:t>
      </w:r>
    </w:p>
    <w:p>
      <w:pPr>
        <w:spacing w:after="70"/>
        <w:ind w:left="360" w:hanging="360"/>
      </w:pPr>
      <w:r>
        <w:rPr>
          <w:b/>
          <w:bCs/>
          <w:color w:val="17365D"/>
          <w:sz w:val="17"/>
          <w:szCs w:val="17"/>
        </w:rPr>
        <w:t xml:space="preserve">Citterio 2016. </w:t>
      </w:r>
      <w:r>
        <w:rPr>
          <w:sz w:val="17"/>
          <w:szCs w:val="17"/>
        </w:rPr>
        <w:t xml:space="preserve">Citterio D, Facciorusso A, Sposito C, et al. Hierarchic interaction of factors associated with liver decompensation after resection for hepatocellular carcinoma. JAMA Surg. 2016;151:846-853.</w:t>
      </w:r>
    </w:p>
    <w:p>
      <w:pPr>
        <w:spacing w:after="70"/>
        <w:ind w:left="360" w:hanging="360"/>
      </w:pPr>
      <w:r>
        <w:rPr>
          <w:b/>
          <w:bCs/>
          <w:color w:val="17365D"/>
          <w:sz w:val="17"/>
          <w:szCs w:val="17"/>
        </w:rPr>
        <w:t xml:space="preserve">Yuan 2024 RCT. </w:t>
      </w:r>
      <w:r>
        <w:rPr>
          <w:sz w:val="17"/>
          <w:szCs w:val="17"/>
        </w:rPr>
        <w:t xml:space="preserve">Yuan Y, Peng H, He W, et al. Partial hepatectomy versus interventional treatment in patients with HBV-related hepatocellular carcinoma and clinically significant portal hypertension: a randomized comparative clinical trial. Cancer Commun. 2024;44:1337-1349.</w:t>
      </w:r>
    </w:p>
    <w:p>
      <w:pPr>
        <w:pStyle w:val="Heading3"/>
        <w:keepNext/>
        <w:spacing w:after="110" w:before="240"/>
      </w:pPr>
      <w:r>
        <w:rPr>
          <w:rFonts w:ascii="Cambria" w:cs="Cambria" w:eastAsia="Cambria" w:hAnsi="Cambria"/>
          <w:b/>
          <w:bCs/>
          <w:color w:val="17365D"/>
          <w:sz w:val="22"/>
          <w:szCs w:val="22"/>
        </w:rPr>
        <w:t xml:space="preserve">Radioembolisation</w:t>
      </w:r>
    </w:p>
    <w:p>
      <w:pPr>
        <w:spacing w:after="70"/>
        <w:ind w:left="360" w:hanging="360"/>
      </w:pPr>
      <w:r>
        <w:rPr>
          <w:b/>
          <w:bCs/>
          <w:color w:val="17365D"/>
          <w:sz w:val="17"/>
          <w:szCs w:val="17"/>
        </w:rPr>
        <w:t xml:space="preserve">DOSISPHERE-01. </w:t>
      </w:r>
      <w:r>
        <w:rPr>
          <w:sz w:val="17"/>
          <w:szCs w:val="17"/>
        </w:rPr>
        <w:t xml:space="preserve">Garin E, Tselikas L, Guiu B, et al. Personalised versus standard dosimetry approach of selective internal radiation therapy in locally advanced HCC (DOSISPHERE-01): a randomised, multicentre, open-label phase 2 trial. Lancet Gastroenterol Hepatol. 2021;6(1):17-29.</w:t>
      </w:r>
    </w:p>
    <w:p>
      <w:pPr>
        <w:spacing w:after="70"/>
        <w:ind w:left="360" w:hanging="360"/>
      </w:pPr>
      <w:r>
        <w:rPr>
          <w:b/>
          <w:bCs/>
          <w:color w:val="17365D"/>
          <w:sz w:val="17"/>
          <w:szCs w:val="17"/>
        </w:rPr>
        <w:t xml:space="preserve">LEGACY. </w:t>
      </w:r>
      <w:r>
        <w:rPr>
          <w:sz w:val="17"/>
          <w:szCs w:val="17"/>
        </w:rPr>
        <w:t xml:space="preserve">Salem R, Johnson GE, Kim E, et al. Yttrium-90 radioembolization for solitary, unresectable HCC: the LEGACY study. Hepatology. 2021;74(5):2342-2352.</w:t>
      </w:r>
    </w:p>
    <w:p>
      <w:pPr>
        <w:spacing w:after="70"/>
        <w:ind w:left="360" w:hanging="360"/>
      </w:pPr>
      <w:r>
        <w:rPr>
          <w:b/>
          <w:bCs/>
          <w:color w:val="17365D"/>
          <w:sz w:val="17"/>
          <w:szCs w:val="17"/>
        </w:rPr>
        <w:t xml:space="preserve">PREMIERE. </w:t>
      </w:r>
      <w:r>
        <w:rPr>
          <w:sz w:val="17"/>
          <w:szCs w:val="17"/>
        </w:rPr>
        <w:t xml:space="preserve">Salem R, Gordon AC, Mouli S, et al. Y90 radioembolization significantly prolongs time to progression compared with chemoembolization in patients with hepatocellular carcinoma. Gastroenterology. 2016;151(6):1155-1163.</w:t>
      </w:r>
    </w:p>
    <w:p>
      <w:pPr>
        <w:spacing w:after="70"/>
        <w:ind w:left="360" w:hanging="360"/>
      </w:pPr>
      <w:r>
        <w:rPr>
          <w:b/>
          <w:bCs/>
          <w:color w:val="17365D"/>
          <w:sz w:val="17"/>
          <w:szCs w:val="17"/>
        </w:rPr>
        <w:t xml:space="preserve">RASER. </w:t>
      </w:r>
      <w:r>
        <w:rPr>
          <w:sz w:val="17"/>
          <w:szCs w:val="17"/>
        </w:rPr>
        <w:t xml:space="preserve">Kim E, Sher A, Abboud G, et al. Radiation segmentectomy for curative intent of unresectable very early to early stage HCC (RASER): a single-centre, single-arm study. Lancet Gastroenterol Hepatol. 2022;7(9):843-850.</w:t>
      </w:r>
    </w:p>
    <w:p>
      <w:pPr>
        <w:spacing w:after="70"/>
        <w:ind w:left="360" w:hanging="360"/>
      </w:pPr>
      <w:r>
        <w:rPr>
          <w:b/>
          <w:bCs/>
          <w:color w:val="17365D"/>
          <w:sz w:val="17"/>
          <w:szCs w:val="17"/>
        </w:rPr>
        <w:t xml:space="preserve">SARAH. </w:t>
      </w:r>
      <w:r>
        <w:rPr>
          <w:sz w:val="17"/>
          <w:szCs w:val="17"/>
        </w:rPr>
        <w:t xml:space="preserve">Vilgrain V, Pereira H, Assenat E, et al. Efficacy and safety of selective internal radiotherapy with yttrium-90 resin microspheres compared with sorafenib in locally advanced and inoperable HCC (SARAH). Lancet Oncol. 2017;18(12):1624-1636.</w:t>
      </w:r>
    </w:p>
    <w:p>
      <w:pPr>
        <w:spacing w:after="70"/>
        <w:ind w:left="360" w:hanging="360"/>
      </w:pPr>
      <w:r>
        <w:rPr>
          <w:b/>
          <w:bCs/>
          <w:color w:val="17365D"/>
          <w:sz w:val="17"/>
          <w:szCs w:val="17"/>
        </w:rPr>
        <w:t xml:space="preserve">SIRveNIB. </w:t>
      </w:r>
      <w:r>
        <w:rPr>
          <w:sz w:val="17"/>
          <w:szCs w:val="17"/>
        </w:rPr>
        <w:t xml:space="preserve">Chow PKH, Gandhi M, Tan SB, et al. SIRveNIB: selective internal radiation therapy versus sorafenib in Asia-Pacific patients with hepatocellular carcinoma. J Clin Oncol. 2018;36(19):1913-1921.</w:t>
      </w:r>
    </w:p>
    <w:p>
      <w:pPr>
        <w:spacing w:after="70"/>
        <w:ind w:left="360" w:hanging="360"/>
      </w:pPr>
      <w:r>
        <w:rPr>
          <w:b/>
          <w:bCs/>
          <w:color w:val="17365D"/>
          <w:sz w:val="17"/>
          <w:szCs w:val="17"/>
        </w:rPr>
        <w:t xml:space="preserve">TRACE. </w:t>
      </w:r>
      <w:r>
        <w:rPr>
          <w:sz w:val="17"/>
          <w:szCs w:val="17"/>
        </w:rPr>
        <w:t xml:space="preserve">Dhondt E, Lambert B, Hermie L, et al. Y-90 radioembolization versus drug-eluting bead chemoembolization for unresectable HCC: the TRACE phase II randomized controlled trial. Radiology. 2022;303(3):699-710.</w:t>
      </w:r>
    </w:p>
    <w:p>
      <w:pPr>
        <w:pStyle w:val="Heading3"/>
        <w:keepNext/>
        <w:spacing w:after="110" w:before="240"/>
      </w:pPr>
      <w:r>
        <w:rPr>
          <w:rFonts w:ascii="Cambria" w:cs="Cambria" w:eastAsia="Cambria" w:hAnsi="Cambria"/>
          <w:b/>
          <w:bCs/>
          <w:color w:val="17365D"/>
          <w:sz w:val="22"/>
          <w:szCs w:val="22"/>
        </w:rPr>
        <w:t xml:space="preserve">Radiotherapy</w:t>
      </w:r>
    </w:p>
    <w:p>
      <w:pPr>
        <w:spacing w:after="70"/>
        <w:ind w:left="360" w:hanging="360"/>
      </w:pPr>
      <w:r>
        <w:rPr>
          <w:b/>
          <w:bCs/>
          <w:color w:val="17365D"/>
          <w:sz w:val="17"/>
          <w:szCs w:val="17"/>
        </w:rPr>
        <w:t xml:space="preserve">EBRT cohort. </w:t>
      </w:r>
      <w:r>
        <w:rPr>
          <w:sz w:val="17"/>
          <w:szCs w:val="17"/>
        </w:rPr>
        <w:t xml:space="preserve">Moon AM, Yanagihara TK, Dawson LA, et al. Overall survival among patients with hepatocellular carcinoma treated with external beam radiation therapy: individual patient data from a multinational cohort. J Clin Oncol. 2026;44(19):1784-1797.</w:t>
      </w:r>
    </w:p>
    <w:p>
      <w:pPr>
        <w:spacing w:after="70"/>
        <w:ind w:left="360" w:hanging="360"/>
      </w:pPr>
      <w:r>
        <w:rPr>
          <w:b/>
          <w:bCs/>
          <w:color w:val="17365D"/>
          <w:sz w:val="17"/>
          <w:szCs w:val="17"/>
        </w:rPr>
        <w:t xml:space="preserve">RTOG 1112. </w:t>
      </w:r>
      <w:r>
        <w:rPr>
          <w:sz w:val="17"/>
          <w:szCs w:val="17"/>
        </w:rPr>
        <w:t xml:space="preserve">Dawson LA, Winter KA, Knox JJ, et al. Stereotactic body radiotherapy vs sorafenib alone in hepatocellular carcinoma: the NRG Oncology/RTOG 1112 phase 3 randomized clinical trial. JAMA Oncol. 2025;11(2):136-144.</w:t>
      </w:r>
    </w:p>
    <w:p>
      <w:pPr>
        <w:spacing w:after="70"/>
        <w:ind w:left="360" w:hanging="360"/>
      </w:pPr>
      <w:r>
        <w:rPr>
          <w:b/>
          <w:bCs/>
          <w:color w:val="17365D"/>
          <w:sz w:val="17"/>
          <w:szCs w:val="17"/>
        </w:rPr>
        <w:t xml:space="preserve">SBRT vs RFA. </w:t>
      </w:r>
      <w:r>
        <w:rPr>
          <w:sz w:val="17"/>
          <w:szCs w:val="17"/>
        </w:rPr>
        <w:t xml:space="preserve">Xi M, Yang Z, Hu L, et al. Radiofrequency ablation versus stereotactic body radiotherapy for recurrent small hepatocellular carcinoma: a randomized, open-label, controlled trial. J Clin Oncol. 2025;43(9):1073-1082.</w:t>
      </w:r>
    </w:p>
    <w:p>
      <w:pPr>
        <w:spacing w:after="70"/>
        <w:ind w:left="360" w:hanging="360"/>
      </w:pPr>
      <w:r>
        <w:rPr>
          <w:b/>
          <w:bCs/>
          <w:color w:val="17365D"/>
          <w:sz w:val="17"/>
          <w:szCs w:val="17"/>
        </w:rPr>
        <w:t xml:space="preserve">TACE + EBRT. </w:t>
      </w:r>
      <w:r>
        <w:rPr>
          <w:sz w:val="17"/>
          <w:szCs w:val="17"/>
        </w:rPr>
        <w:t xml:space="preserve">Yoon SM, Ryoo BY, Lee SJ, et al. Efficacy and safety of transarterial chemoembolization plus external beam radiotherapy vs sorafenib in HCC with macroscopic vascular invasion: a randomized clinical trial. JAMA Oncol. 2018;4(5):661-669.</w:t>
      </w:r>
    </w:p>
    <w:p>
      <w:pPr>
        <w:pStyle w:val="Heading3"/>
        <w:keepNext/>
        <w:spacing w:after="110" w:before="240"/>
      </w:pPr>
      <w:r>
        <w:rPr>
          <w:rFonts w:ascii="Cambria" w:cs="Cambria" w:eastAsia="Cambria" w:hAnsi="Cambria"/>
          <w:b/>
          <w:bCs/>
          <w:color w:val="17365D"/>
          <w:sz w:val="22"/>
          <w:szCs w:val="22"/>
        </w:rPr>
        <w:t xml:space="preserve">Resection &amp; ablation</w:t>
      </w:r>
    </w:p>
    <w:p>
      <w:pPr>
        <w:spacing w:after="70"/>
        <w:ind w:left="360" w:hanging="360"/>
      </w:pPr>
      <w:r>
        <w:rPr>
          <w:b/>
          <w:bCs/>
          <w:color w:val="17365D"/>
          <w:sz w:val="17"/>
          <w:szCs w:val="17"/>
        </w:rPr>
        <w:t xml:space="preserve">Chen RCT. </w:t>
      </w:r>
      <w:r>
        <w:rPr>
          <w:sz w:val="17"/>
          <w:szCs w:val="17"/>
        </w:rPr>
        <w:t xml:space="preserve">Chen MS, Li JQ, Zheng Y, et al. A prospective randomized trial comparing percutaneous local ablative therapy and partial hepatectomy for small hepatocellular carcinoma. Ann Surg. 2006.</w:t>
      </w:r>
    </w:p>
    <w:p>
      <w:pPr>
        <w:spacing w:after="70"/>
        <w:ind w:left="360" w:hanging="360"/>
      </w:pPr>
      <w:r>
        <w:rPr>
          <w:b/>
          <w:bCs/>
          <w:color w:val="17365D"/>
          <w:sz w:val="17"/>
          <w:szCs w:val="17"/>
        </w:rPr>
        <w:t xml:space="preserve">Livraghi. </w:t>
      </w:r>
      <w:r>
        <w:rPr>
          <w:sz w:val="17"/>
          <w:szCs w:val="17"/>
        </w:rPr>
        <w:t xml:space="preserve">Livraghi T, Meloni F, Di Stasi M, et al. Sustained complete response and complications rates after radiofrequency ablation of very early hepatocellular carcinoma in cirrhosis: is resection still the treatment of choice? Hepatology. 2008.</w:t>
      </w:r>
    </w:p>
    <w:p>
      <w:pPr>
        <w:spacing w:after="70"/>
        <w:ind w:left="360" w:hanging="360"/>
      </w:pPr>
      <w:r>
        <w:rPr>
          <w:b/>
          <w:bCs/>
          <w:color w:val="17365D"/>
          <w:sz w:val="17"/>
          <w:szCs w:val="17"/>
        </w:rPr>
        <w:t xml:space="preserve">MWA vs RFA. </w:t>
      </w:r>
      <w:r>
        <w:rPr>
          <w:sz w:val="17"/>
          <w:szCs w:val="17"/>
        </w:rPr>
        <w:t xml:space="preserve">Vietti Violi N, Duran R, Guiu B, et al. Efficacy of microwave ablation versus radiofrequency ablation for hepatocellular carcinoma in chronic liver disease: a randomised controlled phase 2 trial. Lancet Gastroenterol Hepatol. 2018;3(5):317-325.</w:t>
      </w:r>
    </w:p>
    <w:p>
      <w:pPr>
        <w:spacing w:after="70"/>
        <w:ind w:left="360" w:hanging="360"/>
      </w:pPr>
      <w:r>
        <w:rPr>
          <w:b/>
          <w:bCs/>
          <w:color w:val="17365D"/>
          <w:sz w:val="17"/>
          <w:szCs w:val="17"/>
        </w:rPr>
        <w:t xml:space="preserve">Ng RCT. </w:t>
      </w:r>
      <w:r>
        <w:rPr>
          <w:sz w:val="17"/>
          <w:szCs w:val="17"/>
        </w:rPr>
        <w:t xml:space="preserve">Ng KKC, Chok KSH, Chan ACY, et al. Randomized clinical trial of hepatic resection versus radiofrequency ablation for early-stage hepatocellular carcinoma. Br J Surg. 2017.</w:t>
      </w:r>
    </w:p>
    <w:p>
      <w:pPr>
        <w:spacing w:after="70"/>
        <w:ind w:left="360" w:hanging="360"/>
      </w:pPr>
      <w:r>
        <w:rPr>
          <w:b/>
          <w:bCs/>
          <w:color w:val="17365D"/>
          <w:sz w:val="17"/>
          <w:szCs w:val="17"/>
        </w:rPr>
        <w:t xml:space="preserve">SURF final. </w:t>
      </w:r>
      <w:r>
        <w:rPr>
          <w:sz w:val="17"/>
          <w:szCs w:val="17"/>
        </w:rPr>
        <w:t xml:space="preserve">Kawaguchi Y, Takayama T, Hasegawa K, et al. Surgery versus ablation for hepatocellular carcinoma: a randomized controlled trial (SURF-RCT) and a nonrandomized prospective observational trial (SURF-Cohort). J Clin Oncol. 2025.</w:t>
      </w:r>
    </w:p>
    <w:p>
      <w:pPr>
        <w:spacing w:after="70"/>
        <w:ind w:left="360" w:hanging="360"/>
      </w:pPr>
      <w:r>
        <w:rPr>
          <w:b/>
          <w:bCs/>
          <w:color w:val="17365D"/>
          <w:sz w:val="17"/>
          <w:szCs w:val="17"/>
        </w:rPr>
        <w:t xml:space="preserve">SURF trial. </w:t>
      </w:r>
      <w:r>
        <w:rPr>
          <w:sz w:val="17"/>
          <w:szCs w:val="17"/>
        </w:rPr>
        <w:t xml:space="preserve">Takayama T, Hasegawa K, Izumi N, et al. Surgery versus radiofrequency ablation for small hepatocellular carcinoma: a randomized controlled trial (SURF). Liver Cancer. 2022;11(3):209-218.</w:t>
      </w:r>
    </w:p>
    <w:p>
      <w:pPr>
        <w:spacing w:after="70"/>
        <w:ind w:left="360" w:hanging="360"/>
      </w:pPr>
      <w:r>
        <w:rPr>
          <w:b/>
          <w:bCs/>
          <w:color w:val="17365D"/>
          <w:sz w:val="17"/>
          <w:szCs w:val="17"/>
        </w:rPr>
        <w:t xml:space="preserve">Xia RCT. </w:t>
      </w:r>
      <w:r>
        <w:rPr>
          <w:sz w:val="17"/>
          <w:szCs w:val="17"/>
        </w:rPr>
        <w:t xml:space="preserve">Xia Y, Li J, Liu G, et al. Long-term effects of repeat hepatectomy vs percutaneous radiofrequency ablation among patients with recurrent hepatocellular carcinoma: a randomized clinical trial. JAMA Oncol. 2020.</w:t>
      </w:r>
    </w:p>
    <w:p>
      <w:pPr>
        <w:pStyle w:val="Heading3"/>
        <w:keepNext/>
        <w:spacing w:after="110" w:before="240"/>
      </w:pPr>
      <w:r>
        <w:rPr>
          <w:rFonts w:ascii="Cambria" w:cs="Cambria" w:eastAsia="Cambria" w:hAnsi="Cambria"/>
          <w:b/>
          <w:bCs/>
          <w:color w:val="17365D"/>
          <w:sz w:val="22"/>
          <w:szCs w:val="22"/>
        </w:rPr>
        <w:t xml:space="preserve">Surveillance &amp; diagnosis</w:t>
      </w:r>
    </w:p>
    <w:p>
      <w:pPr>
        <w:spacing w:after="70"/>
        <w:ind w:left="360" w:hanging="360"/>
      </w:pPr>
      <w:r>
        <w:rPr>
          <w:b/>
          <w:bCs/>
          <w:color w:val="17365D"/>
          <w:sz w:val="17"/>
          <w:szCs w:val="17"/>
        </w:rPr>
        <w:t xml:space="preserve">Surveillance RCT. </w:t>
      </w:r>
      <w:r>
        <w:rPr>
          <w:sz w:val="17"/>
          <w:szCs w:val="17"/>
        </w:rPr>
        <w:t xml:space="preserve">Zhang BH, Yang BH, Tang ZY. Randomized controlled trial of screening for hepatocellular carcinoma. J Cancer Res Clin Oncol. 2004;130(7):417-422.</w:t>
      </w:r>
    </w:p>
    <w:p>
      <w:pPr>
        <w:pStyle w:val="Heading3"/>
        <w:keepNext/>
        <w:spacing w:after="110" w:before="240"/>
      </w:pPr>
      <w:r>
        <w:rPr>
          <w:rFonts w:ascii="Cambria" w:cs="Cambria" w:eastAsia="Cambria" w:hAnsi="Cambria"/>
          <w:b/>
          <w:bCs/>
          <w:color w:val="17365D"/>
          <w:sz w:val="22"/>
          <w:szCs w:val="22"/>
        </w:rPr>
        <w:t xml:space="preserve">Systemic therapy</w:t>
      </w:r>
    </w:p>
    <w:p>
      <w:pPr>
        <w:spacing w:after="70"/>
        <w:ind w:left="360" w:hanging="360"/>
      </w:pPr>
      <w:r>
        <w:rPr>
          <w:b/>
          <w:bCs/>
          <w:color w:val="17365D"/>
          <w:sz w:val="17"/>
          <w:szCs w:val="17"/>
        </w:rPr>
        <w:t xml:space="preserve">CELESTIAL. </w:t>
      </w:r>
      <w:r>
        <w:rPr>
          <w:sz w:val="17"/>
          <w:szCs w:val="17"/>
        </w:rPr>
        <w:t xml:space="preserve">Abou-Alfa GK, Meyer T, Cheng AL, et al. Cabozantinib in patients with advanced and progressing hepatocellular carcinoma. N Engl J Med. 2018;379(1):54-63.</w:t>
      </w:r>
    </w:p>
    <w:p>
      <w:pPr>
        <w:spacing w:after="70"/>
        <w:ind w:left="360" w:hanging="360"/>
      </w:pPr>
      <w:r>
        <w:rPr>
          <w:b/>
          <w:bCs/>
          <w:color w:val="17365D"/>
          <w:sz w:val="17"/>
          <w:szCs w:val="17"/>
        </w:rPr>
        <w:t xml:space="preserve">CheckMate 9DW. </w:t>
      </w:r>
      <w:r>
        <w:rPr>
          <w:sz w:val="17"/>
          <w:szCs w:val="17"/>
        </w:rPr>
        <w:t xml:space="preserve">Yau T, Galle PR, Decaens T, et al. Nivolumab plus ipilimumab versus lenvatinib or sorafenib as first-line treatment for unresectable hepatocellular carcinoma (CheckMate 9DW): an open-label, randomised, phase 3 trial. Lancet. 2025;405(10492):1851-1864.</w:t>
      </w:r>
    </w:p>
    <w:p>
      <w:pPr>
        <w:spacing w:after="70"/>
        <w:ind w:left="360" w:hanging="360"/>
      </w:pPr>
      <w:r>
        <w:rPr>
          <w:b/>
          <w:bCs/>
          <w:color w:val="17365D"/>
          <w:sz w:val="17"/>
          <w:szCs w:val="17"/>
        </w:rPr>
        <w:t xml:space="preserve">HIMALAYA / STRIDE. </w:t>
      </w:r>
      <w:r>
        <w:rPr>
          <w:sz w:val="17"/>
          <w:szCs w:val="17"/>
        </w:rPr>
        <w:t xml:space="preserve">Abou-Alfa GK, Lau G, Kudo M, et al. Tremelimumab plus durvalumab in unresectable hepatocellular carcinoma. NEJM Evid. 2022;1(8):EVIDoa2100070.</w:t>
      </w:r>
    </w:p>
    <w:p>
      <w:pPr>
        <w:spacing w:after="70"/>
        <w:ind w:left="360" w:hanging="360"/>
      </w:pPr>
      <w:r>
        <w:rPr>
          <w:b/>
          <w:bCs/>
          <w:color w:val="17365D"/>
          <w:sz w:val="17"/>
          <w:szCs w:val="17"/>
        </w:rPr>
        <w:t xml:space="preserve">IMbrave150. </w:t>
      </w:r>
      <w:r>
        <w:rPr>
          <w:sz w:val="17"/>
          <w:szCs w:val="17"/>
        </w:rPr>
        <w:t xml:space="preserve">Finn RS, Qin S, Ikeda M, et al. Atezolizumab plus bevacizumab in unresectable hepatocellular carcinoma. N Engl J Med. 2020;382(20):1894-1905.</w:t>
      </w:r>
    </w:p>
    <w:p>
      <w:pPr>
        <w:spacing w:after="70"/>
        <w:ind w:left="360" w:hanging="360"/>
      </w:pPr>
      <w:r>
        <w:rPr>
          <w:b/>
          <w:bCs/>
          <w:color w:val="17365D"/>
          <w:sz w:val="17"/>
          <w:szCs w:val="17"/>
        </w:rPr>
        <w:t xml:space="preserve">IMbrave150 update. </w:t>
      </w:r>
      <w:r>
        <w:rPr>
          <w:sz w:val="17"/>
          <w:szCs w:val="17"/>
        </w:rPr>
        <w:t xml:space="preserve">Cheng AL, Qin S, Ikeda M, et al. Updated efficacy and safety data from IMbrave150: atezolizumab plus bevacizumab vs sorafenib for unresectable hepatocellular carcinoma. J Hepatol. 2022;76(4):862-873.</w:t>
      </w:r>
    </w:p>
    <w:p>
      <w:pPr>
        <w:spacing w:after="70"/>
        <w:ind w:left="360" w:hanging="360"/>
      </w:pPr>
      <w:r>
        <w:rPr>
          <w:b/>
          <w:bCs/>
          <w:color w:val="17365D"/>
          <w:sz w:val="17"/>
          <w:szCs w:val="17"/>
        </w:rPr>
        <w:t xml:space="preserve">KEYNOTE-394. </w:t>
      </w:r>
      <w:r>
        <w:rPr>
          <w:sz w:val="17"/>
          <w:szCs w:val="17"/>
        </w:rPr>
        <w:t xml:space="preserve">Qin S, Chen Z, Fang W, et al. Pembrolizumab versus placebo as second-line therapy in patients from Asia with advanced hepatocellular carcinoma: a randomized, double-blind, phase III trial. J Clin Oncol. 2023;41(7):1434-1443.</w:t>
      </w:r>
    </w:p>
    <w:p>
      <w:pPr>
        <w:spacing w:after="70"/>
        <w:ind w:left="360" w:hanging="360"/>
      </w:pPr>
      <w:r>
        <w:rPr>
          <w:b/>
          <w:bCs/>
          <w:color w:val="17365D"/>
          <w:sz w:val="17"/>
          <w:szCs w:val="17"/>
        </w:rPr>
        <w:t xml:space="preserve">REACH-2. </w:t>
      </w:r>
      <w:r>
        <w:rPr>
          <w:sz w:val="17"/>
          <w:szCs w:val="17"/>
        </w:rPr>
        <w:t xml:space="preserve">Zhu AX, Kang YK, Yen CJ, et al. Ramucirumab after sorafenib in patients with advanced hepatocellular carcinoma and increased α-fetoprotein concentrations (REACH-2). Lancet Oncol. 2019;20(2):282-296.</w:t>
      </w:r>
    </w:p>
    <w:p>
      <w:pPr>
        <w:spacing w:after="70"/>
        <w:ind w:left="360" w:hanging="360"/>
      </w:pPr>
      <w:r>
        <w:rPr>
          <w:b/>
          <w:bCs/>
          <w:color w:val="17365D"/>
          <w:sz w:val="17"/>
          <w:szCs w:val="17"/>
        </w:rPr>
        <w:t xml:space="preserve">RESORCE. </w:t>
      </w:r>
      <w:r>
        <w:rPr>
          <w:sz w:val="17"/>
          <w:szCs w:val="17"/>
        </w:rPr>
        <w:t xml:space="preserve">Bruix J, Qin S, Merle P, et al. Regorafenib for patients with hepatocellular carcinoma who progressed on sorafenib treatment (RESORCE). Lancet. 2017;389(10064):56-66.</w:t>
      </w:r>
    </w:p>
    <w:p>
      <w:pPr>
        <w:pStyle w:val="Heading3"/>
        <w:keepNext/>
        <w:spacing w:after="110" w:before="240"/>
      </w:pPr>
      <w:r>
        <w:rPr>
          <w:rFonts w:ascii="Cambria" w:cs="Cambria" w:eastAsia="Cambria" w:hAnsi="Cambria"/>
          <w:b/>
          <w:bCs/>
          <w:color w:val="17365D"/>
          <w:sz w:val="22"/>
          <w:szCs w:val="22"/>
        </w:rPr>
        <w:t xml:space="preserve">Transplant &amp; downstaging</w:t>
      </w:r>
    </w:p>
    <w:p>
      <w:pPr>
        <w:spacing w:after="70"/>
        <w:ind w:left="360" w:hanging="360"/>
      </w:pPr>
      <w:r>
        <w:rPr>
          <w:b/>
          <w:bCs/>
          <w:color w:val="17365D"/>
          <w:sz w:val="17"/>
          <w:szCs w:val="17"/>
        </w:rPr>
        <w:t xml:space="preserve">ICI after transplant. </w:t>
      </w:r>
      <w:r>
        <w:rPr>
          <w:sz w:val="17"/>
          <w:szCs w:val="17"/>
        </w:rPr>
        <w:t xml:space="preserve">Kayali S, Pasta A, Plaz Torres MC, et al. Immune checkpoint inhibitors in malignancies after liver transplantation: a systematic review and pooled analysis. Liver Int. 2023;43(1):8-17.</w:t>
      </w:r>
    </w:p>
    <w:p>
      <w:pPr>
        <w:spacing w:after="70"/>
        <w:ind w:left="360" w:hanging="360"/>
      </w:pPr>
      <w:r>
        <w:rPr>
          <w:b/>
          <w:bCs/>
          <w:color w:val="17365D"/>
          <w:sz w:val="17"/>
          <w:szCs w:val="17"/>
        </w:rPr>
        <w:t xml:space="preserve">MERITS-LT. </w:t>
      </w:r>
      <w:r>
        <w:rPr>
          <w:sz w:val="17"/>
          <w:szCs w:val="17"/>
        </w:rPr>
        <w:t xml:space="preserve">Mehta N, Frenette C, Tabrizian P, et al. Downstaging outcomes for hepatocellular carcinoma: results from the MERITS-LT consortium. Gastroenterology. 2021;161(5):1502-1512.</w:t>
      </w:r>
    </w:p>
    <w:p>
      <w:pPr>
        <w:spacing w:after="70"/>
        <w:ind w:left="360" w:hanging="360"/>
      </w:pPr>
      <w:r>
        <w:rPr>
          <w:b/>
          <w:bCs/>
          <w:color w:val="17365D"/>
          <w:sz w:val="17"/>
          <w:szCs w:val="17"/>
        </w:rPr>
        <w:t xml:space="preserve">Milan criteria. </w:t>
      </w:r>
      <w:r>
        <w:rPr>
          <w:sz w:val="17"/>
          <w:szCs w:val="17"/>
        </w:rPr>
        <w:t xml:space="preserve">Mazzaferro V, Regalia E, Doci R, et al. Liver transplantation for the treatment of small hepatocellular carcinomas in patients with cirrhosis. N Engl J Med. 1996;334(11):693-699.</w:t>
      </w:r>
    </w:p>
    <w:p>
      <w:pPr>
        <w:spacing w:after="70"/>
        <w:ind w:left="360" w:hanging="360"/>
      </w:pPr>
      <w:r>
        <w:rPr>
          <w:b/>
          <w:bCs/>
          <w:color w:val="17365D"/>
          <w:sz w:val="17"/>
          <w:szCs w:val="17"/>
        </w:rPr>
        <w:t xml:space="preserve">XXL trial. </w:t>
      </w:r>
      <w:r>
        <w:rPr>
          <w:sz w:val="17"/>
          <w:szCs w:val="17"/>
        </w:rPr>
        <w:t xml:space="preserve">Mazzaferro V, Citterio D, Bhoori S, et al. Liver transplantation in hepatocellular carcinoma after tumour downstaging (XXL): a randomised, controlled, phase 2b/3 trial. Lancet Oncol. 2020;21(7):947-956.</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52 of this pathway's 58 sources were read in full and abstracted this way. 6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#HOPE4LIVER</w:t>
      </w:r>
      <w:r>
        <w:rPr>
          <w:b/>
          <w:bCs/>
          <w:color w:val="176A87"/>
          <w:sz w:val="15"/>
          <w:szCs w:val="15"/>
        </w:rPr>
        <w:t xml:space="preserve">   cohort</w:t>
      </w:r>
      <w:r>
        <w:rPr>
          <w:color w:val="5A6069"/>
          <w:sz w:val="15"/>
          <w:szCs w:val="15"/>
        </w:rPr>
        <w:t xml:space="preserve">   PMID 39225612</w:t>
      </w:r>
    </w:p>
    <w:p>
      <w:pPr>
        <w:spacing w:after="50" w:line="276"/>
      </w:pPr>
      <w:r>
        <w:rPr>
          <w:color w:val="5A6069"/>
          <w:sz w:val="17"/>
          <w:szCs w:val="17"/>
        </w:rPr>
        <w:t xml:space="preserve">The #HOPE4LIVER Single-Arm Pivotal Trial for Histotripsy of Primary and Metastatic Liver Tumors</w:t>
      </w:r>
    </w:p>
    <w:p>
      <w:pPr>
        <w:spacing w:after="50"/>
      </w:pPr>
      <w:r>
        <w:rPr>
          <w:b/>
          <w:bCs/>
          <w:color w:val="176A87"/>
          <w:sz w:val="16"/>
          <w:szCs w:val="16"/>
        </w:rPr>
        <w:t xml:space="preserve">Population. </w:t>
      </w:r>
      <w:r>
        <w:rPr>
          <w:sz w:val="16"/>
          <w:szCs w:val="16"/>
        </w:rPr>
        <w:t xml:space="preserve">First 44 consecutive participants (49 tumours) of the pooled #HOPE4LIVER United States and European Union/England single-arm trials, enrolled at 14 sites between January 2021 and July 2022; 18 (41 percent) had HCC and 26 (59 percent) non-HCC liver metastases</w:t>
      </w:r>
    </w:p>
    <w:p>
      <w:pPr>
        <w:spacing w:after="70"/>
      </w:pPr>
      <w:r>
        <w:rPr>
          <w:b/>
          <w:bCs/>
          <w:color w:val="17365D"/>
          <w:sz w:val="16"/>
          <w:szCs w:val="16"/>
        </w:rPr>
        <w:t xml:space="preserve">Bottom line. </w:t>
      </w:r>
      <w:r>
        <w:rPr>
          <w:sz w:val="16"/>
          <w:szCs w:val="16"/>
        </w:rPr>
        <w:t xml:space="preserve">The pivotal device trial that supported FDA de novo clearance: histotripsy covered the targeted tumour in 42 of 44 lesions (95 percent, 95% CI 84 to 100) against a performance goal of more than 70 percent, with procedure-related major complications in 3 of 44 participants (7 percent, 95% CI 2 to 18) against a goal of less than 25 percent. Both endpoints are 36-hour imaging coverage and 30-day safety in a population only 41 percent of whom had HCC and whose tumours averaged 1.5 cm in segments II to VI, so the trial establishes that the device can destroy a prescribed volume and nothing about local control, recurrence or survival.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Small sample and short post-procedure follow-up, which the authors attribute to the study design</w:t>
            </w:r>
          </w:p>
          <w:p>
            <w:pPr>
              <w:pStyle w:val="ListParagraph"/>
              <w:numPr>
                <w:ilvl w:val="0"/>
                <w:numId w:val="2"/>
              </w:numPr>
              <w:spacing w:after="45"/>
            </w:pPr>
            <w:r>
              <w:rPr>
                <w:sz w:val="15"/>
                <w:szCs w:val="15"/>
              </w:rPr>
              <w:t xml:space="preserve">The technical-success performance goal, although literature-based, was agreed with the FDA on the basis of achievable enrolment and was not intended to identify a difference from existing therapies</w:t>
            </w:r>
          </w:p>
          <w:p>
            <w:pPr>
              <w:pStyle w:val="ListParagraph"/>
              <w:numPr>
                <w:ilvl w:val="0"/>
                <w:numId w:val="2"/>
              </w:numPr>
              <w:spacing w:after="45"/>
            </w:pPr>
            <w:r>
              <w:rPr>
                <w:sz w:val="15"/>
                <w:szCs w:val="15"/>
              </w:rPr>
              <w:t xml:space="preserve">The 30-day efficacy assessment was extrapolated from thermal-ablation response standards despite histotripsy's different mechanism, with no validated treatment-response criteria available</w:t>
            </w:r>
          </w:p>
          <w:p>
            <w:pPr>
              <w:pStyle w:val="ListParagraph"/>
              <w:numPr>
                <w:ilvl w:val="0"/>
                <w:numId w:val="2"/>
              </w:numPr>
              <w:spacing w:after="45"/>
            </w:pPr>
            <w:r>
              <w:rPr>
                <w:sz w:val="15"/>
                <w:szCs w:val="15"/>
              </w:rPr>
              <w:t xml:space="preserve">Total procedure time could not be compared with existing therapies because investigators had no prior experience with this or any similar externally delivered therapy</w:t>
            </w:r>
          </w:p>
          <w:p>
            <w:pPr>
              <w:pStyle w:val="ListParagraph"/>
              <w:numPr>
                <w:ilvl w:val="0"/>
                <w:numId w:val="2"/>
              </w:numPr>
              <w:spacing w:after="45"/>
            </w:pPr>
            <w:r>
              <w:rPr>
                <w:sz w:val="15"/>
                <w:szCs w:val="15"/>
              </w:rPr>
              <w:t xml:space="preserve">The population was not typical of patients who undergo ablative therapy because many had stage IV metastatic disease, which the authors say limits comparison with established local-regional treatments</w:t>
            </w:r>
          </w:p>
          <w:p>
            <w:pPr>
              <w:pStyle w:val="ListParagraph"/>
              <w:numPr>
                <w:ilvl w:val="0"/>
                <w:numId w:val="2"/>
              </w:numPr>
              <w:spacing w:after="45"/>
            </w:pPr>
            <w:r>
              <w:rPr>
                <w:sz w:val="15"/>
                <w:szCs w:val="15"/>
              </w:rPr>
              <w:t xml:space="preserve">The authors acknowledge the grade 5 complication and note that although the participant met the hepatic-function entry criteria their underlying liver function was likely tenuous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technical-success denominator was reduced from 49 treated tumours to 44 by excluding five tumours with poor image quality or no contrast, and the protocol states that only participants with complete imaging data entered the technical-success cohort, so the lesions in which coverage could not be confirmed were removed from the measure of whether coverage was achieved</w:t>
            </w:r>
          </w:p>
          <w:p>
            <w:pPr>
              <w:pStyle w:val="ListParagraph"/>
              <w:numPr>
                <w:ilvl w:val="0"/>
                <w:numId w:val="2"/>
              </w:numPr>
              <w:spacing w:after="45"/>
            </w:pPr>
            <w:r>
              <w:rPr>
                <w:sz w:val="15"/>
                <w:szCs w:val="15"/>
              </w:rPr>
              <w:t xml:space="preserve">A 70 percent performance goal sits at the bottom of the comparison range the authors themselves cite for radiofrequency and microwave ablation (48 to 95 percent), so meeting it does not distinguish the device from poor performance by an established technique</w:t>
            </w:r>
          </w:p>
          <w:p>
            <w:pPr>
              <w:pStyle w:val="ListParagraph"/>
              <w:numPr>
                <w:ilvl w:val="0"/>
                <w:numId w:val="2"/>
              </w:numPr>
              <w:spacing w:after="45"/>
            </w:pPr>
            <w:r>
              <w:rPr>
                <w:sz w:val="15"/>
                <w:szCs w:val="15"/>
              </w:rPr>
              <w:t xml:space="preserve">The co-primary endpoint is imaging coverage within 36 hours, not tumour destruction: by 30 days technique efficacy had already fallen to 83 percent (30 of 36 lesions), and that figure is itself computed after dropping six lesions without 30-day imaging and two the core laboratory could not read</w:t>
            </w:r>
          </w:p>
          <w:p>
            <w:pPr>
              <w:pStyle w:val="ListParagraph"/>
              <w:numPr>
                <w:ilvl w:val="0"/>
                <w:numId w:val="2"/>
              </w:numPr>
              <w:spacing w:after="45"/>
            </w:pPr>
            <w:r>
              <w:rPr>
                <w:sz w:val="15"/>
                <w:szCs w:val="15"/>
              </w:rPr>
              <w:t xml:space="preserve">The 30-day technique efficacy differed starkly by geography, 14 of 20 (70 percent) at United States sites versus 16 of 16 (100 percent) in Europe, a difference visible in Table 2 that is not reported in the text or examined</w:t>
            </w:r>
          </w:p>
          <w:p>
            <w:pPr>
              <w:pStyle w:val="ListParagraph"/>
              <w:numPr>
                <w:ilvl w:val="0"/>
                <w:numId w:val="2"/>
              </w:numPr>
              <w:spacing w:after="45"/>
            </w:pPr>
            <w:r>
              <w:rPr>
                <w:sz w:val="15"/>
                <w:szCs w:val="15"/>
              </w:rPr>
              <w:t xml:space="preserve">Treated tumours averaged 1.5 cm and sat in segments II, III, IVa, IVb, V and VI, with 24 of 44 in segment III and none in segments VII or VIII; treatment depth was not even recorded, so feasibility in the deep, dome and subdiaphragmatic locations where percutaneous ablation is hardest is untested</w:t>
            </w:r>
          </w:p>
          <w:p>
            <w:pPr>
              <w:pStyle w:val="ListParagraph"/>
              <w:numPr>
                <w:ilvl w:val="0"/>
                <w:numId w:val="2"/>
              </w:numPr>
              <w:spacing w:after="45"/>
            </w:pPr>
            <w:r>
              <w:rPr>
                <w:sz w:val="15"/>
                <w:szCs w:val="15"/>
              </w:rPr>
              <w:t xml:space="preserve">The treatment zone averaged 3.6 cm in diameter and 17.5 cm3 in volume for a tumour averaging 1.5 cm and 1.6 cm3, roughly a tenfold excess of destroyed parenchyma, which is presented as reassurance about margins rather than quantified as a harm in patients with cirrhosis</w:t>
            </w:r>
          </w:p>
          <w:p>
            <w:pPr>
              <w:pStyle w:val="ListParagraph"/>
              <w:numPr>
                <w:ilvl w:val="0"/>
                <w:numId w:val="2"/>
              </w:numPr>
              <w:spacing w:after="45"/>
            </w:pPr>
            <w:r>
              <w:rPr>
                <w:sz w:val="15"/>
                <w:szCs w:val="15"/>
              </w:rPr>
              <w:t xml:space="preserve">The one grade 5 event, hepatic failure on day 12 leading to death on day 37, occurred in a participant in whom the planned treatment volume was achieved, so the fatality cannot be attributed to technical failure; the Results nonetheless state that no deaths were reported in the first 30 days, which is true only because death fell outside the window</w:t>
            </w:r>
          </w:p>
          <w:p>
            <w:pPr>
              <w:pStyle w:val="ListParagraph"/>
              <w:numPr>
                <w:ilvl w:val="0"/>
                <w:numId w:val="2"/>
              </w:numPr>
              <w:spacing w:after="45"/>
            </w:pPr>
            <w:r>
              <w:rPr>
                <w:sz w:val="15"/>
                <w:szCs w:val="15"/>
              </w:rPr>
              <w:t xml:space="preserve">Four of 25 participants with metastatic disease had more than 20 liver lesions and one HCC patient had 11 to 15, so in several cases a 1.5 cm target was treated in a liver full of untreated tumour, and the trial reports no measure of untreated disease burden</w:t>
            </w:r>
          </w:p>
          <w:p>
            <w:pPr>
              <w:pStyle w:val="ListParagraph"/>
              <w:numPr>
                <w:ilvl w:val="0"/>
                <w:numId w:val="2"/>
              </w:numPr>
              <w:spacing w:after="45"/>
            </w:pPr>
            <w:r>
              <w:rPr>
                <w:sz w:val="15"/>
                <w:szCs w:val="15"/>
              </w:rPr>
              <w:t xml:space="preserve">Nine of the ten reference ranges used to argue that 95 percent technical success and 7 percent major complications compare favourably with ablation are drawn selectively from the literature, with no systematic review, no matching and no attempt to align grading systems, which the authors concede are not comparable across studies</w:t>
            </w:r>
          </w:p>
          <w:p>
            <w:pPr>
              <w:pStyle w:val="ListParagraph"/>
              <w:numPr>
                <w:ilvl w:val="0"/>
                <w:numId w:val="2"/>
              </w:numPr>
              <w:spacing w:after="45"/>
            </w:pPr>
            <w:r>
              <w:rPr>
                <w:sz w:val="15"/>
                <w:szCs w:val="15"/>
              </w:rPr>
              <w:t xml:space="preserve">The medical writing and the analysis of the clinical data filed with the FDA were done by two HistoSonics employees, the data were provided by a third party with requests directed back to the sponsor, individual data are not available, and the conclusion that the result supports early clinical adoption therefore comes from a sponsor-written manuscript</w:t>
            </w:r>
          </w:p>
          <w:p>
            <w:pPr>
              <w:pStyle w:val="ListParagraph"/>
              <w:numPr>
                <w:ilvl w:val="0"/>
                <w:numId w:val="2"/>
              </w:numPr>
              <w:spacing w:after="45"/>
            </w:pPr>
            <w:r>
              <w:rPr>
                <w:sz w:val="15"/>
                <w:szCs w:val="15"/>
              </w:rPr>
              <w:t xml:space="preserve">Core laboratory review used two radiologists through a commercial imaging vendor but the paper does not report any inter-reader agreement statistic for the co-primary endpoint, which is a qualitative judgment of complete tumour coverage</w:t>
            </w:r>
          </w:p>
          <w:p>
            <w:pPr>
              <w:pStyle w:val="ListParagraph"/>
              <w:numPr>
                <w:ilvl w:val="0"/>
                <w:numId w:val="2"/>
              </w:numPr>
              <w:spacing w:after="45"/>
            </w:pPr>
            <w:r>
              <w:rPr>
                <w:sz w:val="15"/>
                <w:szCs w:val="15"/>
              </w:rPr>
              <w:t xml:space="preserve">Off-target liver damage occurred in 6 of 44 cases (14 percent), including one in which histotripsy was delivered anterior to the tumour, a rate reported descriptively and excluded from the safety endpoint because it did not reach CTCAE grade 3</w:t>
            </w:r>
          </w:p>
        </w:tc>
      </w:tr>
    </w:tbl>
    <w:p>
      <w:pPr>
        <w:spacing w:after="0" w:line="276"/>
      </w:pPr>
      <w:r>
        <w:rPr>
          <w:color w:val="5A6069"/>
          <w:sz w:val="14"/>
          <w:szCs w:val="14"/>
        </w:rPr>
        <w:t xml:space="preserve">Funding: Sponsored and financed by HistoSonics; the senior author also supported by National Cancer Institute grant RO1CA262474; medical writing and analysis of the clinical data submitted to the FDA were performed by two HistoSonics employees; the device co-inventor is a HistoSonics stockholder, a co-investigator holds a histotripsy tumour-vaccine patent, and the senior author holds HistoSonics stock, grants and institutional equipment</w:t>
      </w:r>
    </w:p>
    <w:p>
      <w:pPr>
        <w:keepNext/>
        <w:spacing w:after="50" w:before="260"/>
      </w:pPr>
      <w:r>
        <w:rPr>
          <w:rFonts w:ascii="Cambria" w:cs="Cambria" w:eastAsia="Cambria" w:hAnsi="Cambria"/>
          <w:b/>
          <w:bCs/>
          <w:color w:val="17365D"/>
          <w:sz w:val="20"/>
          <w:szCs w:val="20"/>
        </w:rPr>
        <w:t xml:space="preserve">AASLD 2023</w:t>
      </w:r>
      <w:r>
        <w:rPr>
          <w:b/>
          <w:bCs/>
          <w:color w:val="176A87"/>
          <w:sz w:val="15"/>
          <w:szCs w:val="15"/>
        </w:rPr>
        <w:t xml:space="preserve">   Guideline</w:t>
      </w:r>
      <w:r>
        <w:rPr>
          <w:color w:val="5A6069"/>
          <w:sz w:val="15"/>
          <w:szCs w:val="15"/>
        </w:rPr>
        <w:t xml:space="preserve">   PMID 37199193</w:t>
      </w:r>
    </w:p>
    <w:p>
      <w:pPr>
        <w:spacing w:after="50" w:line="276"/>
      </w:pPr>
      <w:r>
        <w:rPr>
          <w:color w:val="5A6069"/>
          <w:sz w:val="17"/>
          <w:szCs w:val="17"/>
        </w:rPr>
        <w:t xml:space="preserve">AASLD Practice Guidance on prevention, diagnosis, and treatment of hepatocellular carcinoma</w:t>
      </w:r>
    </w:p>
    <w:p>
      <w:pPr>
        <w:spacing w:after="70"/>
      </w:pPr>
      <w:r>
        <w:rPr>
          <w:b/>
          <w:bCs/>
          <w:color w:val="17365D"/>
          <w:sz w:val="16"/>
          <w:szCs w:val="16"/>
        </w:rPr>
        <w:t xml:space="preserve">Bottom line. </w:t>
      </w:r>
      <w:r>
        <w:rPr>
          <w:sz w:val="16"/>
          <w:szCs w:val="16"/>
        </w:rPr>
        <w:t xml:space="preserve">Establishes a complete US reference for HCC, from at-risk populations and surveillance intervals through diagnosis, expanded transplant and downstaging criteria, TACE and Y-90 suitability, and first- and second-line systemic therapy, with tables a tumour board can use directly. It does not establish its recommendations at the strength their labels imply: there was no mandatory systematic review, no GRADE and no meta-analysis, Strong Recommendations are permitted on expert opinion, and two of its positions, adjuvant immunotherapy and the prohibition on TACE plus systemic therapy, have since been reversed or overtaken. Use the tables; check the statements against the 2025 critical update and the 2026 BCLC update before acting on them.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panel concedes only that this is a consensus process without mandatory systematic review, GRADE or meta-analysis, writing that the literature review was 'comprehensive and unbiased' while allowing that 'the lack of mandatory systematic reviews facilitated more rapid publication'; that it is unclear which HCC risk scores, if any, are accurate enough and none is recommended for routine use; that the optimal recall strategy is unknown both for patients with LI-RADS visualisation scores B or C and for those with an AFP of 200 ng/ml or more and no mass on imaging; that a rising or doubling AFP still requires validation as a recall trigger; that it is unclear whether the three positive Asian trials apply to Western patients given that fewer than 20% of their participants were recruited outside the region; and that no specific coffee dose can be recommended.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guidance, not a guideline, and the distinction carries the whole weight of its grading. There is no mandatory systematic review, no GRADE and no meta-analysis, and Strong Recommendations are permitted at Oxford Level 5, which is expert opinion. A reader who takes a Strong Recommendation here to mean what a strong GRADE recommendation means elsewhere is reading one word for two different things.</w:t>
            </w:r>
          </w:p>
          <w:p>
            <w:pPr>
              <w:pStyle w:val="ListParagraph"/>
              <w:numPr>
                <w:ilvl w:val="0"/>
                <w:numId w:val="2"/>
              </w:numPr>
              <w:spacing w:after="45"/>
            </w:pPr>
            <w:r>
              <w:rPr>
                <w:sz w:val="15"/>
                <w:szCs w:val="15"/>
              </w:rPr>
              <w:t xml:space="preserve">Panel disagreement is reported exactly once, on coffee, as '12 of 15 agree'. Every other statement is printed with no vote count, so the only place the panel is known to have been divided is visible because someone chose to print it, and the reader cannot tell whether the transplant, TACE or systemic-therapy statements were unanimous.</w:t>
            </w:r>
          </w:p>
          <w:p>
            <w:pPr>
              <w:pStyle w:val="ListParagraph"/>
              <w:numPr>
                <w:ilvl w:val="0"/>
                <w:numId w:val="2"/>
              </w:numPr>
              <w:spacing w:after="45"/>
            </w:pPr>
            <w:r>
              <w:rPr>
                <w:sz w:val="15"/>
                <w:szCs w:val="15"/>
              </w:rPr>
              <w:t xml:space="preserve">The strong recommendation for adjuvant atezolizumab plus bevacizumab after resection or ablation was made on an interim, recurrence-free-survival-only readout of IMbrave050 with no mature overall survival, and the guidance cites a Roche press release alongside the trial. The same authors withdrew the recommendation in 2025 when the benefit did not hold, which makes this statement a worked example of the grading problem rather than a position to act on.</w:t>
            </w:r>
          </w:p>
          <w:p>
            <w:pPr>
              <w:pStyle w:val="ListParagraph"/>
              <w:numPr>
                <w:ilvl w:val="0"/>
                <w:numId w:val="2"/>
              </w:numPr>
              <w:spacing w:after="45"/>
            </w:pPr>
            <w:r>
              <w:rPr>
                <w:sz w:val="15"/>
                <w:szCs w:val="15"/>
              </w:rPr>
              <w:t xml:space="preserve">Statement 44 advises against combining systemic with transarterial therapy for BCLC B outside a trial, reasoning that fewer than 20% of patients in the positive Asian trials were recruited outside the region and that TACE plus a tyrosine kinase inhibitor had failed in advanced disease. Phase 3 trials have since overtaken the position and the 2026 BCLC update incorporates them, so a reader using this document now is advised against a treatment that has become standard.</w:t>
            </w:r>
          </w:p>
          <w:p>
            <w:pPr>
              <w:pStyle w:val="ListParagraph"/>
              <w:numPr>
                <w:ilvl w:val="0"/>
                <w:numId w:val="2"/>
              </w:numPr>
              <w:spacing w:after="45"/>
            </w:pPr>
            <w:r>
              <w:rPr>
                <w:sz w:val="15"/>
                <w:szCs w:val="15"/>
              </w:rPr>
              <w:t xml:space="preserve">Radiotherapy is handled thinly. External beam radiotherapy and radiation segmentectomy appear only as alternatives to thermal ablation in BCLC A, with no stage-specific recommendation for stereotactic body radiotherapy or proton therapy, and the document adopts the BCLC 2022 algorithm as its Figure 9, carrying forward the same omission radiation oncologists had already objected to in print.</w:t>
            </w:r>
          </w:p>
          <w:p>
            <w:pPr>
              <w:pStyle w:val="ListParagraph"/>
              <w:numPr>
                <w:ilvl w:val="0"/>
                <w:numId w:val="2"/>
              </w:numPr>
              <w:spacing w:after="45"/>
            </w:pPr>
            <w:r>
              <w:rPr>
                <w:sz w:val="15"/>
                <w:szCs w:val="15"/>
              </w:rPr>
              <w:t xml:space="preserve">Transplant sections are built around US allocation policy: UNOS downstaging criteria, median MELD at transplant minus three exception scoring, OPTN class 5 imaging. These are administrative rules rather than biology and change on a different timetable from the evidence, so the recommendations date quickly and transfer poorly outside the United States, and the document does not say so.</w:t>
            </w:r>
          </w:p>
          <w:p>
            <w:pPr>
              <w:pStyle w:val="ListParagraph"/>
              <w:numPr>
                <w:ilvl w:val="0"/>
                <w:numId w:val="2"/>
              </w:numPr>
              <w:spacing w:after="45"/>
            </w:pPr>
            <w:r>
              <w:rPr>
                <w:sz w:val="15"/>
                <w:szCs w:val="15"/>
              </w:rPr>
              <w:t xml:space="preserve">Surveillance is set by incidence thresholds in Table 1 while the text concedes that no risk score is accurate enough to recommend. The thresholds are therefore applied through aetiology and fibrosis stage alone, which is the practice the risk scores were built to improve on, and the circularity is not acknowledged.</w:t>
            </w:r>
          </w:p>
          <w:p>
            <w:pPr>
              <w:pStyle w:val="ListParagraph"/>
              <w:numPr>
                <w:ilvl w:val="0"/>
                <w:numId w:val="2"/>
              </w:numPr>
              <w:spacing w:after="45"/>
            </w:pPr>
            <w:r>
              <w:rPr>
                <w:sz w:val="15"/>
                <w:szCs w:val="15"/>
              </w:rPr>
              <w:t xml:space="preserve">The table of expanded transplant criteria reports a single survival figure per criterion (UCSF 81%, total tumour volume under 115 cm3 75%, up-to-seven 71%, extended Toronto 68%, Kyoto 65%) with no confidence intervals and no indication that these come from different cohorts, eras and allocation systems. Set out as a list they invite the direct comparison the underlying studies cannot support.</w:t>
            </w:r>
          </w:p>
          <w:p>
            <w:pPr>
              <w:pStyle w:val="ListParagraph"/>
              <w:numPr>
                <w:ilvl w:val="0"/>
                <w:numId w:val="2"/>
              </w:numPr>
              <w:spacing w:after="45"/>
            </w:pPr>
            <w:r>
              <w:rPr>
                <w:sz w:val="15"/>
                <w:szCs w:val="15"/>
              </w:rPr>
              <w:t xml:space="preserve">The definitions that drive treatment are expert opinion presented as criteria. Table 5 lists factors making a patient TACE or Y-90 unsuitable and Table 6 defines refractoriness, but no threshold of tumour burden is given at which TACE becomes unsuitable, which is the decision those tables exist to serve; the 2026 BCLC update concedes the same gap.</w:t>
            </w:r>
          </w:p>
          <w:p>
            <w:pPr>
              <w:pStyle w:val="ListParagraph"/>
              <w:numPr>
                <w:ilvl w:val="0"/>
                <w:numId w:val="2"/>
              </w:numPr>
              <w:spacing w:after="45"/>
            </w:pPr>
            <w:r>
              <w:rPr>
                <w:sz w:val="15"/>
                <w:szCs w:val="15"/>
              </w:rPr>
              <w:t xml:space="preserve">Fifty numbered statements carry Oxford evidence levels, but the levels are not tabulated anywhere alongside the statements, so how much of the document rests on Level 5 can be established only by reading all fifty and counting.</w:t>
            </w:r>
          </w:p>
          <w:p>
            <w:pPr>
              <w:pStyle w:val="ListParagraph"/>
              <w:numPr>
                <w:ilvl w:val="0"/>
                <w:numId w:val="2"/>
              </w:numPr>
              <w:spacing w:after="45"/>
            </w:pPr>
            <w:r>
              <w:rPr>
                <w:sz w:val="15"/>
                <w:szCs w:val="15"/>
              </w:rPr>
              <w:t xml:space="preserve">This document appears twice in this depot, as REF-003_2023_10-1097-hep-0000000000000466 and as Singal_2023_PMID37199193, with byte-identical full text; the two stems are one document and only one should be presented.</w:t>
            </w:r>
          </w:p>
        </w:tc>
      </w:tr>
    </w:tbl>
    <w:p>
      <w:pPr>
        <w:spacing w:after="0" w:line="276"/>
      </w:pPr>
      <w:r>
        <w:rPr>
          <w:color w:val="5A6069"/>
          <w:sz w:val="14"/>
          <w:szCs w:val="14"/>
        </w:rPr>
        <w:t xml:space="preserve">Funding: Funding for the development of this Practice Guidance was provided by the AASLD. Conflicts are declared at length: the first author consults for Genentech, AstraZeneca, Eisai, Bayer, Boston Scientific, Exelixis, FujiFilm Medical Sciences, Exact Sciences, Glycotest and Universal Diagnostics; the second consults for and has received grants from Eisai, Bayer and Ipsen and consults for eleven further companies; other authors report institutional grants from Merck, Genentech, Incyte, Bristol-Myers Squibb and Gilead, stock in a pharmaceutical company, and speakers' bureau roles, while the remaining authors report none</w:t>
      </w:r>
    </w:p>
    <w:p>
      <w:pPr>
        <w:keepNext/>
        <w:spacing w:after="50" w:before="260"/>
      </w:pPr>
      <w:r>
        <w:rPr>
          <w:rFonts w:ascii="Cambria" w:cs="Cambria" w:eastAsia="Cambria" w:hAnsi="Cambria"/>
          <w:b/>
          <w:bCs/>
          <w:color w:val="17365D"/>
          <w:sz w:val="20"/>
          <w:szCs w:val="20"/>
        </w:rPr>
        <w:t xml:space="preserve">AASLD critical update</w:t>
      </w:r>
      <w:r>
        <w:rPr>
          <w:b/>
          <w:bCs/>
          <w:color w:val="176A87"/>
          <w:sz w:val="15"/>
          <w:szCs w:val="15"/>
        </w:rPr>
        <w:t xml:space="preserve">   Guideline</w:t>
      </w:r>
      <w:r>
        <w:rPr>
          <w:color w:val="5A6069"/>
          <w:sz w:val="15"/>
          <w:szCs w:val="15"/>
        </w:rPr>
        <w:t xml:space="preserve">   PMID 39992051</w:t>
      </w:r>
    </w:p>
    <w:p>
      <w:pPr>
        <w:spacing w:after="50" w:line="276"/>
      </w:pPr>
      <w:r>
        <w:rPr>
          <w:color w:val="5A6069"/>
          <w:sz w:val="17"/>
          <w:szCs w:val="17"/>
        </w:rPr>
        <w:t xml:space="preserve">Critical Update: AASLD Practice Guidance on prevention, diagnosis, and treatment of hepatocellular carcinoma</w:t>
      </w:r>
    </w:p>
    <w:p>
      <w:pPr>
        <w:spacing w:after="70"/>
      </w:pPr>
      <w:r>
        <w:rPr>
          <w:b/>
          <w:bCs/>
          <w:color w:val="17365D"/>
          <w:sz w:val="16"/>
          <w:szCs w:val="16"/>
        </w:rPr>
        <w:t xml:space="preserve">Bottom line. </w:t>
      </w:r>
      <w:r>
        <w:rPr>
          <w:sz w:val="16"/>
          <w:szCs w:val="16"/>
        </w:rPr>
        <w:t xml:space="preserve">Establishes that AASLD now advises against adjuvant and neoadjuvant systemic therapy after resection or local ablation for HCC, because the recurrence-free survival benefit of adjuvant atezolizumab plus bevacizumab in IMbrave050 did not hold at a second interim analysis (hazard ratio 0.90, 95% CI 0.72 to 1.12) while overall survival numerically favoured surveillance (1.26, 95% CI 0.85 to 1.87). It does not establish how to avoid the error it corrects: the reversal rests on a conference abstract and a still-interim analysis, carries the same Level 1 Strong label as the recommendation it overturns, extends to neoadjuvant therapy for which no randomised trial is cited, and leaves patients already on adjuvant treatment unaddressed. Its lasting value is as evidence about interim analyses rather than about atezolizumab.</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only that recurrence-free survival is a composite endpoint combining recurrence, which affects 40% of patients at three years, with death that may follow from cirrhosis or from treatment toxicity; that the initially positive and ultimately negative result may be explained by a lack of proportional hazards; that the episode is 'a cautionary note to assessing data at early interim time points' and underscores the importance of designing an interim analysis robust enough to call a trial positive under conventional stopping rules; that overall survival remained immature with more than 80% of patients alive in both arms at two years; that follow-up is continuing; and that non-proportional hazards in neoadjuvant and adjuvant HCC trials 'will require a thorough analysis' which they do not provide.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reversal and the recommendation it reverses carry the same label. Guidance statement 32 was a Strong Recommendation in 2023 and its negation is Level 1, Strong here, and both derive from interim analyses of one trial. The update offers no rule for when an interim readout is strong enough to recommend on, which is precisely the question its own cautionary note raises.</w:t>
            </w:r>
          </w:p>
          <w:p>
            <w:pPr>
              <w:pStyle w:val="ListParagraph"/>
              <w:numPr>
                <w:ilvl w:val="0"/>
                <w:numId w:val="2"/>
              </w:numPr>
              <w:spacing w:after="45"/>
            </w:pPr>
            <w:r>
              <w:rPr>
                <w:sz w:val="15"/>
                <w:szCs w:val="15"/>
              </w:rPr>
              <w:t xml:space="preserve">Reference 3, which supports the quoted account of the original positive result, is a Roche press release titled 'Roche's Tecentriq plus Avastin is the first treatment combination to reduce the risk of cancer returning in people with certain types of early-stage liver cancer in a Phase III trial', with no journal, year, date or locator. The update reproduces the 2023 guidance's citation of a company announcement instead of replacing it with the peer-reviewed report, in the document whose purpose is to correct what that announcement supported.</w:t>
            </w:r>
          </w:p>
          <w:p>
            <w:pPr>
              <w:pStyle w:val="ListParagraph"/>
              <w:numPr>
                <w:ilvl w:val="0"/>
                <w:numId w:val="2"/>
              </w:numPr>
              <w:spacing w:after="45"/>
            </w:pPr>
            <w:r>
              <w:rPr>
                <w:sz w:val="15"/>
                <w:szCs w:val="15"/>
              </w:rPr>
              <w:t xml:space="preserve">The updated analysis is cited only as Yopp et al., Annals of Oncology 2024;35:S1230, abstract LBA39. A Level 1 Strong recommendation against a whole class of perioperative therapy rests on a one-page conference abstract with no protocol, no analysis plan and no peer review.</w:t>
            </w:r>
          </w:p>
          <w:p>
            <w:pPr>
              <w:pStyle w:val="ListParagraph"/>
              <w:numPr>
                <w:ilvl w:val="0"/>
                <w:numId w:val="2"/>
              </w:numPr>
              <w:spacing w:after="45"/>
            </w:pPr>
            <w:r>
              <w:rPr>
                <w:sz w:val="15"/>
                <w:szCs w:val="15"/>
              </w:rPr>
              <w:t xml:space="preserve">The overall survival hazard ratio is 1.26 (95% CI 0.85 to 1.87), a point estimate favouring surveillance over treatment, and the authors print it and then write that recurrence-free and overall survival results were consistent across subgroups. A numerical signal of harm with an interval that excludes nothing clinically important draws no comment at all.</w:t>
            </w:r>
          </w:p>
          <w:p>
            <w:pPr>
              <w:pStyle w:val="ListParagraph"/>
              <w:numPr>
                <w:ilvl w:val="0"/>
                <w:numId w:val="2"/>
              </w:numPr>
              <w:spacing w:after="45"/>
            </w:pPr>
            <w:r>
              <w:rPr>
                <w:sz w:val="15"/>
                <w:szCs w:val="15"/>
              </w:rPr>
              <w:t xml:space="preserve">The recommendation extends beyond the evidence that prompted it. Statement 32 now advises against neoadjuvant as well as adjuvant systemic therapy at Level 1, Strong, but IMbrave050 was an adjuvant trial. The neoadjuvant evidence the update cites is a single-arm phase Ib study of 15 patients and a phase 2 study in which 20 patients underwent resection, so a Level 1 Strong recommendation against neoadjuvant therapy is issued without a randomised trial of neoadjuvant therapy.</w:t>
            </w:r>
          </w:p>
          <w:p>
            <w:pPr>
              <w:pStyle w:val="ListParagraph"/>
              <w:numPr>
                <w:ilvl w:val="0"/>
                <w:numId w:val="2"/>
              </w:numPr>
              <w:spacing w:after="45"/>
            </w:pPr>
            <w:r>
              <w:rPr>
                <w:sz w:val="15"/>
                <w:szCs w:val="15"/>
              </w:rPr>
              <w:t xml:space="preserve">The second interim analysis is still an interim analysis, at 35.1 months median follow-up with follow-up ongoing. The reversal therefore rests on data of the same kind as the data that produced the original error, and the update does not say what would make it change again or when it will be revisited.</w:t>
            </w:r>
          </w:p>
          <w:p>
            <w:pPr>
              <w:pStyle w:val="ListParagraph"/>
              <w:numPr>
                <w:ilvl w:val="0"/>
                <w:numId w:val="2"/>
              </w:numPr>
              <w:spacing w:after="45"/>
            </w:pPr>
            <w:r>
              <w:rPr>
                <w:sz w:val="15"/>
                <w:szCs w:val="15"/>
              </w:rPr>
              <w:t xml:space="preserve">Patients already receiving adjuvant atezolizumab plus bevacizumab under the 2023 recommendation are not mentioned. A guidance that created a treatment population withdraws the recommendation without saying whether those patients should stop, complete the eleven-to-twelve-month course, or be managed some other way.</w:t>
            </w:r>
          </w:p>
          <w:p>
            <w:pPr>
              <w:pStyle w:val="ListParagraph"/>
              <w:numPr>
                <w:ilvl w:val="0"/>
                <w:numId w:val="2"/>
              </w:numPr>
              <w:spacing w:after="45"/>
            </w:pPr>
            <w:r>
              <w:rPr>
                <w:sz w:val="15"/>
                <w:szCs w:val="15"/>
              </w:rPr>
              <w:t xml:space="preserve">Recurrence after adjuvant therapy is left to the revised Figure 11, which is the generic recurrence algorithm and draws no distinction for patients who have already had a checkpoint inhibitor. Prior exposure bears on salvage transplantation and on first-line systemic choice, and the 2023 document had at least addressed it by expert opinion.</w:t>
            </w:r>
          </w:p>
          <w:p>
            <w:pPr>
              <w:pStyle w:val="ListParagraph"/>
              <w:numPr>
                <w:ilvl w:val="0"/>
                <w:numId w:val="2"/>
              </w:numPr>
              <w:spacing w:after="45"/>
            </w:pPr>
            <w:r>
              <w:rPr>
                <w:sz w:val="15"/>
                <w:szCs w:val="15"/>
              </w:rPr>
              <w:t xml:space="preserve">The remedy offered for the methodological failure is a pointer rather than a method. The update cites a triple-negative breast cancer trial that used restricted mean survival time and says the hazards problem will require thorough analysis, but sets no endpoint standard, no alpha-spending requirement and no minimum follow-up for future HCC adjuvant trials, while naming four ongoing phase 3 adjuvant trials that will report under the same conventions.</w:t>
            </w:r>
          </w:p>
          <w:p>
            <w:pPr>
              <w:pStyle w:val="ListParagraph"/>
              <w:numPr>
                <w:ilvl w:val="0"/>
                <w:numId w:val="2"/>
              </w:numPr>
              <w:spacing w:after="45"/>
            </w:pPr>
            <w:r>
              <w:rPr>
                <w:sz w:val="15"/>
                <w:szCs w:val="15"/>
              </w:rPr>
              <w:t xml:space="preserve">The update says AASLD 'is considering innovative methods to bring timely updates, such as this one, to the field'. No process, trigger or interval is described, so the mechanism that produced this correction is not one a reader can rely on for the next one.</w:t>
            </w:r>
          </w:p>
          <w:p>
            <w:pPr>
              <w:pStyle w:val="ListParagraph"/>
              <w:numPr>
                <w:ilvl w:val="0"/>
                <w:numId w:val="2"/>
              </w:numPr>
              <w:spacing w:after="45"/>
            </w:pPr>
            <w:r>
              <w:rPr>
                <w:sz w:val="15"/>
                <w:szCs w:val="15"/>
              </w:rPr>
              <w:t xml:space="preserve">In the published version preserved text is in quotation marks and altered text is underlined. The underlining is lost in this extracted copy, so which sentences were changed and which were carried across cannot be determined from the text as read here.</w:t>
            </w:r>
          </w:p>
        </w:tc>
      </w:tr>
    </w:tbl>
    <w:p>
      <w:pPr>
        <w:spacing w:after="0" w:line="276"/>
      </w:pPr>
      <w:r>
        <w:rPr>
          <w:color w:val="5A6069"/>
          <w:sz w:val="14"/>
          <w:szCs w:val="14"/>
        </w:rPr>
        <w:t xml:space="preserve">Funding: No funding statement appears anywhere in the three-page update. Two of the five authors declare conflicts: one consults for Exelixis, Genentech and AstraZeneca, and the senior author consults for Eisai, Merck, Roche, Genentech, AstraZeneca, Bayer, AbbVie, Sanofi, Moderna, Glycotest and Exelixis and sits on a data safety monitoring board for BMS, with all fees paid to his institution; the remaining three report none</w:t>
      </w:r>
    </w:p>
    <w:p>
      <w:pPr>
        <w:keepNext/>
        <w:spacing w:after="50" w:before="260"/>
      </w:pPr>
      <w:r>
        <w:rPr>
          <w:rFonts w:ascii="Cambria" w:cs="Cambria" w:eastAsia="Cambria" w:hAnsi="Cambria"/>
          <w:b/>
          <w:bCs/>
          <w:color w:val="17365D"/>
          <w:sz w:val="20"/>
          <w:szCs w:val="20"/>
        </w:rPr>
        <w:t xml:space="preserve">ASTRO EBRT</w:t>
      </w:r>
      <w:r>
        <w:rPr>
          <w:b/>
          <w:bCs/>
          <w:color w:val="176A87"/>
          <w:sz w:val="15"/>
          <w:szCs w:val="15"/>
        </w:rPr>
        <w:t xml:space="preserve">   Guideline</w:t>
      </w:r>
      <w:r>
        <w:rPr>
          <w:color w:val="5A6069"/>
          <w:sz w:val="15"/>
          <w:szCs w:val="15"/>
        </w:rPr>
        <w:t xml:space="preserve">   PMID 34688956</w:t>
      </w:r>
    </w:p>
    <w:p>
      <w:pPr>
        <w:spacing w:after="50" w:line="276"/>
      </w:pPr>
      <w:r>
        <w:rPr>
          <w:color w:val="5A6069"/>
          <w:sz w:val="17"/>
          <w:szCs w:val="17"/>
        </w:rPr>
        <w:t xml:space="preserve">External Beam Radiation Therapy for Primary Liver Cancers: An ASTRO Clinical Practice Guideline</w:t>
      </w:r>
    </w:p>
    <w:p>
      <w:pPr>
        <w:spacing w:after="70"/>
      </w:pPr>
      <w:r>
        <w:rPr>
          <w:b/>
          <w:bCs/>
          <w:color w:val="17365D"/>
          <w:sz w:val="16"/>
          <w:szCs w:val="16"/>
        </w:rPr>
        <w:t xml:space="preserve">Bottom line. </w:t>
      </w:r>
      <w:r>
        <w:rPr>
          <w:sz w:val="16"/>
          <w:szCs w:val="16"/>
        </w:rPr>
        <w:t xml:space="preserve">Establishes a graded, multidisciplinary framework for where external beam radiotherapy fits in HCC and intrahepatic cholangiocarcinoma, with dose, fractionation and organ-at-risk tables a radiation oncologist can work from, and makes EBRT a named first-line option for liver-confined HCC when curative treatment is not available. It does not establish that EBRT is equivalent or preferable to ablation, embolisation or surgery, because no randomised comparison with any of them existed at the February 2020 search cut-off and the grading scheme permits a Strong recommendation to rest on expert opinion. Read it as radiation oncology's consensus on how to deliver EBRT well, not as evidence on whether to choose 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evidence review closed in February 2020, so a Korean randomised trial of proton therapy versus radiofrequency ablation for recurrent HCC and a completed randomised trial of EBRT after incomplete TAE or TACE appeared too late to be assessed; the task force says so explicitly.</w:t>
            </w:r>
          </w:p>
          <w:p>
            <w:pPr>
              <w:pStyle w:val="ListParagraph"/>
              <w:numPr>
                <w:ilvl w:val="0"/>
                <w:numId w:val="2"/>
              </w:numPr>
              <w:spacing w:after="45"/>
            </w:pPr>
            <w:r>
              <w:rPr>
                <w:sz w:val="15"/>
                <w:szCs w:val="15"/>
              </w:rPr>
              <w:t xml:space="preserve">No published randomised trial compares EBRT with thermal ablation or with catheter-based therapy for liver-confined HCC. The task force names the main limitations of the studies it relied on as the absence of randomised data, the paucity of direct comparison with systemic or other therapies, and selection bias between treatment groups in observational designs.</w:t>
            </w:r>
          </w:p>
          <w:p>
            <w:pPr>
              <w:pStyle w:val="ListParagraph"/>
              <w:numPr>
                <w:ilvl w:val="0"/>
                <w:numId w:val="2"/>
              </w:numPr>
              <w:spacing w:after="45"/>
            </w:pPr>
            <w:r>
              <w:rPr>
                <w:sz w:val="15"/>
                <w:szCs w:val="15"/>
              </w:rPr>
              <w:t xml:space="preserve">The literature search was restricted to studies in which EBRT formed part of the treatment, so outcome data on non-EBRT liver-directed therapies were limited; a supplementary search of meta-analyses and systematic reviews was run but, by the task force's own account, heterogeneity in populations, tumour characteristics and outcome metrics meant it did not provide meaningful comparative data, and it was kept out of the evidence tables.</w:t>
            </w:r>
          </w:p>
          <w:p>
            <w:pPr>
              <w:pStyle w:val="ListParagraph"/>
              <w:numPr>
                <w:ilvl w:val="0"/>
                <w:numId w:val="2"/>
              </w:numPr>
              <w:spacing w:after="45"/>
            </w:pPr>
            <w:r>
              <w:rPr>
                <w:sz w:val="15"/>
                <w:szCs w:val="15"/>
              </w:rPr>
              <w:t xml:space="preserve">Supporting studies largely excluded Child-Pugh B8 or worse disease, and in the best prospective dose study 50% of Child-Pugh A patients progressed to a higher Child-Pugh class and 33% of Child-Pugh B patients to class C.</w:t>
            </w:r>
          </w:p>
          <w:p>
            <w:pPr>
              <w:pStyle w:val="ListParagraph"/>
              <w:numPr>
                <w:ilvl w:val="0"/>
                <w:numId w:val="2"/>
              </w:numPr>
              <w:spacing w:after="45"/>
            </w:pPr>
            <w:r>
              <w:rPr>
                <w:sz w:val="15"/>
                <w:szCs w:val="15"/>
              </w:rPr>
              <w:t xml:space="preserve">Technique, dose-constraint and motion-management recommendations combine evidence with expert opinion. Whether protons are better than photons is unresolved pending NRG GI-003 (NCT03186898), and the single-institution retrospective comparison that favoured protons is conceded to be insufficient to recommend one modality over another.</w:t>
            </w:r>
          </w:p>
          <w:p>
            <w:pPr>
              <w:pStyle w:val="ListParagraph"/>
              <w:numPr>
                <w:ilvl w:val="0"/>
                <w:numId w:val="2"/>
              </w:numPr>
              <w:spacing w:after="45"/>
            </w:pPr>
            <w:r>
              <w:rPr>
                <w:sz w:val="15"/>
                <w:szCs w:val="15"/>
              </w:rPr>
              <w:t xml:space="preserve">The task force states the guideline is not a substitute for multidisciplinary evaluation and discussion, and that future studies should further define the role of EBRT in the context of liver-directed and systemic therapies.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ASTRO's own grading table permits a Strong recommendation at any quality of evidence, listed as 'usually high, moderate, or expert opinion', so the Strong first-line recommendation for EBRT carries no guarantee that randomised data lie behind it. A reader who treats 'strong recommendation' as a statement about evidence is being misled by the grading scheme rather than by the prose.</w:t>
            </w:r>
          </w:p>
          <w:p>
            <w:pPr>
              <w:pStyle w:val="ListParagraph"/>
              <w:numPr>
                <w:ilvl w:val="0"/>
                <w:numId w:val="2"/>
              </w:numPr>
              <w:spacing w:after="45"/>
            </w:pPr>
            <w:r>
              <w:rPr>
                <w:sz w:val="15"/>
                <w:szCs w:val="15"/>
              </w:rPr>
              <w:t xml:space="preserve">Consensus is assessed by a confidential modified Delphi on a five-point Likert scale with a threshold of 75% agreement, or 90% for expert-opinion recommendations, and recommendations failing the threshold are 'removed or revised'. No agreement percentage is printed for any recommendation in the document, so the reader cannot distinguish a unanimous recommendation from one that just cleared 75%, and cannot see what was dropped.</w:t>
            </w:r>
          </w:p>
          <w:p>
            <w:pPr>
              <w:pStyle w:val="ListParagraph"/>
              <w:numPr>
                <w:ilvl w:val="0"/>
                <w:numId w:val="2"/>
              </w:numPr>
              <w:spacing w:after="45"/>
            </w:pPr>
            <w:r>
              <w:rPr>
                <w:sz w:val="15"/>
                <w:szCs w:val="15"/>
              </w:rPr>
              <w:t xml:space="preserve">The Society of Interventional Radiology participated early and then withdrew as a collaborating society during development, a fact disclosed only in the acknowledgements. The withdrawn society is the one that delivers the TACE and TARE against which EBRT is being positioned, so the comparator specialty is absent from a guideline that recommends sequencing with and substituting for its treatments.</w:t>
            </w:r>
          </w:p>
          <w:p>
            <w:pPr>
              <w:pStyle w:val="ListParagraph"/>
              <w:numPr>
                <w:ilvl w:val="0"/>
                <w:numId w:val="2"/>
              </w:numPr>
              <w:spacing w:after="45"/>
            </w:pPr>
            <w:r>
              <w:rPr>
                <w:sz w:val="15"/>
                <w:szCs w:val="15"/>
              </w:rPr>
              <w:t xml:space="preserve">The task force is drawn almost entirely from radiation oncology, with single representatives from surgical oncology, transplant surgery and medical oncology. A guideline making a modality first-line is written predominantly by the specialty that delivers it, and surgical oncologists published a dissenting 'surgical perspective' in Annals of Surgical Oncology the following year; that commentary is identified here from its citation and abstract and was not obtained in full.</w:t>
            </w:r>
          </w:p>
          <w:p>
            <w:pPr>
              <w:pStyle w:val="ListParagraph"/>
              <w:numPr>
                <w:ilvl w:val="0"/>
                <w:numId w:val="2"/>
              </w:numPr>
              <w:spacing w:after="45"/>
            </w:pPr>
            <w:r>
              <w:rPr>
                <w:sz w:val="15"/>
                <w:szCs w:val="15"/>
              </w:rPr>
              <w:t xml:space="preserve">The first-line recommendation converts an absence of comparison into a permission. EBRT is recommended for patients with liver-confined HCC 'who are not candidates for curative therapy', and the guideline supplies no criteria for who is not a candidate, so the boundary between the recommended population and patients who should have resection, ablation or transplantation is set by whoever applies it.</w:t>
            </w:r>
          </w:p>
          <w:p>
            <w:pPr>
              <w:pStyle w:val="ListParagraph"/>
              <w:numPr>
                <w:ilvl w:val="0"/>
                <w:numId w:val="2"/>
              </w:numPr>
              <w:spacing w:after="45"/>
            </w:pPr>
            <w:r>
              <w:rPr>
                <w:sz w:val="15"/>
                <w:szCs w:val="15"/>
              </w:rPr>
              <w:t xml:space="preserve">Cost, access and equipment availability appear nowhere; the word cost does not occur in the document. Recommendations that rest on proton therapy and on motion-managed ultrahypofractionated delivery presuppose technology concentrated in a few centres, and the guideline addresses a reader with neither only by saying the choice should reflect 'available technology'.</w:t>
            </w:r>
          </w:p>
          <w:p>
            <w:pPr>
              <w:pStyle w:val="ListParagraph"/>
              <w:numPr>
                <w:ilvl w:val="0"/>
                <w:numId w:val="2"/>
              </w:numPr>
              <w:spacing w:after="45"/>
            </w:pPr>
            <w:r>
              <w:rPr>
                <w:sz w:val="15"/>
                <w:szCs w:val="15"/>
              </w:rPr>
              <w:t xml:space="preserve">HCC and intrahepatic cholangiocarcinoma are handled in one document under shared key questions despite different natural history, systemic options and surgical pathways. The dose and constraint tables serve both diseases, and the bolded regimens in them are identified as the most common prescriptions 'based on consensus of the task force' rather than derived from dose-response data.</w:t>
            </w:r>
          </w:p>
          <w:p>
            <w:pPr>
              <w:pStyle w:val="ListParagraph"/>
              <w:numPr>
                <w:ilvl w:val="0"/>
                <w:numId w:val="2"/>
              </w:numPr>
              <w:spacing w:after="45"/>
            </w:pPr>
            <w:r>
              <w:rPr>
                <w:sz w:val="15"/>
                <w:szCs w:val="15"/>
              </w:rPr>
              <w:t xml:space="preserve">Hepatic toxicity is reported as change in Child-Pugh class rather than as decompensating events, hospital admissions or deaths, so the figures cited (50% of Child-Pugh A patients rising a class, 33% of Child-Pugh B patients reaching C) cannot be set against the complication rates reported for ablation or embolisation, and no numerical risk of radiation-induced liver disease is attached to any recommended regimen.</w:t>
            </w:r>
          </w:p>
          <w:p>
            <w:pPr>
              <w:pStyle w:val="ListParagraph"/>
              <w:numPr>
                <w:ilvl w:val="0"/>
                <w:numId w:val="2"/>
              </w:numPr>
              <w:spacing w:after="45"/>
            </w:pPr>
            <w:r>
              <w:rPr>
                <w:sz w:val="15"/>
                <w:szCs w:val="15"/>
              </w:rPr>
              <w:t xml:space="preserve">The adjuvant recommendation for resected intrahepatic cholangiocarcinoma is extrapolated from SWOG S0809, a single-arm phase 2 study of adjuvant chemotherapy then chemoradiation that enrolled only extrahepatic cholangiocarcinoma and gallbladder carcinoma and states its results do not apply to intrahepatic disease. The task force recommends on the stated grounds that the clinical context and nodal target volumes are similar.</w:t>
            </w:r>
          </w:p>
          <w:p>
            <w:pPr>
              <w:pStyle w:val="ListParagraph"/>
              <w:numPr>
                <w:ilvl w:val="0"/>
                <w:numId w:val="2"/>
              </w:numPr>
              <w:spacing w:after="45"/>
            </w:pPr>
            <w:r>
              <w:rPr>
                <w:sz w:val="15"/>
                <w:szCs w:val="15"/>
              </w:rPr>
              <w:t xml:space="preserve">Biologically effective dose is tabulated throughout on an assumed alpha-beta ratio of 10, applied unchanged across standard fractionation, moderate hypofractionation and ultrahypofractionation. The equivalence between the listed regimens depends entirely on that single assumed value and no sensitivity to it is shown.</w:t>
            </w:r>
          </w:p>
        </w:tc>
      </w:tr>
    </w:tbl>
    <w:p>
      <w:pPr>
        <w:spacing w:after="0" w:line="276"/>
      </w:pPr>
      <w:r>
        <w:rPr>
          <w:color w:val="5A6069"/>
          <w:sz w:val="14"/>
          <w:szCs w:val="14"/>
        </w:rPr>
        <w:t xml:space="preserve">Funding: Funded by the American Society for Radiation Oncology, which states it develops and publishes guidelines without commercial support and that task force members volunteer their time; individual disclosures are printed, including the vice chair's honoraria and consultancy from Medtronic and members' relationships with Varian, Elekta, General Electric, Philips, Boston Scientific, Blueprint Medicines and Eli Lilly, while the chair and five other members report none</w:t>
      </w:r>
    </w:p>
    <w:p>
      <w:pPr>
        <w:keepNext/>
        <w:spacing w:after="50" w:before="260"/>
      </w:pPr>
      <w:r>
        <w:rPr>
          <w:rFonts w:ascii="Cambria" w:cs="Cambria" w:eastAsia="Cambria" w:hAnsi="Cambria"/>
          <w:b/>
          <w:bCs/>
          <w:color w:val="17365D"/>
          <w:sz w:val="20"/>
          <w:szCs w:val="20"/>
        </w:rPr>
        <w:t xml:space="preserve">Baveno VII</w:t>
      </w:r>
      <w:r>
        <w:rPr>
          <w:b/>
          <w:bCs/>
          <w:color w:val="176A87"/>
          <w:sz w:val="15"/>
          <w:szCs w:val="15"/>
        </w:rPr>
        <w:t xml:space="preserve">   Consensus statement</w:t>
      </w:r>
      <w:r>
        <w:rPr>
          <w:color w:val="5A6069"/>
          <w:sz w:val="15"/>
          <w:szCs w:val="15"/>
        </w:rPr>
        <w:t xml:space="preserve">   PMID 35120736</w:t>
      </w:r>
    </w:p>
    <w:p>
      <w:pPr>
        <w:spacing w:after="50" w:line="276"/>
      </w:pPr>
      <w:r>
        <w:rPr>
          <w:color w:val="5A6069"/>
          <w:sz w:val="17"/>
          <w:szCs w:val="17"/>
        </w:rPr>
        <w:t xml:space="preserve">Baveno VII - Renewing consensus in portal hypertension</w:t>
      </w:r>
    </w:p>
    <w:p>
      <w:pPr>
        <w:spacing w:after="70"/>
      </w:pPr>
      <w:r>
        <w:rPr>
          <w:b/>
          <w:bCs/>
          <w:color w:val="17365D"/>
          <w:sz w:val="16"/>
          <w:szCs w:val="16"/>
        </w:rPr>
        <w:t xml:space="preserve">Bottom line. </w:t>
      </w:r>
      <w:r>
        <w:rPr>
          <w:sz w:val="16"/>
          <w:szCs w:val="16"/>
        </w:rPr>
        <w:t xml:space="preserve">Establishes the definitions a liver surgeon now works to: clinically significant portal hypertension as an HVPG of 10 mmHg or more, ruled out by liver stiffness of 15 kPa or less with platelets of 150 x 10^9/L or more, ruled in at 25 kPa or more, with an ANTICIPATE-handled grey zone between, and it names clinically significant portal hypertension as a risk marker for decompensation and death after resection for HCC. It does not establish a threshold at which resection should be declined, and says so; the thresholds it does give are validated only in viral, alcohol-related and non-obese NASH disease, and in NASH cirrhosis the faculty concede portal hypertension can be clinically evident below the 10 mmHg definition. Use the numbers to describe risk, not to decide operability.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faculty concede only that COVID-19 forced the workshop to be postponed and held virtually rather than face to face and call this a limitation, that the non-invasive thresholds are unestablished in obese NASH, in primary biliary cholangitis where a pre-sinusoidal component makes HVPG underestimate portal hypertension, and in other aetiologies, that in NASH cirrhosis clinical signs of portal hypertension can be present with an HVPG below 10 mmHg (statement 1.12, evidence level C.2), and, in the research agenda, that the prognostic role of HVPG before surgery needs prospective study against non-invasive tests and that non-invasive tools for clinically significant portal hypertension need validation in NASH and other aetiologies.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disclosure is not credible as written. Participants declared nothing to disclose regarding funding while the same document thanks EASL, AASLD and eight other bodies for the unrestricted grants that paid for the meeting, and three authors declare company relationships a few pages earlier. The declaration appears to cover the manuscript rather than the conference and the document does not say which.</w:t>
            </w:r>
          </w:p>
          <w:p>
            <w:pPr>
              <w:pStyle w:val="ListParagraph"/>
              <w:numPr>
                <w:ilvl w:val="0"/>
                <w:numId w:val="2"/>
              </w:numPr>
              <w:spacing w:after="45"/>
            </w:pPr>
            <w:r>
              <w:rPr>
                <w:sz w:val="15"/>
                <w:szCs w:val="15"/>
              </w:rPr>
              <w:t xml:space="preserve">The statement an HCC board needs most is the one without a number. Statement 1.18 makes clinically significant portal hypertension an A.1 risk marker for decompensation and death after resection for HCC and names no HVPG or liver stiffness threshold at which resection should be declined, so it identifies a contraindication-shaped risk without defining the contraindication.</w:t>
            </w:r>
          </w:p>
          <w:p>
            <w:pPr>
              <w:pStyle w:val="ListParagraph"/>
              <w:numPr>
                <w:ilvl w:val="0"/>
                <w:numId w:val="2"/>
              </w:numPr>
              <w:spacing w:after="45"/>
            </w:pPr>
            <w:r>
              <w:rPr>
                <w:sz w:val="15"/>
                <w:szCs w:val="15"/>
              </w:rPr>
              <w:t xml:space="preserve">A single HVPG definition of 10 mmHg is applied across aetiologies the document itself says behave differently. Statement 1.12 concedes at evidence level C.2 that in NASH cirrhosis clinical signs of portal hypertension occur below 10 mmHg, so the threshold does not mean the same thing across the aetiology mix a Western hepatobiliary practice now sees, and no alternative is offered.</w:t>
            </w:r>
          </w:p>
          <w:p>
            <w:pPr>
              <w:pStyle w:val="ListParagraph"/>
              <w:numPr>
                <w:ilvl w:val="0"/>
                <w:numId w:val="2"/>
              </w:numPr>
              <w:spacing w:after="45"/>
            </w:pPr>
            <w:r>
              <w:rPr>
                <w:sz w:val="15"/>
                <w:szCs w:val="15"/>
              </w:rPr>
              <w:t xml:space="preserve">The grey zone between the rule-out (liver stiffness 15 kPa or less with platelets 150 x 10^9/L or more) and the rule-in (25 kPa or more) is handled by ANTICIPATE at a 60% probability of clinically significant portal hypertension, as a weak B.2 recommendation. Sixty per cent is not a decision threshold for something as irreversible as declining resection, and the band it covers is wide: 20 to 25 kPa with platelets under 150, or 15 to 20 kPa with platelets under 110.</w:t>
            </w:r>
          </w:p>
          <w:p>
            <w:pPr>
              <w:pStyle w:val="ListParagraph"/>
              <w:numPr>
                <w:ilvl w:val="0"/>
                <w:numId w:val="2"/>
              </w:numPr>
              <w:spacing w:after="45"/>
            </w:pPr>
            <w:r>
              <w:rPr>
                <w:sz w:val="15"/>
                <w:szCs w:val="15"/>
              </w:rPr>
              <w:t xml:space="preserve">Thresholds are given to the kilopascal without the measurement conditions that generate them. Vibration-controlled transient elastography values vary with fasting state, operator, probe and hepatic inflammation, and no statement reports the variability around a single measurement or requires a repeat before a 15 or 25 kPa value is acted on.</w:t>
            </w:r>
          </w:p>
          <w:p>
            <w:pPr>
              <w:pStyle w:val="ListParagraph"/>
              <w:numPr>
                <w:ilvl w:val="0"/>
                <w:numId w:val="2"/>
              </w:numPr>
              <w:spacing w:after="45"/>
            </w:pPr>
            <w:r>
              <w:rPr>
                <w:sz w:val="15"/>
                <w:szCs w:val="15"/>
              </w:rPr>
              <w:t xml:space="preserve">Evidence grades are assigned per statement but the studies behind them are not tabulated, and the document is 12,632 words of statements with the derivations left in the narrative. For the surgically decisive statements this means a reader cannot see how many patients, in which aetiologies, support a given kilopascal value.</w:t>
            </w:r>
          </w:p>
          <w:p>
            <w:pPr>
              <w:pStyle w:val="ListParagraph"/>
              <w:numPr>
                <w:ilvl w:val="0"/>
                <w:numId w:val="2"/>
              </w:numPr>
              <w:spacing w:after="45"/>
            </w:pPr>
            <w:r>
              <w:rPr>
                <w:sz w:val="15"/>
                <w:szCs w:val="15"/>
              </w:rPr>
              <w:t xml:space="preserve">Baveno VII sits awkwardly beside BCLC and EASL guidance, which treat clinically significant portal hypertension as effectively excluding resection, and it does not address the conflict. A later randomised trial reported equivalent survival after resection versus ablation or TACE in hepatitis B-related HCC with clinically significant portal hypertension, which is the study the research agenda asked for and which cuts against how the marker is used.</w:t>
            </w:r>
          </w:p>
          <w:p>
            <w:pPr>
              <w:pStyle w:val="ListParagraph"/>
              <w:numPr>
                <w:ilvl w:val="0"/>
                <w:numId w:val="2"/>
              </w:numPr>
              <w:spacing w:after="45"/>
            </w:pPr>
            <w:r>
              <w:rPr>
                <w:sz w:val="15"/>
                <w:szCs w:val="15"/>
              </w:rPr>
              <w:t xml:space="preserve">Patients starting atezolizumab plus bevacizumab are not covered. Bevacizumab carries a bleeding risk and these patients have portal hypertension by definition, yet no statement addresses variceal screening or prophylaxis before systemic therapy. A letter in the Journal of Hepatology made this point within months; that letter is identified here from its citation and title and was not obtained in full.</w:t>
            </w:r>
          </w:p>
          <w:p>
            <w:pPr>
              <w:pStyle w:val="ListParagraph"/>
              <w:numPr>
                <w:ilvl w:val="0"/>
                <w:numId w:val="2"/>
              </w:numPr>
              <w:spacing w:after="45"/>
            </w:pPr>
            <w:r>
              <w:rPr>
                <w:sz w:val="15"/>
                <w:szCs w:val="15"/>
              </w:rPr>
              <w:t xml:space="preserve">Pre-sinusoidal disease defeats the whole framework and is handled in a clause. Where HVPG underestimates portal pressure, as in primary biliary cholangitis, the reference standard and the non-invasive tests calibrated against it fail together, and the document says only that the thresholds are unestablished there.</w:t>
            </w:r>
          </w:p>
          <w:p>
            <w:pPr>
              <w:pStyle w:val="ListParagraph"/>
              <w:numPr>
                <w:ilvl w:val="0"/>
                <w:numId w:val="2"/>
              </w:numPr>
              <w:spacing w:after="45"/>
            </w:pPr>
            <w:r>
              <w:rPr>
                <w:sz w:val="15"/>
                <w:szCs w:val="15"/>
              </w:rPr>
              <w:t xml:space="preserve">Consensus is reported as statement-level evidence and strength grades with no agreement percentages and no record of which proposed statements failed, so, as in the later Baveno conferences, the published document shows only what survived the room.</w:t>
            </w:r>
          </w:p>
          <w:p>
            <w:pPr>
              <w:pStyle w:val="ListParagraph"/>
              <w:numPr>
                <w:ilvl w:val="0"/>
                <w:numId w:val="2"/>
              </w:numPr>
              <w:spacing w:after="45"/>
            </w:pPr>
            <w:r>
              <w:rPr>
                <w:sz w:val="15"/>
                <w:szCs w:val="15"/>
              </w:rPr>
              <w:t xml:space="preserve">The extracted file is the accepted journal pre-proof: pagination and final figure placement are absent and inequality signs are unreliable in the extracted text, so the kilopascal and platelet thresholds that decide management must be checked against the published typesetting before use.</w:t>
            </w:r>
          </w:p>
        </w:tc>
      </w:tr>
    </w:tbl>
    <w:p>
      <w:pPr>
        <w:spacing w:after="0" w:line="276"/>
      </w:pPr>
      <w:r>
        <w:rPr>
          <w:color w:val="5A6069"/>
          <w:sz w:val="14"/>
          <w:szCs w:val="14"/>
        </w:rPr>
        <w:t xml:space="preserve">Funding: The participants declared that they have nothing to disclose regarding funding or conflict of interest with respect to the manuscript, while the acknowledgements record that the workshop was endorsed and supported by unrestricted grants from EASL, AASLD and eight further national societies and research networks; separately, three named authors declare consultancy or research support from Zydus, Surrozen, Actelion, AbbVie, Bayer, Boehringer-Ingelheim, Gilead, Intercept, MSD, Philips, Pliant Pharmaceuticals, Roche and Siemens, and one is supported by the Stiftung für Leberkrankheiten</w:t>
      </w:r>
    </w:p>
    <w:p>
      <w:pPr>
        <w:keepNext/>
        <w:spacing w:after="50" w:before="260"/>
      </w:pPr>
      <w:r>
        <w:rPr>
          <w:rFonts w:ascii="Cambria" w:cs="Cambria" w:eastAsia="Cambria" w:hAnsi="Cambria"/>
          <w:b/>
          <w:bCs/>
          <w:color w:val="17365D"/>
          <w:sz w:val="20"/>
          <w:szCs w:val="20"/>
        </w:rPr>
        <w:t xml:space="preserve">Baveno VIII</w:t>
      </w:r>
      <w:r>
        <w:rPr>
          <w:b/>
          <w:bCs/>
          <w:color w:val="176A87"/>
          <w:sz w:val="15"/>
          <w:szCs w:val="15"/>
        </w:rPr>
        <w:t xml:space="preserve">   Consensus statement</w:t>
      </w:r>
      <w:r>
        <w:rPr>
          <w:color w:val="5A6069"/>
          <w:sz w:val="15"/>
          <w:szCs w:val="15"/>
        </w:rPr>
        <w:t xml:space="preserve">   PMID 42624290</w:t>
      </w:r>
    </w:p>
    <w:p>
      <w:pPr>
        <w:spacing w:after="50" w:line="276"/>
      </w:pPr>
      <w:r>
        <w:rPr>
          <w:color w:val="5A6069"/>
          <w:sz w:val="17"/>
          <w:szCs w:val="17"/>
        </w:rPr>
        <w:t xml:space="preserve">Baveno VIII - Advancing Consensus in Portal Hypertension</w:t>
      </w:r>
    </w:p>
    <w:p>
      <w:pPr>
        <w:spacing w:after="70"/>
      </w:pPr>
      <w:r>
        <w:rPr>
          <w:b/>
          <w:bCs/>
          <w:color w:val="17365D"/>
          <w:sz w:val="16"/>
          <w:szCs w:val="16"/>
        </w:rPr>
        <w:t xml:space="preserve">Bottom line. </w:t>
      </w:r>
      <w:r>
        <w:rPr>
          <w:sz w:val="16"/>
          <w:szCs w:val="16"/>
        </w:rPr>
        <w:t xml:space="preserve">Establishes the current consensus thresholds for ruling clinically significant portal hypertension in and out without catheterisation, extends them for the first time to patients with HCC across BCLC stages 0 to C, and tells a tumour board that endoscopy may be omitted when liver stiffness is 15 kPa or less with platelets of 150 x 10^9/L or more. It does not establish any of this as validated practice: the three HCC statements are new, LoE 3 and weak, the 5 cm right-lobe caveat is unexplained, the tests are withdrawn where there is macrovascular invasion, and the whole document carries seven references, all to earlier Baveno meetings, so no statement can be checked against the evidence behind it. Take the numbers as the field's working agreement, not as a tested rule.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faculty concede only that recommendations from earlier conferences not specifically revised here remain valid, including the whole of HVPG measurement methodology, that the criteria for diagnosing clinically significant portal hypertension carry 'individual limitations' which statement 1.16 asks the clinician to consider without naming them, that non-invasive tests for clinically significant portal hypertension and high-risk varices may not be applicable where there is macrovascular invasion (1.21, LoE 3, weak), that patients in the indeterminate range are handled by re-evaluation at 12 months on LoE 4 weak evidence, and that 153 topics remain open on the research agenda, among them the incidence of and value of six-monthly surveillance for HCC in Budd-Chiari syndrome and whether Milan and AFP-based listing criteria apply in that setting.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reference list contains seven items, all of them previous Baveno conference reports published between 1992 and 2022. Two hundred and seventy-two statements carry a graded level of evidence, the three new HCC statements among them at LoE 3, with no citation to a single primary study, so no grade in this document can be traced to the evidence that produced it.</w:t>
            </w:r>
          </w:p>
          <w:p>
            <w:pPr>
              <w:pStyle w:val="ListParagraph"/>
              <w:numPr>
                <w:ilvl w:val="0"/>
                <w:numId w:val="2"/>
              </w:numPr>
              <w:spacing w:after="45"/>
            </w:pPr>
            <w:r>
              <w:rPr>
                <w:sz w:val="15"/>
                <w:szCs w:val="15"/>
              </w:rPr>
              <w:t xml:space="preserve">No disclosures are printed for any of the 84 faculty while the acknowledgements thank fifteen industry partners for financial support. Echosens manufactures the vibration-controlled transient elastography platform to which the footnote on statement 1.15 ties every liver stiffness threshold in the document, and Mindray makes ultrasound systems; a conference part-funded by the makers of the measuring devices has issued the cut-offs at which those devices decide management, and names no competing interest.</w:t>
            </w:r>
          </w:p>
          <w:p>
            <w:pPr>
              <w:pStyle w:val="ListParagraph"/>
              <w:numPr>
                <w:ilvl w:val="0"/>
                <w:numId w:val="2"/>
              </w:numPr>
              <w:spacing w:after="45"/>
            </w:pPr>
            <w:r>
              <w:rPr>
                <w:sz w:val="15"/>
                <w:szCs w:val="15"/>
              </w:rPr>
              <w:t xml:space="preserve">Baveno VII's participants declared they had nothing to disclose regarding funding or conflict of interest while acknowledging unrestricted grants. Baveno VIII drops the declaration altogether rather than extending it to the industry support it now names, so disclosure in this series has moved from implausible to absent.</w:t>
            </w:r>
          </w:p>
          <w:p>
            <w:pPr>
              <w:pStyle w:val="ListParagraph"/>
              <w:numPr>
                <w:ilvl w:val="0"/>
                <w:numId w:val="2"/>
              </w:numPr>
              <w:spacing w:after="45"/>
            </w:pPr>
            <w:r>
              <w:rPr>
                <w:sz w:val="15"/>
                <w:szCs w:val="15"/>
              </w:rPr>
              <w:t xml:space="preserve">Only statements reaching the threshold are published, and the document says so. Nothing shows how many statements were voted on, which failed, or how the agreement figures were distributed, so a reader cannot separate a settled position from a contested one that was dropped; the printed agreement figures run from 80% to 100% and those at the bottom of that range are indistinguishable from statements that never appeared.</w:t>
            </w:r>
          </w:p>
          <w:p>
            <w:pPr>
              <w:pStyle w:val="ListParagraph"/>
              <w:numPr>
                <w:ilvl w:val="0"/>
                <w:numId w:val="2"/>
              </w:numPr>
              <w:spacing w:after="45"/>
            </w:pPr>
            <w:r>
              <w:rPr>
                <w:sz w:val="15"/>
                <w:szCs w:val="15"/>
              </w:rPr>
              <w:t xml:space="preserve">Strong consensus is defined as above 80% faculty agreement. Four in five is a low bar for a document that presents itself as consensus, and it means a statement opposed by up to one voting expert in five is printed without that dissent being visible anywhere.</w:t>
            </w:r>
          </w:p>
          <w:p>
            <w:pPr>
              <w:pStyle w:val="ListParagraph"/>
              <w:numPr>
                <w:ilvl w:val="0"/>
                <w:numId w:val="2"/>
              </w:numPr>
              <w:spacing w:after="45"/>
            </w:pPr>
            <w:r>
              <w:rPr>
                <w:sz w:val="15"/>
                <w:szCs w:val="15"/>
              </w:rPr>
              <w:t xml:space="preserve">The three HCC statements are all new, LoE 3 and weak, yet written as operational rules. Statement 1.22 extends the rule-out of clinically significant portal hypertension across BCLC stages 0 to C and licenses omitting endoscopy; 1.23 restricts the ANTICIPATE route to BCLC 0 to A 'without large (&gt;5cm) nodules in the right liver lobe'. The 5 cm figure and the right-lobe restriction are stated with no derivation, so the reader cannot tell whether they come from data, from an argument about hepatic vein compression, or from the discussion in the room.</w:t>
            </w:r>
          </w:p>
          <w:p>
            <w:pPr>
              <w:pStyle w:val="ListParagraph"/>
              <w:numPr>
                <w:ilvl w:val="0"/>
                <w:numId w:val="2"/>
              </w:numPr>
              <w:spacing w:after="45"/>
            </w:pPr>
            <w:r>
              <w:rPr>
                <w:sz w:val="15"/>
                <w:szCs w:val="15"/>
              </w:rPr>
              <w:t xml:space="preserve">Statement 1.21 withdraws the non-invasive tests exactly where an HCC board needs them, saying they may not be applicable when there is macrovascular invasion, and offers no alternative. The patient in whom portal pressure matters most is returned to unguided judgement, and the retained Baveno VII statement linking clinically significant portal hypertension to decompensation and mortality after resection for HCC still names no threshold at which resection should be declined.</w:t>
            </w:r>
          </w:p>
          <w:p>
            <w:pPr>
              <w:pStyle w:val="ListParagraph"/>
              <w:numPr>
                <w:ilvl w:val="0"/>
                <w:numId w:val="2"/>
              </w:numPr>
              <w:spacing w:after="45"/>
            </w:pPr>
            <w:r>
              <w:rPr>
                <w:sz w:val="15"/>
                <w:szCs w:val="15"/>
              </w:rPr>
              <w:t xml:space="preserve">The statements that bear on surgery are not new work. The link between clinically significant portal hypertension and post-resection outcome, and the whole of HVPG methodology, sit in the summary box of prior statements that 'remain valid' but were not re-examined. The box then asks the reader to interpret those statements 'in the context of current Baveno VIII recommendations which favor non-invasive tests over routine HVPG measurements', which is to apply the conclusions of an invasive reference standard through tests this conference has not validated against it in this population.</w:t>
            </w:r>
          </w:p>
          <w:p>
            <w:pPr>
              <w:pStyle w:val="ListParagraph"/>
              <w:numPr>
                <w:ilvl w:val="0"/>
                <w:numId w:val="2"/>
              </w:numPr>
              <w:spacing w:after="45"/>
            </w:pPr>
            <w:r>
              <w:rPr>
                <w:sz w:val="15"/>
                <w:szCs w:val="15"/>
              </w:rPr>
              <w:t xml:space="preserve">Thresholds are specific to device, frequency and measurement conditions, spleen stiffness above 55 kPa at 100 Hz and liver stiffness by vibration-controlled transient elastography, but no guidance is given for centres using other elastography platforms or point shear-wave techniques. The aetiology caveat that matters most appears as a parenthesis in the figure, 'except in obese MASLD', rather than being carried into the statements themselves.</w:t>
            </w:r>
          </w:p>
          <w:p>
            <w:pPr>
              <w:pStyle w:val="ListParagraph"/>
              <w:numPr>
                <w:ilvl w:val="0"/>
                <w:numId w:val="2"/>
              </w:numPr>
              <w:spacing w:after="45"/>
            </w:pPr>
            <w:r>
              <w:rPr>
                <w:sz w:val="15"/>
                <w:szCs w:val="15"/>
              </w:rPr>
              <w:t xml:space="preserve">This is an accepted journal pre-proof dated 31 July 2026: the statements may change at copy-editing, pagination is absent, and no independent editorial or commentary on Baveno VIII was indexed in PubMed when this record was made, so the document has had no published external scrutiny.</w:t>
            </w:r>
          </w:p>
          <w:p>
            <w:pPr>
              <w:pStyle w:val="ListParagraph"/>
              <w:numPr>
                <w:ilvl w:val="0"/>
                <w:numId w:val="2"/>
              </w:numPr>
              <w:spacing w:after="45"/>
            </w:pPr>
            <w:r>
              <w:rPr>
                <w:sz w:val="15"/>
                <w:szCs w:val="15"/>
              </w:rPr>
              <w:t xml:space="preserve">The paediatric statements are new and were voted by the same faculty, with paediatric hepatologists added to only some panels and the composition of the vote for each statement not reported. The paediatric symposium held alongside the conference was sponsored by a single children's hospital, and the research agenda concedes that paediatric cut-offs for varices still need validation.</w:t>
            </w:r>
          </w:p>
        </w:tc>
      </w:tr>
    </w:tbl>
    <w:p>
      <w:pPr>
        <w:spacing w:after="0" w:line="276"/>
      </w:pPr>
      <w:r>
        <w:rPr>
          <w:color w:val="5A6069"/>
          <w:sz w:val="14"/>
          <w:szCs w:val="14"/>
        </w:rPr>
        <w:t xml:space="preserve">Funding: The acknowledgements record financial support from fifteen named industry partners, among them Echosens, Mindray, Boehringer Ingelheim, Roche/89bio, Madrigal, Grifols, GSK, Cook, CSL and W.L. Gore, alongside scientific partner organisations including EASL, ESGE, AEEH, AISF, BASL, CIBEREHD, JSH and VALDIG; no conflict-of-interest or disclosure statement for any of the 84 faculty members appears anywhere in the document</w:t>
      </w:r>
    </w:p>
    <w:p>
      <w:pPr>
        <w:keepNext/>
        <w:spacing w:after="50" w:before="260"/>
      </w:pPr>
      <w:r>
        <w:rPr>
          <w:rFonts w:ascii="Cambria" w:cs="Cambria" w:eastAsia="Cambria" w:hAnsi="Cambria"/>
          <w:b/>
          <w:bCs/>
          <w:color w:val="17365D"/>
          <w:sz w:val="20"/>
          <w:szCs w:val="20"/>
        </w:rPr>
        <w:t xml:space="preserve">BCLC 2022</w:t>
      </w:r>
      <w:r>
        <w:rPr>
          <w:b/>
          <w:bCs/>
          <w:color w:val="176A87"/>
          <w:sz w:val="15"/>
          <w:szCs w:val="15"/>
        </w:rPr>
        <w:t xml:space="preserve">   Guideline</w:t>
      </w:r>
      <w:r>
        <w:rPr>
          <w:color w:val="5A6069"/>
          <w:sz w:val="15"/>
          <w:szCs w:val="15"/>
        </w:rPr>
        <w:t xml:space="preserve">   PMID 34801630</w:t>
      </w:r>
    </w:p>
    <w:p>
      <w:pPr>
        <w:spacing w:after="50" w:line="276"/>
      </w:pPr>
      <w:r>
        <w:rPr>
          <w:color w:val="5A6069"/>
          <w:sz w:val="17"/>
          <w:szCs w:val="17"/>
        </w:rPr>
        <w:t xml:space="preserve">BCLC strategy for prognosis prediction and treatment recommendation: The 2022 update</w:t>
      </w:r>
    </w:p>
    <w:p>
      <w:pPr>
        <w:spacing w:after="70"/>
      </w:pPr>
      <w:r>
        <w:rPr>
          <w:b/>
          <w:bCs/>
          <w:color w:val="17365D"/>
          <w:sz w:val="16"/>
          <w:szCs w:val="16"/>
        </w:rPr>
        <w:t xml:space="preserve">Bottom line. </w:t>
      </w:r>
      <w:r>
        <w:rPr>
          <w:sz w:val="16"/>
          <w:szCs w:val="16"/>
        </w:rPr>
        <w:t xml:space="preserve">Establishes the 2022 version of the staging and treatment algorithm most of the world uses for HCC, adds a liver-function and patient-characterisation layer above tumour burden, and brings radioembolisation in for single nodules up to 8 cm. It does not establish any of this systematically: it is an expert narrative review drafted by two of its eighteen authors, with no search strategy, no voting, no thresholds for the liver-function variables it introduces, and no rule for the treatment stage migration on which the model depends. Use it as the field's shared vocabulary, and read the published correspondence from radiation oncologists, surgeons and hepatologists as part of the document.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only that no portal pressure cut-off can be given for resection in the presence of clinically significant portal hypertension, that robust cut-offs are likewise lacking for the BCLC B subdivision, that the LEGACY cohort supporting radioembolisation for single nodules up to 8 cm awaits external validation, that there is no evidence base for sequencing after a first-line immunotherapy doublet, and, in general terms, that data for some encouraging interventions are still too immature to be incorporated into an evidence-based model and that observational studies have limitations for robust causal inference.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an expert narrative review, not a systematically reviewed or GRADE-graded guideline. No search strategy, inclusion criteria, evidence tables or voting procedure are reported, so the reader cannot establish which literature was considered or how the recommendations in Figure 1 were reached.</w:t>
            </w:r>
          </w:p>
          <w:p>
            <w:pPr>
              <w:pStyle w:val="ListParagraph"/>
              <w:numPr>
                <w:ilvl w:val="0"/>
                <w:numId w:val="2"/>
              </w:numPr>
              <w:spacing w:after="45"/>
            </w:pPr>
            <w:r>
              <w:rPr>
                <w:sz w:val="15"/>
                <w:szCs w:val="15"/>
              </w:rPr>
              <w:t xml:space="preserve">The author contribution statement records that initial and final writing of the manuscript was by two authors, with the remaining sixteen contributing 'critical reading and suggestions'. The document carries the authority of an eighteen-author international panel while having been drafted by the two senior figures of the group whose system it is.</w:t>
            </w:r>
          </w:p>
          <w:p>
            <w:pPr>
              <w:pStyle w:val="ListParagraph"/>
              <w:numPr>
                <w:ilvl w:val="0"/>
                <w:numId w:val="2"/>
              </w:numPr>
              <w:spacing w:after="45"/>
            </w:pPr>
            <w:r>
              <w:rPr>
                <w:sz w:val="15"/>
                <w:szCs w:val="15"/>
              </w:rPr>
              <w:t xml:space="preserve">The new liver-function layer is introduced without thresholds. ALBI, AFP, MELD and ascites grade are named as inputs to patient characterisation and no cut-off is given for any of them, so two boards can apply BCLC 2022 to the same patient, assign different stages and different treatments, and both be following the algorithm; a correspondence in the same journal made exactly this point.</w:t>
            </w:r>
          </w:p>
          <w:p>
            <w:pPr>
              <w:pStyle w:val="ListParagraph"/>
              <w:numPr>
                <w:ilvl w:val="0"/>
                <w:numId w:val="2"/>
              </w:numPr>
              <w:spacing w:after="45"/>
            </w:pPr>
            <w:r>
              <w:rPr>
                <w:sz w:val="15"/>
                <w:szCs w:val="15"/>
              </w:rPr>
              <w:t xml:space="preserve">Treatment stage migration is central to the model and has no rule. The document says when to consider migrating a patient to the treatment of an adjacent stage but gives no criterion for doing it, which places the most consequential judgement in the algorithm outside the algorithm.</w:t>
            </w:r>
          </w:p>
          <w:p>
            <w:pPr>
              <w:pStyle w:val="ListParagraph"/>
              <w:numPr>
                <w:ilvl w:val="0"/>
                <w:numId w:val="2"/>
              </w:numPr>
              <w:spacing w:after="45"/>
            </w:pPr>
            <w:r>
              <w:rPr>
                <w:sz w:val="15"/>
                <w:szCs w:val="15"/>
              </w:rPr>
              <w:t xml:space="preserve">The radioembolisation recommendation for single nodules up to 8 cm rests on LEGACY, one retrospective single-arm cohort whose median tumour size was 2.6 cm. The upper bound of the recommendation is three times the median of the series that generated it, and nothing in the figure signals that the evidence thins across that range.</w:t>
            </w:r>
          </w:p>
          <w:p>
            <w:pPr>
              <w:pStyle w:val="ListParagraph"/>
              <w:numPr>
                <w:ilvl w:val="0"/>
                <w:numId w:val="2"/>
              </w:numPr>
              <w:spacing w:after="45"/>
            </w:pPr>
            <w:r>
              <w:rPr>
                <w:sz w:val="15"/>
                <w:szCs w:val="15"/>
              </w:rPr>
              <w:t xml:space="preserve">Resection is not recommended for multinodular disease or in the presence of clinically significant portal hypertension, and surgeons wrote to the journal to say the model stays too restrictive and accommodates neither bile duct tumour thrombus nor the distinction between tumour-related and comorbidity-related performance status. The exchange, including the authors' reply, is identified here from the citations and abstracts and was not obtained in full.</w:t>
            </w:r>
          </w:p>
          <w:p>
            <w:pPr>
              <w:pStyle w:val="ListParagraph"/>
              <w:numPr>
                <w:ilvl w:val="0"/>
                <w:numId w:val="2"/>
              </w:numPr>
              <w:spacing w:after="45"/>
            </w:pPr>
            <w:r>
              <w:rPr>
                <w:sz w:val="15"/>
                <w:szCs w:val="15"/>
              </w:rPr>
              <w:t xml:space="preserve">External beam radiotherapy, stereotactic body radiotherapy included, is absent from the algorithm, and radiation oncologists published a correspondence saying so within months. Omitting a modality in routine use is a positive claim about its place, made here by silence rather than argument, and the same group reversed the position in its 2026 update.</w:t>
            </w:r>
          </w:p>
          <w:p>
            <w:pPr>
              <w:pStyle w:val="ListParagraph"/>
              <w:numPr>
                <w:ilvl w:val="0"/>
                <w:numId w:val="2"/>
              </w:numPr>
              <w:spacing w:after="45"/>
            </w:pPr>
            <w:r>
              <w:rPr>
                <w:sz w:val="15"/>
                <w:szCs w:val="15"/>
              </w:rPr>
              <w:t xml:space="preserve">The figure is the product. Most readers will use Figure 1 alone and a figure cannot carry the qualifications the text attaches to it, so the caveats that make the recommendations defensible are separated from the thing that gets applied. The 2023 AASLD guidance reproduces this figure as its own Figure 9, carrying the algorithm into a second document without the text that qualifies it.</w:t>
            </w:r>
          </w:p>
          <w:p>
            <w:pPr>
              <w:pStyle w:val="ListParagraph"/>
              <w:numPr>
                <w:ilvl w:val="0"/>
                <w:numId w:val="2"/>
              </w:numPr>
              <w:spacing w:after="45"/>
            </w:pPr>
            <w:r>
              <w:rPr>
                <w:sz w:val="15"/>
                <w:szCs w:val="15"/>
              </w:rPr>
              <w:t xml:space="preserve">The evidence cut-off is 15 November 2021, so the document neither addresses adjuvant systemic therapy nor considers TACE combined with systemic therapy. It continued to be cited and reproduced as current for years, and nothing in it states an expiry or an update interval.</w:t>
            </w:r>
          </w:p>
          <w:p>
            <w:pPr>
              <w:pStyle w:val="ListParagraph"/>
              <w:numPr>
                <w:ilvl w:val="0"/>
                <w:numId w:val="2"/>
              </w:numPr>
              <w:spacing w:after="45"/>
            </w:pPr>
            <w:r>
              <w:rPr>
                <w:sz w:val="15"/>
                <w:szCs w:val="15"/>
              </w:rPr>
              <w:t xml:space="preserve">BCLC D survival is given as around three months, a figure the same group revised to under twelve months in 2026 on data largely available earlier. For a stage where the quoted prognosis is itself part of the decision to treat or not, a fourfold revision between editions means the 2022 figure was shaping choices it could not support.</w:t>
            </w:r>
          </w:p>
        </w:tc>
      </w:tr>
    </w:tbl>
    <w:p>
      <w:pPr>
        <w:spacing w:after="0" w:line="276"/>
      </w:pPr>
      <w:r>
        <w:rPr>
          <w:color w:val="5A6069"/>
          <w:sz w:val="14"/>
          <w:szCs w:val="14"/>
        </w:rPr>
        <w:t xml:space="preserve">Funding: No commercial funding; the authors' research is partially supported by Instituto de Salud Carlos III, the Spanish Health Ministry's National Strategic Plan against Hepatitis C, AECC, CIBERehd, an EASL grant, NIH R01 MD012565 and Horizon 2020 grant agreement 952103. Industry relationships are printed in full and are extensive: the first and last authors each declare consultancy, lecture or travel support from more than ten companies including Bayer, BMS, Roche, Ipsen, AstraZeneca, Eisai, Lilly, Sirtex and Terumo, with institutional research funding from Bayer and Ipsen, while two of the eighteen authors declare nothing</w:t>
      </w:r>
    </w:p>
    <w:p>
      <w:pPr>
        <w:keepNext/>
        <w:spacing w:after="50" w:before="260"/>
      </w:pPr>
      <w:r>
        <w:rPr>
          <w:rFonts w:ascii="Cambria" w:cs="Cambria" w:eastAsia="Cambria" w:hAnsi="Cambria"/>
          <w:b/>
          <w:bCs/>
          <w:color w:val="17365D"/>
          <w:sz w:val="20"/>
          <w:szCs w:val="20"/>
        </w:rPr>
        <w:t xml:space="preserve">BCLC 2026</w:t>
      </w:r>
      <w:r>
        <w:rPr>
          <w:b/>
          <w:bCs/>
          <w:color w:val="176A87"/>
          <w:sz w:val="15"/>
          <w:szCs w:val="15"/>
        </w:rPr>
        <w:t xml:space="preserve">   Guideline</w:t>
      </w:r>
      <w:r>
        <w:rPr>
          <w:color w:val="5A6069"/>
          <w:sz w:val="15"/>
          <w:szCs w:val="15"/>
        </w:rPr>
        <w:t xml:space="preserve">   PMID 41151697</w:t>
      </w:r>
    </w:p>
    <w:p>
      <w:pPr>
        <w:spacing w:after="50" w:line="276"/>
      </w:pPr>
      <w:r>
        <w:rPr>
          <w:color w:val="5A6069"/>
          <w:sz w:val="17"/>
          <w:szCs w:val="17"/>
        </w:rPr>
        <w:t xml:space="preserve">BCLC strategy for prognosis prediction and treatment recommendations: The 2026 update</w:t>
      </w:r>
    </w:p>
    <w:p>
      <w:pPr>
        <w:spacing w:after="70"/>
      </w:pPr>
      <w:r>
        <w:rPr>
          <w:b/>
          <w:bCs/>
          <w:color w:val="17365D"/>
          <w:sz w:val="16"/>
          <w:szCs w:val="16"/>
        </w:rPr>
        <w:t xml:space="preserve">Bottom line. </w:t>
      </w:r>
      <w:r>
        <w:rPr>
          <w:sz w:val="16"/>
          <w:szCs w:val="16"/>
        </w:rPr>
        <w:t xml:space="preserve">Establishes the current BCLC algorithm, bringing external beam radiotherapy and radioembolisation into early-stage disease, preferring microwave to radiofrequency up to 3 to 4 cm, admitting ECOG 2 and four first-line doublets to BCLC C, defining multifocal disease numerically and revising BCLC D survival upward from three months to under twelve. It does not establish the thresholds that decide individual cases: no HVPG cut-off for resection with portal hypertension, no AFP decline for downstaging eligibility, no cut-off for TACE-unsuitable disease, no definition of major response, and a decision framework whose effect on practice the authors say has not been studied. The positions moved, and most of them moved on observational and single-arm evidence the update itself qualifies.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only that no HVPG cut-off licenses resection in mild portal hypertension, that no AFP decline is defined as qualifying a downstaged patient for transplantation, that no strict cut-off separates TACE-eligible from TACE-unsuitable disease, that there is no consensus definition of major response and no staging framework for BCLC upon response, that the structural selection bias in the comparative observational literature 'cannot be fully eliminated', that overall survival is immature in the curative-intent trials and that some first-line radiotherapy trials failed to meet accrual targets, that evidence in portal vein invasion is limited with only 18 such patients in DOSISPHERE-01, and that the CUSE framework's effect on practice and outcomes has not been studied and its web tool is not yet developed.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methods are printed under the heading 'Data availability'. The PubMed search was restricted to humans, adults over 19 and English-language records, which removes much of the Japanese and Chinese literature on particle therapy, hepatic arterial infusion chemotherapy and conversion surgery; Japanese proton therapy investigators wrote to the journal to say particle therapy is not integrated into the strategy, and the language restriction is part of why.</w:t>
            </w:r>
          </w:p>
          <w:p>
            <w:pPr>
              <w:pStyle w:val="ListParagraph"/>
              <w:numPr>
                <w:ilvl w:val="0"/>
                <w:numId w:val="2"/>
              </w:numPr>
              <w:spacing w:after="45"/>
            </w:pPr>
            <w:r>
              <w:rPr>
                <w:sz w:val="15"/>
                <w:szCs w:val="15"/>
              </w:rPr>
              <w:t xml:space="preserve">Two of the three evidence syntheses underpinning the update are the authors' own: an individual-participant-data meta-analysis of external beam radiotherapy in about 5,000 patients and an aggregate-data meta-analysis of 73 studies in macrovascular invasion. The group that sets the algorithm also produced the evidence that moved it, and the update does not treat that as a source of bias.</w:t>
            </w:r>
          </w:p>
          <w:p>
            <w:pPr>
              <w:pStyle w:val="ListParagraph"/>
              <w:numPr>
                <w:ilvl w:val="0"/>
                <w:numId w:val="2"/>
              </w:numPr>
              <w:spacing w:after="45"/>
            </w:pPr>
            <w:r>
              <w:rPr>
                <w:sz w:val="15"/>
                <w:szCs w:val="15"/>
              </w:rPr>
              <w:t xml:space="preserve">CUSE is a process presented as an advance. It names four dimensions, prescribes GO, CONSIDER and NO-GO thresholds and points to a web tool at bclccuse.ai, and the authors concede the tool is not developed and the framework's effect on practice and outcomes has not been studied. A tumour board gains a vocabulary and no reproducible rule, and CUSE is also where the structural selection bias in the observational literature is said to be 'explicitly acknowledged' rather than addressed.</w:t>
            </w:r>
          </w:p>
          <w:p>
            <w:pPr>
              <w:pStyle w:val="ListParagraph"/>
              <w:numPr>
                <w:ilvl w:val="0"/>
                <w:numId w:val="2"/>
              </w:numPr>
              <w:spacing w:after="45"/>
            </w:pPr>
            <w:r>
              <w:rPr>
                <w:sz w:val="15"/>
                <w:szCs w:val="15"/>
              </w:rPr>
              <w:t xml:space="preserve">EBRT and TARE enter the figure for BCLC 0 and A on data the update itself qualifies in the same paragraphs: RASER with a mean tumour size of 2.1 cm and standard deviation 0.4, LEGACY with a median of 2.6 cm and a range to 8.1 cm, and an EBRT literature described as limited by heterogeneity and selection bias with trials that failed to meet accrual. The position changed; the class of evidence did not.</w:t>
            </w:r>
          </w:p>
          <w:p>
            <w:pPr>
              <w:pStyle w:val="ListParagraph"/>
              <w:numPr>
                <w:ilvl w:val="0"/>
                <w:numId w:val="2"/>
              </w:numPr>
              <w:spacing w:after="45"/>
            </w:pPr>
            <w:r>
              <w:rPr>
                <w:sz w:val="15"/>
                <w:szCs w:val="15"/>
              </w:rPr>
              <w:t xml:space="preserve">Microwave is made the preferred percutaneous technique up to 3 to 4 cm. The randomised comparison on which that rests failed to show superiority of microwave over radiofrequency, and EASL, reading the same trials in the same period, recommends no preference. The update neither notes the disagreement nor explains what turns a null trial into a preference.</w:t>
            </w:r>
          </w:p>
          <w:p>
            <w:pPr>
              <w:pStyle w:val="ListParagraph"/>
              <w:numPr>
                <w:ilvl w:val="0"/>
                <w:numId w:val="2"/>
              </w:numPr>
              <w:spacing w:after="45"/>
            </w:pPr>
            <w:r>
              <w:rPr>
                <w:sz w:val="15"/>
                <w:szCs w:val="15"/>
              </w:rPr>
              <w:t xml:space="preserve">The update refuses to present cross-trial hazard ratios or survival-curve metrics so as not to imply a hierarchy unsupported by direct evidence, then admits four first-line doublets to BCLC C with no means of choosing between them. The refusal is methodologically defensible and leaves the clinician holding the decision the document exists to inform.</w:t>
            </w:r>
          </w:p>
          <w:p>
            <w:pPr>
              <w:pStyle w:val="ListParagraph"/>
              <w:numPr>
                <w:ilvl w:val="0"/>
                <w:numId w:val="2"/>
              </w:numPr>
              <w:spacing w:after="45"/>
            </w:pPr>
            <w:r>
              <w:rPr>
                <w:sz w:val="15"/>
                <w:szCs w:val="15"/>
              </w:rPr>
              <w:t xml:space="preserve">BCLC D survival is revised from about three months to under twelve without the data behind the revision being set out. A prognostic estimate that moves fourfold between editions of the same algorithm, having been used in the interim to decide against active treatment, needs an account of why it changed.</w:t>
            </w:r>
          </w:p>
          <w:p>
            <w:pPr>
              <w:pStyle w:val="ListParagraph"/>
              <w:numPr>
                <w:ilvl w:val="0"/>
                <w:numId w:val="2"/>
              </w:numPr>
              <w:spacing w:after="45"/>
            </w:pPr>
            <w:r>
              <w:rPr>
                <w:sz w:val="15"/>
                <w:szCs w:val="15"/>
              </w:rPr>
              <w:t xml:space="preserve">The divergence from the 2023 AASLD guidance on adjuvant systemic therapy is stated without engaging the 2025 AASLD critical update, which reversed that guidance and now agrees with BCLC. The reader is left to discover elsewhere that the disagreement has resolved.</w:t>
            </w:r>
          </w:p>
          <w:p>
            <w:pPr>
              <w:pStyle w:val="ListParagraph"/>
              <w:numPr>
                <w:ilvl w:val="0"/>
                <w:numId w:val="2"/>
              </w:numPr>
              <w:spacing w:after="45"/>
            </w:pPr>
            <w:r>
              <w:rPr>
                <w:sz w:val="15"/>
                <w:szCs w:val="15"/>
              </w:rPr>
              <w:t xml:space="preserve">Figure 4 argues that progression-free survival is an unreliable surrogate for overall survival because the same interval can be produced by indolent progression, lethal progression, aggressive biology or treatment-related death. The argument is correct, and the update does not apply it to its own reliance on objective response, complete pathological response and local control in the BCLC 0 and A recommendations it has just expanded.</w:t>
            </w:r>
          </w:p>
          <w:p>
            <w:pPr>
              <w:pStyle w:val="ListParagraph"/>
              <w:numPr>
                <w:ilvl w:val="0"/>
                <w:numId w:val="2"/>
              </w:numPr>
              <w:spacing w:after="45"/>
            </w:pPr>
            <w:r>
              <w:rPr>
                <w:sz w:val="15"/>
                <w:szCs w:val="15"/>
              </w:rPr>
              <w:t xml:space="preserve">Complete pathological response is used as supporting evidence across modalities with incompatible denominators: 34% versus 20% on explant in a UNOS retrospective comparison of TARE and TACE, 25% in a series of 88 patients given SBRT, and 'frequent' after superselective TACE, while the same passage notes that radiologic complete response does not consistently predict histologic necrosis. The figures are set side by side and are not comparable.</w:t>
            </w:r>
          </w:p>
          <w:p>
            <w:pPr>
              <w:pStyle w:val="ListParagraph"/>
              <w:numPr>
                <w:ilvl w:val="0"/>
                <w:numId w:val="2"/>
              </w:numPr>
              <w:spacing w:after="45"/>
            </w:pPr>
            <w:r>
              <w:rPr>
                <w:sz w:val="15"/>
                <w:szCs w:val="15"/>
              </w:rPr>
              <w:t xml:space="preserve">The competing-interest record is corrupted in this copy: one author's entry ends 'and grants from;' with no list, another repeats the same company list twice, and a third reads ': ; none'. For a document whose recommendations now favour named devices and agents, the disclosures as published here cannot be read in full.</w:t>
            </w:r>
          </w:p>
        </w:tc>
      </w:tr>
    </w:tbl>
    <w:p>
      <w:pPr>
        <w:spacing w:after="0" w:line="276"/>
      </w:pPr>
      <w:r>
        <w:rPr>
          <w:color w:val="5A6069"/>
          <w:sz w:val="14"/>
          <w:szCs w:val="14"/>
        </w:rPr>
        <w:t xml:space="preserve">Funding: No commercial funding for the update; grant support is listed author by author from Instituto de Salud Carlos III, CIBER and CIBEREHD, AECC, World Cancer Research, an EASL registry grant and institutional research support, with several authors reporting none. Industry relationships are printed in full and are extensive, including consultancy, lecture, travel and institutional educational support from AstraZeneca, Bayer, BMS, Roche/Genentech, Eisai, Lilly, Ipsen, Boston Scientific, Sirtex, Terumo, Guerbet and others; one entry reads 'and grants from;' with nothing after it and another repeats an identical company list twice</w:t>
      </w:r>
    </w:p>
    <w:p>
      <w:pPr>
        <w:keepNext/>
        <w:spacing w:after="50" w:before="260"/>
      </w:pPr>
      <w:r>
        <w:rPr>
          <w:rFonts w:ascii="Cambria" w:cs="Cambria" w:eastAsia="Cambria" w:hAnsi="Cambria"/>
          <w:b/>
          <w:bCs/>
          <w:color w:val="17365D"/>
          <w:sz w:val="20"/>
          <w:szCs w:val="20"/>
        </w:rPr>
        <w:t xml:space="preserve">Berzigotti meta-analysis</w:t>
      </w:r>
      <w:r>
        <w:rPr>
          <w:b/>
          <w:bCs/>
          <w:color w:val="176A87"/>
          <w:sz w:val="15"/>
          <w:szCs w:val="15"/>
        </w:rPr>
        <w:t xml:space="preserve">   Meta-analysis</w:t>
      </w:r>
      <w:r>
        <w:rPr>
          <w:color w:val="5A6069"/>
          <w:sz w:val="15"/>
          <w:szCs w:val="15"/>
        </w:rPr>
        <w:t xml:space="preserve">   PMID 25212123</w:t>
      </w:r>
    </w:p>
    <w:p>
      <w:pPr>
        <w:spacing w:after="50" w:line="276"/>
      </w:pPr>
      <w:r>
        <w:rPr>
          <w:color w:val="5A6069"/>
          <w:sz w:val="17"/>
          <w:szCs w:val="17"/>
        </w:rPr>
        <w:t xml:space="preserve">Portal Hypertension and the Outcome of Surgery for Hepatocellular Carcinoma in Compensated Cirrhosis: A Systematic Review and Meta-analysis</w:t>
      </w:r>
    </w:p>
    <w:p>
      <w:pPr>
        <w:spacing w:after="50"/>
      </w:pPr>
      <w:r>
        <w:rPr>
          <w:b/>
          <w:bCs/>
          <w:color w:val="176A87"/>
          <w:sz w:val="16"/>
          <w:szCs w:val="16"/>
        </w:rPr>
        <w:t xml:space="preserve">Population. </w:t>
      </w:r>
      <w:r>
        <w:rPr>
          <w:sz w:val="16"/>
          <w:szCs w:val="16"/>
        </w:rPr>
        <w:t xml:space="preserve">11 studies with 1,737 patients with cirrhosis and HCC treated surgically; 1,572 patients (574 with and 998 without clinically significant portal hypertension) in the survival analysis with 491 deaths at 3 years and 694 at 5 years, and 1,108 patients (386 with and 722 without) with 197 decompensation events</w:t>
      </w:r>
    </w:p>
    <w:p>
      <w:pPr>
        <w:spacing w:after="70"/>
      </w:pPr>
      <w:r>
        <w:rPr>
          <w:b/>
          <w:bCs/>
          <w:color w:val="17365D"/>
          <w:sz w:val="16"/>
          <w:szCs w:val="16"/>
        </w:rPr>
        <w:t xml:space="preserve">Bottom line. </w:t>
      </w:r>
      <w:r>
        <w:rPr>
          <w:sz w:val="16"/>
          <w:szCs w:val="16"/>
        </w:rPr>
        <w:t xml:space="preserve">Pools 11 observational studies and finds that clinically significant portal hypertension roughly doubles 3- and 5-year mortality after resection for HCC (pooled OR 2.09 and 2.07) and triples the odds of postoperative decompensation (OR 3.04). Every estimate is crude and unadjusted, portal hypertension is a marker of more advanced cirrhosis, and the dramatic subgroup figures that justify measuring the hepatic venous pressure gradient come from three small studies totalling 115 patients, two of them the authors' own.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analysis pools observational and mostly retrospective data, which the authors state limits the ability to control for confounding</w:t>
            </w:r>
          </w:p>
          <w:p>
            <w:pPr>
              <w:pStyle w:val="ListParagraph"/>
              <w:numPr>
                <w:ilvl w:val="0"/>
                <w:numId w:val="2"/>
              </w:numPr>
              <w:spacing w:after="45"/>
            </w:pPr>
            <w:r>
              <w:rPr>
                <w:sz w:val="15"/>
                <w:szCs w:val="15"/>
              </w:rPr>
              <w:t xml:space="preserve">Because most included studies did not adjust for known confounders, the authors were forced to use crude measures of association</w:t>
            </w:r>
          </w:p>
          <w:p>
            <w:pPr>
              <w:pStyle w:val="ListParagraph"/>
              <w:numPr>
                <w:ilvl w:val="0"/>
                <w:numId w:val="2"/>
              </w:numPr>
              <w:spacing w:after="45"/>
            </w:pPr>
            <w:r>
              <w:rPr>
                <w:sz w:val="15"/>
                <w:szCs w:val="15"/>
              </w:rPr>
              <w:t xml:space="preserve">Four of the eleven studies scored 10 on the QUIPS tool and were rated high risk of bias</w:t>
            </w:r>
          </w:p>
          <w:p>
            <w:pPr>
              <w:pStyle w:val="ListParagraph"/>
              <w:numPr>
                <w:ilvl w:val="0"/>
                <w:numId w:val="2"/>
              </w:numPr>
              <w:spacing w:after="45"/>
            </w:pPr>
            <w:r>
              <w:rPr>
                <w:sz w:val="15"/>
                <w:szCs w:val="15"/>
              </w:rPr>
              <w:t xml:space="preserve">The definition of clinical decompensation varied across studies, although all included jaundice and ascites</w:t>
            </w:r>
          </w:p>
          <w:p>
            <w:pPr>
              <w:pStyle w:val="ListParagraph"/>
              <w:numPr>
                <w:ilvl w:val="0"/>
                <w:numId w:val="2"/>
              </w:numPr>
              <w:spacing w:after="45"/>
            </w:pPr>
            <w:r>
              <w:rPr>
                <w:sz w:val="15"/>
                <w:szCs w:val="15"/>
              </w:rPr>
              <w:t xml:space="preserve">The authors acknowledge that surgical practice has moved on since the included cohorts, naming laparoscopic resection, reduced clamping and portal vein embolisation, though they argue resection does not lower portal pressure</w:t>
            </w:r>
          </w:p>
          <w:p>
            <w:pPr>
              <w:pStyle w:val="ListParagraph"/>
              <w:numPr>
                <w:ilvl w:val="0"/>
                <w:numId w:val="2"/>
              </w:numPr>
              <w:spacing w:after="45"/>
            </w:pPr>
            <w:r>
              <w:rPr>
                <w:sz w:val="15"/>
                <w:szCs w:val="15"/>
              </w:rPr>
              <w:t xml:space="preserve">The authors note that the reliability of observational methodology is hard to judge from published reports, which is why they restricted the search to full publications and excluded the grey literature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search window opens in January 1996 because that is when the authors' own first paper on the question appeared, and four of the eleven included studies come from the authors' own group, so a meta-analysis described in its Discussion as validating the EASL and AASLD recommendations is conducted by the authors of those recommendations using their own data</w:t>
            </w:r>
          </w:p>
          <w:p>
            <w:pPr>
              <w:pStyle w:val="ListParagraph"/>
              <w:numPr>
                <w:ilvl w:val="0"/>
                <w:numId w:val="2"/>
              </w:numPr>
              <w:spacing w:after="45"/>
            </w:pPr>
            <w:r>
              <w:rPr>
                <w:sz w:val="15"/>
                <w:szCs w:val="15"/>
              </w:rPr>
              <w:t xml:space="preserve">The decompensation subgroup estimate that drives the recommendation to measure the hepatic venous pressure gradient (pooled OR 14.59, 95% CI 2.81 to 80.06) rests on three studies of 29, 40 and 46 patients, two of them from the authors' unit, and the smallest of the three has perfect separation so its true odds ratio is unbounded</w:t>
            </w:r>
          </w:p>
          <w:p>
            <w:pPr>
              <w:pStyle w:val="ListParagraph"/>
              <w:numPr>
                <w:ilvl w:val="0"/>
                <w:numId w:val="2"/>
              </w:numPr>
              <w:spacing w:after="45"/>
            </w:pPr>
            <w:r>
              <w:rPr>
                <w:sz w:val="15"/>
                <w:szCs w:val="15"/>
              </w:rPr>
              <w:t xml:space="preserve">The corresponding mortality subgroup estimate for gradient-based studies (OR 8.00, 95% CI 2.59 to 24.69) comes from the same group's 1996 and 1999 papers, so the claim that invasive measurement outperforms surrogates is a comparison between the authors' small prospective series and other groups' larger retrospective ones</w:t>
            </w:r>
          </w:p>
          <w:p>
            <w:pPr>
              <w:pStyle w:val="ListParagraph"/>
              <w:numPr>
                <w:ilvl w:val="0"/>
                <w:numId w:val="2"/>
              </w:numPr>
              <w:spacing w:after="45"/>
            </w:pPr>
            <w:r>
              <w:rPr>
                <w:sz w:val="15"/>
                <w:szCs w:val="15"/>
              </w:rPr>
              <w:t xml:space="preserve">That comparison is made between subgroups of studies rather than within patients: no included study measured the gradient and the surrogate criteria in the same patients and compared their prognostic performance, so the conclusion that surrogates cannot exclude clinically significant portal hypertension is not something the pooled data can establish</w:t>
            </w:r>
          </w:p>
          <w:p>
            <w:pPr>
              <w:pStyle w:val="ListParagraph"/>
              <w:numPr>
                <w:ilvl w:val="0"/>
                <w:numId w:val="2"/>
              </w:numPr>
              <w:spacing w:after="45"/>
            </w:pPr>
            <w:r>
              <w:rPr>
                <w:sz w:val="15"/>
                <w:szCs w:val="15"/>
              </w:rPr>
              <w:t xml:space="preserve">Only 2 of the 8 survival studies reported portal hypertension as an independent predictor on multivariable analysis, a fact placed in a supplementary table while the abstract and conclusions report the pooled crude odds ratio, so the headline estimate cannot distinguish the harm of operating from the natural history of more advanced cirrhosis</w:t>
            </w:r>
          </w:p>
          <w:p>
            <w:pPr>
              <w:pStyle w:val="ListParagraph"/>
              <w:numPr>
                <w:ilvl w:val="0"/>
                <w:numId w:val="2"/>
              </w:numPr>
              <w:spacing w:after="45"/>
            </w:pPr>
            <w:r>
              <w:rPr>
                <w:sz w:val="15"/>
                <w:szCs w:val="15"/>
              </w:rPr>
              <w:t xml:space="preserve">Operative mortality did not differ by portal hypertension status in any study that reported it (11.1 versus 5.1 percent, 4.6 versus 1.1 percent, 0.5 versus 0 percent, all non-significant), so whatever the pooled survival difference represents, it is not perioperative death</w:t>
            </w:r>
          </w:p>
          <w:p>
            <w:pPr>
              <w:pStyle w:val="ListParagraph"/>
              <w:numPr>
                <w:ilvl w:val="0"/>
                <w:numId w:val="2"/>
              </w:numPr>
              <w:spacing w:after="45"/>
            </w:pPr>
            <w:r>
              <w:rPr>
                <w:sz w:val="15"/>
                <w:szCs w:val="15"/>
              </w:rPr>
              <w:t xml:space="preserve">Patients with portal hypertension systematically received different operations: anatomical resection in 39 versus 68 percent in the largest study (p &lt; 0.001), 12.1 versus 33.1 percent in another (p = 0.0003), 15.0 versus 31.1 percent in a third (p = 0.001), with less transfusion, so the exposure is confounded with the extent of surgery, and the stratified analysis the authors say addresses this is reported only as data not shown</w:t>
            </w:r>
          </w:p>
          <w:p>
            <w:pPr>
              <w:pStyle w:val="ListParagraph"/>
              <w:numPr>
                <w:ilvl w:val="0"/>
                <w:numId w:val="2"/>
              </w:numPr>
              <w:spacing w:after="45"/>
            </w:pPr>
            <w:r>
              <w:rPr>
                <w:sz w:val="15"/>
                <w:szCs w:val="15"/>
              </w:rPr>
              <w:t xml:space="preserve">Several of the sensitivity analyses that support the robustness claim, including the QUIPS low-versus-moderate-to-high comparison and the anatomic-resection strata, are reported as data not shown and cannot be checked</w:t>
            </w:r>
          </w:p>
          <w:p>
            <w:pPr>
              <w:pStyle w:val="ListParagraph"/>
              <w:numPr>
                <w:ilvl w:val="0"/>
                <w:numId w:val="2"/>
              </w:numPr>
              <w:spacing w:after="45"/>
            </w:pPr>
            <w:r>
              <w:rPr>
                <w:sz w:val="15"/>
                <w:szCs w:val="15"/>
              </w:rPr>
              <w:t xml:space="preserve">Four different constructs are pooled as one exposure: a gradient of 10 mmHg or more, portal vein pressure of 20 cmH2O or more, the presence of gastro-oesophageal varices, and platelets below 100,000 with a spleen above 12 cm; the prevalence of the resulting exposure ranges from 21.7 to 51.7 percent across studies</w:t>
            </w:r>
          </w:p>
          <w:p>
            <w:pPr>
              <w:pStyle w:val="ListParagraph"/>
              <w:numPr>
                <w:ilvl w:val="0"/>
                <w:numId w:val="2"/>
              </w:numPr>
              <w:spacing w:after="45"/>
            </w:pPr>
            <w:r>
              <w:rPr>
                <w:sz w:val="15"/>
                <w:szCs w:val="15"/>
              </w:rPr>
              <w:t xml:space="preserve">No funnel plot, Egger test or any formal assessment of small-study or publication bias is presented, in an analysis whose most extreme subgroup estimates come from its smallest studies</w:t>
            </w:r>
          </w:p>
          <w:p>
            <w:pPr>
              <w:pStyle w:val="ListParagraph"/>
              <w:numPr>
                <w:ilvl w:val="0"/>
                <w:numId w:val="2"/>
              </w:numPr>
              <w:spacing w:after="45"/>
            </w:pPr>
            <w:r>
              <w:rPr>
                <w:sz w:val="15"/>
                <w:szCs w:val="15"/>
              </w:rPr>
              <w:t xml:space="preserve">The search covered MEDLINE only, in English only, with no grey literature, no registries and no non-English reports; four full texts could not be obtained and were excluded; only 2 of 11 studies are Asian, and the principal dissenting Asian study was eligible for the survival analysis alone</w:t>
            </w:r>
          </w:p>
          <w:p>
            <w:pPr>
              <w:pStyle w:val="ListParagraph"/>
              <w:numPr>
                <w:ilvl w:val="0"/>
                <w:numId w:val="2"/>
              </w:numPr>
              <w:spacing w:after="45"/>
            </w:pPr>
            <w:r>
              <w:rPr>
                <w:sz w:val="15"/>
                <w:szCs w:val="15"/>
              </w:rPr>
              <w:t xml:space="preserve">The one study showing no effect of portal hypertension on 3- or 5-year mortality is the only multicentre study in the set, and the paper offers no examination of why the largest and least selected cohort is the discordant one</w:t>
            </w:r>
          </w:p>
          <w:p>
            <w:pPr>
              <w:pStyle w:val="ListParagraph"/>
              <w:numPr>
                <w:ilvl w:val="0"/>
                <w:numId w:val="2"/>
              </w:numPr>
              <w:spacing w:after="45"/>
            </w:pPr>
            <w:r>
              <w:rPr>
                <w:sz w:val="15"/>
                <w:szCs w:val="15"/>
              </w:rPr>
              <w:t xml:space="preserve">Two of the included studies come from the same unit over overlapping years (1989 to 1997 and 1991 to 1994), and the stated rule against duplicate cohorts is satisfied by entering one into the survival pool and the other into the decompensation pool, which conceals rather than removes the overlap</w:t>
            </w:r>
          </w:p>
          <w:p>
            <w:pPr>
              <w:pStyle w:val="ListParagraph"/>
              <w:numPr>
                <w:ilvl w:val="0"/>
                <w:numId w:val="2"/>
              </w:numPr>
              <w:spacing w:after="45"/>
            </w:pPr>
            <w:r>
              <w:rPr>
                <w:sz w:val="15"/>
                <w:szCs w:val="15"/>
              </w:rPr>
              <w:t xml:space="preserve">The senior author declares consultancy and grants from Bayer and relationships with nine other companies, and the practical consequence of the recommendation is to move patients with portal hypertension from resection to transplantation, ablation or chemoembolisation, the last of which the Discussion endorses by citing the group's own drug-eluting-bead series</w:t>
            </w:r>
          </w:p>
        </w:tc>
      </w:tr>
    </w:tbl>
    <w:p>
      <w:pPr>
        <w:spacing w:after="0" w:line="276"/>
      </w:pPr>
      <w:r>
        <w:rPr>
          <w:color w:val="5A6069"/>
          <w:sz w:val="14"/>
          <w:szCs w:val="14"/>
        </w:rPr>
        <w:t xml:space="preserve">Funding: Supported by Instituto de Salud Carlos III grants PI11/01830 to Bruix and FIS 13/00341 to Bosch, and by FEDER; CIBERehd is funded by the Instituto de Salud Carlos III. Bruix declares consultancy, advisory roles and grants from Bayer and relationships with BioCompatibles, Novartis, Daichi, Arqule, Abbott, Bristol-Myers Squibb, GlaxoSmithKline, Kowa, Lilly and Roche</w:t>
      </w:r>
    </w:p>
    <w:p>
      <w:pPr>
        <w:keepNext/>
        <w:spacing w:after="50" w:before="260"/>
      </w:pPr>
      <w:r>
        <w:rPr>
          <w:rFonts w:ascii="Cambria" w:cs="Cambria" w:eastAsia="Cambria" w:hAnsi="Cambria"/>
          <w:b/>
          <w:bCs/>
          <w:color w:val="17365D"/>
          <w:sz w:val="20"/>
          <w:szCs w:val="20"/>
        </w:rPr>
        <w:t xml:space="preserve">Bruix 1996</w:t>
      </w:r>
      <w:r>
        <w:rPr>
          <w:b/>
          <w:bCs/>
          <w:color w:val="176A87"/>
          <w:sz w:val="15"/>
          <w:szCs w:val="15"/>
        </w:rPr>
        <w:t xml:space="preserve">   cohort</w:t>
      </w:r>
      <w:r>
        <w:rPr>
          <w:color w:val="5A6069"/>
          <w:sz w:val="15"/>
          <w:szCs w:val="15"/>
        </w:rPr>
        <w:t xml:space="preserve">   PMID 8831597</w:t>
      </w:r>
    </w:p>
    <w:p>
      <w:pPr>
        <w:spacing w:after="50" w:line="276"/>
      </w:pPr>
      <w:r>
        <w:rPr>
          <w:color w:val="5A6069"/>
          <w:sz w:val="17"/>
          <w:szCs w:val="17"/>
        </w:rPr>
        <w:t xml:space="preserve">Surgical Resection of Hepatocellular Carcinoma in Cirrhotic Patients: Prognostic Value of Preoperative Portal Pressure</w:t>
      </w:r>
    </w:p>
    <w:p>
      <w:pPr>
        <w:spacing w:after="50"/>
      </w:pPr>
      <w:r>
        <w:rPr>
          <w:b/>
          <w:bCs/>
          <w:color w:val="176A87"/>
          <w:sz w:val="16"/>
          <w:szCs w:val="16"/>
        </w:rPr>
        <w:t xml:space="preserve">Population. </w:t>
      </w:r>
      <w:r>
        <w:rPr>
          <w:sz w:val="16"/>
          <w:szCs w:val="16"/>
        </w:rPr>
        <w:t xml:space="preserve">29 consecutive Child-Pugh A cirrhotic patients with HCC (28 of 29 solitary and under 5 cm) resected at one Barcelona hospital between May 1991 and June 1994; 11 developed unresolved hepatic decompensation at 3 months</w:t>
      </w:r>
    </w:p>
    <w:p>
      <w:pPr>
        <w:spacing w:after="70"/>
      </w:pPr>
      <w:r>
        <w:rPr>
          <w:b/>
          <w:bCs/>
          <w:color w:val="17365D"/>
          <w:sz w:val="16"/>
          <w:szCs w:val="16"/>
        </w:rPr>
        <w:t xml:space="preserve">Bottom line. </w:t>
      </w:r>
      <w:r>
        <w:rPr>
          <w:sz w:val="16"/>
          <w:szCs w:val="16"/>
        </w:rPr>
        <w:t xml:space="preserve">The index study behind the rule that resection should be restricted to patients without portal hypertension: in 29 Child-Pugh A patients, 11 of 15 with a hepatic venous pressure gradient of 10 mmHg or more had unresolved decompensation at 3 months against none of 14 below that gradient. The separation is perfect in a cohort of 29 with 11 events screened against 44 candidate variables, the 10 mmHg line was imported rather than derived here, the endpoint is almost entirely diuretic-requiring ascites, and no survival outcome is reported at all.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Unresolved decompensation was intentionally screened for, which the authors say probably explains their 38 percent rate against the lower figures in retrospective series</w:t>
            </w:r>
          </w:p>
          <w:p>
            <w:pPr>
              <w:pStyle w:val="ListParagraph"/>
              <w:numPr>
                <w:ilvl w:val="0"/>
                <w:numId w:val="2"/>
              </w:numPr>
              <w:spacing w:after="45"/>
            </w:pPr>
            <w:r>
              <w:rPr>
                <w:sz w:val="15"/>
                <w:szCs w:val="15"/>
              </w:rPr>
              <w:t xml:space="preserve">Hepatic vein catheterisation is not performed routinely in most centres, as the authors concede, and the non-invasive alternatives they examined were significant only on univariate analysis</w:t>
            </w:r>
          </w:p>
          <w:p>
            <w:pPr>
              <w:pStyle w:val="ListParagraph"/>
              <w:numPr>
                <w:ilvl w:val="0"/>
                <w:numId w:val="2"/>
              </w:numPr>
              <w:spacing w:after="45"/>
            </w:pPr>
            <w:r>
              <w:rPr>
                <w:sz w:val="15"/>
                <w:szCs w:val="15"/>
              </w:rPr>
              <w:t xml:space="preserve">The authors cannot explain why a lower blood urea nitrogen was associated with decompensation and note that the values stayed within the normal range</w:t>
            </w:r>
          </w:p>
          <w:p>
            <w:pPr>
              <w:pStyle w:val="ListParagraph"/>
              <w:numPr>
                <w:ilvl w:val="0"/>
                <w:numId w:val="2"/>
              </w:numPr>
              <w:spacing w:after="45"/>
            </w:pPr>
            <w:r>
              <w:rPr>
                <w:sz w:val="15"/>
                <w:szCs w:val="15"/>
              </w:rPr>
              <w:t xml:space="preserve">The authors note that mean bilirubin was within the normal range in both groups, so a normal bilirubin does not rule out the risk of postoperative decompensation</w:t>
            </w:r>
          </w:p>
          <w:p>
            <w:pPr>
              <w:pStyle w:val="ListParagraph"/>
              <w:numPr>
                <w:ilvl w:val="0"/>
                <w:numId w:val="2"/>
              </w:numPr>
              <w:spacing w:after="45"/>
            </w:pPr>
            <w:r>
              <w:rPr>
                <w:sz w:val="15"/>
                <w:szCs w:val="15"/>
              </w:rPr>
              <w:t xml:space="preserve">The authors state that their recommendation rests on patients selected by the best available criteria at one centre in one era, and defend the result against alternative explanations by reference to their own concurrent surgical series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Forty-four clinical, laboratory, tumour and haemodynamic parameters were screened univariably and six carried into a logistic regression fitted to 11 events, so the model is overfitted by any standard and the odds ratio of 1.90 per mmHg (95% CI 1.12 to 3.22) is not a stable estimate</w:t>
            </w:r>
          </w:p>
          <w:p>
            <w:pPr>
              <w:pStyle w:val="ListParagraph"/>
              <w:numPr>
                <w:ilvl w:val="0"/>
                <w:numId w:val="2"/>
              </w:numPr>
              <w:spacing w:after="45"/>
            </w:pPr>
            <w:r>
              <w:rPr>
                <w:sz w:val="15"/>
                <w:szCs w:val="15"/>
              </w:rPr>
              <w:t xml:space="preserve">The dichotomy is perfectly separating (11 of 15 versus 0 of 14), and a logistic regression containing a near-perfectly separating covariate does not produce trustworthy coefficients or p values; the reported P = 0.0001 for the multivariable term is no stronger than the univariable comparison it repeats</w:t>
            </w:r>
          </w:p>
          <w:p>
            <w:pPr>
              <w:pStyle w:val="ListParagraph"/>
              <w:numPr>
                <w:ilvl w:val="0"/>
                <w:numId w:val="2"/>
              </w:numPr>
              <w:spacing w:after="45"/>
            </w:pPr>
            <w:r>
              <w:rPr>
                <w:sz w:val="15"/>
                <w:szCs w:val="15"/>
              </w:rPr>
              <w:t xml:space="preserve">No derivation of the 10 mmHg threshold is described: no cut-point search, no receiver-operating analysis and no alternative thresholds are reported, because 10 mmHg is the conventional definition of clinically significant portal hypertension carried over from the variceal literature and applied here after the fact</w:t>
            </w:r>
          </w:p>
          <w:p>
            <w:pPr>
              <w:pStyle w:val="ListParagraph"/>
              <w:numPr>
                <w:ilvl w:val="0"/>
                <w:numId w:val="2"/>
              </w:numPr>
              <w:spacing w:after="45"/>
            </w:pPr>
            <w:r>
              <w:rPr>
                <w:sz w:val="15"/>
                <w:szCs w:val="15"/>
              </w:rPr>
              <w:t xml:space="preserve">The cohort mean gradient was 9.9 plus or minus 4.4 mmHg, so the cut-point sits almost exactly at the mean of a narrow continuous distribution, which is the split that maximises apparent separation and the one least likely to reproduce</w:t>
            </w:r>
          </w:p>
          <w:p>
            <w:pPr>
              <w:pStyle w:val="ListParagraph"/>
              <w:numPr>
                <w:ilvl w:val="0"/>
                <w:numId w:val="2"/>
              </w:numPr>
              <w:spacing w:after="45"/>
            </w:pPr>
            <w:r>
              <w:rPr>
                <w:sz w:val="15"/>
                <w:szCs w:val="15"/>
              </w:rPr>
              <w:t xml:space="preserve">The endpoint is not liver failure: 16 of the 17 early events were ascites, all 11 unresolved events had ascites requiring diuretics with one jaundice and one encephalopathy, and the single death was septic shock with multiorgan failure, so the guideline-shaping outcome is diuretic-requiring ascites at 3 months</w:t>
            </w:r>
          </w:p>
          <w:p>
            <w:pPr>
              <w:pStyle w:val="ListParagraph"/>
              <w:numPr>
                <w:ilvl w:val="0"/>
                <w:numId w:val="2"/>
              </w:numPr>
              <w:spacing w:after="45"/>
            </w:pPr>
            <w:r>
              <w:rPr>
                <w:sz w:val="15"/>
                <w:szCs w:val="15"/>
              </w:rPr>
              <w:t xml:space="preserve">Ascites management was protocolised (40 mEq sodium, furosemide and spironolactone as needed) by the same unblinded team that had measured the gradient, so the endpoint of requiring diuretics is partly a treatment decision by clinicians who knew the exposure</w:t>
            </w:r>
          </w:p>
          <w:p>
            <w:pPr>
              <w:pStyle w:val="ListParagraph"/>
              <w:numPr>
                <w:ilvl w:val="0"/>
                <w:numId w:val="2"/>
              </w:numPr>
              <w:spacing w:after="45"/>
            </w:pPr>
            <w:r>
              <w:rPr>
                <w:sz w:val="15"/>
                <w:szCs w:val="15"/>
              </w:rPr>
              <w:t xml:space="preserve">The paper reports no survival outcome of any kind, yet its recommendation is that resection be restricted; recurrence was in fact numerically more common in the group without decompensation (9 versus 4), and the claim that decompensation shortens survival is supported only by the authors' own prior abstract</w:t>
            </w:r>
          </w:p>
          <w:p>
            <w:pPr>
              <w:pStyle w:val="ListParagraph"/>
              <w:numPr>
                <w:ilvl w:val="0"/>
                <w:numId w:val="2"/>
              </w:numPr>
              <w:spacing w:after="45"/>
            </w:pPr>
            <w:r>
              <w:rPr>
                <w:sz w:val="15"/>
                <w:szCs w:val="15"/>
              </w:rPr>
              <w:t xml:space="preserve">No postoperative haemodynamic measurement was made in any patient, so the mechanism offered, unchanged portal inflow through a reduced non-compliant vascular bed, is imported from a rat model and never tested in this cohort</w:t>
            </w:r>
          </w:p>
          <w:p>
            <w:pPr>
              <w:pStyle w:val="ListParagraph"/>
              <w:numPr>
                <w:ilvl w:val="0"/>
                <w:numId w:val="2"/>
              </w:numPr>
              <w:spacing w:after="45"/>
            </w:pPr>
            <w:r>
              <w:rPr>
                <w:sz w:val="15"/>
                <w:szCs w:val="15"/>
              </w:rPr>
              <w:t xml:space="preserve">The authors conclude that surgical factors cannot explain the findings because resection type, ischaemia time and transfusion did not differ, but those comparisons are made between 11 and 18 patients and have essentially no power to exclude a surgical effect</w:t>
            </w:r>
          </w:p>
          <w:p>
            <w:pPr>
              <w:pStyle w:val="ListParagraph"/>
              <w:numPr>
                <w:ilvl w:val="0"/>
                <w:numId w:val="2"/>
              </w:numPr>
              <w:spacing w:after="45"/>
            </w:pPr>
            <w:r>
              <w:rPr>
                <w:sz w:val="15"/>
                <w:szCs w:val="15"/>
              </w:rPr>
              <w:t xml:space="preserve">Two of the six univariable predictors point in directions the authors cannot account for, a lower blood urea nitrogen and a bilirubin difference within the normal range, which is what fitting six variables to 11 events in 29 patients produces</w:t>
            </w:r>
          </w:p>
          <w:p>
            <w:pPr>
              <w:pStyle w:val="ListParagraph"/>
              <w:numPr>
                <w:ilvl w:val="0"/>
                <w:numId w:val="2"/>
              </w:numPr>
              <w:spacing w:after="45"/>
            </w:pPr>
            <w:r>
              <w:rPr>
                <w:sz w:val="15"/>
                <w:szCs w:val="15"/>
              </w:rPr>
              <w:t xml:space="preserve">The gradient was measured once, in the right hepatic vein, within 10 days of surgery, with no repeat measurement, no reproducibility estimate and no interobserver data, in a study where the clinical decision turns on a few mmHg either side of the cut-point</w:t>
            </w:r>
          </w:p>
          <w:p>
            <w:pPr>
              <w:pStyle w:val="ListParagraph"/>
              <w:numPr>
                <w:ilvl w:val="0"/>
                <w:numId w:val="2"/>
              </w:numPr>
              <w:spacing w:after="45"/>
            </w:pPr>
            <w:r>
              <w:rPr>
                <w:sz w:val="15"/>
                <w:szCs w:val="15"/>
              </w:rPr>
              <w:t xml:space="preserve">Follow-up for the endpoint stops at 3 months and no longer-term liver or oncological outcome is reported, so the paper cannot show that the patients it would exclude from resection do better with any alternative</w:t>
            </w:r>
          </w:p>
          <w:p>
            <w:pPr>
              <w:pStyle w:val="ListParagraph"/>
              <w:numPr>
                <w:ilvl w:val="0"/>
                <w:numId w:val="2"/>
              </w:numPr>
              <w:spacing w:after="45"/>
            </w:pPr>
            <w:r>
              <w:rPr>
                <w:sz w:val="15"/>
                <w:szCs w:val="15"/>
              </w:rPr>
              <w:t xml:space="preserve">The Discussion's proposed algorithm ends by recommending percutaneous ethanol injection as potentially radical only in tumours larger than 3 cm, the opposite of the finding in the reference it cites for that claim, which reported that efficacy falls with increasing tumour size</w:t>
            </w:r>
          </w:p>
          <w:p>
            <w:pPr>
              <w:pStyle w:val="ListParagraph"/>
              <w:numPr>
                <w:ilvl w:val="0"/>
                <w:numId w:val="2"/>
              </w:numPr>
              <w:spacing w:after="45"/>
            </w:pPr>
            <w:r>
              <w:rPr>
                <w:sz w:val="15"/>
                <w:szCs w:val="15"/>
              </w:rPr>
              <w:t xml:space="preserve">No conflict-of-interest statement appears, and the same group went on to embed this single-centre threshold in the BCLC staging system and in the EASL and AASLD recommendations it now underwrites</w:t>
            </w:r>
          </w:p>
        </w:tc>
      </w:tr>
    </w:tbl>
    <w:p>
      <w:pPr>
        <w:spacing w:after="0" w:line="276"/>
      </w:pPr>
      <w:r>
        <w:rPr>
          <w:color w:val="5A6069"/>
          <w:sz w:val="14"/>
          <w:szCs w:val="14"/>
        </w:rPr>
        <w:t xml:space="preserve">Funding: Supported in part by grants from the Fondo de Investigaciones Sanitarias (FIS 93/0544 and 94/0757) and the Direccion General de Investigacion Cientifica y Tecnica (DGICYT PB94-1562); no conflict-of-interest statement appears in the article</w:t>
      </w:r>
    </w:p>
    <w:p>
      <w:pPr>
        <w:keepNext/>
        <w:spacing w:after="50" w:before="260"/>
      </w:pPr>
      <w:r>
        <w:rPr>
          <w:rFonts w:ascii="Cambria" w:cs="Cambria" w:eastAsia="Cambria" w:hAnsi="Cambria"/>
          <w:b/>
          <w:bCs/>
          <w:color w:val="17365D"/>
          <w:sz w:val="20"/>
          <w:szCs w:val="20"/>
        </w:rPr>
        <w:t xml:space="preserve">CELESTIAL</w:t>
      </w:r>
      <w:r>
        <w:rPr>
          <w:b/>
          <w:bCs/>
          <w:color w:val="176A87"/>
          <w:sz w:val="15"/>
          <w:szCs w:val="15"/>
        </w:rPr>
        <w:t xml:space="preserve">   Randomised trial</w:t>
      </w:r>
      <w:r>
        <w:rPr>
          <w:color w:val="5A6069"/>
          <w:sz w:val="15"/>
          <w:szCs w:val="15"/>
        </w:rPr>
        <w:t xml:space="preserve">   PMID 29972759</w:t>
      </w:r>
    </w:p>
    <w:p>
      <w:pPr>
        <w:spacing w:after="50" w:line="276"/>
      </w:pPr>
      <w:r>
        <w:rPr>
          <w:color w:val="5A6069"/>
          <w:sz w:val="17"/>
          <w:szCs w:val="17"/>
        </w:rPr>
        <w:t xml:space="preserve">Cabozantinib in Patients with Advanced and Progressing Hepatocellular Carcinoma</w:t>
      </w:r>
    </w:p>
    <w:p>
      <w:pPr>
        <w:spacing w:after="50"/>
      </w:pPr>
      <w:r>
        <w:rPr>
          <w:b/>
          <w:bCs/>
          <w:color w:val="176A87"/>
          <w:sz w:val="16"/>
          <w:szCs w:val="16"/>
        </w:rPr>
        <w:t xml:space="preserve">Population. </w:t>
      </w:r>
      <w:r>
        <w:rPr>
          <w:sz w:val="16"/>
          <w:szCs w:val="16"/>
        </w:rPr>
        <w:t xml:space="preserve">707 patients with advanced HCC, Child-Pugh A and ECOG 0 or 1, who had progressed after at least one systemic therapy including sorafenib, randomised 2:1 at 95 centres in 19 countries and included in the 1 June 2017 interim analysis; 773 were randomised in all by September 2017, and 27 percent of those analysed had received two prior systemic regimens</w:t>
      </w:r>
    </w:p>
    <w:p>
      <w:pPr>
        <w:spacing w:after="70"/>
      </w:pPr>
      <w:r>
        <w:rPr>
          <w:b/>
          <w:bCs/>
          <w:color w:val="17365D"/>
          <w:sz w:val="16"/>
          <w:szCs w:val="16"/>
        </w:rPr>
        <w:t xml:space="preserve">Bottom line. </w:t>
      </w:r>
      <w:r>
        <w:rPr>
          <w:sz w:val="16"/>
          <w:szCs w:val="16"/>
        </w:rPr>
        <w:t xml:space="preserve">CELESTIAL established cabozantinib as a second- or third-line option, with median overall survival 10.2 against 8.0 months (HR 0.76, 95% CI 0.63 to 0.92, p = 0.005) and progression-free survival 5.2 against 1.9 months. The result comes from the second of three planned interim analyses at 78 percent of the planned deaths, so the mature estimate will never be produced; the objective response rate was 4 percent, 68 percent had grade 3 or 4 toxicity and the median delivered dose was 35.8 mg of a 60 mg drug.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Patients with Child-Pugh class B or worse liver function and poorer performance status were excluded, and the authors state that further studies are needed to establish safety and efficacy in them</w:t>
            </w:r>
          </w:p>
          <w:p>
            <w:pPr>
              <w:pStyle w:val="ListParagraph"/>
              <w:numPr>
                <w:ilvl w:val="0"/>
                <w:numId w:val="2"/>
              </w:numPr>
              <w:spacing w:after="45"/>
            </w:pPr>
            <w:r>
              <w:rPr>
                <w:sz w:val="15"/>
                <w:szCs w:val="15"/>
              </w:rPr>
              <w:t xml:space="preserve">The authors report that the hazard ratio for death was 0.69 in hepatitis B-related and 1.11 in hepatitis C-related disease, and 0.86 in patients of Asian race but 1.01 in patients enrolled in Asia, and state that further analyses are needed to understand these differences</w:t>
            </w:r>
          </w:p>
          <w:p>
            <w:pPr>
              <w:pStyle w:val="ListParagraph"/>
              <w:numPr>
                <w:ilvl w:val="0"/>
                <w:numId w:val="2"/>
              </w:numPr>
              <w:spacing w:after="45"/>
            </w:pPr>
            <w:r>
              <w:rPr>
                <w:sz w:val="15"/>
                <w:szCs w:val="15"/>
              </w:rPr>
              <w:t xml:space="preserve">The authors note that hazard ratios in subgroups can be distorted by small numbers, imbalances in prognostic factors or differences in subsequent therapy, and that subgroup confidence intervals are descriptive with no adjustment for multiplicity</w:t>
            </w:r>
          </w:p>
          <w:p>
            <w:pPr>
              <w:pStyle w:val="ListParagraph"/>
              <w:numPr>
                <w:ilvl w:val="0"/>
                <w:numId w:val="2"/>
              </w:numPr>
              <w:spacing w:after="45"/>
            </w:pPr>
            <w:r>
              <w:rPr>
                <w:sz w:val="15"/>
                <w:szCs w:val="15"/>
              </w:rPr>
              <w:t xml:space="preserve">Dose reductions occurred in the majority of patients and the median average daily dose was 35.8 mg, which the authors compare with the 43 mg delivered in the renal-cell carcinoma trial</w:t>
            </w:r>
          </w:p>
          <w:p>
            <w:pPr>
              <w:pStyle w:val="ListParagraph"/>
              <w:numPr>
                <w:ilvl w:val="0"/>
                <w:numId w:val="2"/>
              </w:numPr>
              <w:spacing w:after="45"/>
            </w:pPr>
            <w:r>
              <w:rPr>
                <w:sz w:val="15"/>
                <w:szCs w:val="15"/>
              </w:rPr>
              <w:t xml:space="preserve">The authors state that the population studied represents a small percentage of patients with HCC</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intention-to-treat population is defined by a data cutoff rather than by randomisation: 773 patients were randomised by September 2017 but only the 707 randomised before 1 June 2017 are analysed, so 66 randomised patients appear in no efficacy analysis of a trial described as intention to treat</w:t>
            </w:r>
          </w:p>
          <w:p>
            <w:pPr>
              <w:pStyle w:val="ListParagraph"/>
              <w:numPr>
                <w:ilvl w:val="0"/>
                <w:numId w:val="2"/>
              </w:numPr>
              <w:spacing w:after="45"/>
            </w:pPr>
            <w:r>
              <w:rPr>
                <w:sz w:val="15"/>
                <w:szCs w:val="15"/>
              </w:rPr>
              <w:t xml:space="preserve">The effect estimate shrank between the two looks, from a hazard ratio of 0.71 at 321 deaths to 0.76 at 484 deaths, which is the expected pattern when a trial is stopped at the first boundary crossing and means the published 0.76 is more likely an overestimate than an underestimate of the true effect</w:t>
            </w:r>
          </w:p>
          <w:p>
            <w:pPr>
              <w:pStyle w:val="ListParagraph"/>
              <w:numPr>
                <w:ilvl w:val="0"/>
                <w:numId w:val="2"/>
              </w:numPr>
              <w:spacing w:after="45"/>
            </w:pPr>
            <w:r>
              <w:rPr>
                <w:sz w:val="15"/>
                <w:szCs w:val="15"/>
              </w:rPr>
              <w:t xml:space="preserve">The protocol specified that no further analysis of overall survival would be performed once the null was rejected at an interim look, so the trial was designed in a way that guarantees the prespecified final estimate at 621 deaths can never exist</w:t>
            </w:r>
          </w:p>
          <w:p>
            <w:pPr>
              <w:pStyle w:val="ListParagraph"/>
              <w:numPr>
                <w:ilvl w:val="0"/>
                <w:numId w:val="2"/>
              </w:numPr>
              <w:spacing w:after="45"/>
            </w:pPr>
            <w:r>
              <w:rPr>
                <w:sz w:val="15"/>
                <w:szCs w:val="15"/>
              </w:rPr>
              <w:t xml:space="preserve">Placebo median progression-free survival was 1.9 months with a 95 percent confidence interval of 1.9 to 1.9, which is the first scheduled 8-week scan, so the progression-free survival hazard ratio of 0.44 is substantially an artefact of the assessment schedule rather than a measure of disease control</w:t>
            </w:r>
          </w:p>
          <w:p>
            <w:pPr>
              <w:pStyle w:val="ListParagraph"/>
              <w:numPr>
                <w:ilvl w:val="0"/>
                <w:numId w:val="2"/>
              </w:numPr>
              <w:spacing w:after="45"/>
            </w:pPr>
            <w:r>
              <w:rPr>
                <w:sz w:val="15"/>
                <w:szCs w:val="15"/>
              </w:rPr>
              <w:t xml:space="preserve">Progression and response were assessed by the investigator with no blinded independent central review, and an objective response rate of 4 percent (18 partial responses) against under 1 percent means the progression-free survival advantage consists almost entirely of stable disease on serial imaging</w:t>
            </w:r>
          </w:p>
          <w:p>
            <w:pPr>
              <w:pStyle w:val="ListParagraph"/>
              <w:numPr>
                <w:ilvl w:val="0"/>
                <w:numId w:val="2"/>
              </w:numPr>
              <w:spacing w:after="45"/>
            </w:pPr>
            <w:r>
              <w:rPr>
                <w:sz w:val="15"/>
                <w:szCs w:val="15"/>
              </w:rPr>
              <w:t xml:space="preserve">The subgroup whose only previous therapy was sorafenib, with a hazard ratio of 0.70, is the figure quoted in practice, and the paper states it was not among the prespecified subgroup analyses</w:t>
            </w:r>
          </w:p>
          <w:p>
            <w:pPr>
              <w:pStyle w:val="ListParagraph"/>
              <w:numPr>
                <w:ilvl w:val="0"/>
                <w:numId w:val="2"/>
              </w:numPr>
              <w:spacing w:after="45"/>
            </w:pPr>
            <w:r>
              <w:rPr>
                <w:sz w:val="15"/>
                <w:szCs w:val="15"/>
              </w:rPr>
              <w:t xml:space="preserve">Treatment-related grade 5 events occurred in 6 cabozantinib patients (hepatic failure, bronchoesophageal fistula, portal vein thrombosis, upper gastrointestinal haemorrhage, pulmonary embolism and hepatorenal syndrome) against 1 on placebo, so roughly 1.3 percent of patients died of the drug against a 2.2-month median gain</w:t>
            </w:r>
          </w:p>
          <w:p>
            <w:pPr>
              <w:pStyle w:val="ListParagraph"/>
              <w:numPr>
                <w:ilvl w:val="0"/>
                <w:numId w:val="2"/>
              </w:numPr>
              <w:spacing w:after="45"/>
            </w:pPr>
            <w:r>
              <w:rPr>
                <w:sz w:val="15"/>
                <w:szCs w:val="15"/>
              </w:rPr>
              <w:t xml:space="preserve">Health-related quality of life, pharmacokinetic and biomarker analyses are all stated not to be reported here, so in a drug whose principal cost is toxicity the patient-reported outcomes were withheld from the publication that established its use</w:t>
            </w:r>
          </w:p>
          <w:p>
            <w:pPr>
              <w:pStyle w:val="ListParagraph"/>
              <w:numPr>
                <w:ilvl w:val="0"/>
                <w:numId w:val="2"/>
              </w:numPr>
              <w:spacing w:after="45"/>
            </w:pPr>
            <w:r>
              <w:rPr>
                <w:sz w:val="15"/>
                <w:szCs w:val="15"/>
              </w:rPr>
              <w:t xml:space="preserve">The entire biological rationale rests on MET and AXL, yet no patient was selected or stratified by either marker, no biomarker result is reported, and the companion MET-selected phase 3 trial of tivantinib cited in the Discussion was negative</w:t>
            </w:r>
          </w:p>
          <w:p>
            <w:pPr>
              <w:pStyle w:val="ListParagraph"/>
              <w:numPr>
                <w:ilvl w:val="0"/>
                <w:numId w:val="2"/>
              </w:numPr>
              <w:spacing w:after="45"/>
            </w:pPr>
            <w:r>
              <w:rPr>
                <w:sz w:val="15"/>
                <w:szCs w:val="15"/>
              </w:rPr>
              <w:t xml:space="preserve">Only 26 percent of cabozantinib and 33 percent of placebo patients received any subsequent anticancer therapy, so this is a terminal-line population with little salvage, and the control arm received placebo plus best supportive care rather than any active drug</w:t>
            </w:r>
          </w:p>
          <w:p>
            <w:pPr>
              <w:pStyle w:val="ListParagraph"/>
              <w:numPr>
                <w:ilvl w:val="0"/>
                <w:numId w:val="2"/>
              </w:numPr>
              <w:spacing w:after="45"/>
            </w:pPr>
            <w:r>
              <w:rPr>
                <w:sz w:val="15"/>
                <w:szCs w:val="15"/>
              </w:rPr>
              <w:t xml:space="preserve">Aetiology, a stratification factor, was recorded from case-report forms with 16 to 20 percent unknown and alcohol-related disease imbalanced at 24 against 16 percent, so the factor used to balance the randomisation was itself imprecisely captured</w:t>
            </w:r>
          </w:p>
          <w:p>
            <w:pPr>
              <w:pStyle w:val="ListParagraph"/>
              <w:numPr>
                <w:ilvl w:val="0"/>
                <w:numId w:val="2"/>
              </w:numPr>
              <w:spacing w:after="45"/>
            </w:pPr>
            <w:r>
              <w:rPr>
                <w:sz w:val="15"/>
                <w:szCs w:val="15"/>
              </w:rPr>
              <w:t xml:space="preserve">One patient with ECOG performance status 2 was randomised despite the eligibility requirement of 0 or 1, acknowledged only in a footnote to the baseline table</w:t>
            </w:r>
          </w:p>
          <w:p>
            <w:pPr>
              <w:pStyle w:val="ListParagraph"/>
              <w:numPr>
                <w:ilvl w:val="0"/>
                <w:numId w:val="2"/>
              </w:numPr>
              <w:spacing w:after="45"/>
            </w:pPr>
            <w:r>
              <w:rPr>
                <w:sz w:val="15"/>
                <w:szCs w:val="15"/>
              </w:rPr>
              <w:t xml:space="preserve">The trial sponsor collected and analysed the data, co-wrote the first draft and paid for the medical writing and editorial assistance, with no independent statistical analysis of a result that was used for registration</w:t>
            </w:r>
          </w:p>
        </w:tc>
      </w:tr>
    </w:tbl>
    <w:p>
      <w:pPr>
        <w:spacing w:after="0" w:line="276"/>
      </w:pPr>
      <w:r>
        <w:rPr>
          <w:color w:val="5A6069"/>
          <w:sz w:val="14"/>
          <w:szCs w:val="14"/>
        </w:rPr>
        <w:t xml:space="preserve">Funding: Funded by Exelixis, which designed the trial with the first and last authors, was responsible with them for data collection and analysis, collaborated on the first draft and provided medical writing and editorial assistance; three authors are Exelixis employees holding company stock, and most academic authors report industry consultancy or advisory fees</w:t>
      </w:r>
    </w:p>
    <w:p>
      <w:pPr>
        <w:keepNext/>
        <w:spacing w:after="50" w:before="260"/>
      </w:pPr>
      <w:r>
        <w:rPr>
          <w:rFonts w:ascii="Cambria" w:cs="Cambria" w:eastAsia="Cambria" w:hAnsi="Cambria"/>
          <w:b/>
          <w:bCs/>
          <w:color w:val="17365D"/>
          <w:sz w:val="20"/>
          <w:szCs w:val="20"/>
        </w:rPr>
        <w:t xml:space="preserve">CheckMate 9DW</w:t>
      </w:r>
      <w:r>
        <w:rPr>
          <w:b/>
          <w:bCs/>
          <w:color w:val="176A87"/>
          <w:sz w:val="15"/>
          <w:szCs w:val="15"/>
        </w:rPr>
        <w:t xml:space="preserve">   Randomised trial</w:t>
      </w:r>
      <w:r>
        <w:rPr>
          <w:color w:val="5A6069"/>
          <w:sz w:val="15"/>
          <w:szCs w:val="15"/>
        </w:rPr>
        <w:t xml:space="preserve">   PMID 40349714</w:t>
      </w:r>
    </w:p>
    <w:p>
      <w:pPr>
        <w:spacing w:after="50" w:line="276"/>
      </w:pPr>
      <w:r>
        <w:rPr>
          <w:color w:val="5A6069"/>
          <w:sz w:val="17"/>
          <w:szCs w:val="17"/>
        </w:rPr>
        <w:t xml:space="preserve">Nivolumab plus ipilimumab versus lenvatinib or sorafenib as first-line treatment for unresectable hepatocellular carcinoma (CheckMate 9DW): an open-label, randomised, phase 3 trial</w:t>
      </w:r>
    </w:p>
    <w:p>
      <w:pPr>
        <w:spacing w:after="50"/>
      </w:pPr>
      <w:r>
        <w:rPr>
          <w:b/>
          <w:bCs/>
          <w:color w:val="176A87"/>
          <w:sz w:val="16"/>
          <w:szCs w:val="16"/>
        </w:rPr>
        <w:t xml:space="preserve">Population. </w:t>
      </w:r>
      <w:r>
        <w:rPr>
          <w:sz w:val="16"/>
          <w:szCs w:val="16"/>
        </w:rPr>
        <w:t xml:space="preserve">668 patients with unresectable HCC, Child-Pugh 5 or 6, ECOG 0 or 1 and no previous systemic therapy, randomised 1:1 at 163 centres in 25 countries between January 2020 and November 2021 to nivolumab plus ipilimumab (335) or investigator's choice of lenvatinib or sorafenib (333); of the 325 treated controls, 275 (85 percent) received lenvatinib and 50 (15 percent) sorafenib</w:t>
      </w:r>
    </w:p>
    <w:p>
      <w:pPr>
        <w:spacing w:after="70"/>
      </w:pPr>
      <w:r>
        <w:rPr>
          <w:b/>
          <w:bCs/>
          <w:color w:val="17365D"/>
          <w:sz w:val="16"/>
          <w:szCs w:val="16"/>
        </w:rPr>
        <w:t xml:space="preserve">Bottom line. </w:t>
      </w:r>
      <w:r>
        <w:rPr>
          <w:sz w:val="16"/>
          <w:szCs w:val="16"/>
        </w:rPr>
        <w:t xml:space="preserve">CheckMate 9DW's preplanned interim analysis shows median overall survival of 23.7 against 20.6 months with nivolumab plus ipilimumab (HR 0.79, 95% CI 0.65 to 0.96, p = 0.018) and a tripled response rate, but the survival curves cross: mortality was 65 percent higher in the first 6 months (HR 1.65, 1.12 to 2.43) before separating in favour of the combination. Progression-free survival did not differ, the restricted mean survival gain is 2.8 months only when the whole curve is integrated, and the comparator is a kinase inhibitor rather than a current immunotherapy combination.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Patients with Vp4 portal vein thrombosis were excluded</w:t>
            </w:r>
          </w:p>
          <w:p>
            <w:pPr>
              <w:pStyle w:val="ListParagraph"/>
              <w:numPr>
                <w:ilvl w:val="0"/>
                <w:numId w:val="2"/>
              </w:numPr>
              <w:spacing w:after="45"/>
            </w:pPr>
            <w:r>
              <w:rPr>
                <w:sz w:val="15"/>
                <w:szCs w:val="15"/>
              </w:rPr>
              <w:t xml:space="preserve">Open-label design; the authors state that although overall survival was not biased by the assigned treatment, the determination of adverse-event causality and health-related quality of life might have been influenced by awareness of treatment</w:t>
            </w:r>
          </w:p>
          <w:p>
            <w:pPr>
              <w:pStyle w:val="ListParagraph"/>
              <w:numPr>
                <w:ilvl w:val="0"/>
                <w:numId w:val="2"/>
              </w:numPr>
              <w:spacing w:after="45"/>
            </w:pPr>
            <w:r>
              <w:rPr>
                <w:sz w:val="15"/>
                <w:szCs w:val="15"/>
              </w:rPr>
              <w:t xml:space="preserve">The proportional hazards assumption was violated, so the authors report restricted mean survival time, piecewise hazard ratios and a MaxCombo test alongside the overall hazard ratio</w:t>
            </w:r>
          </w:p>
          <w:p>
            <w:pPr>
              <w:pStyle w:val="ListParagraph"/>
              <w:numPr>
                <w:ilvl w:val="0"/>
                <w:numId w:val="2"/>
              </w:numPr>
              <w:spacing w:after="45"/>
            </w:pPr>
            <w:r>
              <w:rPr>
                <w:sz w:val="15"/>
                <w:szCs w:val="15"/>
              </w:rPr>
              <w:t xml:space="preserve">The authors state that the cause of the early crossing of the survival curves is probably multifactorial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early excess of deaths is explained by the authors as an imbalance in deaths attributed to adverse events unrelated to study treatment, as assessed by investigators, so an excess of early deaths in the experimental arm of an open-label trial is set aside on the basis of unblinded causality judgments by the people delivering the treatment</w:t>
            </w:r>
          </w:p>
          <w:p>
            <w:pPr>
              <w:pStyle w:val="ListParagraph"/>
              <w:numPr>
                <w:ilvl w:val="0"/>
                <w:numId w:val="2"/>
              </w:numPr>
              <w:spacing w:after="45"/>
            </w:pPr>
            <w:r>
              <w:rPr>
                <w:sz w:val="15"/>
                <w:szCs w:val="15"/>
              </w:rPr>
              <w:t xml:space="preserve">The restricted mean survival time was similar between arms at 26 and 36 months and differs by only 2.8 months (95% CI 0.2 to 5.4) at 47 months, after nearly all follow-up had accrued, and the paper states that the restricted mean timepoints were explored post hoc</w:t>
            </w:r>
          </w:p>
          <w:p>
            <w:pPr>
              <w:pStyle w:val="ListParagraph"/>
              <w:numPr>
                <w:ilvl w:val="0"/>
                <w:numId w:val="2"/>
              </w:numPr>
              <w:spacing w:after="45"/>
            </w:pPr>
            <w:r>
              <w:rPr>
                <w:sz w:val="15"/>
                <w:szCs w:val="15"/>
              </w:rPr>
              <w:t xml:space="preserve">The cut-point for the piecewise hazard ratio was chosen by maximising the partial log likelihood over a grid of candidate timepoints, so the 6-month boundary that defines both the early hazard and the later benefit is data-derived rather than prespecified</w:t>
            </w:r>
          </w:p>
          <w:p>
            <w:pPr>
              <w:pStyle w:val="ListParagraph"/>
              <w:numPr>
                <w:ilvl w:val="0"/>
                <w:numId w:val="2"/>
              </w:numPr>
              <w:spacing w:after="45"/>
            </w:pPr>
            <w:r>
              <w:rPr>
                <w:sz w:val="15"/>
                <w:szCs w:val="15"/>
              </w:rPr>
              <w:t xml:space="preserve">Two protocol amendments between April 2019 and February 2023 changed the statistical assumptions to preserve power as events accrued, so the design against which the interim analysis was judged was revised during the trial</w:t>
            </w:r>
          </w:p>
          <w:p>
            <w:pPr>
              <w:pStyle w:val="ListParagraph"/>
              <w:numPr>
                <w:ilvl w:val="0"/>
                <w:numId w:val="2"/>
              </w:numPr>
              <w:spacing w:after="45"/>
            </w:pPr>
            <w:r>
              <w:rPr>
                <w:sz w:val="15"/>
                <w:szCs w:val="15"/>
              </w:rPr>
              <w:t xml:space="preserve">Tripling the response rate produced no progression-free survival advantage (9.1 against 9.2 months, HR 0.87, 0.72 to 1.06) and more progressive disease as best response, so the regimen's value for downstaging or for converting unresectable disease is unproven</w:t>
            </w:r>
          </w:p>
          <w:p>
            <w:pPr>
              <w:pStyle w:val="ListParagraph"/>
              <w:numPr>
                <w:ilvl w:val="0"/>
                <w:numId w:val="2"/>
              </w:numPr>
              <w:spacing w:after="45"/>
            </w:pPr>
            <w:r>
              <w:rPr>
                <w:sz w:val="15"/>
                <w:szCs w:val="15"/>
              </w:rPr>
              <w:t xml:space="preserve">No dose escalation or reduction was permitted for nivolumab or ipilimumab while dose reductions were allowed for lenvatinib and sorafenib, and treatment was capped at 2 years in the immunotherapy arm only, so the two arms were managed under different rules</w:t>
            </w:r>
          </w:p>
          <w:p>
            <w:pPr>
              <w:pStyle w:val="ListParagraph"/>
              <w:numPr>
                <w:ilvl w:val="0"/>
                <w:numId w:val="2"/>
              </w:numPr>
              <w:spacing w:after="45"/>
            </w:pPr>
            <w:r>
              <w:rPr>
                <w:sz w:val="15"/>
                <w:szCs w:val="15"/>
              </w:rPr>
              <w:t xml:space="preserve">All 332 treated immunotherapy patients had stopped treatment at cutoff but only 40 percent stopped for progression, against 69 percent of controls, so most discontinuations in the experimental arm were for toxicity or the protocol cap rather than for disease</w:t>
            </w:r>
          </w:p>
          <w:p>
            <w:pPr>
              <w:pStyle w:val="ListParagraph"/>
              <w:numPr>
                <w:ilvl w:val="0"/>
                <w:numId w:val="2"/>
              </w:numPr>
              <w:spacing w:after="45"/>
            </w:pPr>
            <w:r>
              <w:rPr>
                <w:sz w:val="15"/>
                <w:szCs w:val="15"/>
              </w:rPr>
              <w:t xml:space="preserve">Safety was an exploratory endpoint and no grade 5 treatment-related events are tabulated because grade 5 required death within 24 hours of onset; the 12 treatment-related deaths, 11 of them in the first 6 months, appear only in the text</w:t>
            </w:r>
          </w:p>
          <w:p>
            <w:pPr>
              <w:pStyle w:val="ListParagraph"/>
              <w:numPr>
                <w:ilvl w:val="0"/>
                <w:numId w:val="2"/>
              </w:numPr>
              <w:spacing w:after="45"/>
            </w:pPr>
            <w:r>
              <w:rPr>
                <w:sz w:val="15"/>
                <w:szCs w:val="15"/>
              </w:rPr>
              <w:t xml:space="preserve">The post hoc comparisons against each comparator separately give hazard ratios of 0.77 against lenvatinib and 0.42 against sorafenib, but only 50 patients received sorafenib, so the more favourable figure rests on a group smaller than most phase 2 trials</w:t>
            </w:r>
          </w:p>
          <w:p>
            <w:pPr>
              <w:pStyle w:val="ListParagraph"/>
              <w:numPr>
                <w:ilvl w:val="0"/>
                <w:numId w:val="2"/>
              </w:numPr>
              <w:spacing w:after="45"/>
            </w:pPr>
            <w:r>
              <w:rPr>
                <w:sz w:val="15"/>
                <w:szCs w:val="15"/>
              </w:rPr>
              <w:t xml:space="preserve">The control arm received later immunotherapy in only 13 percent of cases against 35 percent in the experimental arm, so post-progression care differed in the direction of the result</w:t>
            </w:r>
          </w:p>
          <w:p>
            <w:pPr>
              <w:pStyle w:val="ListParagraph"/>
              <w:numPr>
                <w:ilvl w:val="0"/>
                <w:numId w:val="2"/>
              </w:numPr>
              <w:spacing w:after="45"/>
            </w:pPr>
            <w:r>
              <w:rPr>
                <w:sz w:val="15"/>
                <w:szCs w:val="15"/>
              </w:rPr>
              <w:t xml:space="preserve">Eligibility excluded Vp4 invasion, significant ascites, grade 2 encephalopathy in the preceding year and prior transplantation, and required Child-Pugh 5 or 6, so the regimen's early hazard was measured in the fittest patients available</w:t>
            </w:r>
          </w:p>
          <w:p>
            <w:pPr>
              <w:pStyle w:val="ListParagraph"/>
              <w:numPr>
                <w:ilvl w:val="0"/>
                <w:numId w:val="2"/>
              </w:numPr>
              <w:spacing w:after="45"/>
            </w:pPr>
            <w:r>
              <w:rPr>
                <w:sz w:val="15"/>
                <w:szCs w:val="15"/>
              </w:rPr>
              <w:t xml:space="preserve">The comparator is a tyrosine kinase inhibitor at a time when immunotherapy combinations are first-line, so the trial cannot say whether this regimen should displace atezolizumab plus bevacizumab or durvalumab plus tremelimumab</w:t>
            </w:r>
          </w:p>
          <w:p>
            <w:pPr>
              <w:pStyle w:val="ListParagraph"/>
              <w:numPr>
                <w:ilvl w:val="0"/>
                <w:numId w:val="2"/>
              </w:numPr>
              <w:spacing w:after="45"/>
            </w:pPr>
            <w:r>
              <w:rPr>
                <w:sz w:val="15"/>
                <w:szCs w:val="15"/>
              </w:rPr>
              <w:t xml:space="preserve">The sponsor provided the agents, collaborated on design, collection, analysis and interpretation, employed or paid most authors and funded the writing of the first draft, and the four authors credited with the data analysis are sponsor-affiliated</w:t>
            </w:r>
          </w:p>
        </w:tc>
      </w:tr>
    </w:tbl>
    <w:p>
      <w:pPr>
        <w:spacing w:after="0" w:line="276"/>
      </w:pPr>
      <w:r>
        <w:rPr>
          <w:color w:val="5A6069"/>
          <w:sz w:val="14"/>
          <w:szCs w:val="14"/>
        </w:rPr>
        <w:t xml:space="preserve">Funding: Bristol Myers Squibb provided the trial agents and collaborated with the academic authors on design and on the collection, analysis and interpretation of the data, and funded medical writing including the first draft of the manuscript; four authors credited with the data analysis are sponsor-affiliated</w:t>
      </w:r>
    </w:p>
    <w:p>
      <w:pPr>
        <w:keepNext/>
        <w:spacing w:after="50" w:before="260"/>
      </w:pPr>
      <w:r>
        <w:rPr>
          <w:rFonts w:ascii="Cambria" w:cs="Cambria" w:eastAsia="Cambria" w:hAnsi="Cambria"/>
          <w:b/>
          <w:bCs/>
          <w:color w:val="17365D"/>
          <w:sz w:val="20"/>
          <w:szCs w:val="20"/>
        </w:rPr>
        <w:t xml:space="preserve">Chen RCT</w:t>
      </w:r>
      <w:r>
        <w:rPr>
          <w:b/>
          <w:bCs/>
          <w:color w:val="176A87"/>
          <w:sz w:val="15"/>
          <w:szCs w:val="15"/>
        </w:rPr>
        <w:t xml:space="preserve">   Randomised trial</w:t>
      </w:r>
      <w:r>
        <w:rPr>
          <w:color w:val="5A6069"/>
          <w:sz w:val="15"/>
          <w:szCs w:val="15"/>
        </w:rPr>
        <w:t xml:space="preserve">   PMID 16495695</w:t>
      </w:r>
    </w:p>
    <w:p>
      <w:pPr>
        <w:spacing w:after="50" w:line="276"/>
      </w:pPr>
      <w:r>
        <w:rPr>
          <w:color w:val="5A6069"/>
          <w:sz w:val="17"/>
          <w:szCs w:val="17"/>
        </w:rPr>
        <w:t xml:space="preserve">A prospective randomized trial comparing percutaneous local ablative therapy and partial hepatectomy for small hepatocellular carcinoma</w:t>
      </w:r>
    </w:p>
    <w:p>
      <w:pPr>
        <w:spacing w:after="50"/>
      </w:pPr>
      <w:r>
        <w:rPr>
          <w:b/>
          <w:bCs/>
          <w:color w:val="176A87"/>
          <w:sz w:val="16"/>
          <w:szCs w:val="16"/>
        </w:rPr>
        <w:t xml:space="preserve">Population. </w:t>
      </w:r>
      <w:r>
        <w:rPr>
          <w:sz w:val="16"/>
          <w:szCs w:val="16"/>
        </w:rPr>
        <w:t xml:space="preserve">180 patients with a solitary HCC of 5 cm or less randomised at one Guangzhou centre between November 1999 and June 2004, drawn from 3,775 patients with HCC hospitalised there; 90 to percutaneous ablation (of whom only 71 received it) and 90 to resection</w:t>
      </w:r>
    </w:p>
    <w:p>
      <w:pPr>
        <w:spacing w:after="70"/>
      </w:pPr>
      <w:r>
        <w:rPr>
          <w:b/>
          <w:bCs/>
          <w:color w:val="17365D"/>
          <w:sz w:val="16"/>
          <w:szCs w:val="16"/>
        </w:rPr>
        <w:t xml:space="preserve">Bottom line. </w:t>
      </w:r>
      <w:r>
        <w:rPr>
          <w:sz w:val="16"/>
          <w:szCs w:val="16"/>
        </w:rPr>
        <w:t xml:space="preserve">The first randomised comparison of percutaneous ablation with resection for a solitary HCC of 5 cm or less, reporting 4-year overall survival of 67.9 versus 64.0 percent and disease-free survival of 46.4 versus 51.6 percent with no significant difference. Nineteen of 90 patients assigned to ablation withdrew and had surgery instead, ablation as delivered needed repeat sessions to reach 91.5 percent necrosis from 62.0 percent after one treatment, and no hazard ratio or confidence interval for the primary comparison appears anywhere in the paper.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Post-randomisation exclusion occurred in 19 of 90 patients assigned to ablation, all of whom withdrew consent and chose resection; the authors state they do not think this affected the results</w:t>
            </w:r>
          </w:p>
          <w:p>
            <w:pPr>
              <w:pStyle w:val="ListParagraph"/>
              <w:numPr>
                <w:ilvl w:val="0"/>
                <w:numId w:val="2"/>
              </w:numPr>
              <w:spacing w:after="45"/>
            </w:pPr>
            <w:r>
              <w:rPr>
                <w:sz w:val="15"/>
                <w:szCs w:val="15"/>
              </w:rPr>
              <w:t xml:space="preserve">Mean follow-up was only just beyond 2 years, and the authors state they do not expect a difference with longer follow-up</w:t>
            </w:r>
          </w:p>
          <w:p>
            <w:pPr>
              <w:pStyle w:val="ListParagraph"/>
              <w:numPr>
                <w:ilvl w:val="0"/>
                <w:numId w:val="2"/>
              </w:numPr>
              <w:spacing w:after="45"/>
            </w:pPr>
            <w:r>
              <w:rPr>
                <w:sz w:val="15"/>
                <w:szCs w:val="15"/>
              </w:rPr>
              <w:t xml:space="preserve">The sample size was relatively small, and the authors argue a larger sample would not have changed the result because the curves were almost identical</w:t>
            </w:r>
          </w:p>
          <w:p>
            <w:pPr>
              <w:pStyle w:val="ListParagraph"/>
              <w:numPr>
                <w:ilvl w:val="0"/>
                <w:numId w:val="2"/>
              </w:numPr>
              <w:spacing w:after="45"/>
            </w:pPr>
            <w:r>
              <w:rPr>
                <w:sz w:val="15"/>
                <w:szCs w:val="15"/>
              </w:rPr>
              <w:t xml:space="preserve">The authors concede that for ablation to work the first session must be followed by CT at 4 weeks and a further session of ablation or ethanol injection if viable tumour remains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analysis labelled intention to treat is not one: the 90-patient ablation arm includes the 19 patients who actually underwent resection, so 21 percent of the experimental arm received the comparator operation, and the abstract instead quotes the post-randomisation-exclusion analysis of 71 against 90</w:t>
            </w:r>
          </w:p>
          <w:p>
            <w:pPr>
              <w:pStyle w:val="ListParagraph"/>
              <w:numPr>
                <w:ilvl w:val="0"/>
                <w:numId w:val="2"/>
              </w:numPr>
              <w:spacing w:after="45"/>
            </w:pPr>
            <w:r>
              <w:rPr>
                <w:sz w:val="15"/>
                <w:szCs w:val="15"/>
              </w:rPr>
              <w:t xml:space="preserve">All 19 consent withdrawals went in the same direction, from ablation to surgery, which is the signature of unconcealed allocation; randomisation is described only as computer-generated numbers in a central registry with no concealment mechanism, no blinding and no independent outcome adjudication</w:t>
            </w:r>
          </w:p>
          <w:p>
            <w:pPr>
              <w:pStyle w:val="ListParagraph"/>
              <w:numPr>
                <w:ilvl w:val="0"/>
                <w:numId w:val="2"/>
              </w:numPr>
              <w:spacing w:after="45"/>
            </w:pPr>
            <w:r>
              <w:rPr>
                <w:sz w:val="15"/>
                <w:szCs w:val="15"/>
              </w:rPr>
              <w:t xml:space="preserve">No hazard ratio, confidence interval or p value is printed anywhere for the primary survival comparison; survival was computed by the life-table method and compared by Mantel-Cox, and the result is reported only as the assertion that no difference was found</w:t>
            </w:r>
          </w:p>
          <w:p>
            <w:pPr>
              <w:pStyle w:val="ListParagraph"/>
              <w:numPr>
                <w:ilvl w:val="0"/>
                <w:numId w:val="2"/>
              </w:numPr>
              <w:spacing w:after="45"/>
            </w:pPr>
            <w:r>
              <w:rPr>
                <w:sz w:val="15"/>
                <w:szCs w:val="15"/>
              </w:rPr>
              <w:t xml:space="preserve">The multivariable Cox model in Table 2 prints regression coefficients without their signs and no hazard ratios or confidence intervals, and reports serum albumin as the only predictor of survival (p = 0.0018) in a model of nine variables fitted to a cohort with roughly 50 deaths</w:t>
            </w:r>
          </w:p>
          <w:p>
            <w:pPr>
              <w:pStyle w:val="ListParagraph"/>
              <w:numPr>
                <w:ilvl w:val="0"/>
                <w:numId w:val="2"/>
              </w:numPr>
              <w:spacing w:after="45"/>
            </w:pPr>
            <w:r>
              <w:rPr>
                <w:sz w:val="15"/>
                <w:szCs w:val="15"/>
              </w:rPr>
              <w:t xml:space="preserve">Four-year survival is the longest estimate reported although mean follow-up was 27.9 and 29.2 months, and no at-risk numbers appear under any of the ten survival curves, so the terminal estimates rest on an unstated handful of patients</w:t>
            </w:r>
          </w:p>
          <w:p>
            <w:pPr>
              <w:pStyle w:val="ListParagraph"/>
              <w:numPr>
                <w:ilvl w:val="0"/>
                <w:numId w:val="2"/>
              </w:numPr>
              <w:spacing w:after="45"/>
            </w:pPr>
            <w:r>
              <w:rPr>
                <w:sz w:val="15"/>
                <w:szCs w:val="15"/>
              </w:rPr>
              <w:t xml:space="preserve">The morbidity comparison sets 50 of 90 resections against 3 of 71 ablations, mixing the two different analysis populations in one sentence, and 46 of the 50 surgical events are moderate-to-severe ascites (27) or jaundice beyond 30 days (19) counted as major complications with no validated grading system</w:t>
            </w:r>
          </w:p>
          <w:p>
            <w:pPr>
              <w:pStyle w:val="ListParagraph"/>
              <w:numPr>
                <w:ilvl w:val="0"/>
                <w:numId w:val="2"/>
              </w:numPr>
              <w:spacing w:after="45"/>
            </w:pPr>
            <w:r>
              <w:rPr>
                <w:sz w:val="15"/>
                <w:szCs w:val="15"/>
              </w:rPr>
              <w:t xml:space="preserve">The ablation arm's harms were captured only as skin burns (3) and fever (8), with no systematic ascertainment of ascites, jaundice or liver dysfunction at all, which is why its complication count is 3; the two arms were not monitored for the same events</w:t>
            </w:r>
          </w:p>
          <w:p>
            <w:pPr>
              <w:pStyle w:val="ListParagraph"/>
              <w:numPr>
                <w:ilvl w:val="0"/>
                <w:numId w:val="2"/>
              </w:numPr>
              <w:spacing w:after="45"/>
            </w:pPr>
            <w:r>
              <w:rPr>
                <w:sz w:val="15"/>
                <w:szCs w:val="15"/>
              </w:rPr>
              <w:t xml:space="preserve">Ablation as tested is a strategy rather than a procedure: complete necrosis was 62.0 percent after the first session and reached 91.5 percent only after repeat ablation or ethanol injection in 21 patients and chemoembolisation in 2, so 8.5 percent of the arm never achieved necrosis yet remained in its survival curve</w:t>
            </w:r>
          </w:p>
          <w:p>
            <w:pPr>
              <w:pStyle w:val="ListParagraph"/>
              <w:numPr>
                <w:ilvl w:val="0"/>
                <w:numId w:val="2"/>
              </w:numPr>
              <w:spacing w:after="45"/>
            </w:pPr>
            <w:r>
              <w:rPr>
                <w:sz w:val="15"/>
                <w:szCs w:val="15"/>
              </w:rPr>
              <w:t xml:space="preserve">A single device was used (RF 2000 with a 3.5 cm LeVeen expandable electrode) with the endpoint of a hyperechoic cloud larger than the tumour on ultrasound and no margin requirement, which is not an adequate technique for tumours approaching 5 cm, and 34 of 71 ablated tumours measured 3.1 to 5 cm</w:t>
            </w:r>
          </w:p>
          <w:p>
            <w:pPr>
              <w:pStyle w:val="ListParagraph"/>
              <w:numPr>
                <w:ilvl w:val="0"/>
                <w:numId w:val="2"/>
              </w:numPr>
              <w:spacing w:after="45"/>
            </w:pPr>
            <w:r>
              <w:rPr>
                <w:sz w:val="15"/>
                <w:szCs w:val="15"/>
              </w:rPr>
              <w:t xml:space="preserve">Diagnosis was imaging-based with an alpha-fetoprotein threshold: one resected specimen proved to be focal nodular hyperplasia and two patients had disseminated disease found at laparotomy, so at least 3 of 90 surgical patients did not have the disease under study and equivalent misclassification in the ablation arm could not be detected</w:t>
            </w:r>
          </w:p>
          <w:p>
            <w:pPr>
              <w:pStyle w:val="ListParagraph"/>
              <w:numPr>
                <w:ilvl w:val="0"/>
                <w:numId w:val="2"/>
              </w:numPr>
              <w:spacing w:after="45"/>
            </w:pPr>
            <w:r>
              <w:rPr>
                <w:sz w:val="15"/>
                <w:szCs w:val="15"/>
              </w:rPr>
              <w:t xml:space="preserve">The stated sample size calculation specifies an alpha risk of 0.05 and a beta risk of 0.8, which is the power rather than the beta risk, and the trial was powered on 2-year recurrence rather than on survival, so the survival conclusion that the paper advertises was never the question the design could answer</w:t>
            </w:r>
          </w:p>
          <w:p>
            <w:pPr>
              <w:pStyle w:val="ListParagraph"/>
              <w:numPr>
                <w:ilvl w:val="0"/>
                <w:numId w:val="2"/>
              </w:numPr>
              <w:spacing w:after="45"/>
            </w:pPr>
            <w:r>
              <w:rPr>
                <w:sz w:val="15"/>
                <w:szCs w:val="15"/>
              </w:rPr>
              <w:t xml:space="preserve">The 3 cm and 3.1 to 5 cm subgroup analyses involve 37 and 34 ablation patients and are reported as non-significant with no estimates, confidence intervals or interaction tests given</w:t>
            </w:r>
          </w:p>
          <w:p>
            <w:pPr>
              <w:pStyle w:val="ListParagraph"/>
              <w:numPr>
                <w:ilvl w:val="0"/>
                <w:numId w:val="2"/>
              </w:numPr>
              <w:spacing w:after="45"/>
            </w:pPr>
            <w:r>
              <w:rPr>
                <w:sz w:val="15"/>
                <w:szCs w:val="15"/>
              </w:rPr>
              <w:t xml:space="preserve">The comparator is open surgery as practised in one Chinese centre in 1999 to 2004, with a right subcostal incision, routine Pringle manoeuvre in 10 and 5 minute cycles and a mean 19.7-day hospital stay against 9.2 days, so the length-of-stay and analgesia advantages do not transfer to a laparoscopic era</w:t>
            </w:r>
          </w:p>
          <w:p>
            <w:pPr>
              <w:pStyle w:val="ListParagraph"/>
              <w:numPr>
                <w:ilvl w:val="0"/>
                <w:numId w:val="2"/>
              </w:numPr>
              <w:spacing w:after="45"/>
            </w:pPr>
            <w:r>
              <w:rPr>
                <w:sz w:val="15"/>
                <w:szCs w:val="15"/>
              </w:rPr>
              <w:t xml:space="preserve">The authors answer each of their three stated limitations by assuming the null they are defending, arguing in turn that the exclusions, the short follow-up and the small sample would not have changed a result whose curves were already superimposed</w:t>
            </w:r>
          </w:p>
        </w:tc>
      </w:tr>
    </w:tbl>
    <w:p>
      <w:pPr>
        <w:spacing w:after="0" w:line="276"/>
      </w:pPr>
      <w:r>
        <w:rPr>
          <w:color w:val="5A6069"/>
          <w:sz w:val="14"/>
          <w:szCs w:val="14"/>
        </w:rPr>
        <w:t xml:space="preserve">Funding: Supported by a grant from the Sciences and Technology Committee of Guangdong Province, China, 2002; no conflict-of-interest statement appears in the article</w:t>
      </w:r>
    </w:p>
    <w:p>
      <w:pPr>
        <w:keepNext/>
        <w:spacing w:after="50" w:before="260"/>
      </w:pPr>
      <w:r>
        <w:rPr>
          <w:rFonts w:ascii="Cambria" w:cs="Cambria" w:eastAsia="Cambria" w:hAnsi="Cambria"/>
          <w:b/>
          <w:bCs/>
          <w:color w:val="17365D"/>
          <w:sz w:val="20"/>
          <w:szCs w:val="20"/>
        </w:rPr>
        <w:t xml:space="preserve">Citterio 2016</w:t>
      </w:r>
      <w:r>
        <w:rPr>
          <w:b/>
          <w:bCs/>
          <w:color w:val="176A87"/>
          <w:sz w:val="15"/>
          <w:szCs w:val="15"/>
        </w:rPr>
        <w:t xml:space="preserve">   cohort</w:t>
      </w:r>
      <w:r>
        <w:rPr>
          <w:color w:val="5A6069"/>
          <w:sz w:val="15"/>
          <w:szCs w:val="15"/>
        </w:rPr>
        <w:t xml:space="preserve">   PMID 27248425</w:t>
      </w:r>
    </w:p>
    <w:p>
      <w:pPr>
        <w:spacing w:after="50" w:line="276"/>
      </w:pPr>
      <w:r>
        <w:rPr>
          <w:color w:val="5A6069"/>
          <w:sz w:val="17"/>
          <w:szCs w:val="17"/>
        </w:rPr>
        <w:t xml:space="preserve">Hierarchic Interaction of Factors Associated With Liver Decompensation After Resection for Hepatocellular Carcinoma</w:t>
      </w:r>
    </w:p>
    <w:p>
      <w:pPr>
        <w:spacing w:after="50"/>
      </w:pPr>
      <w:r>
        <w:rPr>
          <w:b/>
          <w:bCs/>
          <w:color w:val="176A87"/>
          <w:sz w:val="16"/>
          <w:szCs w:val="16"/>
        </w:rPr>
        <w:t xml:space="preserve">Population. </w:t>
      </w:r>
      <w:r>
        <w:rPr>
          <w:sz w:val="16"/>
          <w:szCs w:val="16"/>
        </w:rPr>
        <w:t xml:space="preserve">543 patients with chronic liver disease who underwent curative resection for HCC at the National Cancer Institute of Milan between 1 January 2000 and 31 December 2013; 108 (19.9 percent) developed postoperative liver decompensation and 5 (0.9 percent) died in hospital</w:t>
      </w:r>
    </w:p>
    <w:p>
      <w:pPr>
        <w:spacing w:after="70"/>
      </w:pPr>
      <w:r>
        <w:rPr>
          <w:b/>
          <w:bCs/>
          <w:color w:val="17365D"/>
          <w:sz w:val="16"/>
          <w:szCs w:val="16"/>
        </w:rPr>
        <w:t xml:space="preserve">Bottom line. </w:t>
      </w:r>
      <w:r>
        <w:rPr>
          <w:sz w:val="16"/>
          <w:szCs w:val="16"/>
        </w:rPr>
        <w:t xml:space="preserve">Builds a three-variable decision tree from 543 consecutive resections in which clinical portal hypertension, then extent of hepatectomy, then a MELD above 9 stratify postoperative liver decompensation into 4.9, 28.6 and 60.0 percent. The tree is internally cross-validated only, its high-risk class holds 20 patients, more than half the cohort lands in a single undifferentiated intermediate class, and the endpoint is dominated by grade 2 ascites, so it ranks risk rather than guiding an operation.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analysis, although the database was prospectively collected</w:t>
            </w:r>
          </w:p>
          <w:p>
            <w:pPr>
              <w:pStyle w:val="ListParagraph"/>
              <w:numPr>
                <w:ilvl w:val="0"/>
                <w:numId w:val="2"/>
              </w:numPr>
              <w:spacing w:after="45"/>
            </w:pPr>
            <w:r>
              <w:rPr>
                <w:sz w:val="15"/>
                <w:szCs w:val="15"/>
              </w:rPr>
              <w:t xml:space="preserve">The risk stratification was never externally validated, only internally cross-validated by 10-fold cross-validation</w:t>
            </w:r>
          </w:p>
          <w:p>
            <w:pPr>
              <w:pStyle w:val="ListParagraph"/>
              <w:numPr>
                <w:ilvl w:val="0"/>
                <w:numId w:val="2"/>
              </w:numPr>
              <w:spacing w:after="45"/>
            </w:pPr>
            <w:r>
              <w:rPr>
                <w:sz w:val="15"/>
                <w:szCs w:val="15"/>
              </w:rPr>
              <w:t xml:space="preserve">Surgical indications and tumour burden expanded over the 14-year study period</w:t>
            </w:r>
          </w:p>
          <w:p>
            <w:pPr>
              <w:pStyle w:val="ListParagraph"/>
              <w:numPr>
                <w:ilvl w:val="0"/>
                <w:numId w:val="2"/>
              </w:numPr>
              <w:spacing w:after="45"/>
            </w:pPr>
            <w:r>
              <w:rPr>
                <w:sz w:val="15"/>
                <w:szCs w:val="15"/>
              </w:rPr>
              <w:t xml:space="preserve">The authors acknowledge that definitions of postoperative decompensation vary widely between series, so their 19.9 percent rate is not comparable with others</w:t>
            </w:r>
          </w:p>
          <w:p>
            <w:pPr>
              <w:pStyle w:val="ListParagraph"/>
              <w:numPr>
                <w:ilvl w:val="0"/>
                <w:numId w:val="2"/>
              </w:numPr>
              <w:spacing w:after="45"/>
            </w:pPr>
            <w:r>
              <w:rPr>
                <w:sz w:val="15"/>
                <w:szCs w:val="15"/>
              </w:rPr>
              <w:t xml:space="preserve">The authors attribute the discrepancy between the random-forest variable ranking and the partitioning tree to the difference between the two methods</w:t>
            </w:r>
          </w:p>
          <w:p>
            <w:pPr>
              <w:pStyle w:val="ListParagraph"/>
              <w:numPr>
                <w:ilvl w:val="0"/>
                <w:numId w:val="2"/>
              </w:numPr>
              <w:spacing w:after="45"/>
            </w:pPr>
            <w:r>
              <w:rPr>
                <w:sz w:val="15"/>
                <w:szCs w:val="15"/>
              </w:rPr>
              <w:t xml:space="preserve">The authors predict the risk within each class will fall as hepatitis C is cured, so the absolute rates may overstate current risk</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high-risk class contains 20 patients with 12 events, no confidence interval is given for its 60.0 percent decompensation rate or its 25.0 percent liver-related mortality (5 of 20), and 20 is exactly the minimum node size the tree was permitted to split at, so the class was created at the algorithm's own stopping boundary</w:t>
            </w:r>
          </w:p>
          <w:p>
            <w:pPr>
              <w:pStyle w:val="ListParagraph"/>
              <w:numPr>
                <w:ilvl w:val="0"/>
                <w:numId w:val="2"/>
              </w:numPr>
              <w:spacing w:after="45"/>
            </w:pPr>
            <w:r>
              <w:rPr>
                <w:sz w:val="15"/>
                <w:szCs w:val="15"/>
              </w:rPr>
              <w:t xml:space="preserve">The intermediate class holds 297 of 543 patients (54.7 percent) and merges three clinically unlike groups, no portal hypertension with a major resection, portal hypertension with a minor resection, and a minor resection with a MELD above 9, into a single 28.6 percent figure that cannot inform a decision about any of them</w:t>
            </w:r>
          </w:p>
          <w:p>
            <w:pPr>
              <w:pStyle w:val="ListParagraph"/>
              <w:numPr>
                <w:ilvl w:val="0"/>
                <w:numId w:val="2"/>
              </w:numPr>
              <w:spacing w:after="45"/>
            </w:pPr>
            <w:r>
              <w:rPr>
                <w:sz w:val="15"/>
                <w:szCs w:val="15"/>
              </w:rPr>
              <w:t xml:space="preserve">The cross-validated C index (0.78, 95% CI 0.74 to 0.82) exceeds the model's own apparent C index (0.76, 0.74 to 0.79), which is the wrong direction for cross-validation and indicates that the tree was re-grown within folds rather than the fixed tree being tested</w:t>
            </w:r>
          </w:p>
          <w:p>
            <w:pPr>
              <w:pStyle w:val="ListParagraph"/>
              <w:numPr>
                <w:ilvl w:val="0"/>
                <w:numId w:val="2"/>
              </w:numPr>
              <w:spacing w:after="45"/>
            </w:pPr>
            <w:r>
              <w:rPr>
                <w:sz w:val="15"/>
                <w:szCs w:val="15"/>
              </w:rPr>
              <w:t xml:space="preserve">The reported overall error rate of 0.06 is implausible for an outcome with 19.9 percent prevalence, since predicting no decompensation in everyone would err in about 20 percent of cases, and no confusion matrix appears in the main text</w:t>
            </w:r>
          </w:p>
          <w:p>
            <w:pPr>
              <w:pStyle w:val="ListParagraph"/>
              <w:numPr>
                <w:ilvl w:val="0"/>
                <w:numId w:val="2"/>
              </w:numPr>
              <w:spacing w:after="45"/>
            </w:pPr>
            <w:r>
              <w:rPr>
                <w:sz w:val="15"/>
                <w:szCs w:val="15"/>
              </w:rPr>
              <w:t xml:space="preserve">The odds ratios attached to the tree's splits are numerically identical to the univariable logistic odds ratios (portal hypertension 2.99, 1.93 to 4.62; major hepatectomy 2.98, 1.97 to 4.52 and 2.76, 1.85 to 4.77), so the hierarchy is presented with effect estimates that are not conditional on the splits they label</w:t>
            </w:r>
          </w:p>
          <w:p>
            <w:pPr>
              <w:pStyle w:val="ListParagraph"/>
              <w:numPr>
                <w:ilvl w:val="0"/>
                <w:numId w:val="2"/>
              </w:numPr>
              <w:spacing w:after="45"/>
            </w:pPr>
            <w:r>
              <w:rPr>
                <w:sz w:val="15"/>
                <w:szCs w:val="15"/>
              </w:rPr>
              <w:t xml:space="preserve">The random-forest importance measure ranks extent of hepatectomy above portal hypertension, reversing the order of the tree on which the paper's conclusion and title rest; the disagreement is instability in the ranking rather than a property of the two methods</w:t>
            </w:r>
          </w:p>
          <w:p>
            <w:pPr>
              <w:pStyle w:val="ListParagraph"/>
              <w:numPr>
                <w:ilvl w:val="0"/>
                <w:numId w:val="2"/>
              </w:numPr>
              <w:spacing w:after="45"/>
            </w:pPr>
            <w:r>
              <w:rPr>
                <w:sz w:val="15"/>
                <w:szCs w:val="15"/>
              </w:rPr>
              <w:t xml:space="preserve">The endpoint is a composite the authors defined in their own earlier work and is dominated by ascites: 101 of 108 events were Dindo-Clavien grade 2, 85 of those involved ascites, and 33 of the ascites cases drained less than 500 mL a day, so a large part of liver decompensation here is a mild drain output and a decision about when to remove a drain</w:t>
            </w:r>
          </w:p>
          <w:p>
            <w:pPr>
              <w:pStyle w:val="ListParagraph"/>
              <w:numPr>
                <w:ilvl w:val="0"/>
                <w:numId w:val="2"/>
              </w:numPr>
              <w:spacing w:after="45"/>
            </w:pPr>
            <w:r>
              <w:rPr>
                <w:sz w:val="15"/>
                <w:szCs w:val="15"/>
              </w:rPr>
              <w:t xml:space="preserve">Seventy-three patients with grade 1 liver-related complications were excluded from the endpoint as clinically irrelevant by the operating team, and moving that line turns a 19.9 percent rate into 33.3 percent</w:t>
            </w:r>
          </w:p>
          <w:p>
            <w:pPr>
              <w:pStyle w:val="ListParagraph"/>
              <w:numPr>
                <w:ilvl w:val="0"/>
                <w:numId w:val="2"/>
              </w:numPr>
              <w:spacing w:after="45"/>
            </w:pPr>
            <w:r>
              <w:rPr>
                <w:sz w:val="15"/>
                <w:szCs w:val="15"/>
              </w:rPr>
              <w:t xml:space="preserve">Portal hypertension, the tree's first and most important variable, was defined clinically by F1 varices or platelets below 100,000 with a spleen above 120 mm; no patient had a hepatic venous pressure gradient measured, so the model's top predictor is the surrogate definition that the guidelines it informs regard as insufficient</w:t>
            </w:r>
          </w:p>
          <w:p>
            <w:pPr>
              <w:pStyle w:val="ListParagraph"/>
              <w:numPr>
                <w:ilvl w:val="0"/>
                <w:numId w:val="2"/>
              </w:numPr>
              <w:spacing w:after="45"/>
            </w:pPr>
            <w:r>
              <w:rPr>
                <w:sz w:val="15"/>
                <w:szCs w:val="15"/>
              </w:rPr>
              <w:t xml:space="preserve">The MELD cut-point of 9 was selected by the tree's own maximisation in a cohort with a median MELD of 8 and an interquartile range of 7 to 10, so the third split divides the middle of the distribution at a data-driven threshold reported without any penalty for having searched for it</w:t>
            </w:r>
          </w:p>
          <w:p>
            <w:pPr>
              <w:pStyle w:val="ListParagraph"/>
              <w:numPr>
                <w:ilvl w:val="0"/>
                <w:numId w:val="2"/>
              </w:numPr>
              <w:spacing w:after="45"/>
            </w:pPr>
            <w:r>
              <w:rPr>
                <w:sz w:val="15"/>
                <w:szCs w:val="15"/>
              </w:rPr>
              <w:t xml:space="preserve">The extent of hepatectomy is a planned-operation variable chosen by surgeons who already knew the patient's portal hypertension status, so the second node partly encodes the team's own risk avoidance: only 20 of the 105 major resections were done in patients with portal hypertension, and those 20 are the high-risk class</w:t>
            </w:r>
          </w:p>
          <w:p>
            <w:pPr>
              <w:pStyle w:val="ListParagraph"/>
              <w:numPr>
                <w:ilvl w:val="0"/>
                <w:numId w:val="2"/>
              </w:numPr>
              <w:spacing w:after="45"/>
            </w:pPr>
            <w:r>
              <w:rPr>
                <w:sz w:val="15"/>
                <w:szCs w:val="15"/>
              </w:rPr>
              <w:t xml:space="preserve">Liver-related mortality by risk class (4.4, 9.0 and 25.0 percent) is cumulative over a median 66 months of follow-up and explicitly covers death at any time after surgery, yet it is presented alongside length of stay as though both described the perioperative period; 30-day mortality was zero and in-hospital mortality 0.9 percent</w:t>
            </w:r>
          </w:p>
          <w:p>
            <w:pPr>
              <w:pStyle w:val="ListParagraph"/>
              <w:numPr>
                <w:ilvl w:val="0"/>
                <w:numId w:val="2"/>
              </w:numPr>
              <w:spacing w:after="45"/>
            </w:pPr>
            <w:r>
              <w:rPr>
                <w:sz w:val="15"/>
                <w:szCs w:val="15"/>
              </w:rPr>
              <w:t xml:space="preserve">The cohort was deliberately operated beyond guidelines, with 24.9 percent outside Milan criteria, 22.7 percent multifocal, 11.8 percent BCLC B and 4.1 percent BCLC C, and 22.1 percent previously treated, by the same multidisciplinary board that four of the six authors sit on; no measure of tumour burden enters the model at any level</w:t>
            </w:r>
          </w:p>
          <w:p>
            <w:pPr>
              <w:pStyle w:val="ListParagraph"/>
              <w:numPr>
                <w:ilvl w:val="0"/>
                <w:numId w:val="2"/>
              </w:numPr>
              <w:spacing w:after="45"/>
            </w:pPr>
            <w:r>
              <w:rPr>
                <w:sz w:val="15"/>
                <w:szCs w:val="15"/>
              </w:rPr>
              <w:t xml:space="preserve">Liver-related mortality in the intermediate class is 27 of 297 (9.0 percent) in the text and 29 in Figure 2, final follow-up is 31 January 2015 in the abstract and 1 January 2015 in the Follow-up section, and the abstract quotes only the cross-validated C index while the Results give a lower apparent value</w:t>
            </w:r>
          </w:p>
          <w:p>
            <w:pPr>
              <w:pStyle w:val="ListParagraph"/>
              <w:numPr>
                <w:ilvl w:val="0"/>
                <w:numId w:val="2"/>
              </w:numPr>
              <w:spacing w:after="45"/>
            </w:pPr>
            <w:r>
              <w:rPr>
                <w:sz w:val="15"/>
                <w:szCs w:val="15"/>
              </w:rPr>
              <w:t xml:space="preserve">Fourteen years of single-centre practice are pooled with no year-of-surgery term in any model, across a period in which the unit's own technique changed (ultrasonic dissection, irrigated bipolar coagulation, central venous pressure below 5 mmHg, Pringle manoeuvre only on demand, intermittent clamping in 6.3 percent)</w:t>
            </w:r>
          </w:p>
        </w:tc>
      </w:tr>
    </w:tbl>
    <w:p>
      <w:pPr>
        <w:spacing w:after="0" w:line="276"/>
      </w:pPr>
      <w:r>
        <w:rPr>
          <w:color w:val="5A6069"/>
          <w:sz w:val="14"/>
          <w:szCs w:val="14"/>
        </w:rPr>
        <w:t xml:space="preserve">Funding: Institutional; no funding source or conflict of interest is reported in the article</w:t>
      </w:r>
    </w:p>
    <w:p>
      <w:pPr>
        <w:keepNext/>
        <w:spacing w:after="50" w:before="260"/>
      </w:pPr>
      <w:r>
        <w:rPr>
          <w:rFonts w:ascii="Cambria" w:cs="Cambria" w:eastAsia="Cambria" w:hAnsi="Cambria"/>
          <w:b/>
          <w:bCs/>
          <w:color w:val="17365D"/>
          <w:sz w:val="20"/>
          <w:szCs w:val="20"/>
        </w:rPr>
        <w:t xml:space="preserve">DEB vs cTACE</w:t>
      </w:r>
      <w:r>
        <w:rPr>
          <w:b/>
          <w:bCs/>
          <w:color w:val="176A87"/>
          <w:sz w:val="15"/>
          <w:szCs w:val="15"/>
        </w:rPr>
        <w:t xml:space="preserve">   Randomised trial</w:t>
      </w:r>
      <w:r>
        <w:rPr>
          <w:color w:val="5A6069"/>
          <w:sz w:val="15"/>
          <w:szCs w:val="15"/>
        </w:rPr>
        <w:t xml:space="preserve">   PMID 24937669</w:t>
      </w:r>
    </w:p>
    <w:p>
      <w:pPr>
        <w:spacing w:after="50" w:line="276"/>
      </w:pPr>
      <w:r>
        <w:rPr>
          <w:color w:val="5A6069"/>
          <w:sz w:val="17"/>
          <w:szCs w:val="17"/>
        </w:rPr>
        <w:t xml:space="preserve">Randomised controlled trial of doxorubicin-eluting beads vs conventional chemoembolisation for hepatocellular carcinoma</w:t>
      </w:r>
    </w:p>
    <w:p>
      <w:pPr>
        <w:spacing w:after="50"/>
      </w:pPr>
      <w:r>
        <w:rPr>
          <w:b/>
          <w:bCs/>
          <w:color w:val="176A87"/>
          <w:sz w:val="16"/>
          <w:szCs w:val="16"/>
        </w:rPr>
        <w:t xml:space="preserve">Population. </w:t>
      </w:r>
      <w:r>
        <w:rPr>
          <w:sz w:val="16"/>
          <w:szCs w:val="16"/>
        </w:rPr>
        <w:t xml:space="preserve">177 of a planned 214 patients with HCC randomised at five Italian centres to conventional chemoembolisation (88) or drug-eluting bead chemoembolisation (89), with a median of two procedures per arm; 46.3 percent were BCLC A, 26.0 percent BCLC C on ECOG 1 alone, and the median largest tumour was 2.6 cm</w:t>
      </w:r>
    </w:p>
    <w:p>
      <w:pPr>
        <w:spacing w:after="70"/>
      </w:pPr>
      <w:r>
        <w:rPr>
          <w:b/>
          <w:bCs/>
          <w:color w:val="17365D"/>
          <w:sz w:val="16"/>
          <w:szCs w:val="16"/>
        </w:rPr>
        <w:t xml:space="preserve">Bottom line. </w:t>
      </w:r>
      <w:r>
        <w:rPr>
          <w:sz w:val="16"/>
          <w:szCs w:val="16"/>
        </w:rPr>
        <w:t xml:space="preserve">PRECISION Italia is the independent test of drug-eluting beads and it was stopped for futility: median time to progression was 9 months in both arms, 2-year survival 56.8 against 55.4 percent (p = 0.949), with less post-procedural pain the only advantage of beads. It cannot establish equivalence, because it was powered for an implausible 20-point survival gain and stopped at 83 percent of its planned size, and nearly half its patients were early-stage with a median tumour under 3 cm.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Enrolment was stopped for futility on the recommendation of an external review committee after the second interim analysis, at 177 of 214 planned patients</w:t>
            </w:r>
          </w:p>
          <w:p>
            <w:pPr>
              <w:pStyle w:val="ListParagraph"/>
              <w:numPr>
                <w:ilvl w:val="0"/>
                <w:numId w:val="2"/>
              </w:numPr>
              <w:spacing w:after="45"/>
            </w:pPr>
            <w:r>
              <w:rPr>
                <w:sz w:val="15"/>
                <w:szCs w:val="15"/>
              </w:rPr>
              <w:t xml:space="preserve">The power calculation assumed a 40 percent 2-year survival with conventional chemoembolisation and a 20 percentage point absolute gain with beads, which the authors concede was an optimistic view based on the device's theoretical advantages</w:t>
            </w:r>
          </w:p>
          <w:p>
            <w:pPr>
              <w:pStyle w:val="ListParagraph"/>
              <w:numPr>
                <w:ilvl w:val="0"/>
                <w:numId w:val="2"/>
              </w:numPr>
              <w:spacing w:after="45"/>
            </w:pPr>
            <w:r>
              <w:rPr>
                <w:sz w:val="15"/>
                <w:szCs w:val="15"/>
              </w:rPr>
              <w:t xml:space="preserve">The pragmatic design permitted referring physicians to use ablation, resection, sorafenib or transplantation after two chemoembolisations, and 36 of 177 patients received further treatment</w:t>
            </w:r>
          </w:p>
          <w:p>
            <w:pPr>
              <w:pStyle w:val="ListParagraph"/>
              <w:numPr>
                <w:ilvl w:val="0"/>
                <w:numId w:val="2"/>
              </w:numPr>
              <w:spacing w:after="45"/>
            </w:pPr>
            <w:r>
              <w:rPr>
                <w:sz w:val="15"/>
                <w:szCs w:val="15"/>
              </w:rPr>
              <w:t xml:space="preserve">The authors note the inclusion of BCLC C patients in whom chemoembolisation is debatable</w:t>
            </w:r>
          </w:p>
          <w:p>
            <w:pPr>
              <w:pStyle w:val="ListParagraph"/>
              <w:numPr>
                <w:ilvl w:val="0"/>
                <w:numId w:val="2"/>
              </w:numPr>
              <w:spacing w:after="45"/>
            </w:pPr>
            <w:r>
              <w:rPr>
                <w:sz w:val="15"/>
                <w:szCs w:val="15"/>
              </w:rPr>
              <w:t xml:space="preserve">Response was judged by EASL criteria until 2010 and modified RECIST thereafter, mostly on multidetector CT, which the authors accept masks residual tumour after lipiodol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At one month the control arm achieved a significantly higher overall complete response than the beads (59.8 against 43.8 percent, p = 0.036), and the authors explain this as a spurious effect of lipiodol masking, which concedes that the response endpoint in a lipiodol-based comparison is uninterpretable in either direction</w:t>
            </w:r>
          </w:p>
          <w:p>
            <w:pPr>
              <w:pStyle w:val="ListParagraph"/>
              <w:numPr>
                <w:ilvl w:val="0"/>
                <w:numId w:val="2"/>
              </w:numPr>
              <w:spacing w:after="45"/>
            </w:pPr>
            <w:r>
              <w:rPr>
                <w:sz w:val="15"/>
                <w:szCs w:val="15"/>
              </w:rPr>
              <w:t xml:space="preserve">The post hoc subgroup analyses point the same way, with conventional chemoembolisation achieving significantly more complete responses in ECOG 0 (p = 0.014) and BCLC A patients (p = 0.027), findings the paper reports without reconciling them against the trend it prefers at 6 months</w:t>
            </w:r>
          </w:p>
          <w:p>
            <w:pPr>
              <w:pStyle w:val="ListParagraph"/>
              <w:numPr>
                <w:ilvl w:val="0"/>
                <w:numId w:val="2"/>
              </w:numPr>
              <w:spacing w:after="45"/>
            </w:pPr>
            <w:r>
              <w:rPr>
                <w:sz w:val="15"/>
                <w:szCs w:val="15"/>
              </w:rPr>
              <w:t xml:space="preserve">Survival of patients who became transplantable after downstaging was censored at the day before surgery, so the most successful outcomes in both arms were removed from the survival comparison the trial was powered on</w:t>
            </w:r>
          </w:p>
          <w:p>
            <w:pPr>
              <w:pStyle w:val="ListParagraph"/>
              <w:numPr>
                <w:ilvl w:val="0"/>
                <w:numId w:val="2"/>
              </w:numPr>
              <w:spacing w:after="45"/>
            </w:pPr>
            <w:r>
              <w:rPr>
                <w:sz w:val="15"/>
                <w:szCs w:val="15"/>
              </w:rPr>
              <w:t xml:space="preserve">Fewer than a third of patients had unambiguously intermediate-stage disease: 46.3 percent were BCLC A, 26.0 percent were classed BCLC C solely on an ECOG score of 1, and the median largest tumour was 2.6 cm, so the trial did not test beads where their larger drug payload is argued to matter</w:t>
            </w:r>
          </w:p>
          <w:p>
            <w:pPr>
              <w:pStyle w:val="ListParagraph"/>
              <w:numPr>
                <w:ilvl w:val="0"/>
                <w:numId w:val="2"/>
              </w:numPr>
              <w:spacing w:after="45"/>
            </w:pPr>
            <w:r>
              <w:rPr>
                <w:sz w:val="15"/>
                <w:szCs w:val="15"/>
              </w:rPr>
              <w:t xml:space="preserve">The reported median survival of 28 and 29 months is explicitly a projection from the 1- and 2-year rates rather than an observed median, since follow-up was a minimum of 2 years</w:t>
            </w:r>
          </w:p>
          <w:p>
            <w:pPr>
              <w:pStyle w:val="ListParagraph"/>
              <w:numPr>
                <w:ilvl w:val="0"/>
                <w:numId w:val="2"/>
              </w:numPr>
              <w:spacing w:after="45"/>
            </w:pPr>
            <w:r>
              <w:rPr>
                <w:sz w:val="15"/>
                <w:szCs w:val="15"/>
              </w:rPr>
              <w:t xml:space="preserve">The severe adverse event rate of 6.2 percent with a superselective technique is far below that of the manufacturer-sponsored trial it contradicts, so the absence of a safety advantage for beads may reflect an unusually good conventional technique rather than equivalence of the two devices</w:t>
            </w:r>
          </w:p>
          <w:p>
            <w:pPr>
              <w:pStyle w:val="ListParagraph"/>
              <w:numPr>
                <w:ilvl w:val="0"/>
                <w:numId w:val="2"/>
              </w:numPr>
              <w:spacing w:after="45"/>
            </w:pPr>
            <w:r>
              <w:rPr>
                <w:sz w:val="15"/>
                <w:szCs w:val="15"/>
              </w:rPr>
              <w:t xml:space="preserve">Twenty percent of patients received an additional non-randomised treatment after two chemoembolisations, which dilutes the comparison in a trial whose primary endpoint is time to progression and whose power was already compromised</w:t>
            </w:r>
          </w:p>
          <w:p>
            <w:pPr>
              <w:pStyle w:val="ListParagraph"/>
              <w:numPr>
                <w:ilvl w:val="0"/>
                <w:numId w:val="2"/>
              </w:numPr>
              <w:spacing w:after="45"/>
            </w:pPr>
            <w:r>
              <w:rPr>
                <w:sz w:val="15"/>
                <w:szCs w:val="15"/>
              </w:rPr>
              <w:t xml:space="preserve">Both arms also differed in the drug delivered (mean 47.2 mg of epirubicin with lipiodol against 57.8 mg of doxorubicin on beads), so the comparison is of two regimens rather than of two delivery systems</w:t>
            </w:r>
          </w:p>
          <w:p>
            <w:pPr>
              <w:pStyle w:val="ListParagraph"/>
              <w:numPr>
                <w:ilvl w:val="0"/>
                <w:numId w:val="2"/>
              </w:numPr>
              <w:spacing w:after="45"/>
            </w:pPr>
            <w:r>
              <w:rPr>
                <w:sz w:val="15"/>
                <w:szCs w:val="15"/>
              </w:rPr>
              <w:t xml:space="preserve">Response was assessed on CT at a time when the authors themselves say CT after lipiodol is inadequate, with the choice justified on grounds of availability rather than accuracy</w:t>
            </w:r>
          </w:p>
          <w:p>
            <w:pPr>
              <w:pStyle w:val="ListParagraph"/>
              <w:numPr>
                <w:ilvl w:val="0"/>
                <w:numId w:val="2"/>
              </w:numPr>
              <w:spacing w:after="45"/>
            </w:pPr>
            <w:r>
              <w:rPr>
                <w:sz w:val="15"/>
                <w:szCs w:val="15"/>
              </w:rPr>
              <w:t xml:space="preserve">The trial's conclusion that routine use of beads is hard to justify rests on a cost argument of at least 600 euros per treatment rather than on the trial's own data, which cannot exclude a clinically modest difference</w:t>
            </w:r>
          </w:p>
        </w:tc>
      </w:tr>
    </w:tbl>
    <w:p>
      <w:pPr>
        <w:spacing w:after="0" w:line="276"/>
      </w:pPr>
      <w:r>
        <w:rPr>
          <w:color w:val="5A6069"/>
          <w:sz w:val="14"/>
          <w:szCs w:val="14"/>
        </w:rPr>
        <w:t xml:space="preserve">Funding: No funding source is identified in the article; the authors declare no conflict of interest</w:t>
      </w:r>
    </w:p>
    <w:p>
      <w:pPr>
        <w:keepNext/>
        <w:spacing w:after="50" w:before="260"/>
      </w:pPr>
      <w:r>
        <w:rPr>
          <w:rFonts w:ascii="Cambria" w:cs="Cambria" w:eastAsia="Cambria" w:hAnsi="Cambria"/>
          <w:b/>
          <w:bCs/>
          <w:color w:val="17365D"/>
          <w:sz w:val="20"/>
          <w:szCs w:val="20"/>
        </w:rPr>
        <w:t xml:space="preserve">DOSISPHERE-01</w:t>
      </w:r>
      <w:r>
        <w:rPr>
          <w:b/>
          <w:bCs/>
          <w:color w:val="176A87"/>
          <w:sz w:val="15"/>
          <w:szCs w:val="15"/>
        </w:rPr>
        <w:t xml:space="preserve">   Randomised trial</w:t>
      </w:r>
      <w:r>
        <w:rPr>
          <w:color w:val="5A6069"/>
          <w:sz w:val="15"/>
          <w:szCs w:val="15"/>
        </w:rPr>
        <w:t xml:space="preserve">   PMID 33166497</w:t>
      </w:r>
    </w:p>
    <w:p>
      <w:pPr>
        <w:spacing w:after="50" w:line="276"/>
      </w:pPr>
      <w:r>
        <w:rPr>
          <w:color w:val="5A6069"/>
          <w:sz w:val="17"/>
          <w:szCs w:val="17"/>
        </w:rPr>
        <w:t xml:space="preserve">Personalised versus standard dosimetry approach of selective internal radiation therapy in patients with locally advanced hepatocellular carcinoma (DOSISPHERE-01): a randomised, multicentre, open-label phase 2 trial</w:t>
      </w:r>
    </w:p>
    <w:p>
      <w:pPr>
        <w:spacing w:after="50"/>
      </w:pPr>
      <w:r>
        <w:rPr>
          <w:b/>
          <w:bCs/>
          <w:color w:val="176A87"/>
          <w:sz w:val="16"/>
          <w:szCs w:val="16"/>
        </w:rPr>
        <w:t xml:space="preserve">Population. </w:t>
      </w:r>
      <w:r>
        <w:rPr>
          <w:sz w:val="16"/>
          <w:szCs w:val="16"/>
        </w:rPr>
        <w:t xml:space="preserve">60 patients with unresectable locally advanced HCC, an index lesion of 7 cm or more, at least 30 percent hepatic reserve after treatment and no extrahepatic spread, randomised 1:1 at four French centres between December 2015 and January 2018 after mapping scintigraphy to personalised dosimetry (31) or standard dosimetry (29); 56 were treated, 89 percent were BCLC C and 70 percent had portal vein invasion</w:t>
      </w:r>
    </w:p>
    <w:p>
      <w:pPr>
        <w:spacing w:after="70"/>
      </w:pPr>
      <w:r>
        <w:rPr>
          <w:b/>
          <w:bCs/>
          <w:color w:val="17365D"/>
          <w:sz w:val="16"/>
          <w:szCs w:val="16"/>
        </w:rPr>
        <w:t xml:space="preserve">Bottom line. </w:t>
      </w:r>
      <w:r>
        <w:rPr>
          <w:sz w:val="16"/>
          <w:szCs w:val="16"/>
        </w:rPr>
        <w:t xml:space="preserve">DOSISPHERE-01 is the trial that showed dose matters: targeting at least 205 Gy to the index lesion gave an objective response of 71 against 36 percent and median survival of 26.6 against 10.7 months compared with standard 120 Gy lobar dosimetry. It is a 60-patient phase 2 trial stopped early for efficacy with an unmasked single-lesion response endpoint, no significant difference in progression-free survival, and ten patients in the personalised arm going on to resection against one in the control arm.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Small sample resulting from early stopping for efficacy at the planned interim analysis</w:t>
            </w:r>
          </w:p>
          <w:p>
            <w:pPr>
              <w:pStyle w:val="ListParagraph"/>
              <w:numPr>
                <w:ilvl w:val="0"/>
                <w:numId w:val="2"/>
              </w:numPr>
              <w:spacing w:after="45"/>
            </w:pPr>
            <w:r>
              <w:rPr>
                <w:sz w:val="15"/>
                <w:szCs w:val="15"/>
              </w:rPr>
              <w:t xml:space="preserve">Macroaggregated albumin scintigraphy was used as a surrogate for microsphere distribution</w:t>
            </w:r>
          </w:p>
          <w:p>
            <w:pPr>
              <w:pStyle w:val="ListParagraph"/>
              <w:numPr>
                <w:ilvl w:val="0"/>
                <w:numId w:val="2"/>
              </w:numPr>
              <w:spacing w:after="45"/>
            </w:pPr>
            <w:r>
              <w:rPr>
                <w:sz w:val="15"/>
                <w:szCs w:val="15"/>
              </w:rPr>
              <w:t xml:space="preserve">Generalisability to lesions smaller than 7 cm and to resin microspheres at 100 to 120 Gy is untested, which the authors state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stopped at the planned interim analysis for efficacy and the survival difference is a secondary endpoint resting on 14 deaths in the personalised arm, so a 16-month median gain from 60 randomised patients is almost certainly an overestimate of the true effect</w:t>
            </w:r>
          </w:p>
          <w:p>
            <w:pPr>
              <w:pStyle w:val="ListParagraph"/>
              <w:numPr>
                <w:ilvl w:val="0"/>
                <w:numId w:val="2"/>
              </w:numPr>
              <w:spacing w:after="45"/>
            </w:pPr>
            <w:r>
              <w:rPr>
                <w:sz w:val="15"/>
                <w:szCs w:val="15"/>
              </w:rPr>
              <w:t xml:space="preserve">The primary endpoint was unmasked, investigator-read EASL response of a single index lesion at 3 months, which says nothing about the rest of the liver, and progression-free survival, the harder endpoint, did not differ significantly between the arms</w:t>
            </w:r>
          </w:p>
          <w:p>
            <w:pPr>
              <w:pStyle w:val="ListParagraph"/>
              <w:numPr>
                <w:ilvl w:val="0"/>
                <w:numId w:val="2"/>
              </w:numPr>
              <w:spacing w:after="45"/>
            </w:pPr>
            <w:r>
              <w:rPr>
                <w:sz w:val="15"/>
                <w:szCs w:val="15"/>
              </w:rPr>
              <w:t xml:space="preserve">Ten of 28 patients in the personalised arm went on to curative resection against one in the standard arm, so part of the survival difference is surgery rather than radiation, and although the difference persisted after post hoc censoring at the date of surgery, that censoring was not prespecified</w:t>
            </w:r>
          </w:p>
          <w:p>
            <w:pPr>
              <w:pStyle w:val="ListParagraph"/>
              <w:numPr>
                <w:ilvl w:val="0"/>
                <w:numId w:val="2"/>
              </w:numPr>
              <w:spacing w:after="45"/>
            </w:pPr>
            <w:r>
              <w:rPr>
                <w:sz w:val="15"/>
                <w:szCs w:val="15"/>
              </w:rPr>
              <w:t xml:space="preserve">Eligibility selected heavily for a result: an index lesion of 7 cm or more, at least 30 percent hepatic reserve preserved, satisfactory mapping and randomisation only after the scintigraphy, so patients whose anatomy would not permit personalised dosing never entered</w:t>
            </w:r>
          </w:p>
          <w:p>
            <w:pPr>
              <w:pStyle w:val="ListParagraph"/>
              <w:numPr>
                <w:ilvl w:val="0"/>
                <w:numId w:val="2"/>
              </w:numPr>
              <w:spacing w:after="45"/>
            </w:pPr>
            <w:r>
              <w:rPr>
                <w:sz w:val="15"/>
                <w:szCs w:val="15"/>
              </w:rPr>
              <w:t xml:space="preserve">Safety was analysed by the treatment actually received on central dosimetry rather than as randomised, so 8 patients randomised to standard dosimetry were reclassified, and some of the percentages in the safety table are internally inconsistent</w:t>
            </w:r>
          </w:p>
          <w:p>
            <w:pPr>
              <w:pStyle w:val="ListParagraph"/>
              <w:numPr>
                <w:ilvl w:val="0"/>
                <w:numId w:val="2"/>
              </w:numPr>
              <w:spacing w:after="45"/>
            </w:pPr>
            <w:r>
              <w:rPr>
                <w:sz w:val="15"/>
                <w:szCs w:val="15"/>
              </w:rPr>
              <w:t xml:space="preserve">The dose threshold of 205 Gy to the index lesion is applied as the intervention in the same trial that advances it, so the number is not independently derived</w:t>
            </w:r>
          </w:p>
          <w:p>
            <w:pPr>
              <w:pStyle w:val="ListParagraph"/>
              <w:numPr>
                <w:ilvl w:val="0"/>
                <w:numId w:val="2"/>
              </w:numPr>
              <w:spacing w:after="45"/>
            </w:pPr>
            <w:r>
              <w:rPr>
                <w:sz w:val="15"/>
                <w:szCs w:val="15"/>
              </w:rPr>
              <w:t xml:space="preserve">The control arm used 120 plus or minus 20 Gy to the perfused lobe, which the trial then shows to be inadequate, so the comparison is between a dose chosen to work and a dose the investigators already believed was too low</w:t>
            </w:r>
          </w:p>
          <w:p>
            <w:pPr>
              <w:pStyle w:val="ListParagraph"/>
              <w:numPr>
                <w:ilvl w:val="0"/>
                <w:numId w:val="2"/>
              </w:numPr>
              <w:spacing w:after="45"/>
            </w:pPr>
            <w:r>
              <w:rPr>
                <w:sz w:val="15"/>
                <w:szCs w:val="15"/>
              </w:rPr>
              <w:t xml:space="preserve">The device manufacturer funded the trial, validated the study design and paid for the editorial assistance, and the result supports its product's dosing approach</w:t>
            </w:r>
          </w:p>
        </w:tc>
      </w:tr>
    </w:tbl>
    <w:p>
      <w:pPr>
        <w:spacing w:after="0" w:line="276"/>
      </w:pPr>
      <w:r>
        <w:rPr>
          <w:color w:val="5A6069"/>
          <w:sz w:val="14"/>
          <w:szCs w:val="14"/>
        </w:rPr>
        <w:t xml:space="preserve">Funding: Funded by Biocompatibles UK, a Boston Scientific company and the maker of the TheraSphere glass microspheres used, which validated the study design and funded editorial assistance; the first author and most senior authors report grants or personal fees from the sponsor</w:t>
      </w:r>
    </w:p>
    <w:p>
      <w:pPr>
        <w:keepNext/>
        <w:spacing w:after="50" w:before="260"/>
      </w:pPr>
      <w:r>
        <w:rPr>
          <w:rFonts w:ascii="Cambria" w:cs="Cambria" w:eastAsia="Cambria" w:hAnsi="Cambria"/>
          <w:b/>
          <w:bCs/>
          <w:color w:val="17365D"/>
          <w:sz w:val="20"/>
          <w:szCs w:val="20"/>
        </w:rPr>
        <w:t xml:space="preserve">EASL 2025</w:t>
      </w:r>
      <w:r>
        <w:rPr>
          <w:b/>
          <w:bCs/>
          <w:color w:val="176A87"/>
          <w:sz w:val="15"/>
          <w:szCs w:val="15"/>
        </w:rPr>
        <w:t xml:space="preserve">   Guideline</w:t>
      </w:r>
      <w:r>
        <w:rPr>
          <w:color w:val="5A6069"/>
          <w:sz w:val="15"/>
          <w:szCs w:val="15"/>
        </w:rPr>
        <w:t xml:space="preserve">   PMID 39690085</w:t>
      </w:r>
    </w:p>
    <w:p>
      <w:pPr>
        <w:spacing w:after="50" w:line="276"/>
      </w:pPr>
      <w:r>
        <w:rPr>
          <w:color w:val="5A6069"/>
          <w:sz w:val="17"/>
          <w:szCs w:val="17"/>
        </w:rPr>
        <w:t xml:space="preserve">EASL Clinical Practice Guidelines on the management of hepatocellular carcinoma</w:t>
      </w:r>
    </w:p>
    <w:p>
      <w:pPr>
        <w:spacing w:after="70"/>
      </w:pPr>
      <w:r>
        <w:rPr>
          <w:b/>
          <w:bCs/>
          <w:color w:val="17365D"/>
          <w:sz w:val="16"/>
          <w:szCs w:val="16"/>
        </w:rPr>
        <w:t xml:space="preserve">Bottom line. </w:t>
      </w:r>
      <w:r>
        <w:rPr>
          <w:sz w:val="16"/>
          <w:szCs w:val="16"/>
        </w:rPr>
        <w:t xml:space="preserve">Establishes the current European position on surveillance, diagnosis, resection, ablation, transplantation and locoregional therapy for HCC as graded recommendations with Delphi agreement printed beside each, including the AFP ceiling of 1,000 ng/ml for listing, equivalence of radiofrequency and microwave ablation, and the prohibition on resection as a downstaging procedure. It does not provide a complete or externally checkable evidence base: every recommendation passed the Delphi, scope is restricted to a limited set of PICO questions with the 2018 guideline left standing elsewhere, some recommendations rest on conference abstracts, most surgical and transplant items are LoE 3 to 4 expert consensus, and no disclosures are printed. Treat it as the panel's position and read the trials behind any recommendation you intend to act 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panel concedes only that the number of PICO questions was restricted, so the 2018 recommendations should still be followed in the scenarios this update does not cover and frequent further updates will be needed; that resection cannot be recommended over locoregional therapy or the reverse for cirrhotic patients with multiple resectable tumours owing to insufficient evidence; that HCC surveillance cannot be recommended in advanced fibrosis without cirrhosis owing to insufficient evidence; that HAP and similar scores cannot be recommended for treatment selection because selection bias precludes meaningful interpretation and the necessary randomised trial has not been done; that patients with Child-Pugh B disease are an unmet need the current data do not support treating with any approved therapy; and that patients with post-transplant recurrence have been systematically excluded from every systemic therapy trial.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Every recommendation reached consensus. The methods state that under EASL methodology there was no need to rewrite any recommendation because all found consensus, '100% did'. A Delphi in which nothing fails does not separate settled positions from contested ones, and the printed percentages bear this out: the lowest, 75% for bland transarterial embolisation as an alternative to conventional and drug-eluting bead TACE, is the floor of the band the document calls consensus.</w:t>
            </w:r>
          </w:p>
          <w:p>
            <w:pPr>
              <w:pStyle w:val="ListParagraph"/>
              <w:numPr>
                <w:ilvl w:val="0"/>
                <w:numId w:val="2"/>
              </w:numPr>
              <w:spacing w:after="45"/>
            </w:pPr>
            <w:r>
              <w:rPr>
                <w:sz w:val="15"/>
                <w:szCs w:val="15"/>
              </w:rPr>
              <w:t xml:space="preserve">The panel states that where trial data had not been fully reported, abstracts presented at international meetings were used as bibliographic references. Abstracts carry no protocol, no analysis plan and no peer review, yet they feed the same Oxford level-of-evidence scheme as full reports, and no recommendation is marked as resting on one.</w:t>
            </w:r>
          </w:p>
          <w:p>
            <w:pPr>
              <w:pStyle w:val="ListParagraph"/>
              <w:numPr>
                <w:ilvl w:val="0"/>
                <w:numId w:val="2"/>
              </w:numPr>
              <w:spacing w:after="45"/>
            </w:pPr>
            <w:r>
              <w:rPr>
                <w:sz w:val="15"/>
                <w:szCs w:val="15"/>
              </w:rPr>
              <w:t xml:space="preserve">No disclosures are printed. The conflict-of-interest section is a single pointer to ICMJE forms held elsewhere, so a reader weighing the panel's positions on SIRT, on checkpoint inhibitors or on drug-eluting beads cannot see who is paid by the manufacturers. Both the 2022 BCLC update and the 2023 AASLD guidance print theirs in full.</w:t>
            </w:r>
          </w:p>
          <w:p>
            <w:pPr>
              <w:pStyle w:val="ListParagraph"/>
              <w:numPr>
                <w:ilvl w:val="0"/>
                <w:numId w:val="2"/>
              </w:numPr>
              <w:spacing w:after="45"/>
            </w:pPr>
            <w:r>
              <w:rPr>
                <w:sz w:val="15"/>
                <w:szCs w:val="15"/>
              </w:rPr>
              <w:t xml:space="preserve">The AFP rule for transplantation conflicts with US practice and the guideline does not say so. EASL makes an AFP above 1,000 ng/ml an absolute contraindication whatever the tumour burden and requires 1,000 or less for three months before listing, whereas AASLD 2023 guidance and UNOS policy allow listing once an AFP of 1,000 or more falls below 500 ng/ml. The same biochemistry lists a patient in one jurisdiction and bars them in the other.</w:t>
            </w:r>
          </w:p>
          <w:p>
            <w:pPr>
              <w:pStyle w:val="ListParagraph"/>
              <w:numPr>
                <w:ilvl w:val="0"/>
                <w:numId w:val="2"/>
              </w:numPr>
              <w:spacing w:after="45"/>
            </w:pPr>
            <w:r>
              <w:rPr>
                <w:sz w:val="15"/>
                <w:szCs w:val="15"/>
              </w:rPr>
              <w:t xml:space="preserve">The prohibition on resection as a downstaging procedure is graded LoE 4 and drew 83% consensus, the lowest among the surgical items, yet is written as a prohibition. It rules out the resection-first with salvage-transplantation pathway used in several high-volume centres on the strength of expert opinion, without setting out the cohort data those centres have published.</w:t>
            </w:r>
          </w:p>
          <w:p>
            <w:pPr>
              <w:pStyle w:val="ListParagraph"/>
              <w:numPr>
                <w:ilvl w:val="0"/>
                <w:numId w:val="2"/>
              </w:numPr>
              <w:spacing w:after="45"/>
            </w:pPr>
            <w:r>
              <w:rPr>
                <w:sz w:val="15"/>
                <w:szCs w:val="15"/>
              </w:rPr>
              <w:t xml:space="preserve">SIRT is ruled out as an alternative to systemic therapy for portal vein invasion at LoE 3, strong, 86% consensus. The document's own narrative grounds this on SARAH and SIRveNIB, trials of intermediate and advanced disease in which dosimetry was not personalised, and does not engage DOSISPHERE-01, which randomised personalised dosimetry and reported better response and survival. The recommendation is stronger than the evidence the guideline itself lays out.</w:t>
            </w:r>
          </w:p>
          <w:p>
            <w:pPr>
              <w:pStyle w:val="ListParagraph"/>
              <w:numPr>
                <w:ilvl w:val="0"/>
                <w:numId w:val="2"/>
              </w:numPr>
              <w:spacing w:after="45"/>
            </w:pPr>
            <w:r>
              <w:rPr>
                <w:sz w:val="15"/>
                <w:szCs w:val="15"/>
              </w:rPr>
              <w:t xml:space="preserve">The ablation recommendation that no thermal technique is preferred over another, LoE 2 with strong consensus, is the correct reading of a failed superiority trial, and it appears in the same year that the BCLC group concluded microwave gives more reliable local control than radiofrequency up to 3 to 4 cm and should be preferred. Two European groups read the same two trials to opposite operational conclusions within twelve months and neither notes the disagreement.</w:t>
            </w:r>
          </w:p>
          <w:p>
            <w:pPr>
              <w:pStyle w:val="ListParagraph"/>
              <w:numPr>
                <w:ilvl w:val="0"/>
                <w:numId w:val="2"/>
              </w:numPr>
              <w:spacing w:after="45"/>
            </w:pPr>
            <w:r>
              <w:rPr>
                <w:sz w:val="15"/>
                <w:szCs w:val="15"/>
              </w:rPr>
              <w:t xml:space="preserve">Levels of evidence are assigned per recommendation without a table showing the number and design of studies behind each, so the reader must follow the narrative and its reference numbers. For the recommendations that decide a surgical case, resection for single HCC above 2 cm at LoE 2 and the minimally invasive approach where feasible, that narrative rests on observational series and propensity analyses whose selection bias the document acknowledges elsewhere but not there.</w:t>
            </w:r>
          </w:p>
          <w:p>
            <w:pPr>
              <w:pStyle w:val="ListParagraph"/>
              <w:numPr>
                <w:ilvl w:val="0"/>
                <w:numId w:val="2"/>
              </w:numPr>
              <w:spacing w:after="45"/>
            </w:pPr>
            <w:r>
              <w:rPr>
                <w:sz w:val="15"/>
                <w:szCs w:val="15"/>
              </w:rPr>
              <w:t xml:space="preserve">The guideline is explicitly partial and says so once, in a paragraph next to the corresponding-author footnote. There is no list of what is and is not covered, so a reader cannot tell which parts of a sixty-page document are current and which have been left to the 2018 guideline by silence.</w:t>
            </w:r>
          </w:p>
          <w:p>
            <w:pPr>
              <w:pStyle w:val="ListParagraph"/>
              <w:numPr>
                <w:ilvl w:val="0"/>
                <w:numId w:val="2"/>
              </w:numPr>
              <w:spacing w:after="45"/>
            </w:pPr>
            <w:r>
              <w:rPr>
                <w:sz w:val="15"/>
                <w:szCs w:val="15"/>
              </w:rPr>
              <w:t xml:space="preserve">In the extracted text the inequality signs are repeatedly mangled, so the thresholds that decide eligibility read as 'solitary HCC &lt;-2 cm', '&lt;-3 tumours' and '&lt;-6.5 cm'. Every size and AFP cut-off in this copy must be checked against the published typesetting before it is used.</w:t>
            </w:r>
          </w:p>
        </w:tc>
      </w:tr>
    </w:tbl>
    <w:p>
      <w:pPr>
        <w:spacing w:after="0" w:line="276"/>
      </w:pPr>
      <w:r>
        <w:rPr>
          <w:color w:val="5A6069"/>
          <w:sz w:val="14"/>
          <w:szCs w:val="14"/>
        </w:rPr>
        <w:t xml:space="preserve">Funding: No financial support statement appears in the document. Conflicts of interest are handled by one sentence referring the reader to accompanying ICMJE disclosure forms, so no panel member's industry relationships are printed in the guideline itself; the panel was selected by the EASL Governing Board under EASL's standard operating procedure, and the Delphi panel of 30 included two patient representatives</w:t>
      </w:r>
    </w:p>
    <w:p>
      <w:pPr>
        <w:keepNext/>
        <w:spacing w:after="50" w:before="260"/>
      </w:pPr>
      <w:r>
        <w:rPr>
          <w:rFonts w:ascii="Cambria" w:cs="Cambria" w:eastAsia="Cambria" w:hAnsi="Cambria"/>
          <w:b/>
          <w:bCs/>
          <w:color w:val="17365D"/>
          <w:sz w:val="20"/>
          <w:szCs w:val="20"/>
        </w:rPr>
        <w:t xml:space="preserve">EBRT cohort</w:t>
      </w:r>
      <w:r>
        <w:rPr>
          <w:b/>
          <w:bCs/>
          <w:color w:val="176A87"/>
          <w:sz w:val="15"/>
          <w:szCs w:val="15"/>
        </w:rPr>
        <w:t xml:space="preserve">   Meta-analysis</w:t>
      </w:r>
      <w:r>
        <w:rPr>
          <w:color w:val="5A6069"/>
          <w:sz w:val="15"/>
          <w:szCs w:val="15"/>
        </w:rPr>
        <w:t xml:space="preserve">   PMID 42139645</w:t>
      </w:r>
    </w:p>
    <w:p>
      <w:pPr>
        <w:spacing w:after="50" w:line="276"/>
      </w:pPr>
      <w:r>
        <w:rPr>
          <w:color w:val="5A6069"/>
          <w:sz w:val="17"/>
          <w:szCs w:val="17"/>
        </w:rPr>
        <w:t xml:space="preserve">Overall Survival Among Patients With Hepatocellular Carcinoma Treated With External Beam Radiation Therapy: Individual Patient Data Outcomes From a Multinational Cohort</w:t>
      </w:r>
    </w:p>
    <w:p>
      <w:pPr>
        <w:spacing w:after="50"/>
      </w:pPr>
      <w:r>
        <w:rPr>
          <w:b/>
          <w:bCs/>
          <w:color w:val="176A87"/>
          <w:sz w:val="16"/>
          <w:szCs w:val="16"/>
        </w:rPr>
        <w:t xml:space="preserve">Population. </w:t>
      </w:r>
      <w:r>
        <w:rPr>
          <w:sz w:val="16"/>
          <w:szCs w:val="16"/>
        </w:rPr>
        <w:t xml:space="preserve">4,913 patients treated with ablative liver external beam radiotherapy at 30 of 96 invited centres in 11 countries, pooled as individual patient data after a systematic review to 15 December 2022; 60 percent had received prior locoregional therapy and there was no comparator arm</w:t>
      </w:r>
    </w:p>
    <w:p>
      <w:pPr>
        <w:spacing w:after="70"/>
      </w:pPr>
      <w:r>
        <w:rPr>
          <w:b/>
          <w:bCs/>
          <w:color w:val="17365D"/>
          <w:sz w:val="16"/>
          <w:szCs w:val="16"/>
        </w:rPr>
        <w:t xml:space="preserve">Bottom line. </w:t>
      </w:r>
      <w:r>
        <w:rPr>
          <w:sz w:val="16"/>
          <w:szCs w:val="16"/>
        </w:rPr>
        <w:t xml:space="preserve">The largest individual-patient dataset on ablative liver radiotherapy, reporting median overall survival by adjudicated BCLC stage and concluding that outcomes are comparable with resection and ablation. There is no comparator of any kind, only 31 percent of eligible centres contributed and they were identified by having published favourable results, 60 percent of patients had prior locoregional therapy, and the proportional hazards assumption was violated in all four Cox models.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with non-random treatment assignment, which the authors state</w:t>
            </w:r>
          </w:p>
          <w:p>
            <w:pPr>
              <w:pStyle w:val="ListParagraph"/>
              <w:numPr>
                <w:ilvl w:val="0"/>
                <w:numId w:val="2"/>
              </w:numPr>
              <w:spacing w:after="45"/>
            </w:pPr>
            <w:r>
              <w:rPr>
                <w:sz w:val="15"/>
                <w:szCs w:val="15"/>
              </w:rPr>
              <w:t xml:space="preserve">Institutional heterogeneity in protocols and supportive care</w:t>
            </w:r>
          </w:p>
          <w:p>
            <w:pPr>
              <w:pStyle w:val="ListParagraph"/>
              <w:numPr>
                <w:ilvl w:val="0"/>
                <w:numId w:val="2"/>
              </w:numPr>
              <w:spacing w:after="45"/>
            </w:pPr>
            <w:r>
              <w:rPr>
                <w:sz w:val="15"/>
                <w:szCs w:val="15"/>
              </w:rPr>
              <w:t xml:space="preserve">BCLC misclassification between investigator-reported and adjudicated stage, since staging was re-adjudicated from component variables because reported staging was discordant and often missing</w:t>
            </w:r>
          </w:p>
          <w:p>
            <w:pPr>
              <w:pStyle w:val="ListParagraph"/>
              <w:numPr>
                <w:ilvl w:val="0"/>
                <w:numId w:val="2"/>
              </w:numPr>
              <w:spacing w:after="45"/>
            </w:pPr>
            <w:r>
              <w:rPr>
                <w:sz w:val="15"/>
                <w:szCs w:val="15"/>
              </w:rPr>
              <w:t xml:space="preserve">Formal violation of the proportional hazards assumption for several covariates in all four models, so the authors say their hazard ratios should be interpreted with caution and report 3-year restricted mean survival time instead</w:t>
            </w:r>
          </w:p>
          <w:p>
            <w:pPr>
              <w:pStyle w:val="ListParagraph"/>
              <w:numPr>
                <w:ilvl w:val="0"/>
                <w:numId w:val="2"/>
              </w:numPr>
              <w:spacing w:after="45"/>
            </w:pPr>
            <w:r>
              <w:rPr>
                <w:sz w:val="15"/>
                <w:szCs w:val="15"/>
              </w:rPr>
              <w:t xml:space="preserve">Confounding of the proton versus photon comparison by geography, access and insurance, which the authors acknowledge</w:t>
            </w:r>
          </w:p>
          <w:p>
            <w:pPr>
              <w:pStyle w:val="ListParagraph"/>
              <w:numPr>
                <w:ilvl w:val="0"/>
                <w:numId w:val="2"/>
              </w:numPr>
              <w:spacing w:after="45"/>
            </w:pPr>
            <w:r>
              <w:rPr>
                <w:sz w:val="15"/>
                <w:szCs w:val="15"/>
              </w:rPr>
              <w:t xml:space="preserve">The authors concede that advanced-stage patients included were those most suitable for radiotherapy, with liver-dominant disease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conclusion that radiotherapy survival is comparable with resection, thermal ablation and other ablative locoregional therapies rests on a comparison with guideline expectations rather than on any measured difference, because the dataset contains no resection, ablation or chemoembolisation arm</w:t>
            </w:r>
          </w:p>
          <w:p>
            <w:pPr>
              <w:pStyle w:val="ListParagraph"/>
              <w:numPr>
                <w:ilvl w:val="0"/>
                <w:numId w:val="2"/>
              </w:numPr>
              <w:spacing w:after="45"/>
            </w:pPr>
            <w:r>
              <w:rPr>
                <w:sz w:val="15"/>
                <w:szCs w:val="15"/>
              </w:rPr>
              <w:t xml:space="preserve">Only 30 of 96 eligible centres (31 percent) contributed, and the centres were identified because they had already published favourable technical standards and outcomes, so centre-level selection and publication selection both push the survival estimates upward</w:t>
            </w:r>
          </w:p>
          <w:p>
            <w:pPr>
              <w:pStyle w:val="ListParagraph"/>
              <w:numPr>
                <w:ilvl w:val="0"/>
                <w:numId w:val="2"/>
              </w:numPr>
              <w:spacing w:after="45"/>
            </w:pPr>
            <w:r>
              <w:rPr>
                <w:sz w:val="15"/>
                <w:szCs w:val="15"/>
              </w:rPr>
              <w:t xml:space="preserve">The internal pattern of the results shows how severe the selection is: treatment-naive BCLC B patients survived 6.3 years, longer than the whole BCLC B group and longer than treatment-naive BCLC A patients, which is not a possible ordering for a stage-based prognostic system and indicates that the stage labels no longer carry their usual meaning in this cohort</w:t>
            </w:r>
          </w:p>
          <w:p>
            <w:pPr>
              <w:pStyle w:val="ListParagraph"/>
              <w:numPr>
                <w:ilvl w:val="0"/>
                <w:numId w:val="2"/>
              </w:numPr>
              <w:spacing w:after="45"/>
            </w:pPr>
            <w:r>
              <w:rPr>
                <w:sz w:val="15"/>
                <w:szCs w:val="15"/>
              </w:rPr>
              <w:t xml:space="preserve">Re-adjudicating every patient with an ECOG score above 0 into BCLC C may have moved merely comorbid or cirrhotic patients out of the early-stage groups and so inflated early-stage survival, which the authors note but do not quantify</w:t>
            </w:r>
          </w:p>
          <w:p>
            <w:pPr>
              <w:pStyle w:val="ListParagraph"/>
              <w:numPr>
                <w:ilvl w:val="0"/>
                <w:numId w:val="2"/>
              </w:numPr>
              <w:spacing w:after="45"/>
            </w:pPr>
            <w:r>
              <w:rPr>
                <w:sz w:val="15"/>
                <w:szCs w:val="15"/>
              </w:rPr>
              <w:t xml:space="preserve">The apparent proton advantage was not a prespecified hypothesis, so the covariates that would be needed to interpret it, tumour volume, dose, fractionation and dosimetric goals, were never collected</w:t>
            </w:r>
          </w:p>
          <w:p>
            <w:pPr>
              <w:pStyle w:val="ListParagraph"/>
              <w:numPr>
                <w:ilvl w:val="0"/>
                <w:numId w:val="2"/>
              </w:numPr>
              <w:spacing w:after="45"/>
            </w:pPr>
            <w:r>
              <w:rPr>
                <w:sz w:val="15"/>
                <w:szCs w:val="15"/>
              </w:rPr>
              <w:t xml:space="preserve">Treatment spans 2000 to 2024, pooling planning, immobilisation, image guidance and motion management technologies that differ by a generation, with year of treatment entered only as a covariate</w:t>
            </w:r>
          </w:p>
          <w:p>
            <w:pPr>
              <w:pStyle w:val="ListParagraph"/>
              <w:numPr>
                <w:ilvl w:val="0"/>
                <w:numId w:val="2"/>
              </w:numPr>
              <w:spacing w:after="45"/>
            </w:pPr>
            <w:r>
              <w:rPr>
                <w:sz w:val="15"/>
                <w:szCs w:val="15"/>
              </w:rPr>
              <w:t xml:space="preserve">Sixty percent of patients had prior locoregional therapy, so for most of the cohort radiotherapy was salvage after another treatment rather than the first-line option the paper's framing invites</w:t>
            </w:r>
          </w:p>
          <w:p>
            <w:pPr>
              <w:pStyle w:val="ListParagraph"/>
              <w:numPr>
                <w:ilvl w:val="0"/>
                <w:numId w:val="2"/>
              </w:numPr>
              <w:spacing w:after="45"/>
            </w:pPr>
            <w:r>
              <w:rPr>
                <w:sz w:val="15"/>
                <w:szCs w:val="15"/>
              </w:rPr>
              <w:t xml:space="preserve">Table 4 in the published text contains corrupted confidence intervals (a hazard ratio of 0.82 with an interval of 0.72 to 0.03 and one of 1.60 with an interval of 1.41 to 1.28), and Table 2's modality proportions disagree with the narrative, so the paper's own numbers cannot all be read as printed</w:t>
            </w:r>
          </w:p>
          <w:p>
            <w:pPr>
              <w:pStyle w:val="ListParagraph"/>
              <w:numPr>
                <w:ilvl w:val="0"/>
                <w:numId w:val="2"/>
              </w:numPr>
              <w:spacing w:after="45"/>
            </w:pPr>
            <w:r>
              <w:rPr>
                <w:sz w:val="15"/>
                <w:szCs w:val="15"/>
              </w:rPr>
              <w:t xml:space="preserve">The journal's own relevance note frames radiotherapy as a treatment to be considered and further investigated in trials rather than as established first-line therapy, which is a materially weaker claim than the paper's conclusion</w:t>
            </w:r>
          </w:p>
        </w:tc>
      </w:tr>
    </w:tbl>
    <w:p>
      <w:pPr>
        <w:spacing w:after="0" w:line="276"/>
      </w:pPr>
      <w:r>
        <w:rPr>
          <w:color w:val="5A6069"/>
          <w:sz w:val="14"/>
          <w:szCs w:val="14"/>
        </w:rPr>
        <w:t xml:space="preserve">Funding: Coordinated by the University of North Carolina for the EBRT Collaboration Group and registered as PROSPERO CRD42023467399; no industry funding is identified</w:t>
      </w:r>
    </w:p>
    <w:p>
      <w:pPr>
        <w:keepNext/>
        <w:spacing w:after="50" w:before="260"/>
      </w:pPr>
      <w:r>
        <w:rPr>
          <w:rFonts w:ascii="Cambria" w:cs="Cambria" w:eastAsia="Cambria" w:hAnsi="Cambria"/>
          <w:b/>
          <w:bCs/>
          <w:color w:val="17365D"/>
          <w:sz w:val="20"/>
          <w:szCs w:val="20"/>
        </w:rPr>
        <w:t xml:space="preserve">EMERALD-1</w:t>
      </w:r>
      <w:r>
        <w:rPr>
          <w:b/>
          <w:bCs/>
          <w:color w:val="176A87"/>
          <w:sz w:val="15"/>
          <w:szCs w:val="15"/>
        </w:rPr>
        <w:t xml:space="preserve">   Randomised trial</w:t>
      </w:r>
      <w:r>
        <w:rPr>
          <w:color w:val="5A6069"/>
          <w:sz w:val="15"/>
          <w:szCs w:val="15"/>
        </w:rPr>
        <w:t xml:space="preserve">   PMID 39798579</w:t>
      </w:r>
    </w:p>
    <w:p>
      <w:pPr>
        <w:spacing w:after="50" w:line="276"/>
      </w:pPr>
      <w:r>
        <w:rPr>
          <w:color w:val="5A6069"/>
          <w:sz w:val="17"/>
          <w:szCs w:val="17"/>
        </w:rPr>
        <w:t xml:space="preserve">Durvalumab with or without bevacizumab with transarterial chemoembolisation in hepatocellular carcinoma (EMERALD-1): a multiregional, randomised, double-blind, placebo-controlled, phase 3 study</w:t>
      </w:r>
    </w:p>
    <w:p>
      <w:pPr>
        <w:spacing w:after="50"/>
      </w:pPr>
      <w:r>
        <w:rPr>
          <w:b/>
          <w:bCs/>
          <w:color w:val="176A87"/>
          <w:sz w:val="16"/>
          <w:szCs w:val="16"/>
        </w:rPr>
        <w:t xml:space="preserve">Population. </w:t>
      </w:r>
      <w:r>
        <w:rPr>
          <w:sz w:val="16"/>
          <w:szCs w:val="16"/>
        </w:rPr>
        <w:t xml:space="preserve">616 of 887 screened patients with unresectable HCC amenable to embolisation, BCLC A to C, randomised 1:1:1 at 157 sites in 18 countries between November 2018 and July 2021 to durvalumab plus bevacizumab plus TACE (204), durvalumab plus placebo plus TACE (207) or placebo plus TACE (205); about half were beyond up-to-7 criteria and 8 percent had portal vein macrovascular invasion</w:t>
      </w:r>
    </w:p>
    <w:p>
      <w:pPr>
        <w:spacing w:after="70"/>
      </w:pPr>
      <w:r>
        <w:rPr>
          <w:b/>
          <w:bCs/>
          <w:color w:val="17365D"/>
          <w:sz w:val="16"/>
          <w:szCs w:val="16"/>
        </w:rPr>
        <w:t xml:space="preserve">Bottom line. </w:t>
      </w:r>
      <w:r>
        <w:rPr>
          <w:sz w:val="16"/>
          <w:szCs w:val="16"/>
        </w:rPr>
        <w:t xml:space="preserve">EMERALD-1 is the first positive phase 3 trial of systemic therapy added to chemoembolisation, with median progression-free survival improved by 6.8 months (HR 0.77). The primary comparison was switched by amendment during the trial to the bevacizumab-containing arm; durvalumab plus TACE alone gave a hazard ratio of 0.94, so the benefit appears to come from bevacizumab; the interim overall survival analysis did not reach significance and is withheld, and the patient-reported outcomes have not been tested.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Eligibility and TACE practice differ by region and randomisation was not stratified by site or country, which the authors state</w:t>
            </w:r>
          </w:p>
          <w:p>
            <w:pPr>
              <w:pStyle w:val="ListParagraph"/>
              <w:numPr>
                <w:ilvl w:val="0"/>
                <w:numId w:val="2"/>
              </w:numPr>
              <w:spacing w:after="45"/>
            </w:pPr>
            <w:r>
              <w:rPr>
                <w:sz w:val="15"/>
                <w:szCs w:val="15"/>
              </w:rPr>
              <w:t xml:space="preserve">Participants were not recruited from some high-incidence regions including Africa</w:t>
            </w:r>
          </w:p>
          <w:p>
            <w:pPr>
              <w:pStyle w:val="ListParagraph"/>
              <w:numPr>
                <w:ilvl w:val="0"/>
                <w:numId w:val="2"/>
              </w:numPr>
              <w:spacing w:after="45"/>
            </w:pPr>
            <w:r>
              <w:rPr>
                <w:sz w:val="15"/>
                <w:szCs w:val="15"/>
              </w:rPr>
              <w:t xml:space="preserve">Progression-free survival is a compound endpoint that might be confounded by competing deaths from cirrhosis in this population</w:t>
            </w:r>
          </w:p>
          <w:p>
            <w:pPr>
              <w:pStyle w:val="ListParagraph"/>
              <w:numPr>
                <w:ilvl w:val="0"/>
                <w:numId w:val="2"/>
              </w:numPr>
              <w:spacing w:after="45"/>
            </w:pPr>
            <w:r>
              <w:rPr>
                <w:sz w:val="15"/>
                <w:szCs w:val="15"/>
              </w:rPr>
              <w:t xml:space="preserve">Accessibility to the study and its regional variation might have been affected by socioeconomic or cultural factors</w:t>
            </w:r>
          </w:p>
          <w:p>
            <w:pPr>
              <w:pStyle w:val="ListParagraph"/>
              <w:numPr>
                <w:ilvl w:val="0"/>
                <w:numId w:val="2"/>
              </w:numPr>
              <w:spacing w:after="45"/>
            </w:pPr>
            <w:r>
              <w:rPr>
                <w:sz w:val="15"/>
                <w:szCs w:val="15"/>
              </w:rPr>
              <w:t xml:space="preserve">A full analysis of liver function is deferred until mature overall survival and subsequent-therapy data are available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comparison was changed by protocol amendment in August 2020, after the Independent Data Monitoring Committee had reviewed safety data and in response to the positive IMbrave150 result, from durvalumab plus placebo to durvalumab plus bevacizumab, so the hypothesis that the trial reports as primary was selected during the trial in the light of external evidence about which arm would win</w:t>
            </w:r>
          </w:p>
          <w:p>
            <w:pPr>
              <w:pStyle w:val="ListParagraph"/>
              <w:numPr>
                <w:ilvl w:val="0"/>
                <w:numId w:val="2"/>
              </w:numPr>
              <w:spacing w:after="45"/>
            </w:pPr>
            <w:r>
              <w:rPr>
                <w:sz w:val="15"/>
                <w:szCs w:val="15"/>
              </w:rPr>
              <w:t xml:space="preserve">The interim progression-free survival analysis did not reach significance and the result reported is the final analysis against a threshold of 0.044, so the trial became positive only at its second look</w:t>
            </w:r>
          </w:p>
          <w:p>
            <w:pPr>
              <w:pStyle w:val="ListParagraph"/>
              <w:numPr>
                <w:ilvl w:val="0"/>
                <w:numId w:val="2"/>
              </w:numPr>
              <w:spacing w:after="45"/>
            </w:pPr>
            <w:r>
              <w:rPr>
                <w:sz w:val="15"/>
                <w:szCs w:val="15"/>
              </w:rPr>
              <w:t xml:space="preserve">The interim overall survival analysis co-occurred with the reported final progression-free survival analysis, did not reach significance, and the data are withheld to maintain masking, so the only survival information in existence is negative and unpublished while the paper's Interpretation claims the potential to set a new standard of care</w:t>
            </w:r>
          </w:p>
          <w:p>
            <w:pPr>
              <w:pStyle w:val="ListParagraph"/>
              <w:numPr>
                <w:ilvl w:val="0"/>
                <w:numId w:val="2"/>
              </w:numPr>
              <w:spacing w:after="45"/>
            </w:pPr>
            <w:r>
              <w:rPr>
                <w:sz w:val="15"/>
                <w:szCs w:val="15"/>
              </w:rPr>
              <w:t xml:space="preserve">Durvalumab plus TACE was no better than TACE alone (HR 0.94), so the effect is attributable to bevacizumab, and without a bevacizumab-plus-TACE arm the contribution of the checkpoint inhibitor cannot be separated from that of the anti-VEGF antibody</w:t>
            </w:r>
          </w:p>
          <w:p>
            <w:pPr>
              <w:pStyle w:val="ListParagraph"/>
              <w:numPr>
                <w:ilvl w:val="0"/>
                <w:numId w:val="2"/>
              </w:numPr>
              <w:spacing w:after="45"/>
            </w:pPr>
            <w:r>
              <w:rPr>
                <w:sz w:val="15"/>
                <w:szCs w:val="15"/>
              </w:rPr>
              <w:t xml:space="preserve">The time-to-deterioration patient-reported endpoints using the EORTC QLQ-C30 and QLQ-HCC18 were key secondary endpoints and have not been formally tested under the multiple-testing procedure, so no quality-of-life result is available for a regimen that adds months of infusions to a locoregional treatment</w:t>
            </w:r>
          </w:p>
          <w:p>
            <w:pPr>
              <w:pStyle w:val="ListParagraph"/>
              <w:numPr>
                <w:ilvl w:val="0"/>
                <w:numId w:val="2"/>
              </w:numPr>
              <w:spacing w:after="45"/>
            </w:pPr>
            <w:r>
              <w:rPr>
                <w:sz w:val="15"/>
                <w:szCs w:val="15"/>
              </w:rPr>
              <w:t xml:space="preserve">Safety is reported by treatment received rather than as randomised, with denominators of 154, 232 and 200 against randomised arms of 204, 207 and 205, so the 39 patients assigned to the triplet who never received bevacizumab are counted in the doublet safety group; the resulting table shows no treatment-related deaths in the triplet against three in each of the other groups, which is an artefact of that accounting rather than a finding</w:t>
            </w:r>
          </w:p>
          <w:p>
            <w:pPr>
              <w:pStyle w:val="ListParagraph"/>
              <w:numPr>
                <w:ilvl w:val="0"/>
                <w:numId w:val="2"/>
              </w:numPr>
              <w:spacing w:after="45"/>
            </w:pPr>
            <w:r>
              <w:rPr>
                <w:sz w:val="15"/>
                <w:szCs w:val="15"/>
              </w:rPr>
              <w:t xml:space="preserve">Grade 3 to 4 oesophageal variceal haemorrhage occurred after bevacizumab dosing in 4 of 40 participants with baseline varices (10 percent) in the triplet and in none elsewhere, in a population whose portal hypertension is the reason they are having chemoembolisation</w:t>
            </w:r>
          </w:p>
          <w:p>
            <w:pPr>
              <w:pStyle w:val="ListParagraph"/>
              <w:numPr>
                <w:ilvl w:val="0"/>
                <w:numId w:val="2"/>
              </w:numPr>
              <w:spacing w:after="45"/>
            </w:pPr>
            <w:r>
              <w:rPr>
                <w:sz w:val="15"/>
                <w:szCs w:val="15"/>
              </w:rPr>
              <w:t xml:space="preserve">TACE modality, timing and number of procedures (one to four) were all left to the investigator, and bevacizumab was started only after the last TACE, so the trial tests a sequence rather than a defined regimen and its result cannot be mapped onto a specific protocol</w:t>
            </w:r>
          </w:p>
          <w:p>
            <w:pPr>
              <w:pStyle w:val="ListParagraph"/>
              <w:numPr>
                <w:ilvl w:val="0"/>
                <w:numId w:val="2"/>
              </w:numPr>
              <w:spacing w:after="45"/>
            </w:pPr>
            <w:r>
              <w:rPr>
                <w:sz w:val="15"/>
                <w:szCs w:val="15"/>
              </w:rPr>
              <w:t xml:space="preserve">The population spans BCLC A (about a quarter) to BCLC C (about a sixth) with half beyond up-to-7, chosen deliberately for breadth, so there is no stage for which the 15-month progression-free survival figure can be said to apply</w:t>
            </w:r>
          </w:p>
          <w:p>
            <w:pPr>
              <w:pStyle w:val="ListParagraph"/>
              <w:numPr>
                <w:ilvl w:val="0"/>
                <w:numId w:val="2"/>
              </w:numPr>
              <w:spacing w:after="45"/>
            </w:pPr>
            <w:r>
              <w:rPr>
                <w:sz w:val="15"/>
                <w:szCs w:val="15"/>
              </w:rPr>
              <w:t xml:space="preserve">PD-L1 status, one of the prespecified correlative endpoints, is missing in 23 to 25 percent of participants, and the association of PD-L1 and alpha-fetoprotein with progression-free survival is listed among the secondary endpoints without a result that would identify who benefits</w:t>
            </w:r>
          </w:p>
          <w:p>
            <w:pPr>
              <w:pStyle w:val="ListParagraph"/>
              <w:numPr>
                <w:ilvl w:val="0"/>
                <w:numId w:val="2"/>
              </w:numPr>
              <w:spacing w:after="45"/>
            </w:pPr>
            <w:r>
              <w:rPr>
                <w:sz w:val="15"/>
                <w:szCs w:val="15"/>
              </w:rPr>
              <w:t xml:space="preserve">A substantial list of prespecified secondary endpoints is explicitly not reported, including the direct comparison between the two durvalumab arms and progression-free survival after subsequent therapy, which are the analyses that would clarify the contribution of each component</w:t>
            </w:r>
          </w:p>
          <w:p>
            <w:pPr>
              <w:pStyle w:val="ListParagraph"/>
              <w:numPr>
                <w:ilvl w:val="0"/>
                <w:numId w:val="2"/>
              </w:numPr>
              <w:spacing w:after="45"/>
            </w:pPr>
            <w:r>
              <w:rPr>
                <w:sz w:val="15"/>
                <w:szCs w:val="15"/>
              </w:rPr>
              <w:t xml:space="preserve">Child-Pugh class B patients were randomised (2 to 3 percent per arm) despite the eligibility criteria, disclosed only in the baseline table</w:t>
            </w:r>
          </w:p>
          <w:p>
            <w:pPr>
              <w:pStyle w:val="ListParagraph"/>
              <w:numPr>
                <w:ilvl w:val="0"/>
                <w:numId w:val="2"/>
              </w:numPr>
              <w:spacing w:after="45"/>
            </w:pPr>
            <w:r>
              <w:rPr>
                <w:sz w:val="15"/>
                <w:szCs w:val="15"/>
              </w:rPr>
              <w:t xml:space="preserve">The funder had a role in design, collection, analysis, interpretation and writing, sponsor statisticians are among the authors and among those who accessed and verified the data, so no analysis independent of AstraZeneca underlies the result</w:t>
            </w:r>
          </w:p>
        </w:tc>
      </w:tr>
    </w:tbl>
    <w:p>
      <w:pPr>
        <w:spacing w:after="0" w:line="276"/>
      </w:pPr>
      <w:r>
        <w:rPr>
          <w:color w:val="5A6069"/>
          <w:sz w:val="14"/>
          <w:szCs w:val="14"/>
        </w:rPr>
        <w:t xml:space="preserve">Funding: Funded by AstraZeneca, which had a role in study design, data collection, data analysis, data interpretation and writing of the report; sponsor statisticians are among the authors and most academic authors report AstraZeneca consultancy or honoraria</w:t>
      </w:r>
    </w:p>
    <w:p>
      <w:pPr>
        <w:keepNext/>
        <w:spacing w:after="50" w:before="260"/>
      </w:pPr>
      <w:r>
        <w:rPr>
          <w:rFonts w:ascii="Cambria" w:cs="Cambria" w:eastAsia="Cambria" w:hAnsi="Cambria"/>
          <w:b/>
          <w:bCs/>
          <w:color w:val="17365D"/>
          <w:sz w:val="20"/>
          <w:szCs w:val="20"/>
        </w:rPr>
        <w:t xml:space="preserve">EMERALD-3</w:t>
      </w:r>
      <w:r>
        <w:rPr>
          <w:b/>
          <w:bCs/>
          <w:color w:val="176A87"/>
          <w:sz w:val="15"/>
          <w:szCs w:val="15"/>
        </w:rPr>
        <w:t xml:space="preserve">   Randomised trial</w:t>
      </w:r>
      <w:r>
        <w:rPr>
          <w:color w:val="5A6069"/>
          <w:sz w:val="15"/>
          <w:szCs w:val="15"/>
        </w:rPr>
        <w:t xml:space="preserve">   PMID 42636832</w:t>
      </w:r>
    </w:p>
    <w:p>
      <w:pPr>
        <w:spacing w:after="50" w:line="276"/>
      </w:pPr>
      <w:r>
        <w:rPr>
          <w:color w:val="5A6069"/>
          <w:sz w:val="17"/>
          <w:szCs w:val="17"/>
        </w:rPr>
        <w:t xml:space="preserve">Durvalumab and tremelimumab, with or without lenvatinib, combined with transarterial chemoembolisation in participants with embolisation-eligible hepatocellular carcinoma (EMERALD-3): a global, randomised, open-label, sponsor-blinded, phase 3 study</w:t>
      </w:r>
    </w:p>
    <w:p>
      <w:pPr>
        <w:spacing w:after="50"/>
      </w:pPr>
      <w:r>
        <w:rPr>
          <w:b/>
          <w:bCs/>
          <w:color w:val="176A87"/>
          <w:sz w:val="16"/>
          <w:szCs w:val="16"/>
        </w:rPr>
        <w:t xml:space="preserve">Population. </w:t>
      </w:r>
      <w:r>
        <w:rPr>
          <w:sz w:val="16"/>
          <w:szCs w:val="16"/>
        </w:rPr>
        <w:t xml:space="preserve">760 of 1,124 screened patients with Child-Pugh A HCC not amenable to resection, ablation or transplantation but amenable to chemoembolisation, randomised at 177 sites in 21 countries between March 2022 and November 2024 to tremelimumab-durvalumab (STRIDE) plus lenvatinib plus TACE (293), STRIDE plus TACE (175) or TACE alone (292); 61 percent were beyond up-to-7, 10 percent had Vp1 or Vp2 invasion and 72 percent were Asian</w:t>
      </w:r>
    </w:p>
    <w:p>
      <w:pPr>
        <w:spacing w:after="70"/>
      </w:pPr>
      <w:r>
        <w:rPr>
          <w:b/>
          <w:bCs/>
          <w:color w:val="17365D"/>
          <w:sz w:val="16"/>
          <w:szCs w:val="16"/>
        </w:rPr>
        <w:t xml:space="preserve">Bottom line. </w:t>
      </w:r>
      <w:r>
        <w:rPr>
          <w:sz w:val="16"/>
          <w:szCs w:val="16"/>
        </w:rPr>
        <w:t xml:space="preserve">EMERALD-3 shows that dual checkpoint blockade plus lenvatinib added to chemoembolisation prolongs progression-free survival, but overall survival did not improve (HR 0.84, 95% CI 0.65 to 1.09, p = 0.18) at 40 percent maturity with a restricted mean survival difference of 1.48 months (-1.21 to 4.16). The allocation ratio changed mid-trial so the doublet arm is a non-concurrent subset of 175 patients that was never formally tested, and grade 3 to 4 treatment-related events were 63 against 19 percent with seven treatment-related deaths.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Over-representation of participants from Asia, which the authors concede</w:t>
            </w:r>
          </w:p>
          <w:p>
            <w:pPr>
              <w:pStyle w:val="ListParagraph"/>
              <w:numPr>
                <w:ilvl w:val="0"/>
                <w:numId w:val="2"/>
              </w:numPr>
              <w:spacing w:after="45"/>
            </w:pPr>
            <w:r>
              <w:rPr>
                <w:sz w:val="15"/>
                <w:szCs w:val="15"/>
              </w:rPr>
              <w:t xml:space="preserve">Open-label design, although the study was sponsor-blinded with centralised randomisation and blinded central review of the primary endpoint</w:t>
            </w:r>
          </w:p>
          <w:p>
            <w:pPr>
              <w:pStyle w:val="ListParagraph"/>
              <w:numPr>
                <w:ilvl w:val="0"/>
                <w:numId w:val="2"/>
              </w:numPr>
              <w:spacing w:after="45"/>
            </w:pPr>
            <w:r>
              <w:rPr>
                <w:sz w:val="15"/>
                <w:szCs w:val="15"/>
              </w:rPr>
              <w:t xml:space="preserve">Heterogeneity in treatment practices and investigator-driven post-randomisation decisions around progression, including repeat chemoembolisation and subsequent anticancer therapy, which the authors say could influence outcomes</w:t>
            </w:r>
          </w:p>
          <w:p>
            <w:pPr>
              <w:pStyle w:val="ListParagraph"/>
              <w:numPr>
                <w:ilvl w:val="0"/>
                <w:numId w:val="2"/>
              </w:numPr>
              <w:spacing w:after="45"/>
            </w:pPr>
            <w:r>
              <w:rPr>
                <w:sz w:val="15"/>
                <w:szCs w:val="15"/>
              </w:rPr>
              <w:t xml:space="preserve">Findings concern chemoembolisation only, so combinations with transarterial radioembolisation remain unstudied</w:t>
            </w:r>
          </w:p>
          <w:p>
            <w:pPr>
              <w:pStyle w:val="ListParagraph"/>
              <w:numPr>
                <w:ilvl w:val="0"/>
                <w:numId w:val="2"/>
              </w:numPr>
              <w:spacing w:after="45"/>
            </w:pPr>
            <w:r>
              <w:rPr>
                <w:sz w:val="15"/>
                <w:szCs w:val="15"/>
              </w:rPr>
              <w:t xml:space="preserve">The cause of a small number of deaths could not be established and remained classified as unknown</w:t>
            </w:r>
          </w:p>
          <w:p>
            <w:pPr>
              <w:pStyle w:val="ListParagraph"/>
              <w:numPr>
                <w:ilvl w:val="0"/>
                <w:numId w:val="2"/>
              </w:numPr>
              <w:spacing w:after="45"/>
            </w:pPr>
            <w:r>
              <w:rPr>
                <w:sz w:val="15"/>
                <w:szCs w:val="15"/>
              </w:rPr>
              <w:t xml:space="preserve">The authors note frequent lenvatinib dose modification and discontinuation for adverse events as a reflection of the tolerability burden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allocation ratio was changed from 1:1:1 to 1:1 during the trial after external trials were reviewed, so the doublet arm consists of the first 175 patients enrolled and is compared with a non-concurrent portion of the control arm; because the triplet's survival comparison failed, the doublet's results were never formally tested at all</w:t>
            </w:r>
          </w:p>
          <w:p>
            <w:pPr>
              <w:pStyle w:val="ListParagraph"/>
              <w:numPr>
                <w:ilvl w:val="0"/>
                <w:numId w:val="2"/>
              </w:numPr>
              <w:spacing w:after="45"/>
            </w:pPr>
            <w:r>
              <w:rPr>
                <w:sz w:val="15"/>
                <w:szCs w:val="15"/>
              </w:rPr>
              <w:t xml:space="preserve">Overall survival did not improve and the restricted mean survival difference of 1.48 months has a confidence interval spanning zero, so the trial's clinical value rests entirely on a progression endpoint at 40 percent survival maturity</w:t>
            </w:r>
          </w:p>
          <w:p>
            <w:pPr>
              <w:pStyle w:val="ListParagraph"/>
              <w:numPr>
                <w:ilvl w:val="0"/>
                <w:numId w:val="2"/>
              </w:numPr>
              <w:spacing w:after="45"/>
            </w:pPr>
            <w:r>
              <w:rPr>
                <w:sz w:val="15"/>
                <w:szCs w:val="15"/>
              </w:rPr>
              <w:t xml:space="preserve">Post-discontinuation systemic therapy was given to 29 percent of the triplet arm against 53 percent of the chemoembolisation arm, so the control group received more subsequent treatment, which works against the survival result the trial failed to show rather than explaining it away</w:t>
            </w:r>
          </w:p>
          <w:p>
            <w:pPr>
              <w:pStyle w:val="ListParagraph"/>
              <w:numPr>
                <w:ilvl w:val="0"/>
                <w:numId w:val="2"/>
              </w:numPr>
              <w:spacing w:after="45"/>
            </w:pPr>
            <w:r>
              <w:rPr>
                <w:sz w:val="15"/>
                <w:szCs w:val="15"/>
              </w:rPr>
              <w:t xml:space="preserve">Adding lenvatinib worsened toxicity without improving response over the doublet, so the component the trial made its primary comparison is the one that adds harm without adding efficacy</w:t>
            </w:r>
          </w:p>
          <w:p>
            <w:pPr>
              <w:pStyle w:val="ListParagraph"/>
              <w:numPr>
                <w:ilvl w:val="0"/>
                <w:numId w:val="2"/>
              </w:numPr>
              <w:spacing w:after="45"/>
            </w:pPr>
            <w:r>
              <w:rPr>
                <w:sz w:val="15"/>
                <w:szCs w:val="15"/>
              </w:rPr>
              <w:t xml:space="preserve">Grade 3 to 4 treatment-related events occurred in 63 against 19 percent, serious adverse events in 64 against 23 percent, and there were seven treatment-related deaths including two from myocarditis, in a population still eligible for embolisation</w:t>
            </w:r>
          </w:p>
          <w:p>
            <w:pPr>
              <w:pStyle w:val="ListParagraph"/>
              <w:numPr>
                <w:ilvl w:val="0"/>
                <w:numId w:val="2"/>
              </w:numPr>
              <w:spacing w:after="45"/>
            </w:pPr>
            <w:r>
              <w:rPr>
                <w:sz w:val="15"/>
                <w:szCs w:val="15"/>
              </w:rPr>
              <w:t xml:space="preserve">PD-L1 status is missing in about 80 percent of participants, so the only candidate biomarker is unavailable in four patients out of five</w:t>
            </w:r>
          </w:p>
          <w:p>
            <w:pPr>
              <w:pStyle w:val="ListParagraph"/>
              <w:numPr>
                <w:ilvl w:val="0"/>
                <w:numId w:val="2"/>
              </w:numPr>
              <w:spacing w:after="45"/>
            </w:pPr>
            <w:r>
              <w:rPr>
                <w:sz w:val="15"/>
                <w:szCs w:val="15"/>
              </w:rPr>
              <w:t xml:space="preserve">Repeat chemoembolisation and post-progression therapy were at investigator discretion in an open-label trial, and 55 percent of procedures were conventional against 42 percent drug-eluting bead, so neither the control intervention nor the post-progression pathway is standardised</w:t>
            </w:r>
          </w:p>
          <w:p>
            <w:pPr>
              <w:pStyle w:val="ListParagraph"/>
              <w:numPr>
                <w:ilvl w:val="0"/>
                <w:numId w:val="2"/>
              </w:numPr>
              <w:spacing w:after="45"/>
            </w:pPr>
            <w:r>
              <w:rPr>
                <w:sz w:val="15"/>
                <w:szCs w:val="15"/>
              </w:rPr>
              <w:t xml:space="preserve">The abstract quotes maximum grade 3 to 4 adverse events of any cause (hypertension 34 of 287, 12 percent) while Table 3 gives treatment-related grade 3 to 4 hypertension as 29 of 287 (10 percent), so the toxicity figures in the summary and the table are not the same quantity</w:t>
            </w:r>
          </w:p>
          <w:p>
            <w:pPr>
              <w:pStyle w:val="ListParagraph"/>
              <w:numPr>
                <w:ilvl w:val="0"/>
                <w:numId w:val="2"/>
              </w:numPr>
              <w:spacing w:after="45"/>
            </w:pPr>
            <w:r>
              <w:rPr>
                <w:sz w:val="15"/>
                <w:szCs w:val="15"/>
              </w:rPr>
              <w:t xml:space="preserve">Two separate data cutoffs are reported in one paper, progression-free survival on 2 September 2025 and overall survival on 23 February 2026, with a third cutoff still to come, so the efficacy and survival results describe different datasets</w:t>
            </w:r>
          </w:p>
          <w:p>
            <w:pPr>
              <w:pStyle w:val="ListParagraph"/>
              <w:numPr>
                <w:ilvl w:val="0"/>
                <w:numId w:val="2"/>
              </w:numPr>
              <w:spacing w:after="45"/>
            </w:pPr>
            <w:r>
              <w:rPr>
                <w:sz w:val="15"/>
                <w:szCs w:val="15"/>
              </w:rPr>
              <w:t xml:space="preserve">The online version required correction on 28 September 2026, so the figures as first published were not reliable</w:t>
            </w:r>
          </w:p>
          <w:p>
            <w:pPr>
              <w:pStyle w:val="ListParagraph"/>
              <w:numPr>
                <w:ilvl w:val="0"/>
                <w:numId w:val="2"/>
              </w:numPr>
              <w:spacing w:after="45"/>
            </w:pPr>
            <w:r>
              <w:rPr>
                <w:sz w:val="15"/>
                <w:szCs w:val="15"/>
              </w:rPr>
              <w:t xml:space="preserve">There is no arm receiving the systemic regimen without chemoembolisation, so the incremental value of the embolisation itself in a patient who could have systemic therapy alone is not addressed</w:t>
            </w:r>
          </w:p>
          <w:p>
            <w:pPr>
              <w:pStyle w:val="ListParagraph"/>
              <w:numPr>
                <w:ilvl w:val="0"/>
                <w:numId w:val="2"/>
              </w:numPr>
              <w:spacing w:after="45"/>
            </w:pPr>
            <w:r>
              <w:rPr>
                <w:sz w:val="15"/>
                <w:szCs w:val="15"/>
              </w:rPr>
              <w:t xml:space="preserve">AstraZeneca funded the trial, several authors are its employees, and sponsor staff are among those who accessed and verified the data</w:t>
            </w:r>
          </w:p>
        </w:tc>
      </w:tr>
    </w:tbl>
    <w:p>
      <w:pPr>
        <w:spacing w:after="0" w:line="276"/>
      </w:pPr>
      <w:r>
        <w:rPr>
          <w:color w:val="5A6069"/>
          <w:sz w:val="14"/>
          <w:szCs w:val="14"/>
        </w:rPr>
        <w:t xml:space="preserve">Funding: Funded by AstraZeneca; several authors are AstraZeneca employees and sponsor staff are among those who accessed and verified the data</w:t>
      </w:r>
    </w:p>
    <w:p>
      <w:pPr>
        <w:keepNext/>
        <w:spacing w:after="50" w:before="260"/>
      </w:pPr>
      <w:r>
        <w:rPr>
          <w:rFonts w:ascii="Cambria" w:cs="Cambria" w:eastAsia="Cambria" w:hAnsi="Cambria"/>
          <w:b/>
          <w:bCs/>
          <w:color w:val="17365D"/>
          <w:sz w:val="20"/>
          <w:szCs w:val="20"/>
        </w:rPr>
        <w:t xml:space="preserve">FOHAIC-1</w:t>
      </w:r>
      <w:r>
        <w:rPr>
          <w:b/>
          <w:bCs/>
          <w:color w:val="176A87"/>
          <w:sz w:val="15"/>
          <w:szCs w:val="15"/>
        </w:rPr>
        <w:t xml:space="preserve">   Randomised trial</w:t>
      </w:r>
      <w:r>
        <w:rPr>
          <w:color w:val="5A6069"/>
          <w:sz w:val="15"/>
          <w:szCs w:val="15"/>
        </w:rPr>
        <w:t xml:space="preserve">   PMID 34905388</w:t>
      </w:r>
    </w:p>
    <w:p>
      <w:pPr>
        <w:spacing w:after="50" w:line="276"/>
      </w:pPr>
      <w:r>
        <w:rPr>
          <w:color w:val="5A6069"/>
          <w:sz w:val="17"/>
          <w:szCs w:val="17"/>
        </w:rPr>
        <w:t xml:space="preserve">Arterial Chemotherapy of Oxaliplatin Plus Fluorouracil Versus Sorafenib in Advanced Hepatocellular Carcinoma: A Biomolecular Exploratory, Randomized, Phase III Trial (FOHAIC-1)</w:t>
      </w:r>
    </w:p>
    <w:p>
      <w:pPr>
        <w:spacing w:after="50"/>
      </w:pPr>
      <w:r>
        <w:rPr>
          <w:b/>
          <w:bCs/>
          <w:color w:val="176A87"/>
          <w:sz w:val="16"/>
          <w:szCs w:val="16"/>
        </w:rPr>
        <w:t xml:space="preserve">Population. </w:t>
      </w:r>
      <w:r>
        <w:rPr>
          <w:sz w:val="16"/>
          <w:szCs w:val="16"/>
        </w:rPr>
        <w:t xml:space="preserve">262 systemic-therapy-naive patients with advanced HCC and a dominant intrahepatic mass randomised 1:1 at Sun Yat-sen University Cancer Center between May 2017 and May 2020 to hepatic arterial infusion of FOLFOX (130) or sorafenib (132); 96 percent were BCLC C, median tumour diameter was 11.2 cm, 72.3 percent had macrovascular invasion and 49.2 percent had Vp4 thrombosis or more than 50 percent liver involvement</w:t>
      </w:r>
    </w:p>
    <w:p>
      <w:pPr>
        <w:spacing w:after="70"/>
      </w:pPr>
      <w:r>
        <w:rPr>
          <w:b/>
          <w:bCs/>
          <w:color w:val="17365D"/>
          <w:sz w:val="16"/>
          <w:szCs w:val="16"/>
        </w:rPr>
        <w:t xml:space="preserve">Bottom line. </w:t>
      </w:r>
      <w:r>
        <w:rPr>
          <w:sz w:val="16"/>
          <w:szCs w:val="16"/>
        </w:rPr>
        <w:t xml:space="preserve">FOHAIC-1 found hepatic arterial FOLFOX better than sorafenib in advanced HCC with a dominant intrahepatic mass (median overall survival 13.9 against 8.2 months, response 31.5 against 1.5 percent). It is a single-centre trial in a 92 percent hepatitis B population with a median tumour of 11.2 cm against a comparator that was already obsolete at publication, the response difference was read without blinding, and the accompanying 15-gene predictive model is internally derived with an implausible odds ratio.</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Open-label design with its risk of differential discontinuation, which the authors state</w:t>
            </w:r>
          </w:p>
          <w:p>
            <w:pPr>
              <w:pStyle w:val="ListParagraph"/>
              <w:numPr>
                <w:ilvl w:val="0"/>
                <w:numId w:val="2"/>
              </w:numPr>
              <w:spacing w:after="45"/>
            </w:pPr>
            <w:r>
              <w:rPr>
                <w:sz w:val="15"/>
                <w:szCs w:val="15"/>
              </w:rPr>
              <w:t xml:space="preserve">A cohort dominated by hepatitis B-related disease with very high intrahepatic burden, leaving the benefit unclear for alcohol- or hepatitis C-related disease</w:t>
            </w:r>
          </w:p>
          <w:p>
            <w:pPr>
              <w:pStyle w:val="ListParagraph"/>
              <w:numPr>
                <w:ilvl w:val="0"/>
                <w:numId w:val="2"/>
              </w:numPr>
              <w:spacing w:after="45"/>
            </w:pPr>
            <w:r>
              <w:rPr>
                <w:sz w:val="15"/>
                <w:szCs w:val="15"/>
              </w:rPr>
              <w:t xml:space="preserve">The authors state the need for a head-to-head comparison with atezolizumab plus bevacizumab</w:t>
            </w:r>
          </w:p>
          <w:p>
            <w:pPr>
              <w:pStyle w:val="ListParagraph"/>
              <w:numPr>
                <w:ilvl w:val="0"/>
                <w:numId w:val="2"/>
              </w:numPr>
              <w:spacing w:after="45"/>
            </w:pPr>
            <w:r>
              <w:rPr>
                <w:sz w:val="15"/>
                <w:szCs w:val="15"/>
              </w:rPr>
              <w:t xml:space="preserve">The authors say the 15-gene model needs validating in external populations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15-gene predictive model is derived and tested entirely within 90 patients from this trial, split into a 54-patient training and 36-patient test set, reports an odds ratio of 217.0, and has no external validation, so it is an artefact of a small internal split rather than a usable biomarker</w:t>
            </w:r>
          </w:p>
          <w:p>
            <w:pPr>
              <w:pStyle w:val="ListParagraph"/>
              <w:numPr>
                <w:ilvl w:val="0"/>
                <w:numId w:val="2"/>
              </w:numPr>
              <w:spacing w:after="45"/>
            </w:pPr>
            <w:r>
              <w:rPr>
                <w:sz w:val="15"/>
                <w:szCs w:val="15"/>
              </w:rPr>
              <w:t xml:space="preserve">Downstaging, maintenance therapy and gene-model subgroup analyses are all post hoc analyses of patients who responded, so the 20.8-month median survival quoted for downstaged patients reflects selection of favourable biology rather than a treatment effect</w:t>
            </w:r>
          </w:p>
          <w:p>
            <w:pPr>
              <w:pStyle w:val="ListParagraph"/>
              <w:numPr>
                <w:ilvl w:val="0"/>
                <w:numId w:val="2"/>
              </w:numPr>
              <w:spacing w:after="45"/>
            </w:pPr>
            <w:r>
              <w:rPr>
                <w:sz w:val="15"/>
                <w:szCs w:val="15"/>
              </w:rPr>
              <w:t xml:space="preserve">Response of 31.5 against 1.5 percent was read without blinded central review in a trial where the two routes of administration make masking impossible, and 19.4 percent of sorafenib patients stopped for toxicity, so differential attrition and differential assessment both run in the same direction</w:t>
            </w:r>
          </w:p>
          <w:p>
            <w:pPr>
              <w:pStyle w:val="ListParagraph"/>
              <w:numPr>
                <w:ilvl w:val="0"/>
                <w:numId w:val="2"/>
              </w:numPr>
              <w:spacing w:after="45"/>
            </w:pPr>
            <w:r>
              <w:rPr>
                <w:sz w:val="15"/>
                <w:szCs w:val="15"/>
              </w:rPr>
              <w:t xml:space="preserve">The authors themselves cite a meta-analysis showing sorafenib performs less well in hepatitis B-related disease, and 92.3 and 86.4 percent of the two arms were hepatitis B positive, so the measured difference is inflated by the choice of population</w:t>
            </w:r>
          </w:p>
          <w:p>
            <w:pPr>
              <w:pStyle w:val="ListParagraph"/>
              <w:numPr>
                <w:ilvl w:val="0"/>
                <w:numId w:val="2"/>
              </w:numPr>
              <w:spacing w:after="45"/>
            </w:pPr>
            <w:r>
              <w:rPr>
                <w:sz w:val="15"/>
                <w:szCs w:val="15"/>
              </w:rPr>
              <w:t xml:space="preserve">Catheter implantation was not technically possible in 2 of 130 patients because no main feeding artery could be found, which illustrates that the intervention depends on arterial anatomy that the trial does not characterise</w:t>
            </w:r>
          </w:p>
          <w:p>
            <w:pPr>
              <w:pStyle w:val="ListParagraph"/>
              <w:numPr>
                <w:ilvl w:val="0"/>
                <w:numId w:val="2"/>
              </w:numPr>
              <w:spacing w:after="45"/>
            </w:pPr>
            <w:r>
              <w:rPr>
                <w:sz w:val="15"/>
                <w:szCs w:val="15"/>
              </w:rPr>
              <w:t xml:space="preserve">The paper's own effect estimates disagree: Figure 1A prints the overall survival hazard ratio as 0.408 (0.301 to 0.553) against 0.552 in the abstract, the median tumour size is 11.2 cm overall but 11.7 and 10.8 cm by arm, and median time to response is 9.3 weeks in the Results and 2.2 months in the Discussion</w:t>
            </w:r>
          </w:p>
          <w:p>
            <w:pPr>
              <w:pStyle w:val="ListParagraph"/>
              <w:numPr>
                <w:ilvl w:val="0"/>
                <w:numId w:val="2"/>
              </w:numPr>
              <w:spacing w:after="45"/>
            </w:pPr>
            <w:r>
              <w:rPr>
                <w:sz w:val="15"/>
                <w:szCs w:val="15"/>
              </w:rPr>
              <w:t xml:space="preserve">A single centre delivered every treatment in both arms, so neither the infusion technique nor the sorafenib management can be separated from local practice</w:t>
            </w:r>
          </w:p>
          <w:p>
            <w:pPr>
              <w:pStyle w:val="ListParagraph"/>
              <w:numPr>
                <w:ilvl w:val="0"/>
                <w:numId w:val="2"/>
              </w:numPr>
              <w:spacing w:after="45"/>
            </w:pPr>
            <w:r>
              <w:rPr>
                <w:sz w:val="15"/>
                <w:szCs w:val="15"/>
              </w:rPr>
              <w:t xml:space="preserve">The comparator was displaced by immunotherapy before the paper appeared, so a positive result against sorafenib leaves the clinically relevant comparison untested in exactly the high-burden patients the trial enrolled</w:t>
            </w:r>
          </w:p>
        </w:tc>
      </w:tr>
    </w:tbl>
    <w:p>
      <w:pPr>
        <w:spacing w:after="0" w:line="276"/>
      </w:pPr>
      <w:r>
        <w:rPr>
          <w:color w:val="5A6069"/>
          <w:sz w:val="14"/>
          <w:szCs w:val="14"/>
        </w:rPr>
        <w:t xml:space="preserve">Funding: No industry funding is identified for the FOHAIC-1 trial in the extracted text</w:t>
      </w:r>
    </w:p>
    <w:p>
      <w:pPr>
        <w:keepNext/>
        <w:spacing w:after="50" w:before="260"/>
      </w:pPr>
      <w:r>
        <w:rPr>
          <w:rFonts w:ascii="Cambria" w:cs="Cambria" w:eastAsia="Cambria" w:hAnsi="Cambria"/>
          <w:b/>
          <w:bCs/>
          <w:color w:val="17365D"/>
          <w:sz w:val="20"/>
          <w:szCs w:val="20"/>
        </w:rPr>
        <w:t xml:space="preserve">HIMALAYA / STRIDE</w:t>
      </w:r>
      <w:r>
        <w:rPr>
          <w:b/>
          <w:bCs/>
          <w:color w:val="176A87"/>
          <w:sz w:val="15"/>
          <w:szCs w:val="15"/>
        </w:rPr>
        <w:t xml:space="preserve">   Randomised trial</w:t>
      </w:r>
      <w:r>
        <w:rPr>
          <w:color w:val="5A6069"/>
          <w:sz w:val="15"/>
          <w:szCs w:val="15"/>
        </w:rPr>
        <w:t xml:space="preserve">   PMID 38319892</w:t>
      </w:r>
    </w:p>
    <w:p>
      <w:pPr>
        <w:spacing w:after="50" w:line="276"/>
      </w:pPr>
      <w:r>
        <w:rPr>
          <w:color w:val="5A6069"/>
          <w:sz w:val="17"/>
          <w:szCs w:val="17"/>
        </w:rPr>
        <w:t xml:space="preserve">Tremelimumab Plus Durvalumab in Unresectable Hepatocellular Carcinoma</w:t>
      </w:r>
    </w:p>
    <w:p>
      <w:pPr>
        <w:spacing w:after="50"/>
      </w:pPr>
      <w:r>
        <w:rPr>
          <w:b/>
          <w:bCs/>
          <w:color w:val="176A87"/>
          <w:sz w:val="16"/>
          <w:szCs w:val="16"/>
        </w:rPr>
        <w:t xml:space="preserve">Population. </w:t>
      </w:r>
      <w:r>
        <w:rPr>
          <w:sz w:val="16"/>
          <w:szCs w:val="16"/>
        </w:rPr>
        <w:t xml:space="preserve">1,171 patients with unresectable HCC, Child-Pugh A, BCLC B or C and no previous systemic therapy, randomised to STRIDE (393), durvalumab (389) or sorafenib (389) at 181 sites in 16 countries between October 2017 and June 2019 from 1,950 screened; a fourth arm of 155 patients given tremelimumab 75 mg plus durvalumab was closed early and contributes safety data only</w:t>
      </w:r>
    </w:p>
    <w:p>
      <w:pPr>
        <w:spacing w:after="70"/>
      </w:pPr>
      <w:r>
        <w:rPr>
          <w:b/>
          <w:bCs/>
          <w:color w:val="17365D"/>
          <w:sz w:val="16"/>
          <w:szCs w:val="16"/>
        </w:rPr>
        <w:t xml:space="preserve">Bottom line. </w:t>
      </w:r>
      <w:r>
        <w:rPr>
          <w:sz w:val="16"/>
          <w:szCs w:val="16"/>
        </w:rPr>
        <w:t xml:space="preserve">HIMALAYA showed that a single priming dose of tremelimumab added to durvalumab improved overall survival against sorafenib (median 16.43 against 13.77 months, HR 0.78, 96.02% CI 0.65 to 0.93) with 36-month survival of 30.7 against 20.2 percent, and that durvalumab alone was non-inferior. There was no progression-free survival benefit, the curves separate only after 9 months (piecewise HR 0.87 before, 0.70 after), and durvalumab monotherapy reached a numerically identical median without the trial being powered to compare the two immunotherapy arms.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Open-label design with investigator-assessed response and progression, which the authors list first</w:t>
            </w:r>
          </w:p>
          <w:p>
            <w:pPr>
              <w:pStyle w:val="ListParagraph"/>
              <w:numPr>
                <w:ilvl w:val="0"/>
                <w:numId w:val="2"/>
              </w:numPr>
              <w:spacing w:after="45"/>
            </w:pPr>
            <w:r>
              <w:rPr>
                <w:sz w:val="15"/>
                <w:szCs w:val="15"/>
              </w:rPr>
              <w:t xml:space="preserve">Randomisation was not stratified by geographic region, so variability in local treatment practice may be unbalanced</w:t>
            </w:r>
          </w:p>
          <w:p>
            <w:pPr>
              <w:pStyle w:val="ListParagraph"/>
              <w:numPr>
                <w:ilvl w:val="0"/>
                <w:numId w:val="2"/>
              </w:numPr>
              <w:spacing w:after="45"/>
            </w:pPr>
            <w:r>
              <w:rPr>
                <w:sz w:val="15"/>
                <w:szCs w:val="15"/>
              </w:rPr>
              <w:t xml:space="preserve">Patients with main portal vein thrombosis and with clinically meaningful ascites were excluded</w:t>
            </w:r>
          </w:p>
          <w:p>
            <w:pPr>
              <w:pStyle w:val="ListParagraph"/>
              <w:numPr>
                <w:ilvl w:val="0"/>
                <w:numId w:val="2"/>
              </w:numPr>
              <w:spacing w:after="45"/>
            </w:pPr>
            <w:r>
              <w:rPr>
                <w:sz w:val="15"/>
                <w:szCs w:val="15"/>
              </w:rPr>
              <w:t xml:space="preserve">The trial was neither designed nor powered to compare STRIDE with durvalumab monotherapy, which the authors state</w:t>
            </w:r>
          </w:p>
          <w:p>
            <w:pPr>
              <w:pStyle w:val="ListParagraph"/>
              <w:numPr>
                <w:ilvl w:val="0"/>
                <w:numId w:val="2"/>
              </w:numPr>
              <w:spacing w:after="45"/>
            </w:pPr>
            <w:r>
              <w:rPr>
                <w:sz w:val="15"/>
                <w:szCs w:val="15"/>
              </w:rPr>
              <w:t xml:space="preserve">Delayed separation of the survival curves indicated potential non-proportionality of hazards, which the authors addressed with piecewise hazard ratios rather than treating as a limitation of the average estimate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piecewise analysis shows no benefit in the first 9 months (HR 0.87, 95% CI 0.68 to 1.11 for STRIDE and 0.98, 0.77 to 1.24 for durvalumab), so patients who die within that window gained nothing and the design's assumed average hazard ratio of 0.70 conceals a treatment effect that begins late</w:t>
            </w:r>
          </w:p>
          <w:p>
            <w:pPr>
              <w:pStyle w:val="ListParagraph"/>
              <w:numPr>
                <w:ilvl w:val="0"/>
                <w:numId w:val="2"/>
              </w:numPr>
              <w:spacing w:after="45"/>
            </w:pPr>
            <w:r>
              <w:rPr>
                <w:sz w:val="15"/>
                <w:szCs w:val="15"/>
              </w:rPr>
              <w:t xml:space="preserve">Durvalumab monotherapy achieved a median overall survival of 16.56 months against STRIDE's 16.43, so the only measurable contribution of tremelimumab is a late tail difference (36-month survival 30.7 against 24.7 percent) in a comparison the trial explicitly cannot make</w:t>
            </w:r>
          </w:p>
          <w:p>
            <w:pPr>
              <w:pStyle w:val="ListParagraph"/>
              <w:numPr>
                <w:ilvl w:val="0"/>
                <w:numId w:val="2"/>
              </w:numPr>
              <w:spacing w:after="45"/>
            </w:pPr>
            <w:r>
              <w:rPr>
                <w:sz w:val="15"/>
                <w:szCs w:val="15"/>
              </w:rPr>
              <w:t xml:space="preserve">The non-inferiority margin for durvalumab against sorafenib was an upper bound of 1.08 and the observed bound was 1.03, so the claim rests on clearing a tight margin whose derivation is not shown in the paper</w:t>
            </w:r>
          </w:p>
          <w:p>
            <w:pPr>
              <w:pStyle w:val="ListParagraph"/>
              <w:numPr>
                <w:ilvl w:val="0"/>
                <w:numId w:val="2"/>
              </w:numPr>
              <w:spacing w:after="45"/>
            </w:pPr>
            <w:r>
              <w:rPr>
                <w:sz w:val="15"/>
                <w:szCs w:val="15"/>
              </w:rPr>
              <w:t xml:space="preserve">The final analysis was performed at 47 months with 555 events in the STRIDE and sorafenib arms against a plan of 515 events at about 37.5 months, and the paper does not explain the 10-month delay or the extra events</w:t>
            </w:r>
          </w:p>
          <w:p>
            <w:pPr>
              <w:pStyle w:val="ListParagraph"/>
              <w:numPr>
                <w:ilvl w:val="0"/>
                <w:numId w:val="2"/>
              </w:numPr>
              <w:spacing w:after="45"/>
            </w:pPr>
            <w:r>
              <w:rPr>
                <w:sz w:val="15"/>
                <w:szCs w:val="15"/>
              </w:rPr>
              <w:t xml:space="preserve">Progression-free survival did not differ significantly among the three arms and response, time to progression and duration of response were all investigator-assessed with no blinded independent central review, in a fully open-label trial</w:t>
            </w:r>
          </w:p>
          <w:p>
            <w:pPr>
              <w:pStyle w:val="ListParagraph"/>
              <w:numPr>
                <w:ilvl w:val="0"/>
                <w:numId w:val="2"/>
              </w:numPr>
              <w:spacing w:after="45"/>
            </w:pPr>
            <w:r>
              <w:rPr>
                <w:sz w:val="15"/>
                <w:szCs w:val="15"/>
              </w:rPr>
              <w:t xml:space="preserve">Treatment beyond progression was markedly asymmetric (46.9 percent of STRIDE and 48.5 percent of durvalumab patients against 35.8 percent on sorafenib) and 30 STRIDE patients were retreated with tremelimumab, so the arms differ in exposure and in post-progression management in a way an open-label design cannot separate from the drug effect</w:t>
            </w:r>
          </w:p>
          <w:p>
            <w:pPr>
              <w:pStyle w:val="ListParagraph"/>
              <w:numPr>
                <w:ilvl w:val="0"/>
                <w:numId w:val="2"/>
              </w:numPr>
              <w:spacing w:after="45"/>
            </w:pPr>
            <w:r>
              <w:rPr>
                <w:sz w:val="15"/>
                <w:szCs w:val="15"/>
              </w:rPr>
              <w:t xml:space="preserve">The T75 plus durvalumab arm was closed on the basis of a preplanned analysis of the still-running supporting phase 2 trial, so a design change in the phase 3 trial was driven by interim data from another study, and the 155 patients already randomised to it have no efficacy result reported at all</w:t>
            </w:r>
          </w:p>
          <w:p>
            <w:pPr>
              <w:pStyle w:val="ListParagraph"/>
              <w:numPr>
                <w:ilvl w:val="0"/>
                <w:numId w:val="2"/>
              </w:numPr>
              <w:spacing w:after="45"/>
            </w:pPr>
            <w:r>
              <w:rPr>
                <w:sz w:val="15"/>
                <w:szCs w:val="15"/>
              </w:rPr>
              <w:t xml:space="preserve">Only 40.7 to 45.0 percent of patients received any second-line therapy after discontinuation, so overall survival is largely the natural history of untreated progression and the trial says nothing about sequencing</w:t>
            </w:r>
          </w:p>
          <w:p>
            <w:pPr>
              <w:pStyle w:val="ListParagraph"/>
              <w:numPr>
                <w:ilvl w:val="0"/>
                <w:numId w:val="2"/>
              </w:numPr>
              <w:spacing w:after="45"/>
            </w:pPr>
            <w:r>
              <w:rPr>
                <w:sz w:val="15"/>
                <w:szCs w:val="15"/>
              </w:rPr>
              <w:t xml:space="preserve">Grade 3 or 4 treatment-emergent adverse events were 50.5 percent with STRIDE against 52.4 percent with sorafenib, so the regimen is differently toxic rather than less toxic, an observation the abstract reports numerically without making</w:t>
            </w:r>
          </w:p>
          <w:p>
            <w:pPr>
              <w:pStyle w:val="ListParagraph"/>
              <w:numPr>
                <w:ilvl w:val="0"/>
                <w:numId w:val="2"/>
              </w:numPr>
              <w:spacing w:after="45"/>
            </w:pPr>
            <w:r>
              <w:rPr>
                <w:sz w:val="15"/>
                <w:szCs w:val="15"/>
              </w:rPr>
              <w:t xml:space="preserve">Histological confirmation and a fresh or recent biopsy were required, which selects a biopsy-willing and biopsy-feasible population unrepresentative of HCC practice, and PD-L1 status was still missing in 11 to 13 percent of patients</w:t>
            </w:r>
          </w:p>
          <w:p>
            <w:pPr>
              <w:pStyle w:val="ListParagraph"/>
              <w:numPr>
                <w:ilvl w:val="0"/>
                <w:numId w:val="2"/>
              </w:numPr>
              <w:spacing w:after="45"/>
            </w:pPr>
            <w:r>
              <w:rPr>
                <w:sz w:val="15"/>
                <w:szCs w:val="15"/>
              </w:rPr>
              <w:t xml:space="preserve">Child-Pugh B7 patients (1.0 to 2.6 percent) and ECOG 2 patients (0.3 to 0.5 percent) were randomised despite the eligibility criteria, and two patients are recorded as Child-Pugh class other, all disclosed only in the baseline table</w:t>
            </w:r>
          </w:p>
          <w:p>
            <w:pPr>
              <w:pStyle w:val="ListParagraph"/>
              <w:numPr>
                <w:ilvl w:val="0"/>
                <w:numId w:val="2"/>
              </w:numPr>
              <w:spacing w:after="45"/>
            </w:pPr>
            <w:r>
              <w:rPr>
                <w:sz w:val="15"/>
                <w:szCs w:val="15"/>
              </w:rPr>
              <w:t xml:space="preserve">Patient-reported outcomes with the EORTC QLQ-C30 were a secondary endpoint and no result appears in the report, which matters most in an open-label trial where self-reported global health is the endpoint most vulnerable to knowing one's allocation</w:t>
            </w:r>
          </w:p>
          <w:p>
            <w:pPr>
              <w:pStyle w:val="ListParagraph"/>
              <w:numPr>
                <w:ilvl w:val="0"/>
                <w:numId w:val="2"/>
              </w:numPr>
              <w:spacing w:after="45"/>
            </w:pPr>
            <w:r>
              <w:rPr>
                <w:sz w:val="15"/>
                <w:szCs w:val="15"/>
              </w:rPr>
              <w:t xml:space="preserve">The sponsor provided the drugs and collaborated on design, collection, analysis and interpretation, six authors are its employees, and the authors and sponsor jointly vouch for the data, so no analysis independent of AstraZeneca underlies the result</w:t>
            </w:r>
          </w:p>
        </w:tc>
      </w:tr>
    </w:tbl>
    <w:p>
      <w:pPr>
        <w:spacing w:after="0" w:line="276"/>
      </w:pPr>
      <w:r>
        <w:rPr>
          <w:color w:val="5A6069"/>
          <w:sz w:val="14"/>
          <w:szCs w:val="14"/>
        </w:rPr>
        <w:t xml:space="preserve">Funding: Funded by AstraZeneca, which provided the trial drugs and collaborated with the steering committee on design, collection, analysis and interpretation; six authors are AstraZeneca employees and editorial assistance was sponsor-funded</w:t>
      </w:r>
    </w:p>
    <w:p>
      <w:pPr>
        <w:keepNext/>
        <w:spacing w:after="50" w:before="260"/>
      </w:pPr>
      <w:r>
        <w:rPr>
          <w:rFonts w:ascii="Cambria" w:cs="Cambria" w:eastAsia="Cambria" w:hAnsi="Cambria"/>
          <w:b/>
          <w:bCs/>
          <w:color w:val="17365D"/>
          <w:sz w:val="20"/>
          <w:szCs w:val="20"/>
        </w:rPr>
        <w:t xml:space="preserve">ICI after transplant</w:t>
      </w:r>
      <w:r>
        <w:rPr>
          <w:b/>
          <w:bCs/>
          <w:color w:val="176A87"/>
          <w:sz w:val="15"/>
          <w:szCs w:val="15"/>
        </w:rPr>
        <w:t xml:space="preserve">   Meta-analysis</w:t>
      </w:r>
      <w:r>
        <w:rPr>
          <w:color w:val="5A6069"/>
          <w:sz w:val="15"/>
          <w:szCs w:val="15"/>
        </w:rPr>
        <w:t xml:space="preserve">   PMID 36102312</w:t>
      </w:r>
    </w:p>
    <w:p>
      <w:pPr>
        <w:spacing w:after="50" w:line="276"/>
      </w:pPr>
      <w:r>
        <w:rPr>
          <w:color w:val="5A6069"/>
          <w:sz w:val="17"/>
          <w:szCs w:val="17"/>
        </w:rPr>
        <w:t xml:space="preserve">Immune checkpoint inhibitors in malignancies after liver transplantation: A systematic review and pooled analysis</w:t>
      </w:r>
    </w:p>
    <w:p>
      <w:pPr>
        <w:spacing w:after="50"/>
      </w:pPr>
      <w:r>
        <w:rPr>
          <w:b/>
          <w:bCs/>
          <w:color w:val="176A87"/>
          <w:sz w:val="16"/>
          <w:szCs w:val="16"/>
        </w:rPr>
        <w:t xml:space="preserve">Population. </w:t>
      </w:r>
      <w:r>
        <w:rPr>
          <w:sz w:val="16"/>
          <w:szCs w:val="16"/>
        </w:rPr>
        <w:t xml:space="preserve">52 liver transplant recipients treated with an immune checkpoint inhibitor, pooled from 31 case reports and small series (median 1 patient per publication, range 1 to 8) published up to 10 January 2022; median age 62 years, 76.9 percent male, the original transplant indication HCC in 37 (71.3 percent)</w:t>
      </w:r>
    </w:p>
    <w:p>
      <w:pPr>
        <w:spacing w:after="70"/>
      </w:pPr>
      <w:r>
        <w:rPr>
          <w:b/>
          <w:bCs/>
          <w:color w:val="17365D"/>
          <w:sz w:val="16"/>
          <w:szCs w:val="16"/>
        </w:rPr>
        <w:t xml:space="preserve">Bottom line. </w:t>
      </w:r>
      <w:r>
        <w:rPr>
          <w:sz w:val="16"/>
          <w:szCs w:val="16"/>
        </w:rPr>
        <w:t xml:space="preserve">Pools every published case of checkpoint inhibition given after liver transplantation and shows that roughly one recipient in three rejects (15 of 52, 28.8 percent), that half of those die of graft loss (7 of 15, 13.4 percent of the cohort), and that disease control is reached in 44.2 percent. It is an uncontrolled synthesis of anecdote: the rejection and response rates have no denominator of untreated comparators, the survival contrasts by rejection and by response are circular, and the paper's own analysis finds no interval from transplantation that predicts rejection (AUROC 0.373, p = 0.170).</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sample was extracted from individual case reports and case series, so homogeneity may be compromised, as the authors state</w:t>
            </w:r>
          </w:p>
          <w:p>
            <w:pPr>
              <w:pStyle w:val="ListParagraph"/>
              <w:numPr>
                <w:ilvl w:val="0"/>
                <w:numId w:val="2"/>
              </w:numPr>
              <w:spacing w:after="45"/>
            </w:pPr>
            <w:r>
              <w:rPr>
                <w:sz w:val="15"/>
                <w:szCs w:val="15"/>
              </w:rPr>
              <w:t xml:space="preserve">The differential role of immunosuppressive regimens could not be assessed because precise data were missing from several reports</w:t>
            </w:r>
          </w:p>
          <w:p>
            <w:pPr>
              <w:pStyle w:val="ListParagraph"/>
              <w:numPr>
                <w:ilvl w:val="0"/>
                <w:numId w:val="2"/>
              </w:numPr>
              <w:spacing w:after="45"/>
            </w:pPr>
            <w:r>
              <w:rPr>
                <w:sz w:val="15"/>
                <w:szCs w:val="15"/>
              </w:rPr>
              <w:t xml:space="preserve">Comorbidity and the state of the graft, including advanced liver disease, were often not reported, so their effect on outcome and tolerance could not be assessed</w:t>
            </w:r>
          </w:p>
          <w:p>
            <w:pPr>
              <w:pStyle w:val="ListParagraph"/>
              <w:numPr>
                <w:ilvl w:val="0"/>
                <w:numId w:val="2"/>
              </w:numPr>
              <w:spacing w:after="45"/>
            </w:pPr>
            <w:r>
              <w:rPr>
                <w:sz w:val="15"/>
                <w:szCs w:val="15"/>
              </w:rPr>
              <w:t xml:space="preserve">Publication bias cannot be excluded because only cases of greatest impact are likely to have been written up</w:t>
            </w:r>
          </w:p>
          <w:p>
            <w:pPr>
              <w:pStyle w:val="ListParagraph"/>
              <w:numPr>
                <w:ilvl w:val="0"/>
                <w:numId w:val="2"/>
              </w:numPr>
              <w:spacing w:after="45"/>
            </w:pPr>
            <w:r>
              <w:rPr>
                <w:sz w:val="15"/>
                <w:szCs w:val="15"/>
              </w:rPr>
              <w:t xml:space="preserve">Response was defined broadly as disease control, and where imaging was not reported it rested on the original authors' clinical impression rather than RECIST 1.1</w:t>
            </w:r>
          </w:p>
          <w:p>
            <w:pPr>
              <w:pStyle w:val="ListParagraph"/>
              <w:numPr>
                <w:ilvl w:val="0"/>
                <w:numId w:val="2"/>
              </w:numPr>
              <w:spacing w:after="45"/>
            </w:pPr>
            <w:r>
              <w:rPr>
                <w:sz w:val="15"/>
                <w:szCs w:val="15"/>
              </w:rPr>
              <w:t xml:space="preserve">The authors state that PD-L1 staining should not be relied on as a predictive biomarker unless solid evidence is provided, and that no cut-off for a safe interval from transplantation could be identified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comparison of survival by rejection and by response is circular: rejection was fatal in 7 of 15 patients and 46.7 percent of those who rejected died within a month, so dividing survival by rejection status compares patients by their cause of death, and classifying a patient as a responder requires surviving long enough to be imaged, which is guarantee-time bias that the paper never addresses</w:t>
            </w:r>
          </w:p>
          <w:p>
            <w:pPr>
              <w:pStyle w:val="ListParagraph"/>
              <w:numPr>
                <w:ilvl w:val="0"/>
                <w:numId w:val="2"/>
              </w:numPr>
              <w:spacing w:after="45"/>
            </w:pPr>
            <w:r>
              <w:rPr>
                <w:sz w:val="15"/>
                <w:szCs w:val="15"/>
              </w:rPr>
              <w:t xml:space="preserve">Median overall survival (6 months, IQR 1.8 to 13.5) is numerically identical to the median reported follow-up (6 months, IQR 1.8 to 13.5), so follow-up in these publications is simply time to death; the Kaplan-Meier curves carry almost no censored observation and cannot support the estimated means derived from them</w:t>
            </w:r>
          </w:p>
          <w:p>
            <w:pPr>
              <w:pStyle w:val="ListParagraph"/>
              <w:numPr>
                <w:ilvl w:val="0"/>
                <w:numId w:val="2"/>
              </w:numPr>
              <w:spacing w:after="45"/>
            </w:pPr>
            <w:r>
              <w:rPr>
                <w:sz w:val="15"/>
                <w:szCs w:val="15"/>
              </w:rPr>
              <w:t xml:space="preserve">The estimated mean survival of 26.4 months in responders exceeds the 18-month horizon to which the restricted mean survival time was stated to be computed, and the paper does not reconcile the two</w:t>
            </w:r>
          </w:p>
          <w:p>
            <w:pPr>
              <w:pStyle w:val="ListParagraph"/>
              <w:numPr>
                <w:ilvl w:val="0"/>
                <w:numId w:val="2"/>
              </w:numPr>
              <w:spacing w:after="45"/>
            </w:pPr>
            <w:r>
              <w:rPr>
                <w:sz w:val="15"/>
                <w:szCs w:val="15"/>
              </w:rPr>
              <w:t xml:space="preserve">The Results report that all 4 patients with positive PD-L1 staining rejected and none of the 5 negative patients did, p = 0.008, while the Discussion states that the association did not reach significance; the paper contradicts itself about its most clinically quoted finding, which rests on nine biopsies in all</w:t>
            </w:r>
          </w:p>
          <w:p>
            <w:pPr>
              <w:pStyle w:val="ListParagraph"/>
              <w:numPr>
                <w:ilvl w:val="0"/>
                <w:numId w:val="2"/>
              </w:numPr>
              <w:spacing w:after="45"/>
            </w:pPr>
            <w:r>
              <w:rPr>
                <w:sz w:val="15"/>
                <w:szCs w:val="15"/>
              </w:rPr>
              <w:t xml:space="preserve">No risk-of-bias or quality appraisal of the 31 included publications is reported despite the stated PRISMA framework, and rejection was diagnosed histologically in some reports and clinically in others with the two pooled without sensitivity analysis</w:t>
            </w:r>
          </w:p>
          <w:p>
            <w:pPr>
              <w:pStyle w:val="ListParagraph"/>
              <w:numPr>
                <w:ilvl w:val="0"/>
                <w:numId w:val="2"/>
              </w:numPr>
              <w:spacing w:after="45"/>
            </w:pPr>
            <w:r>
              <w:rPr>
                <w:sz w:val="15"/>
                <w:szCs w:val="15"/>
              </w:rPr>
              <w:t xml:space="preserve">Attribution of 7 deaths to treatment as grade 5 events was made by the reviewers from published narratives, with no independent adjudication and no access to the primary records, in a setting where graft loss and tumour progression compete as causes of death</w:t>
            </w:r>
          </w:p>
          <w:p>
            <w:pPr>
              <w:pStyle w:val="ListParagraph"/>
              <w:numPr>
                <w:ilvl w:val="0"/>
                <w:numId w:val="2"/>
              </w:numPr>
              <w:spacing w:after="45"/>
            </w:pPr>
            <w:r>
              <w:rPr>
                <w:sz w:val="15"/>
                <w:szCs w:val="15"/>
              </w:rPr>
              <w:t xml:space="preserve">Bonferroni correction for multiple comparisons is described in the Methods, but Tables 1 to 3 and the supplementary tables report dozens of raw p values across the same 52 patients with no indication that any correction was applied</w:t>
            </w:r>
          </w:p>
          <w:p>
            <w:pPr>
              <w:pStyle w:val="ListParagraph"/>
              <w:numPr>
                <w:ilvl w:val="0"/>
                <w:numId w:val="2"/>
              </w:numPr>
              <w:spacing w:after="45"/>
            </w:pPr>
            <w:r>
              <w:rPr>
                <w:sz w:val="15"/>
                <w:szCs w:val="15"/>
              </w:rPr>
              <w:t xml:space="preserve">The multivariable Cox model contains only two covariates, tumour type and interval from transplantation, and finds neither to be an independent predictor of survival, yet the paper's practical message, that an interval of about four years predicts response, rests on a single univariable ROC curve with 75 percent accuracy and a lower confidence bound of 61.4 percent</w:t>
            </w:r>
          </w:p>
          <w:p>
            <w:pPr>
              <w:pStyle w:val="ListParagraph"/>
              <w:numPr>
                <w:ilvl w:val="0"/>
                <w:numId w:val="2"/>
              </w:numPr>
              <w:spacing w:after="45"/>
            </w:pPr>
            <w:r>
              <w:rPr>
                <w:sz w:val="15"/>
                <w:szCs w:val="15"/>
              </w:rPr>
              <w:t xml:space="preserve">One published atezolizumab-bevacizumab case was excluded for incomplete data after the full text had been read, and that case was a PD-L1-negative patient who did not reject, the direction that would have weakened the PD-L1 finding; exclusion decisions made after reading outcomes are not protected by the stated protocol</w:t>
            </w:r>
          </w:p>
          <w:p>
            <w:pPr>
              <w:pStyle w:val="ListParagraph"/>
              <w:numPr>
                <w:ilvl w:val="0"/>
                <w:numId w:val="2"/>
              </w:numPr>
              <w:spacing w:after="45"/>
            </w:pPr>
            <w:r>
              <w:rPr>
                <w:sz w:val="15"/>
                <w:szCs w:val="15"/>
              </w:rPr>
              <w:t xml:space="preserve">Publications of any patient age were eligible and the included series contain paediatric recipients, so paediatric and adult immunology, immunosuppression and dosing are pooled into single percentages</w:t>
            </w:r>
          </w:p>
          <w:p>
            <w:pPr>
              <w:pStyle w:val="ListParagraph"/>
              <w:numPr>
                <w:ilvl w:val="0"/>
                <w:numId w:val="2"/>
              </w:numPr>
              <w:spacing w:after="45"/>
            </w:pPr>
            <w:r>
              <w:rPr>
                <w:sz w:val="15"/>
                <w:szCs w:val="15"/>
              </w:rPr>
              <w:t xml:space="preserve">Non-English full texts were translated with Google Translate with queries resolved by native speakers, which is not a validated extraction method for the detailed immunosuppression and timing variables the analysis depends on</w:t>
            </w:r>
          </w:p>
          <w:p>
            <w:pPr>
              <w:pStyle w:val="ListParagraph"/>
              <w:numPr>
                <w:ilvl w:val="0"/>
                <w:numId w:val="2"/>
              </w:numPr>
              <w:spacing w:after="45"/>
            </w:pPr>
            <w:r>
              <w:rPr>
                <w:sz w:val="15"/>
                <w:szCs w:val="15"/>
              </w:rPr>
              <w:t xml:space="preserve">The corresponding author advises Eisai, MSD, Roche and AstraZeneca, the manufacturers of several of the checkpoint inhibitors whose off-label use the paper concludes need not be discarded a priori</w:t>
            </w:r>
          </w:p>
          <w:p>
            <w:pPr>
              <w:pStyle w:val="ListParagraph"/>
              <w:numPr>
                <w:ilvl w:val="0"/>
                <w:numId w:val="2"/>
              </w:numPr>
              <w:spacing w:after="45"/>
            </w:pPr>
            <w:r>
              <w:rPr>
                <w:sz w:val="15"/>
                <w:szCs w:val="15"/>
              </w:rPr>
              <w:t xml:space="preserve">The analysis addresses checkpoint inhibition given after transplantation, and the only interval examined is from transplantation to drug; the paper contains no data on a pre-transplant washout, and no interval of any kind predicted rejection, so it cannot be read as evidence about timing a graft after immunotherapy</w:t>
            </w:r>
          </w:p>
        </w:tc>
      </w:tr>
    </w:tbl>
    <w:p>
      <w:pPr>
        <w:spacing w:after="0" w:line="276"/>
      </w:pPr>
      <w:r>
        <w:rPr>
          <w:color w:val="5A6069"/>
          <w:sz w:val="14"/>
          <w:szCs w:val="14"/>
        </w:rPr>
        <w:t xml:space="preserve">Funding: No study funding is reported beyond open-access publication funding from the University of Genoa; the corresponding author declares advisory board participation for Eisai, MSD, Roche and AstraZeneca, and a co-author for Engitix</w:t>
      </w:r>
    </w:p>
    <w:p>
      <w:pPr>
        <w:keepNext/>
        <w:spacing w:after="50" w:before="260"/>
      </w:pPr>
      <w:r>
        <w:rPr>
          <w:rFonts w:ascii="Cambria" w:cs="Cambria" w:eastAsia="Cambria" w:hAnsi="Cambria"/>
          <w:b/>
          <w:bCs/>
          <w:color w:val="17365D"/>
          <w:sz w:val="20"/>
          <w:szCs w:val="20"/>
        </w:rPr>
        <w:t xml:space="preserve">IMbrave050</w:t>
      </w:r>
      <w:r>
        <w:rPr>
          <w:b/>
          <w:bCs/>
          <w:color w:val="176A87"/>
          <w:sz w:val="15"/>
          <w:szCs w:val="15"/>
        </w:rPr>
        <w:t xml:space="preserve">   Randomised trial</w:t>
      </w:r>
      <w:r>
        <w:rPr>
          <w:color w:val="5A6069"/>
          <w:sz w:val="15"/>
          <w:szCs w:val="15"/>
        </w:rPr>
        <w:t xml:space="preserve">   PMID 37871608</w:t>
      </w:r>
    </w:p>
    <w:p>
      <w:pPr>
        <w:spacing w:after="50" w:line="276"/>
      </w:pPr>
      <w:r>
        <w:rPr>
          <w:color w:val="5A6069"/>
          <w:sz w:val="17"/>
          <w:szCs w:val="17"/>
        </w:rPr>
        <w:t xml:space="preserve">Atezolizumab plus bevacizumab versus active surveillance in patients with resected or ablated high-risk hepatocellular carcinoma (IMbrave050): a randomised, open-label, multicentre, phase 3 trial</w:t>
      </w:r>
    </w:p>
    <w:p>
      <w:pPr>
        <w:spacing w:after="50"/>
      </w:pPr>
      <w:r>
        <w:rPr>
          <w:b/>
          <w:bCs/>
          <w:color w:val="176A87"/>
          <w:sz w:val="16"/>
          <w:szCs w:val="16"/>
        </w:rPr>
        <w:t xml:space="preserve">Population. </w:t>
      </w:r>
      <w:r>
        <w:rPr>
          <w:sz w:val="16"/>
          <w:szCs w:val="16"/>
        </w:rPr>
        <w:t xml:space="preserve">668 patients at high risk of recurrence after curative-intent resection (585, 88 percent) or ablation (83, 12 percent), randomised 1:1 to adjuvant atezolizumab plus bevacizumab for up to 12 months or active surveillance between December 2019 and November 2021 from 914 assessed; 83 percent Asian, 71 percent from Asia-Pacific excluding Japan and 63 percent hepatitis B</w:t>
      </w:r>
    </w:p>
    <w:p>
      <w:pPr>
        <w:spacing w:after="70"/>
      </w:pPr>
      <w:r>
        <w:rPr>
          <w:b/>
          <w:bCs/>
          <w:color w:val="17365D"/>
          <w:sz w:val="16"/>
          <w:szCs w:val="16"/>
        </w:rPr>
        <w:t xml:space="preserve">Bottom line. </w:t>
      </w:r>
      <w:r>
        <w:rPr>
          <w:sz w:val="16"/>
          <w:szCs w:val="16"/>
        </w:rPr>
        <w:t xml:space="preserve">The first positive phase 3 adjuvant trial in HCC, reporting recurrence-free survival improved at a prespecified interim analysis (HR 0.72, adjusted 95% CI 0.53 to 0.98, p = 0.012) in patients at high risk after resection or ablation. The median was not estimable in either arm, the final analysis was prespecified as descriptive once the interim was positive, crossover at recurrence makes overall survival uninterpretable by design, and the cost in previously disease-free patients was 41 percent grade 3 or 4 toxicity with two treatment-related deaths.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Open-label design, chosen to spare the control group two placebo infusions and unwarranted immunosuppression, mitigated by masked independent review of the primary endpoint</w:t>
            </w:r>
          </w:p>
          <w:p>
            <w:pPr>
              <w:pStyle w:val="ListParagraph"/>
              <w:numPr>
                <w:ilvl w:val="0"/>
                <w:numId w:val="2"/>
              </w:numPr>
              <w:spacing w:after="45"/>
            </w:pPr>
            <w:r>
              <w:rPr>
                <w:sz w:val="15"/>
                <w:szCs w:val="15"/>
              </w:rPr>
              <w:t xml:space="preserve">Relatively short follow-up at this interim analysis, although 33 and 40 percent of patients had already recurred or died</w:t>
            </w:r>
          </w:p>
          <w:p>
            <w:pPr>
              <w:pStyle w:val="ListParagraph"/>
              <w:numPr>
                <w:ilvl w:val="0"/>
                <w:numId w:val="2"/>
              </w:numPr>
              <w:spacing w:after="45"/>
            </w:pPr>
            <w:r>
              <w:rPr>
                <w:sz w:val="15"/>
                <w:szCs w:val="15"/>
              </w:rPr>
              <w:t xml:space="preserve">The benefit in patients at lower or very high risk of recurrence is unknown because enrolment was restricted to a defined high-risk group</w:t>
            </w:r>
          </w:p>
          <w:p>
            <w:pPr>
              <w:pStyle w:val="ListParagraph"/>
              <w:numPr>
                <w:ilvl w:val="0"/>
                <w:numId w:val="2"/>
              </w:numPr>
              <w:spacing w:after="45"/>
            </w:pPr>
            <w:r>
              <w:rPr>
                <w:sz w:val="15"/>
                <w:szCs w:val="15"/>
              </w:rPr>
              <w:t xml:space="preserve">Most patients were recruited in the Asia-Pacific region, primarily China, rather than the USA and Europe</w:t>
            </w:r>
          </w:p>
          <w:p>
            <w:pPr>
              <w:pStyle w:val="ListParagraph"/>
              <w:numPr>
                <w:ilvl w:val="0"/>
                <w:numId w:val="2"/>
              </w:numPr>
              <w:spacing w:after="45"/>
            </w:pPr>
            <w:r>
              <w:rPr>
                <w:sz w:val="15"/>
                <w:szCs w:val="15"/>
              </w:rPr>
              <w:t xml:space="preserve">Enrolment of patients from under-represented minority groups was poor, consistent with other recent global HCC trials</w:t>
            </w:r>
          </w:p>
          <w:p>
            <w:pPr>
              <w:pStyle w:val="ListParagraph"/>
              <w:numPr>
                <w:ilvl w:val="0"/>
                <w:numId w:val="2"/>
              </w:numPr>
              <w:spacing w:after="45"/>
            </w:pPr>
            <w:r>
              <w:rPr>
                <w:sz w:val="15"/>
                <w:szCs w:val="15"/>
              </w:rPr>
              <w:t xml:space="preserve">Crossover was permitted at investigator discretion on confirmed recurrence, which the authors acknowledge will confound overall survival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declared positive with no estimable median recurrence-free survival in either arm, the entire result resting on a hazard ratio whose adjusted upper bound of 0.98 nearly touches 1 against a design whose minimum detectable difference was 0.8</w:t>
            </w:r>
          </w:p>
          <w:p>
            <w:pPr>
              <w:pStyle w:val="ListParagraph"/>
              <w:numPr>
                <w:ilvl w:val="0"/>
                <w:numId w:val="2"/>
              </w:numPr>
              <w:spacing w:after="45"/>
            </w:pPr>
            <w:r>
              <w:rPr>
                <w:sz w:val="15"/>
                <w:szCs w:val="15"/>
              </w:rPr>
              <w:t xml:space="preserve">The statistical analysis plan specified that a positive interim analysis would make the final analysis at 323 events descriptive only, so the design guarantees that the mature estimate can never be formally tested; the subsequent update showed the hazard ratio drifting to 0.90</w:t>
            </w:r>
          </w:p>
          <w:p>
            <w:pPr>
              <w:pStyle w:val="ListParagraph"/>
              <w:numPr>
                <w:ilvl w:val="0"/>
                <w:numId w:val="2"/>
              </w:numPr>
              <w:spacing w:after="45"/>
            </w:pPr>
            <w:r>
              <w:rPr>
                <w:sz w:val="15"/>
                <w:szCs w:val="15"/>
              </w:rPr>
              <w:t xml:space="preserve">Crossover was permitted at investigator discretion and resection or ablation of the recurrent lesion was allowed before crossing over, so the key secondary endpoint of overall survival was rendered uninterpretable by the protocol rather than by chance</w:t>
            </w:r>
          </w:p>
          <w:p>
            <w:pPr>
              <w:pStyle w:val="ListParagraph"/>
              <w:numPr>
                <w:ilvl w:val="0"/>
                <w:numId w:val="2"/>
              </w:numPr>
              <w:spacing w:after="45"/>
            </w:pPr>
            <w:r>
              <w:rPr>
                <w:sz w:val="15"/>
                <w:szCs w:val="15"/>
              </w:rPr>
              <w:t xml:space="preserve">Patients in the surveillance arm more often had a tumour larger than 5 cm (175 of 292, 60 percent, against 152 of 293, 52 percent), an eight-point imbalance in the strongest prognostic factor in a trial whose headline hazard ratio is 0.72</w:t>
            </w:r>
          </w:p>
          <w:p>
            <w:pPr>
              <w:pStyle w:val="ListParagraph"/>
              <w:numPr>
                <w:ilvl w:val="0"/>
                <w:numId w:val="2"/>
              </w:numPr>
              <w:spacing w:after="45"/>
            </w:pPr>
            <w:r>
              <w:rPr>
                <w:sz w:val="15"/>
                <w:szCs w:val="15"/>
              </w:rPr>
              <w:t xml:space="preserve">The high-risk criteria are tumour-morphology based and partly require a resection specimen (microvascular invasion, differentiation grade), so the 83 ablation patients were selected by size and number alone and belong to a different risk construct than the 585 resected patients</w:t>
            </w:r>
          </w:p>
          <w:p>
            <w:pPr>
              <w:pStyle w:val="ListParagraph"/>
              <w:numPr>
                <w:ilvl w:val="0"/>
                <w:numId w:val="2"/>
              </w:numPr>
              <w:spacing w:after="45"/>
            </w:pPr>
            <w:r>
              <w:rPr>
                <w:sz w:val="15"/>
                <w:szCs w:val="15"/>
              </w:rPr>
              <w:t xml:space="preserve">The subgroup pattern runs against the enrolment: the hazard ratio was 0.61 (0.38 to 0.97) in the rest of the world against 0.80 (0.59 to 1.08) in Asia-Pacific excluding Japan where 71 percent of patients were recruited, and 1.13 (0.67 to 1.91) in ECOG 1 patients, with the figure legend stating that none of these confidence intervals is adjusted for multiplicity</w:t>
            </w:r>
          </w:p>
          <w:p>
            <w:pPr>
              <w:pStyle w:val="ListParagraph"/>
              <w:numPr>
                <w:ilvl w:val="0"/>
                <w:numId w:val="2"/>
              </w:numPr>
              <w:spacing w:after="45"/>
            </w:pPr>
            <w:r>
              <w:rPr>
                <w:sz w:val="15"/>
                <w:szCs w:val="15"/>
              </w:rPr>
              <w:t xml:space="preserve">Adjuvant chemoembolisation was given to 11 to 12 percent of resected patients as a permitted co-intervention and that subgroup shows a hazard ratio above 1, so a second locoregional treatment was layered onto the randomised comparison without being accounted for</w:t>
            </w:r>
          </w:p>
          <w:p>
            <w:pPr>
              <w:pStyle w:val="ListParagraph"/>
              <w:numPr>
                <w:ilvl w:val="0"/>
                <w:numId w:val="2"/>
              </w:numPr>
              <w:spacing w:after="45"/>
            </w:pPr>
            <w:r>
              <w:rPr>
                <w:sz w:val="15"/>
                <w:szCs w:val="15"/>
              </w:rPr>
              <w:t xml:space="preserve">Grade 5 adverse events occurred in six atezolizumab-bevacizumab patients (2 percent), two of them treatment-related, against one in the surveillance arm, in a population rendered disease-free by curative-intent surgery and most of whom would not have recurred within the treatment year</w:t>
            </w:r>
          </w:p>
          <w:p>
            <w:pPr>
              <w:pStyle w:val="ListParagraph"/>
              <w:numPr>
                <w:ilvl w:val="0"/>
                <w:numId w:val="2"/>
              </w:numPr>
              <w:spacing w:after="45"/>
            </w:pPr>
            <w:r>
              <w:rPr>
                <w:sz w:val="15"/>
                <w:szCs w:val="15"/>
              </w:rPr>
              <w:t xml:space="preserve">The PD-L1-defined recurrence-free survival endpoint was prespecified, PD-L1 was measured in 285 and 270 patients, and the result is deferred to a future publication, so the only biomarker analysis that could identify who should be treated is withheld from the report that changes practice</w:t>
            </w:r>
          </w:p>
          <w:p>
            <w:pPr>
              <w:pStyle w:val="ListParagraph"/>
              <w:numPr>
                <w:ilvl w:val="0"/>
                <w:numId w:val="2"/>
              </w:numPr>
              <w:spacing w:after="45"/>
            </w:pPr>
            <w:r>
              <w:rPr>
                <w:sz w:val="15"/>
                <w:szCs w:val="15"/>
              </w:rPr>
              <w:t xml:space="preserve">The trial's own screening log shows 57 of 914 assessed patients already had residual, recurrent or metastatic disease and 26 lacked a signed consent form, which bears on how reliably the adjuvant setting was established at enrolment</w:t>
            </w:r>
          </w:p>
          <w:p>
            <w:pPr>
              <w:pStyle w:val="ListParagraph"/>
              <w:numPr>
                <w:ilvl w:val="0"/>
                <w:numId w:val="2"/>
              </w:numPr>
              <w:spacing w:after="45"/>
            </w:pPr>
            <w:r>
              <w:rPr>
                <w:sz w:val="15"/>
                <w:szCs w:val="15"/>
              </w:rPr>
              <w:t xml:space="preserve">The statistical analyses were conducted and the underlying data verified by a sponsor-affiliated author, in a trial whose sponsor also collaborated on design, collection, analysis and interpretation</w:t>
            </w:r>
          </w:p>
          <w:p>
            <w:pPr>
              <w:pStyle w:val="ListParagraph"/>
              <w:numPr>
                <w:ilvl w:val="0"/>
                <w:numId w:val="2"/>
              </w:numPr>
              <w:spacing w:after="45"/>
            </w:pPr>
            <w:r>
              <w:rPr>
                <w:sz w:val="15"/>
                <w:szCs w:val="15"/>
              </w:rPr>
              <w:t xml:space="preserve">The Discussion proposes that the results could lead to new considerations in the clinical indications for surgical resection, an inference about operative decision-making drawn from a surrogate endpoint at an interim analysis</w:t>
            </w:r>
          </w:p>
        </w:tc>
      </w:tr>
    </w:tbl>
    <w:p>
      <w:pPr>
        <w:spacing w:after="0" w:line="276"/>
      </w:pPr>
      <w:r>
        <w:rPr>
          <w:color w:val="5A6069"/>
          <w:sz w:val="14"/>
          <w:szCs w:val="14"/>
        </w:rPr>
        <w:t xml:space="preserve">Funding: Sponsored by F. Hoffmann-La Roche/Genentech, which provided the study drugs and collaborated with an academic steering committee on design, data collection, analysis and interpretation; the statistical analyses were conducted and the data verified by a sponsor-affiliated author</w:t>
      </w:r>
    </w:p>
    <w:p>
      <w:pPr>
        <w:keepNext/>
        <w:spacing w:after="50" w:before="260"/>
      </w:pPr>
      <w:r>
        <w:rPr>
          <w:rFonts w:ascii="Cambria" w:cs="Cambria" w:eastAsia="Cambria" w:hAnsi="Cambria"/>
          <w:b/>
          <w:bCs/>
          <w:color w:val="17365D"/>
          <w:sz w:val="20"/>
          <w:szCs w:val="20"/>
        </w:rPr>
        <w:t xml:space="preserve">IMbrave050 update</w:t>
      </w:r>
      <w:r>
        <w:rPr>
          <w:b/>
          <w:bCs/>
          <w:color w:val="176A87"/>
          <w:sz w:val="15"/>
          <w:szCs w:val="15"/>
        </w:rPr>
        <w:t xml:space="preserve">   Randomised trial</w:t>
      </w:r>
      <w:r>
        <w:rPr>
          <w:color w:val="5A6069"/>
          <w:sz w:val="15"/>
          <w:szCs w:val="15"/>
        </w:rPr>
        <w:t xml:space="preserve">   PMID 41580093</w:t>
      </w:r>
    </w:p>
    <w:p>
      <w:pPr>
        <w:spacing w:after="50" w:line="276"/>
      </w:pPr>
      <w:r>
        <w:rPr>
          <w:color w:val="5A6069"/>
          <w:sz w:val="17"/>
          <w:szCs w:val="17"/>
        </w:rPr>
        <w:t xml:space="preserve">Updated data from IMbrave050: Adjuvant atezolizumab plus bevacizumab for high-risk hepatocellular carcinoma</w:t>
      </w:r>
    </w:p>
    <w:p>
      <w:pPr>
        <w:spacing w:after="50"/>
      </w:pPr>
      <w:r>
        <w:rPr>
          <w:b/>
          <w:bCs/>
          <w:color w:val="176A87"/>
          <w:sz w:val="16"/>
          <w:szCs w:val="16"/>
        </w:rPr>
        <w:t xml:space="preserve">Population. </w:t>
      </w:r>
      <w:r>
        <w:rPr>
          <w:sz w:val="16"/>
          <w:szCs w:val="16"/>
        </w:rPr>
        <w:t xml:space="preserve">The same 668 randomised IMbrave050 patients reanalysed at a 3 May 2024 cutoff with a median follow-up of 35.1 months and a minimum of 29.2 months; 99 of 334 surveillance patients (30 percent) had crossed over to atezolizumab plus bevacizumab</w:t>
      </w:r>
    </w:p>
    <w:p>
      <w:pPr>
        <w:spacing w:after="70"/>
      </w:pPr>
      <w:r>
        <w:rPr>
          <w:b/>
          <w:bCs/>
          <w:color w:val="17365D"/>
          <w:sz w:val="16"/>
          <w:szCs w:val="16"/>
        </w:rPr>
        <w:t xml:space="preserve">Bottom line. </w:t>
      </w:r>
      <w:r>
        <w:rPr>
          <w:sz w:val="16"/>
          <w:szCs w:val="16"/>
        </w:rPr>
        <w:t xml:space="preserve">The descriptive final analysis of IMbrave050 shows the interim recurrence-free survival benefit was not sustained: median recurrence-free survival 33.2 months with treatment against 36.0 months with surveillance, stratified HR 0.90 (95% CI 0.72 to 1.12), recurrence in 162 of 334 against 164 of 334, and overall survival numerically worse (HR 1.26, 0.85 to 1.87). One year of adjuvant atezolizumab plus bevacizumab deferred early recurrence without preventing it, at the cost of 63 percent immune-mediated events and an excess of deaths.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Open-label design and lack of statistical power for subgroups, carried over from the primary report</w:t>
            </w:r>
          </w:p>
          <w:p>
            <w:pPr>
              <w:pStyle w:val="ListParagraph"/>
              <w:numPr>
                <w:ilvl w:val="0"/>
                <w:numId w:val="2"/>
              </w:numPr>
              <w:spacing w:after="45"/>
            </w:pPr>
            <w:r>
              <w:rPr>
                <w:sz w:val="15"/>
                <w:szCs w:val="15"/>
              </w:rPr>
              <w:t xml:space="preserve">The post hoc up-to-7 subgroup analysis was not prespecified and can only be considered hypothesis-generating</w:t>
            </w:r>
          </w:p>
          <w:p>
            <w:pPr>
              <w:pStyle w:val="ListParagraph"/>
              <w:numPr>
                <w:ilvl w:val="0"/>
                <w:numId w:val="2"/>
              </w:numPr>
              <w:spacing w:after="45"/>
            </w:pPr>
            <w:r>
              <w:rPr>
                <w:sz w:val="15"/>
                <w:szCs w:val="15"/>
              </w:rPr>
              <w:t xml:space="preserve">The relative risk of recurrence changed over time, so the Cox hazard ratio is an aggregation of time-varying hazards and should be interpreted with caution; the authors suggest restricted mean survival time would be more accurate</w:t>
            </w:r>
          </w:p>
          <w:p>
            <w:pPr>
              <w:pStyle w:val="ListParagraph"/>
              <w:numPr>
                <w:ilvl w:val="0"/>
                <w:numId w:val="2"/>
              </w:numPr>
              <w:spacing w:after="45"/>
            </w:pPr>
            <w:r>
              <w:rPr>
                <w:sz w:val="15"/>
                <w:szCs w:val="15"/>
              </w:rPr>
              <w:t xml:space="preserve">The authors state that the imbalance in deaths together with the reduced recurrence-free survival benefit shifts the benefit-risk assessment negative, particularly after curative-intent treatment</w:t>
            </w:r>
          </w:p>
          <w:p>
            <w:pPr>
              <w:pStyle w:val="ListParagraph"/>
              <w:numPr>
                <w:ilvl w:val="0"/>
                <w:numId w:val="2"/>
              </w:numPr>
              <w:spacing w:after="45"/>
            </w:pPr>
            <w:r>
              <w:rPr>
                <w:sz w:val="15"/>
                <w:szCs w:val="15"/>
              </w:rPr>
              <w:t xml:space="preserve">The authors state that the updated results do not support use of the regimen in the adjuvant setting and that the effect on late recurrences of different aetiology is unclear</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surveillance arm's median recurrence-free survival (36.0 months) is longer than the treated arm's (33.2 months) and recurrence occurred in 49 percent of each arm, so the stratified hazard ratio of 0.90 is the aggregate of a curve that crosses rather than a residual benefit</w:t>
            </w:r>
          </w:p>
          <w:p>
            <w:pPr>
              <w:pStyle w:val="ListParagraph"/>
              <w:numPr>
                <w:ilvl w:val="0"/>
                <w:numId w:val="2"/>
              </w:numPr>
              <w:spacing w:after="45"/>
            </w:pPr>
            <w:r>
              <w:rPr>
                <w:sz w:val="15"/>
                <w:szCs w:val="15"/>
              </w:rPr>
              <w:t xml:space="preserve">The authors' own leading explanation for the transient effect is that bevacizumab may impair radiological detection of relapse while it is being given, which, if true, means the primary endpoint of the trial was measurably biased by the drug and the original positive interim result was an artefact of surveillance imaging rather than only an unsustained benefit</w:t>
            </w:r>
          </w:p>
          <w:p>
            <w:pPr>
              <w:pStyle w:val="ListParagraph"/>
              <w:numPr>
                <w:ilvl w:val="0"/>
                <w:numId w:val="2"/>
              </w:numPr>
              <w:spacing w:after="45"/>
            </w:pPr>
            <w:r>
              <w:rPr>
                <w:sz w:val="15"/>
                <w:szCs w:val="15"/>
              </w:rPr>
              <w:t xml:space="preserve">The curves separated at 3 months, reached maximum difference at 9 months and intersected at about 2 years, and the hazard-rate analysis places the peak of recurrence at 6 months in the control arm against 18 months in the treated arm, so twelve months of treatment moved recurrence by roughly the duration of treatment</w:t>
            </w:r>
          </w:p>
          <w:p>
            <w:pPr>
              <w:pStyle w:val="ListParagraph"/>
              <w:numPr>
                <w:ilvl w:val="0"/>
                <w:numId w:val="2"/>
              </w:numPr>
              <w:spacing w:after="45"/>
            </w:pPr>
            <w:r>
              <w:rPr>
                <w:sz w:val="15"/>
                <w:szCs w:val="15"/>
              </w:rPr>
              <w:t xml:space="preserve">The post hoc up-to-7 analysis that is offered as a path forward has a hazard ratio above 1 in the within-up-to-7 group, so the proposal to treat only high-burden patients rests on a subgroup split whose other half suggests harm</w:t>
            </w:r>
          </w:p>
          <w:p>
            <w:pPr>
              <w:pStyle w:val="ListParagraph"/>
              <w:numPr>
                <w:ilvl w:val="0"/>
                <w:numId w:val="2"/>
              </w:numPr>
              <w:spacing w:after="45"/>
            </w:pPr>
            <w:r>
              <w:rPr>
                <w:sz w:val="15"/>
                <w:szCs w:val="15"/>
              </w:rPr>
              <w:t xml:space="preserve">Ninety-nine surveillance patients (30 percent) crossed over, some after a second resection or ablation, and one surveillance patient was mistakenly treated and counted in the treated safety population, so neither survival arm is a clean comparison</w:t>
            </w:r>
          </w:p>
          <w:p>
            <w:pPr>
              <w:pStyle w:val="ListParagraph"/>
              <w:numPr>
                <w:ilvl w:val="0"/>
                <w:numId w:val="2"/>
              </w:numPr>
              <w:spacing w:after="45"/>
            </w:pPr>
            <w:r>
              <w:rPr>
                <w:sz w:val="15"/>
                <w:szCs w:val="15"/>
              </w:rPr>
              <w:t xml:space="preserve">Death was the commonest reason for leaving the study and was more frequent in the treated arm (54 of 334, 16 percent, against 46, 14 percent), and the overall survival hazard ratio of 1.26 is reported as immature rather than as a signal requiring explanation</w:t>
            </w:r>
          </w:p>
          <w:p>
            <w:pPr>
              <w:pStyle w:val="ListParagraph"/>
              <w:numPr>
                <w:ilvl w:val="0"/>
                <w:numId w:val="2"/>
              </w:numPr>
              <w:spacing w:after="45"/>
            </w:pPr>
            <w:r>
              <w:rPr>
                <w:sz w:val="15"/>
                <w:szCs w:val="15"/>
              </w:rPr>
              <w:t xml:space="preserve">Immune-mediated adverse events occurred in 208 of 332 treated patients (63 percent) against 59 of 330 (18 percent), with 9 percent needing systemic corticosteroids, all in patients who had been rendered disease-free</w:t>
            </w:r>
          </w:p>
          <w:p>
            <w:pPr>
              <w:pStyle w:val="ListParagraph"/>
              <w:numPr>
                <w:ilvl w:val="0"/>
                <w:numId w:val="2"/>
              </w:numPr>
              <w:spacing w:after="45"/>
            </w:pPr>
            <w:r>
              <w:rPr>
                <w:sz w:val="15"/>
                <w:szCs w:val="15"/>
              </w:rPr>
              <w:t xml:space="preserve">Of 914 patients assessed, 57 already had residual, recurrent or metastatic disease and 26 had no signed consent form, so the eligibility screen for an adjuvant trial let through questions about whether all enrolled patients were truly disease-free at randomisation</w:t>
            </w:r>
          </w:p>
          <w:p>
            <w:pPr>
              <w:pStyle w:val="ListParagraph"/>
              <w:numPr>
                <w:ilvl w:val="0"/>
                <w:numId w:val="2"/>
              </w:numPr>
              <w:spacing w:after="45"/>
            </w:pPr>
            <w:r>
              <w:rPr>
                <w:sz w:val="15"/>
                <w:szCs w:val="15"/>
              </w:rPr>
              <w:t xml:space="preserve">The analysis is descriptive by design because the interim was declared positive, so the trial that changed guidance can no longer be tested on the endpoint that changed it, and the authors recommend for future trials the longer follow-up and non-proportional-hazards methods their own design lacked</w:t>
            </w:r>
          </w:p>
          <w:p>
            <w:pPr>
              <w:pStyle w:val="ListParagraph"/>
              <w:numPr>
                <w:ilvl w:val="0"/>
                <w:numId w:val="2"/>
              </w:numPr>
              <w:spacing w:after="45"/>
            </w:pPr>
            <w:r>
              <w:rPr>
                <w:sz w:val="15"/>
                <w:szCs w:val="15"/>
              </w:rPr>
              <w:t xml:space="preserve">Restricted mean survival time is proposed in the limitations as the more accurate measure of effect but no restricted mean survival time estimate is reported anywhere in this paper</w:t>
            </w:r>
          </w:p>
          <w:p>
            <w:pPr>
              <w:pStyle w:val="ListParagraph"/>
              <w:numPr>
                <w:ilvl w:val="0"/>
                <w:numId w:val="2"/>
              </w:numPr>
              <w:spacing w:after="45"/>
            </w:pPr>
            <w:r>
              <w:rPr>
                <w:sz w:val="15"/>
                <w:szCs w:val="15"/>
              </w:rPr>
              <w:t xml:space="preserve">Five authors are Roche or Genentech employees holding company stock, the sponsor funded the medical writing, and the figure that frames the paper is reprinted and adapted from the sponsor's own earlier positive report</w:t>
            </w:r>
          </w:p>
        </w:tc>
      </w:tr>
    </w:tbl>
    <w:p>
      <w:pPr>
        <w:spacing w:after="0" w:line="276"/>
      </w:pPr>
      <w:r>
        <w:rPr>
          <w:color w:val="5A6069"/>
          <w:sz w:val="14"/>
          <w:szCs w:val="14"/>
        </w:rPr>
        <w:t xml:space="preserve">Funding: Sponsored by F. Hoffmann-La Roche, which provided the drugs and collaborated on design, collection, analysis and interpretation; five authors are Genentech or Roche employees holding Roche stock and medical writing was sponsor-funded</w:t>
      </w:r>
    </w:p>
    <w:p>
      <w:pPr>
        <w:keepNext/>
        <w:spacing w:after="50" w:before="260"/>
      </w:pPr>
      <w:r>
        <w:rPr>
          <w:rFonts w:ascii="Cambria" w:cs="Cambria" w:eastAsia="Cambria" w:hAnsi="Cambria"/>
          <w:b/>
          <w:bCs/>
          <w:color w:val="17365D"/>
          <w:sz w:val="20"/>
          <w:szCs w:val="20"/>
        </w:rPr>
        <w:t xml:space="preserve">IMbrave150</w:t>
      </w:r>
      <w:r>
        <w:rPr>
          <w:b/>
          <w:bCs/>
          <w:color w:val="176A87"/>
          <w:sz w:val="15"/>
          <w:szCs w:val="15"/>
        </w:rPr>
        <w:t xml:space="preserve">   Randomised trial</w:t>
      </w:r>
      <w:r>
        <w:rPr>
          <w:color w:val="5A6069"/>
          <w:sz w:val="15"/>
          <w:szCs w:val="15"/>
        </w:rPr>
        <w:t xml:space="preserve">   PMID 32402160</w:t>
      </w:r>
    </w:p>
    <w:p>
      <w:pPr>
        <w:spacing w:after="50" w:line="276"/>
      </w:pPr>
      <w:r>
        <w:rPr>
          <w:color w:val="5A6069"/>
          <w:sz w:val="17"/>
          <w:szCs w:val="17"/>
        </w:rPr>
        <w:t xml:space="preserve">Atezolizumab plus Bevacizumab in Unresectable Hepatocellular Carcinoma</w:t>
      </w:r>
    </w:p>
    <w:p>
      <w:pPr>
        <w:spacing w:after="50"/>
      </w:pPr>
      <w:r>
        <w:rPr>
          <w:b/>
          <w:bCs/>
          <w:color w:val="176A87"/>
          <w:sz w:val="16"/>
          <w:szCs w:val="16"/>
        </w:rPr>
        <w:t xml:space="preserve">Population. </w:t>
      </w:r>
      <w:r>
        <w:rPr>
          <w:sz w:val="16"/>
          <w:szCs w:val="16"/>
        </w:rPr>
        <w:t xml:space="preserve">501 patients with locally advanced, metastatic or unresectable HCC, Child-Pugh A, ECOG 0 or 1 and no previous systemic therapy, randomised 2:1 to atezolizumab plus bevacizumab (336) or sorafenib (165) at 111 sites in 17 countries between March 2018 and January 2019; 49 percent had hepatitis B and 30 percent non-viral disease</w:t>
      </w:r>
    </w:p>
    <w:p>
      <w:pPr>
        <w:spacing w:after="70"/>
      </w:pPr>
      <w:r>
        <w:rPr>
          <w:b/>
          <w:bCs/>
          <w:color w:val="17365D"/>
          <w:sz w:val="16"/>
          <w:szCs w:val="16"/>
        </w:rPr>
        <w:t xml:space="preserve">Bottom line. </w:t>
      </w:r>
      <w:r>
        <w:rPr>
          <w:sz w:val="16"/>
          <w:szCs w:val="16"/>
        </w:rPr>
        <w:t xml:space="preserve">IMbrave150 displaced sorafenib as first-line therapy, reporting a hazard ratio for death of 0.58 (95% CI 0.42 to 0.79) with 12-month survival of 67.2 against 54.6 percent and median progression-free survival of 6.8 against 4.3 months. The analysis is the first of two planned interim looks at 161 of 312 planned deaths with a median follow-up of 8.6 months, so no median survival could be estimated for the combination; entry required endoscopy with all varices treated, and dose modification was permitted for sorafenib but not for the experimental regimen.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Open-label design, chosen to spare patients two placebo infusions, which the authors list as a limitation although blinded independent review protected the progression-free survival endpoint</w:t>
            </w:r>
          </w:p>
          <w:p>
            <w:pPr>
              <w:pStyle w:val="ListParagraph"/>
              <w:numPr>
                <w:ilvl w:val="0"/>
                <w:numId w:val="2"/>
              </w:numPr>
              <w:spacing w:after="45"/>
            </w:pPr>
            <w:r>
              <w:rPr>
                <w:sz w:val="15"/>
                <w:szCs w:val="15"/>
              </w:rPr>
              <w:t xml:space="preserve">Enrolment was restricted to Child-Pugh A patients who had been screened and treated for varices, so the authors state that the safety of the combination in a broader population needs further study</w:t>
            </w:r>
          </w:p>
          <w:p>
            <w:pPr>
              <w:pStyle w:val="ListParagraph"/>
              <w:numPr>
                <w:ilvl w:val="0"/>
                <w:numId w:val="2"/>
              </w:numPr>
              <w:spacing w:after="45"/>
            </w:pPr>
            <w:r>
              <w:rPr>
                <w:sz w:val="15"/>
                <w:szCs w:val="15"/>
              </w:rPr>
              <w:t xml:space="preserve">The authors note that no biomarker has been shown to predict benefit in HCC and that work is needed to identify who benefits</w:t>
            </w:r>
          </w:p>
          <w:p>
            <w:pPr>
              <w:pStyle w:val="ListParagraph"/>
              <w:numPr>
                <w:ilvl w:val="0"/>
                <w:numId w:val="2"/>
              </w:numPr>
              <w:spacing w:after="45"/>
            </w:pPr>
            <w:r>
              <w:rPr>
                <w:sz w:val="15"/>
                <w:szCs w:val="15"/>
              </w:rPr>
              <w:t xml:space="preserve">The authors state that survival data were not yet mature at this analysis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survival analysis is the first interim look at 161 of 312 planned deaths (52 percent) with a median follow-up of 8.6 months, and the 12-month landmark survival rates of 67.2 and 54.6 percent are therefore estimated beyond the median duration of follow-up in either arm</w:t>
            </w:r>
          </w:p>
          <w:p>
            <w:pPr>
              <w:pStyle w:val="ListParagraph"/>
              <w:numPr>
                <w:ilvl w:val="0"/>
                <w:numId w:val="2"/>
              </w:numPr>
              <w:spacing w:after="45"/>
            </w:pPr>
            <w:r>
              <w:rPr>
                <w:sz w:val="15"/>
                <w:szCs w:val="15"/>
              </w:rPr>
              <w:t xml:space="preserve">Dose modification was not permitted for atezolizumab or bevacizumab but was permitted for sorafenib, and patients who stopped one component of the combination could continue the other, so the experimental regimen was a flexible strategy while the control was a fixed comparator, and attrition for toxicity falls differently in the two arms by design</w:t>
            </w:r>
          </w:p>
          <w:p>
            <w:pPr>
              <w:pStyle w:val="ListParagraph"/>
              <w:numPr>
                <w:ilvl w:val="0"/>
                <w:numId w:val="2"/>
              </w:numPr>
              <w:spacing w:after="45"/>
            </w:pPr>
            <w:r>
              <w:rPr>
                <w:sz w:val="15"/>
                <w:szCs w:val="15"/>
              </w:rPr>
              <w:t xml:space="preserve">Both arms could continue treatment beyond radiographic progression at the investigator's judgment of clinical benefit, a decision made without masking in a trial whose primary endpoint is survival</w:t>
            </w:r>
          </w:p>
          <w:p>
            <w:pPr>
              <w:pStyle w:val="ListParagraph"/>
              <w:numPr>
                <w:ilvl w:val="0"/>
                <w:numId w:val="2"/>
              </w:numPr>
              <w:spacing w:after="45"/>
            </w:pPr>
            <w:r>
              <w:rPr>
                <w:sz w:val="15"/>
                <w:szCs w:val="15"/>
              </w:rPr>
              <w:t xml:space="preserve">The 2:1 allocation leaves 165 control patients with 65 deaths, so every comparison rests on an imprecisely estimated sorafenib arm, and the stratified analyses dropped ECOG performance status from the stratification factors used in analysis despite its being a randomisation stratum, with no explanation</w:t>
            </w:r>
          </w:p>
          <w:p>
            <w:pPr>
              <w:pStyle w:val="ListParagraph"/>
              <w:numPr>
                <w:ilvl w:val="0"/>
                <w:numId w:val="2"/>
              </w:numPr>
              <w:spacing w:after="45"/>
            </w:pPr>
            <w:r>
              <w:rPr>
                <w:sz w:val="15"/>
                <w:szCs w:val="15"/>
              </w:rPr>
              <w:t xml:space="preserve">Every patient underwent screening endoscopy with all varices treated to local standard before entry, and 26 percent had varices with 11 to 14 percent treated, so the trial pre-selected and pre-treated exactly the bleeding risk that bevacizumab exacerbates, and its bleeding rates cannot be read outside that protocol</w:t>
            </w:r>
          </w:p>
          <w:p>
            <w:pPr>
              <w:pStyle w:val="ListParagraph"/>
              <w:numPr>
                <w:ilvl w:val="0"/>
                <w:numId w:val="2"/>
              </w:numPr>
              <w:spacing w:after="45"/>
            </w:pPr>
            <w:r>
              <w:rPr>
                <w:sz w:val="15"/>
                <w:szCs w:val="15"/>
              </w:rPr>
              <w:t xml:space="preserve">Diagnosis could be made on clinical and imaging criteria without tissue, and 2 to 4 percent of patients were BCLC stage A, so a minority of a first-line systemic therapy trial had early-stage disease</w:t>
            </w:r>
          </w:p>
          <w:p>
            <w:pPr>
              <w:pStyle w:val="ListParagraph"/>
              <w:numPr>
                <w:ilvl w:val="0"/>
                <w:numId w:val="2"/>
              </w:numPr>
              <w:spacing w:after="45"/>
            </w:pPr>
            <w:r>
              <w:rPr>
                <w:sz w:val="15"/>
                <w:szCs w:val="15"/>
              </w:rPr>
              <w:t xml:space="preserve">Patient-reported quality of life, physical functioning and role functioning were secondary endpoints defined on a 10-point EORTC change and collected by self-report in an unmasked trial, which is the circumstance in which such endpoints are least interpretable</w:t>
            </w:r>
          </w:p>
          <w:p>
            <w:pPr>
              <w:pStyle w:val="ListParagraph"/>
              <w:numPr>
                <w:ilvl w:val="0"/>
                <w:numId w:val="2"/>
              </w:numPr>
              <w:spacing w:after="45"/>
            </w:pPr>
            <w:r>
              <w:rPr>
                <w:sz w:val="15"/>
                <w:szCs w:val="15"/>
              </w:rPr>
              <w:t xml:space="preserve">No biomarker selection or biomarker result is reported although atezolizumab is a PD-L1 inhibitor with companion diagnostics in other tumours, so there is no way to identify the roughly one patient in four who responds</w:t>
            </w:r>
          </w:p>
          <w:p>
            <w:pPr>
              <w:pStyle w:val="ListParagraph"/>
              <w:numPr>
                <w:ilvl w:val="0"/>
                <w:numId w:val="2"/>
              </w:numPr>
              <w:spacing w:after="45"/>
            </w:pPr>
            <w:r>
              <w:rPr>
                <w:sz w:val="15"/>
                <w:szCs w:val="15"/>
              </w:rPr>
              <w:t xml:space="preserve">Hepatitis B accounted for 49 percent of patients and 40 percent came from Asia excluding Japan, while non-viral disease, which dominates Western practice, was only 30 percent and would later show no survival benefit in the trial's own updated subgroup analysis</w:t>
            </w:r>
          </w:p>
          <w:p>
            <w:pPr>
              <w:pStyle w:val="ListParagraph"/>
              <w:numPr>
                <w:ilvl w:val="0"/>
                <w:numId w:val="2"/>
              </w:numPr>
              <w:spacing w:after="45"/>
            </w:pPr>
            <w:r>
              <w:rPr>
                <w:sz w:val="15"/>
                <w:szCs w:val="15"/>
              </w:rPr>
              <w:t xml:space="preserve">The sponsor supplied the drugs and collaborated on the design, collection, analysis and interpretation of the data, employed six authors and funded the editorial assistance, with no independently conducted analysis of the registration result</w:t>
            </w:r>
          </w:p>
          <w:p>
            <w:pPr>
              <w:pStyle w:val="ListParagraph"/>
              <w:numPr>
                <w:ilvl w:val="0"/>
                <w:numId w:val="2"/>
              </w:numPr>
              <w:spacing w:after="45"/>
            </w:pPr>
            <w:r>
              <w:rPr>
                <w:sz w:val="15"/>
                <w:szCs w:val="15"/>
              </w:rPr>
              <w:t xml:space="preserve">The article carries a notice that it was updated on 19 May 2020, five days after publication, without the content of the correction being stated in the text</w:t>
            </w:r>
          </w:p>
        </w:tc>
      </w:tr>
    </w:tbl>
    <w:p>
      <w:pPr>
        <w:spacing w:after="0" w:line="276"/>
      </w:pPr>
      <w:r>
        <w:rPr>
          <w:color w:val="5A6069"/>
          <w:sz w:val="14"/>
          <w:szCs w:val="14"/>
        </w:rPr>
        <w:t xml:space="preserve">Funding: Funded by F. Hoffmann-La Roche/Genentech, which provided the trial drugs and collaborated with an academic steering committee on design and on the collection, analysis and interpretation of the data; six of the 22 authors are sponsor employees and editorial assistance was sponsor-funded</w:t>
      </w:r>
    </w:p>
    <w:p>
      <w:pPr>
        <w:keepNext/>
        <w:spacing w:after="50" w:before="260"/>
      </w:pPr>
      <w:r>
        <w:rPr>
          <w:rFonts w:ascii="Cambria" w:cs="Cambria" w:eastAsia="Cambria" w:hAnsi="Cambria"/>
          <w:b/>
          <w:bCs/>
          <w:color w:val="17365D"/>
          <w:sz w:val="20"/>
          <w:szCs w:val="20"/>
        </w:rPr>
        <w:t xml:space="preserve">IMbrave150 update</w:t>
      </w:r>
      <w:r>
        <w:rPr>
          <w:b/>
          <w:bCs/>
          <w:color w:val="176A87"/>
          <w:sz w:val="15"/>
          <w:szCs w:val="15"/>
        </w:rPr>
        <w:t xml:space="preserve">   Randomised trial</w:t>
      </w:r>
      <w:r>
        <w:rPr>
          <w:color w:val="5A6069"/>
          <w:sz w:val="15"/>
          <w:szCs w:val="15"/>
        </w:rPr>
        <w:t xml:space="preserve">   PMID 34902530</w:t>
      </w:r>
    </w:p>
    <w:p>
      <w:pPr>
        <w:spacing w:after="50" w:line="276"/>
      </w:pPr>
      <w:r>
        <w:rPr>
          <w:color w:val="5A6069"/>
          <w:sz w:val="17"/>
          <w:szCs w:val="17"/>
        </w:rPr>
        <w:t xml:space="preserve">Updated efficacy and safety data from IMbrave150: Atezolizumab plus bevacizumab vs. sorafenib for unresectable hepatocellular carcinoma</w:t>
      </w:r>
    </w:p>
    <w:p>
      <w:pPr>
        <w:spacing w:after="50"/>
      </w:pPr>
      <w:r>
        <w:rPr>
          <w:b/>
          <w:bCs/>
          <w:color w:val="176A87"/>
          <w:sz w:val="16"/>
          <w:szCs w:val="16"/>
        </w:rPr>
        <w:t xml:space="preserve">Population. </w:t>
      </w:r>
      <w:r>
        <w:rPr>
          <w:sz w:val="16"/>
          <w:szCs w:val="16"/>
        </w:rPr>
        <w:t xml:space="preserve">The same 501 randomised IMbrave150 patients (336 atezolizumab plus bevacizumab, 165 sorafenib) reanalysed at the 31 August 2020 cutoff after a median 15.6 months (range 0 to 28.6) of follow-up; 329 and 156 patients were safety-evaluable</w:t>
      </w:r>
    </w:p>
    <w:p>
      <w:pPr>
        <w:spacing w:after="70"/>
      </w:pPr>
      <w:r>
        <w:rPr>
          <w:b/>
          <w:bCs/>
          <w:color w:val="17365D"/>
          <w:sz w:val="16"/>
          <w:szCs w:val="16"/>
        </w:rPr>
        <w:t xml:space="preserve">Bottom line. </w:t>
      </w:r>
      <w:r>
        <w:rPr>
          <w:sz w:val="16"/>
          <w:szCs w:val="16"/>
        </w:rPr>
        <w:t xml:space="preserve">A post hoc 12-month update of IMbrave150 giving median overall survival of 19.2 against 13.4 months (HR 0.66) and progression-free survival of 6.9 against 4.3 months, with an objective response rate of 30 percent and 8 percent complete responses. The p values are labelled descriptive because no alpha was allocated, the median survival exceeds the median follow-up, and the one subgroup without benefit is non-viral disease (HR for death 1.05, 95% CI 0.68 to 1.63), which is the commonest aetiology in Western practice.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limitations of the parent trial apply, namely the open-label design and recruitment of patients with preserved liver function and reduced risk of variceal bleeding</w:t>
            </w:r>
          </w:p>
          <w:p>
            <w:pPr>
              <w:pStyle w:val="ListParagraph"/>
              <w:numPr>
                <w:ilvl w:val="0"/>
                <w:numId w:val="2"/>
              </w:numPr>
              <w:spacing w:after="45"/>
            </w:pPr>
            <w:r>
              <w:rPr>
                <w:sz w:val="15"/>
                <w:szCs w:val="15"/>
              </w:rPr>
              <w:t xml:space="preserve">This analysis was not powered for the subgroups, which the authors state</w:t>
            </w:r>
          </w:p>
          <w:p>
            <w:pPr>
              <w:pStyle w:val="ListParagraph"/>
              <w:numPr>
                <w:ilvl w:val="0"/>
                <w:numId w:val="2"/>
              </w:numPr>
              <w:spacing w:after="45"/>
            </w:pPr>
            <w:r>
              <w:rPr>
                <w:sz w:val="15"/>
                <w:szCs w:val="15"/>
              </w:rPr>
              <w:t xml:space="preserve">The authors note that the sorafenib arm performed better in median overall survival than in other first-line phase 3 trials</w:t>
            </w:r>
          </w:p>
          <w:p>
            <w:pPr>
              <w:pStyle w:val="ListParagraph"/>
              <w:numPr>
                <w:ilvl w:val="0"/>
                <w:numId w:val="2"/>
              </w:numPr>
              <w:spacing w:after="45"/>
            </w:pPr>
            <w:r>
              <w:rPr>
                <w:sz w:val="15"/>
                <w:szCs w:val="15"/>
              </w:rPr>
              <w:t xml:space="preserve">The authors attribute the increase in adverse events of special interest from 69 to 76 percent, driven by a 10 percent rise in immune-mediated hepatitis, to the longer duration of treatment</w:t>
            </w:r>
          </w:p>
          <w:p>
            <w:pPr>
              <w:pStyle w:val="ListParagraph"/>
              <w:numPr>
                <w:ilvl w:val="0"/>
                <w:numId w:val="2"/>
              </w:numPr>
              <w:spacing w:after="45"/>
            </w:pPr>
            <w:r>
              <w:rPr>
                <w:sz w:val="15"/>
                <w:szCs w:val="15"/>
              </w:rPr>
              <w:t xml:space="preserve">The authors acknowledge that the post-progression survival of patients who continued treatment would need a randomised discontinuation trial to interpret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descriptive post hoc analysis with no alpha allocated, so the p values are labelled descriptive in the abstract while the conclusion nonetheless states that the analysis confirms the combination as standard of care</w:t>
            </w:r>
          </w:p>
          <w:p>
            <w:pPr>
              <w:pStyle w:val="ListParagraph"/>
              <w:numPr>
                <w:ilvl w:val="0"/>
                <w:numId w:val="2"/>
              </w:numPr>
              <w:spacing w:after="45"/>
            </w:pPr>
            <w:r>
              <w:rPr>
                <w:sz w:val="15"/>
                <w:szCs w:val="15"/>
              </w:rPr>
              <w:t xml:space="preserve">Median overall survival of 19.2 months is reported from a median follow-up of 15.6 months, so the headline figure is estimated from the tail of the curve rather than observed</w:t>
            </w:r>
          </w:p>
          <w:p>
            <w:pPr>
              <w:pStyle w:val="ListParagraph"/>
              <w:numPr>
                <w:ilvl w:val="0"/>
                <w:numId w:val="2"/>
              </w:numPr>
              <w:spacing w:after="45"/>
            </w:pPr>
            <w:r>
              <w:rPr>
                <w:sz w:val="15"/>
                <w:szCs w:val="15"/>
              </w:rPr>
              <w:t xml:space="preserve">Exposure differed threefold between the arms (median 8.4 months of atezolizumab and 7.0 of bevacizumab against 2.8 months of sorafenib) and no dose modification was allowed for the combination against 37 percent of sorafenib patients having their dose modified, so the comparison is between a regimen patients stayed on and one they reduced</w:t>
            </w:r>
          </w:p>
          <w:p>
            <w:pPr>
              <w:pStyle w:val="ListParagraph"/>
              <w:numPr>
                <w:ilvl w:val="0"/>
                <w:numId w:val="2"/>
              </w:numPr>
              <w:spacing w:after="45"/>
            </w:pPr>
            <w:r>
              <w:rPr>
                <w:sz w:val="15"/>
                <w:szCs w:val="15"/>
              </w:rPr>
              <w:t xml:space="preserve">The claim about post-progression benefit rests on the 132 of 236 progressing patients who continued treatment and whose median survival was 24.1 months, a group defined by having survived to progression and been well enough to continue, which is guarantee-time bias the authors describe as suggestive</w:t>
            </w:r>
          </w:p>
          <w:p>
            <w:pPr>
              <w:pStyle w:val="ListParagraph"/>
              <w:numPr>
                <w:ilvl w:val="0"/>
                <w:numId w:val="2"/>
              </w:numPr>
              <w:spacing w:after="45"/>
            </w:pPr>
            <w:r>
              <w:rPr>
                <w:sz w:val="15"/>
                <w:szCs w:val="15"/>
              </w:rPr>
              <w:t xml:space="preserve">In the non-viral subgroup the hazard ratio for death is 1.05 (0.68 to 1.63) and the authors defend the regimen by pointing to preserved progression-free survival and response in that subgroup, which is precisely the argument that response and progression-free survival need not translate into survival</w:t>
            </w:r>
          </w:p>
          <w:p>
            <w:pPr>
              <w:pStyle w:val="ListParagraph"/>
              <w:numPr>
                <w:ilvl w:val="0"/>
                <w:numId w:val="2"/>
              </w:numPr>
              <w:spacing w:after="45"/>
            </w:pPr>
            <w:r>
              <w:rPr>
                <w:sz w:val="15"/>
                <w:szCs w:val="15"/>
              </w:rPr>
              <w:t xml:space="preserve">Immune-mediated hepatitis is reported in 53 percent of combination patients under a definition that includes diagnostic and laboratory abnormalities alone, which makes the number uninterpretable as clinical hepatitis and inflates the special-interest total to 76 percent</w:t>
            </w:r>
          </w:p>
          <w:p>
            <w:pPr>
              <w:pStyle w:val="ListParagraph"/>
              <w:numPr>
                <w:ilvl w:val="0"/>
                <w:numId w:val="2"/>
              </w:numPr>
              <w:spacing w:after="45"/>
            </w:pPr>
            <w:r>
              <w:rPr>
                <w:sz w:val="15"/>
                <w:szCs w:val="15"/>
              </w:rPr>
              <w:t xml:space="preserve">All five fatal upper gastrointestinal bleeds in the combination arm occurred in patients with macrovascular invasion (four Vp4, one Vp3) and only one was judged treatment-related, that judgment being made by unblinded local investigators with no central adjudication</w:t>
            </w:r>
          </w:p>
          <w:p>
            <w:pPr>
              <w:pStyle w:val="ListParagraph"/>
              <w:numPr>
                <w:ilvl w:val="0"/>
                <w:numId w:val="2"/>
              </w:numPr>
              <w:spacing w:after="45"/>
            </w:pPr>
            <w:r>
              <w:rPr>
                <w:sz w:val="15"/>
                <w:szCs w:val="15"/>
              </w:rPr>
              <w:t xml:space="preserve">Adverse events led to withdrawal of any component in 22 percent of combination patients and of both components in 10 percent, against 12 and 0 percent on sorafenib, so one combination patient in ten lost the whole regimen to toxicity</w:t>
            </w:r>
          </w:p>
          <w:p>
            <w:pPr>
              <w:pStyle w:val="ListParagraph"/>
              <w:numPr>
                <w:ilvl w:val="0"/>
                <w:numId w:val="2"/>
              </w:numPr>
              <w:spacing w:after="45"/>
            </w:pPr>
            <w:r>
              <w:rPr>
                <w:sz w:val="15"/>
                <w:szCs w:val="15"/>
              </w:rPr>
              <w:t xml:space="preserve">Nineteen percent of first responses in the combination arm occurred after week 24 and one at week 54, while all sorafenib responses had occurred by week 24, and assessments moved from 6-weekly to 9-weekly at week 54, so the response comparison depends on how long patients remained under surveillance</w:t>
            </w:r>
          </w:p>
          <w:p>
            <w:pPr>
              <w:pStyle w:val="ListParagraph"/>
              <w:numPr>
                <w:ilvl w:val="0"/>
                <w:numId w:val="2"/>
              </w:numPr>
              <w:spacing w:after="45"/>
            </w:pPr>
            <w:r>
              <w:rPr>
                <w:sz w:val="15"/>
                <w:szCs w:val="15"/>
              </w:rPr>
              <w:t xml:space="preserve">Twenty-six percent of sorafenib patients received subsequent immunotherapy against 3 percent of combination patients, which the authors correctly note works against the result, but it also means the trial cannot address the sequencing question clinicians face</w:t>
            </w:r>
          </w:p>
          <w:p>
            <w:pPr>
              <w:pStyle w:val="ListParagraph"/>
              <w:numPr>
                <w:ilvl w:val="0"/>
                <w:numId w:val="2"/>
              </w:numPr>
              <w:spacing w:after="45"/>
            </w:pPr>
            <w:r>
              <w:rPr>
                <w:sz w:val="15"/>
                <w:szCs w:val="15"/>
              </w:rPr>
              <w:t xml:space="preserve">The statistical analyses are credited to four sponsor-affiliated authors, medical writing was provided by a Roche-funded agency, and individual patient data are available only through the sponsor's own criteria on a request platform</w:t>
            </w:r>
          </w:p>
          <w:p>
            <w:pPr>
              <w:pStyle w:val="ListParagraph"/>
              <w:numPr>
                <w:ilvl w:val="0"/>
                <w:numId w:val="2"/>
              </w:numPr>
              <w:spacing w:after="45"/>
            </w:pPr>
            <w:r>
              <w:rPr>
                <w:sz w:val="15"/>
                <w:szCs w:val="15"/>
              </w:rPr>
              <w:t xml:space="preserve">The abstract's claim that this is the longest median overall survival reported in a first-line phase 3 trial is a cross-trial comparison with no adjustment for population differences, offered in the same paragraph that notes the control arm outperformed other trials' controls</w:t>
            </w:r>
          </w:p>
        </w:tc>
      </w:tr>
    </w:tbl>
    <w:p>
      <w:pPr>
        <w:spacing w:after="0" w:line="276"/>
      </w:pPr>
      <w:r>
        <w:rPr>
          <w:color w:val="5A6069"/>
          <w:sz w:val="14"/>
          <w:szCs w:val="14"/>
        </w:rPr>
        <w:t xml:space="preserve">Funding: Funded by F. Hoffmann-La Roche/Genentech, which supplied the study drugs and collaborated with academic authors on design, data collection, analysis and interpretation; the statistical analyses are credited to four sponsor-affiliated authors, medical writing was Roche-funded, and all authors received support from Roche during the study</w:t>
      </w:r>
    </w:p>
    <w:p>
      <w:pPr>
        <w:keepNext/>
        <w:spacing w:after="50" w:before="260"/>
      </w:pPr>
      <w:r>
        <w:rPr>
          <w:rFonts w:ascii="Cambria" w:cs="Cambria" w:eastAsia="Cambria" w:hAnsi="Cambria"/>
          <w:b/>
          <w:bCs/>
          <w:color w:val="17365D"/>
          <w:sz w:val="20"/>
          <w:szCs w:val="20"/>
        </w:rPr>
        <w:t xml:space="preserve">KEYNOTE-394</w:t>
      </w:r>
      <w:r>
        <w:rPr>
          <w:b/>
          <w:bCs/>
          <w:color w:val="176A87"/>
          <w:sz w:val="15"/>
          <w:szCs w:val="15"/>
        </w:rPr>
        <w:t xml:space="preserve">   Randomised trial</w:t>
      </w:r>
      <w:r>
        <w:rPr>
          <w:color w:val="5A6069"/>
          <w:sz w:val="15"/>
          <w:szCs w:val="15"/>
        </w:rPr>
        <w:t xml:space="preserve">   PMID 36455168</w:t>
      </w:r>
    </w:p>
    <w:p>
      <w:pPr>
        <w:spacing w:after="50" w:line="276"/>
      </w:pPr>
      <w:r>
        <w:rPr>
          <w:color w:val="5A6069"/>
          <w:sz w:val="17"/>
          <w:szCs w:val="17"/>
        </w:rPr>
        <w:t xml:space="preserve">Pembrolizumab Versus Placebo as Second-Line Therapy in Patients From Asia With Advanced Hepatocellular Carcinoma: A Randomized, Double-Blind, Phase III Trial</w:t>
      </w:r>
    </w:p>
    <w:p>
      <w:pPr>
        <w:spacing w:after="50"/>
      </w:pPr>
      <w:r>
        <w:rPr>
          <w:b/>
          <w:bCs/>
          <w:color w:val="176A87"/>
          <w:sz w:val="16"/>
          <w:szCs w:val="16"/>
        </w:rPr>
        <w:t xml:space="preserve">Population. </w:t>
      </w:r>
      <w:r>
        <w:rPr>
          <w:sz w:val="16"/>
          <w:szCs w:val="16"/>
        </w:rPr>
        <w:t xml:space="preserve">453 patients from mainland China, Hong Kong, South Korea, Malaysia and Taiwan with Child-Pugh A advanced HCC who had progressed on or were intolerant of sorafenib or oxaliplatin-based chemotherapy, randomised 2:1 to pembrolizumab (300) or placebo (153); about 80 percent were hepatitis B positive, median age 54 years and over 90 percent BCLC stage C</w:t>
      </w:r>
    </w:p>
    <w:p>
      <w:pPr>
        <w:spacing w:after="70"/>
      </w:pPr>
      <w:r>
        <w:rPr>
          <w:b/>
          <w:bCs/>
          <w:color w:val="17365D"/>
          <w:sz w:val="16"/>
          <w:szCs w:val="16"/>
        </w:rPr>
        <w:t xml:space="preserve">Bottom line. </w:t>
      </w:r>
      <w:r>
        <w:rPr>
          <w:sz w:val="16"/>
          <w:szCs w:val="16"/>
        </w:rPr>
        <w:t xml:space="preserve">KEYNOTE-394 made second-line pembrolizumab formally positive in an Asian population, with median overall survival 14.6 against 13.0 months (HR 0.79, 95% CI 0.63 to 0.99, one-sided p = 0.0180 against a boundary of 0.0193) and a response rate of 12.7 against 1.3 percent. The hazard ratio is indistinguishable from the one that made the global KEYNOTE-240 trial negative, the median progression-free survival difference is 0.3 months, and the comparator is placebo after sorafenib, a sequence no longer used.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Fewer than 10 percent of patients had received oxaliplatin-based chemotherapy, which is not a globally approved first-line standard, and the authors list this as a limitation</w:t>
            </w:r>
          </w:p>
          <w:p>
            <w:pPr>
              <w:pStyle w:val="ListParagraph"/>
              <w:numPr>
                <w:ilvl w:val="0"/>
                <w:numId w:val="2"/>
              </w:numPr>
              <w:spacing w:after="45"/>
            </w:pPr>
            <w:r>
              <w:rPr>
                <w:sz w:val="15"/>
                <w:szCs w:val="15"/>
              </w:rPr>
              <w:t xml:space="preserve">The hepatitis C and non-viral subgroups were too small for meaningful analysis, with only six HCV-positive patients, two of them also HBV-positive</w:t>
            </w:r>
          </w:p>
          <w:p>
            <w:pPr>
              <w:pStyle w:val="ListParagraph"/>
              <w:numPr>
                <w:ilvl w:val="0"/>
                <w:numId w:val="2"/>
              </w:numPr>
              <w:spacing w:after="45"/>
            </w:pPr>
            <w:r>
              <w:rPr>
                <w:sz w:val="15"/>
                <w:szCs w:val="15"/>
              </w:rPr>
              <w:t xml:space="preserve">Post-study therapies may have attenuated the observed treatment effect, with 20.7 percent of pembrolizumab and 28.1 percent of placebo patients receiving a subsequent PD-1 or PD-L1 inhibitor</w:t>
            </w:r>
          </w:p>
          <w:p>
            <w:pPr>
              <w:pStyle w:val="ListParagraph"/>
              <w:numPr>
                <w:ilvl w:val="0"/>
                <w:numId w:val="2"/>
              </w:numPr>
              <w:spacing w:after="45"/>
            </w:pPr>
            <w:r>
              <w:rPr>
                <w:sz w:val="15"/>
                <w:szCs w:val="15"/>
              </w:rPr>
              <w:t xml:space="preserve">The authors note that the availability of second-line options in Asia at the time constrained post-study therapy, and that pembrolizumab was not approved in mainland China for HCC</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one-sided p value of 0.0180 sits 0.0013 below the prespecified boundary of 0.0193, so the trial's positive status depends on a margin narrower than the rounding in its own reported statistics; the post hoc unstratified sensitivity analysis gives a nominal p of 0.0156 with the same hazard ratio</w:t>
            </w:r>
          </w:p>
          <w:p>
            <w:pPr>
              <w:pStyle w:val="ListParagraph"/>
              <w:numPr>
                <w:ilvl w:val="0"/>
                <w:numId w:val="2"/>
              </w:numPr>
              <w:spacing w:after="45"/>
            </w:pPr>
            <w:r>
              <w:rPr>
                <w:sz w:val="15"/>
                <w:szCs w:val="15"/>
              </w:rPr>
              <w:t xml:space="preserve">The overall survival hazard ratio of 0.79 (0.63 to 0.99) is statistically indistinguishable from the 0.78 (0.61 to 1.00) that made the global KEYNOTE-240 trial negative, so the difference between a positive and a negative trial of the same drug in the same line is the alpha boundary rather than the effect, and the paper presents the similarity as corroboration</w:t>
            </w:r>
          </w:p>
          <w:p>
            <w:pPr>
              <w:pStyle w:val="ListParagraph"/>
              <w:numPr>
                <w:ilvl w:val="0"/>
                <w:numId w:val="2"/>
              </w:numPr>
              <w:spacing w:after="45"/>
            </w:pPr>
            <w:r>
              <w:rPr>
                <w:sz w:val="15"/>
                <w:szCs w:val="15"/>
              </w:rPr>
              <w:t xml:space="preserve">Median progression-free survival differs by 0.3 months (2.6 against 2.3) while the 12-month rates are 15.9 against 1.4 percent and the 18-month rates 11.8 against 0 percent, so the hazard ratio of 0.74 describes a tail of durable responders and conceals that most patients progress at the same time in both arms</w:t>
            </w:r>
          </w:p>
          <w:p>
            <w:pPr>
              <w:pStyle w:val="ListParagraph"/>
              <w:numPr>
                <w:ilvl w:val="0"/>
                <w:numId w:val="2"/>
              </w:numPr>
              <w:spacing w:after="45"/>
            </w:pPr>
            <w:r>
              <w:rPr>
                <w:sz w:val="15"/>
                <w:szCs w:val="15"/>
              </w:rPr>
              <w:t xml:space="preserve">The endpoints come from different datasets: progression-free survival and response were tested at the second interim analysis with a 30 June 2020 cutoff while overall survival is the final analysis a year later, and the abstract presents all three together as a single result</w:t>
            </w:r>
          </w:p>
          <w:p>
            <w:pPr>
              <w:pStyle w:val="ListParagraph"/>
              <w:numPr>
                <w:ilvl w:val="0"/>
                <w:numId w:val="2"/>
              </w:numPr>
              <w:spacing w:after="45"/>
            </w:pPr>
            <w:r>
              <w:rPr>
                <w:sz w:val="15"/>
                <w:szCs w:val="15"/>
              </w:rPr>
              <w:t xml:space="preserve">Randomisation strata were changed during enrolment, from prior treatment, macrovascular invasion and aetiology to macrovascular invasion, alpha-fetoprotein and region, and no sensitivity analysis using the original strata was performed because cells were too small</w:t>
            </w:r>
          </w:p>
          <w:p>
            <w:pPr>
              <w:pStyle w:val="ListParagraph"/>
              <w:numPr>
                <w:ilvl w:val="0"/>
                <w:numId w:val="2"/>
              </w:numPr>
              <w:spacing w:after="45"/>
            </w:pPr>
            <w:r>
              <w:rPr>
                <w:sz w:val="15"/>
                <w:szCs w:val="15"/>
              </w:rPr>
              <w:t xml:space="preserve">Aetiology was a stratification factor yet only six patients had hepatitis C, so one level of a balancing variable was effectively empty, and hepatitis status was taken from case-report forms on investigator assessment rather than central testing</w:t>
            </w:r>
          </w:p>
          <w:p>
            <w:pPr>
              <w:pStyle w:val="ListParagraph"/>
              <w:numPr>
                <w:ilvl w:val="0"/>
                <w:numId w:val="2"/>
              </w:numPr>
              <w:spacing w:after="45"/>
            </w:pPr>
            <w:r>
              <w:rPr>
                <w:sz w:val="15"/>
                <w:szCs w:val="15"/>
              </w:rPr>
              <w:t xml:space="preserve">Half the placebo arm and two thirds of the pembrolizumab arm received no further systemic therapy, and more placebo than pembrolizumab patients received subsequent checkpoint inhibition, so the control arm is neither untreated natural history nor contemporary care</w:t>
            </w:r>
          </w:p>
          <w:p>
            <w:pPr>
              <w:pStyle w:val="ListParagraph"/>
              <w:numPr>
                <w:ilvl w:val="0"/>
                <w:numId w:val="2"/>
              </w:numPr>
              <w:spacing w:after="45"/>
            </w:pPr>
            <w:r>
              <w:rPr>
                <w:sz w:val="15"/>
                <w:szCs w:val="15"/>
              </w:rPr>
              <w:t xml:space="preserve">Immune-mediated adverse events were adjudicated by sponsor review rather than by an independent committee, in a trial whose grade 5 treatment-related event rate was 1.0 percent against 0 percent on placebo</w:t>
            </w:r>
          </w:p>
          <w:p>
            <w:pPr>
              <w:pStyle w:val="ListParagraph"/>
              <w:numPr>
                <w:ilvl w:val="0"/>
                <w:numId w:val="2"/>
              </w:numPr>
              <w:spacing w:after="45"/>
            </w:pPr>
            <w:r>
              <w:rPr>
                <w:sz w:val="15"/>
                <w:szCs w:val="15"/>
              </w:rPr>
              <w:t xml:space="preserve">The population is narrow in ways that bear directly on transferability: about 85 percent from mainland China, roughly 80 percent hepatitis B positive, median age 54, all Child-Pugh A, and over 90 percent BCLC stage C</w:t>
            </w:r>
          </w:p>
          <w:p>
            <w:pPr>
              <w:pStyle w:val="ListParagraph"/>
              <w:numPr>
                <w:ilvl w:val="0"/>
                <w:numId w:val="2"/>
              </w:numPr>
              <w:spacing w:after="45"/>
            </w:pPr>
            <w:r>
              <w:rPr>
                <w:sz w:val="15"/>
                <w:szCs w:val="15"/>
              </w:rPr>
              <w:t xml:space="preserve">Roughly 80 percent of patients were enrolled in a country where the drug was not approved for this indication at publication, so the trial established a benefit the trial population could not then obtain</w:t>
            </w:r>
          </w:p>
          <w:p>
            <w:pPr>
              <w:pStyle w:val="ListParagraph"/>
              <w:numPr>
                <w:ilvl w:val="0"/>
                <w:numId w:val="2"/>
              </w:numPr>
              <w:spacing w:after="45"/>
            </w:pPr>
            <w:r>
              <w:rPr>
                <w:sz w:val="15"/>
                <w:szCs w:val="15"/>
              </w:rPr>
              <w:t xml:space="preserve">The comparator is placebo plus best supportive care after sorafenib, so the trial says nothing about single-agent PD-1 blockade after a first-line immunotherapy combination, which is the only sequence now in question</w:t>
            </w:r>
          </w:p>
        </w:tc>
      </w:tr>
    </w:tbl>
    <w:p>
      <w:pPr>
        <w:spacing w:after="0" w:line="276"/>
      </w:pPr>
      <w:r>
        <w:rPr>
          <w:color w:val="5A6069"/>
          <w:sz w:val="14"/>
          <w:szCs w:val="14"/>
        </w:rPr>
        <w:t xml:space="preserve">Funding: Sponsored by Merck Sharp and Dohme, with company employees among the authors and company-funded medical writing; immune-mediated adverse events were adjudicated by sponsor review</w:t>
      </w:r>
    </w:p>
    <w:p>
      <w:pPr>
        <w:keepNext/>
        <w:spacing w:after="50" w:before="260"/>
      </w:pPr>
      <w:r>
        <w:rPr>
          <w:rFonts w:ascii="Cambria" w:cs="Cambria" w:eastAsia="Cambria" w:hAnsi="Cambria"/>
          <w:b/>
          <w:bCs/>
          <w:color w:val="17365D"/>
          <w:sz w:val="20"/>
          <w:szCs w:val="20"/>
        </w:rPr>
        <w:t xml:space="preserve">LEAP-012</w:t>
      </w:r>
      <w:r>
        <w:rPr>
          <w:b/>
          <w:bCs/>
          <w:color w:val="176A87"/>
          <w:sz w:val="15"/>
          <w:szCs w:val="15"/>
        </w:rPr>
        <w:t xml:space="preserve">   Randomised trial</w:t>
      </w:r>
      <w:r>
        <w:rPr>
          <w:color w:val="5A6069"/>
          <w:sz w:val="15"/>
          <w:szCs w:val="15"/>
        </w:rPr>
        <w:t xml:space="preserve">   PMID 39798578</w:t>
      </w:r>
    </w:p>
    <w:p>
      <w:pPr>
        <w:spacing w:after="50" w:line="276"/>
      </w:pPr>
      <w:r>
        <w:rPr>
          <w:color w:val="5A6069"/>
          <w:sz w:val="17"/>
          <w:szCs w:val="17"/>
        </w:rPr>
        <w:t xml:space="preserve">Transarterial chemoembolisation combined with lenvatinib plus pembrolizumab versus dual placebo for unresectable, non-metastatic hepatocellular carcinoma (LEAP-012): a multicentre, randomised, double-blind, phase 3 study</w:t>
      </w:r>
    </w:p>
    <w:p>
      <w:pPr>
        <w:spacing w:after="50"/>
      </w:pPr>
      <w:r>
        <w:rPr>
          <w:b/>
          <w:bCs/>
          <w:color w:val="176A87"/>
          <w:sz w:val="16"/>
          <w:szCs w:val="16"/>
        </w:rPr>
        <w:t xml:space="preserve">Population. </w:t>
      </w:r>
      <w:r>
        <w:rPr>
          <w:sz w:val="16"/>
          <w:szCs w:val="16"/>
        </w:rPr>
        <w:t xml:space="preserve">480 of 847 screened patients with liver-confined unresectable HCC amenable to chemoembolisation, Child-Pugh A and ECOG 0 to 1, randomised 1:1 at 137 sites in 33 countries between May 2020 and January 2023 to lenvatinib plus pembrolizumab plus TACE (237) or dual placebo plus TACE (243); by BCLC stage 148 were A, 281 B and 50 C, and 72 percent were Asian</w:t>
      </w:r>
    </w:p>
    <w:p>
      <w:pPr>
        <w:spacing w:after="70"/>
      </w:pPr>
      <w:r>
        <w:rPr>
          <w:b/>
          <w:bCs/>
          <w:color w:val="17365D"/>
          <w:sz w:val="16"/>
          <w:szCs w:val="16"/>
        </w:rPr>
        <w:t xml:space="preserve">Bottom line. </w:t>
      </w:r>
      <w:r>
        <w:rPr>
          <w:sz w:val="16"/>
          <w:szCs w:val="16"/>
        </w:rPr>
        <w:t xml:space="preserve">LEAP-012 is the first trial to show that adding lenvatinib and pembrolizumab to chemoembolisation prolongs progression-free survival in liver-confined HCC (median 14.6 against 10.0 months, HR 0.66). Overall survival missed its boundary (HR 0.80, 95% CI 0.57 to 1.11, one-sided p = 0.087), the progression definition was written for this trial and lowers the placebo median when relaxed, and grade 3 or worse treatment-related events were 71 against 32 percent in a population nearly a third of whom were BCLC stage A.</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Overall survival was immature at this first interim analysis and did not cross its boundary, which the authors state</w:t>
            </w:r>
          </w:p>
          <w:p>
            <w:pPr>
              <w:pStyle w:val="ListParagraph"/>
              <w:numPr>
                <w:ilvl w:val="0"/>
                <w:numId w:val="2"/>
              </w:numPr>
              <w:spacing w:after="45"/>
            </w:pPr>
            <w:r>
              <w:rPr>
                <w:sz w:val="15"/>
                <w:szCs w:val="15"/>
              </w:rPr>
              <w:t xml:space="preserve">The planned sample size was reduced from 950 to 450 because of slow accrual during the COVID-19 pandemic, leaving about 79 percent power for the overall survival hazard ratio of 0.73 even at the final analysis</w:t>
            </w:r>
          </w:p>
          <w:p>
            <w:pPr>
              <w:pStyle w:val="ListParagraph"/>
              <w:numPr>
                <w:ilvl w:val="0"/>
                <w:numId w:val="2"/>
              </w:numPr>
              <w:spacing w:after="45"/>
            </w:pPr>
            <w:r>
              <w:rPr>
                <w:sz w:val="15"/>
                <w:szCs w:val="15"/>
              </w:rPr>
              <w:t xml:space="preserve">Transarterial radioembolisation was not permitted, so the control arm reflects chemoembolisation-dominant practice and the findings cannot be extended to radioembolisation</w:t>
            </w:r>
          </w:p>
          <w:p>
            <w:pPr>
              <w:pStyle w:val="ListParagraph"/>
              <w:numPr>
                <w:ilvl w:val="0"/>
                <w:numId w:val="2"/>
              </w:numPr>
              <w:spacing w:after="45"/>
            </w:pPr>
            <w:r>
              <w:rPr>
                <w:sz w:val="15"/>
                <w:szCs w:val="15"/>
              </w:rPr>
              <w:t xml:space="preserve">Race data could not be collected for 11 participants because participants in France cannot report race under local law</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Progression was defined for this trial in ways that lengthen time to progression in both arms but bite harder on the control: up to five target liver lesions, new intrahepatic tumours required to meet LI-RADS 5 criteria, no progression recordable before the 9-week scan and none determined until chemoembolisation had reached all tumours; without the LI-RADS rule the placebo median falls to 8.4 months and most of the reported difference disappears</w:t>
            </w:r>
          </w:p>
          <w:p>
            <w:pPr>
              <w:pStyle w:val="ListParagraph"/>
              <w:numPr>
                <w:ilvl w:val="0"/>
                <w:numId w:val="2"/>
              </w:numPr>
              <w:spacing w:after="45"/>
            </w:pPr>
            <w:r>
              <w:rPr>
                <w:sz w:val="15"/>
                <w:szCs w:val="15"/>
              </w:rPr>
              <w:t xml:space="preserve">The trial is positive on a progression endpoint of its own construction while overall survival, the dual primary endpoint, missed its boundary at a hazard ratio of 0.80 whose confidence interval crosses 1, so nothing yet shows that patients live longer</w:t>
            </w:r>
          </w:p>
          <w:p>
            <w:pPr>
              <w:pStyle w:val="ListParagraph"/>
              <w:numPr>
                <w:ilvl w:val="0"/>
                <w:numId w:val="2"/>
              </w:numPr>
              <w:spacing w:after="45"/>
            </w:pPr>
            <w:r>
              <w:rPr>
                <w:sz w:val="15"/>
                <w:szCs w:val="15"/>
              </w:rPr>
              <w:t xml:space="preserve">Nearly a third of participants were BCLC stage A and a further 10 percent stage C, so fewer than 60 percent had the intermediate-stage disease for which chemoembolisation is indicated, and the stage A patients were exposed to the full toxicity of a doublet systemic regimen</w:t>
            </w:r>
          </w:p>
          <w:p>
            <w:pPr>
              <w:pStyle w:val="ListParagraph"/>
              <w:numPr>
                <w:ilvl w:val="0"/>
                <w:numId w:val="2"/>
              </w:numPr>
              <w:spacing w:after="45"/>
            </w:pPr>
            <w:r>
              <w:rPr>
                <w:sz w:val="15"/>
                <w:szCs w:val="15"/>
              </w:rPr>
              <w:t xml:space="preserve">Grade 3 or worse treatment-related events occurred in 71 against 32 percent, immune-mediated events in 48 percent, and there were four treatment-related deaths including hepatic failure and immune-mediated hepatitis, in a population whose disease is confined to the liver and in whom curative options may remain</w:t>
            </w:r>
          </w:p>
          <w:p>
            <w:pPr>
              <w:pStyle w:val="ListParagraph"/>
              <w:numPr>
                <w:ilvl w:val="0"/>
                <w:numId w:val="2"/>
              </w:numPr>
              <w:spacing w:after="45"/>
            </w:pPr>
            <w:r>
              <w:rPr>
                <w:sz w:val="15"/>
                <w:szCs w:val="15"/>
              </w:rPr>
              <w:t xml:space="preserve">Chemoembolisation technique was prespecified by site and could be conventional or drug-eluting bead, with split procedures allowed and a maximum of two treatments per tumour, so the control intervention is heterogeneous across 137 sites and its quality cannot be audited from the report</w:t>
            </w:r>
          </w:p>
          <w:p>
            <w:pPr>
              <w:pStyle w:val="ListParagraph"/>
              <w:numPr>
                <w:ilvl w:val="0"/>
                <w:numId w:val="2"/>
              </w:numPr>
              <w:spacing w:after="45"/>
            </w:pPr>
            <w:r>
              <w:rPr>
                <w:sz w:val="15"/>
                <w:szCs w:val="15"/>
              </w:rPr>
              <w:t xml:space="preserve">Seventy-two percent of participants were Asian and 65 percent had hepatitis B, so the population does not match the metabolic and alcohol-related disease that dominates Western chemoembolisation practice</w:t>
            </w:r>
          </w:p>
          <w:p>
            <w:pPr>
              <w:pStyle w:val="ListParagraph"/>
              <w:numPr>
                <w:ilvl w:val="0"/>
                <w:numId w:val="2"/>
              </w:numPr>
              <w:spacing w:after="45"/>
            </w:pPr>
            <w:r>
              <w:rPr>
                <w:sz w:val="15"/>
                <w:szCs w:val="15"/>
              </w:rPr>
              <w:t xml:space="preserve">Patient-reported outcomes and quality of life are not reported, which is what would justify a progression-free survival endpoint at these rates of toxicity</w:t>
            </w:r>
          </w:p>
          <w:p>
            <w:pPr>
              <w:pStyle w:val="ListParagraph"/>
              <w:numPr>
                <w:ilvl w:val="0"/>
                <w:numId w:val="2"/>
              </w:numPr>
              <w:spacing w:after="45"/>
            </w:pPr>
            <w:r>
              <w:rPr>
                <w:sz w:val="15"/>
                <w:szCs w:val="15"/>
              </w:rPr>
              <w:t xml:space="preserve">The result is the first of four planned interim analyses, final for progression-free survival only, so the trial's own structure means the progression endpoint can no longer be tested while survival testing continues</w:t>
            </w:r>
          </w:p>
          <w:p>
            <w:pPr>
              <w:pStyle w:val="ListParagraph"/>
              <w:numPr>
                <w:ilvl w:val="0"/>
                <w:numId w:val="2"/>
              </w:numPr>
              <w:spacing w:after="45"/>
            </w:pPr>
            <w:r>
              <w:rPr>
                <w:sz w:val="15"/>
                <w:szCs w:val="15"/>
              </w:rPr>
              <w:t xml:space="preserve">The funders designed the study, collected and analysed the data, interpreted it and wrote the report, and the paper's own running header misprints the publication year</w:t>
            </w:r>
          </w:p>
          <w:p>
            <w:pPr>
              <w:pStyle w:val="ListParagraph"/>
              <w:numPr>
                <w:ilvl w:val="0"/>
                <w:numId w:val="2"/>
              </w:numPr>
              <w:spacing w:after="45"/>
            </w:pPr>
            <w:r>
              <w:rPr>
                <w:sz w:val="15"/>
                <w:szCs w:val="15"/>
              </w:rPr>
              <w:t xml:space="preserve">There is no arm receiving systemic therapy without chemoembolisation, so the question a tumour board faces for a patient with high tumour burden, whether to add chemoembolisation to systemic therapy rather than the reverse, is untouched</w:t>
            </w:r>
          </w:p>
        </w:tc>
      </w:tr>
    </w:tbl>
    <w:p>
      <w:pPr>
        <w:spacing w:after="0" w:line="276"/>
      </w:pPr>
      <w:r>
        <w:rPr>
          <w:color w:val="5A6069"/>
          <w:sz w:val="14"/>
          <w:szCs w:val="14"/>
        </w:rPr>
        <w:t xml:space="preserve">Funding: Funded by Merck Sharp and Dohme and Eisai, which had a declared role in study design, data collection, analysis, interpretation and writing of the report</w:t>
      </w:r>
    </w:p>
    <w:p>
      <w:pPr>
        <w:keepNext/>
        <w:spacing w:after="50" w:before="260"/>
      </w:pPr>
      <w:r>
        <w:rPr>
          <w:rFonts w:ascii="Cambria" w:cs="Cambria" w:eastAsia="Cambria" w:hAnsi="Cambria"/>
          <w:b/>
          <w:bCs/>
          <w:color w:val="17365D"/>
          <w:sz w:val="20"/>
          <w:szCs w:val="20"/>
        </w:rPr>
        <w:t xml:space="preserve">LEAP-012 / EMERALD-1 commentary</w:t>
      </w:r>
      <w:r>
        <w:rPr>
          <w:b/>
          <w:bCs/>
          <w:color w:val="176A87"/>
          <w:sz w:val="15"/>
          <w:szCs w:val="15"/>
        </w:rPr>
        <w:t xml:space="preserve">   Review</w:t>
      </w:r>
      <w:r>
        <w:rPr>
          <w:color w:val="5A6069"/>
          <w:sz w:val="15"/>
          <w:szCs w:val="15"/>
        </w:rPr>
        <w:t xml:space="preserve">   PMID 41503570</w:t>
      </w:r>
    </w:p>
    <w:p>
      <w:pPr>
        <w:spacing w:after="50" w:line="276"/>
      </w:pPr>
      <w:r>
        <w:rPr>
          <w:color w:val="5A6069"/>
          <w:sz w:val="17"/>
          <w:szCs w:val="17"/>
        </w:rPr>
        <w:t xml:space="preserve">Impact of LEAP-012 and EMERALD-1 in the management of HCC</w:t>
      </w:r>
    </w:p>
    <w:p>
      <w:pPr>
        <w:spacing w:after="70"/>
      </w:pPr>
      <w:r>
        <w:rPr>
          <w:b/>
          <w:bCs/>
          <w:color w:val="17365D"/>
          <w:sz w:val="16"/>
          <w:szCs w:val="16"/>
        </w:rPr>
        <w:t xml:space="preserve">Bottom line. </w:t>
      </w:r>
      <w:r>
        <w:rPr>
          <w:sz w:val="16"/>
          <w:szCs w:val="16"/>
        </w:rPr>
        <w:t xml:space="preserve">A narrative review by two interventional radiologists, a hepatologist and a medical oncologist arguing that the progression-free survival gains in LEAP-012 and EMERALD-1 do not yet justify routine adoption of chemoembolisation plus immunotherapy without survival or quality-of-life data. Its most useful observation is that over 40 percent of each trial lay outside intermediate stage and that neither trial had a systemic-therapy-only arm, so the question of whether to add chemoembolisation to systemic therapy remains unasked.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Both trials enrolled heterogeneous populations spanning BCLC A to C, which the authors say may limit applicability to a well-defined intermediate-stage population</w:t>
            </w:r>
          </w:p>
          <w:p>
            <w:pPr>
              <w:pStyle w:val="ListParagraph"/>
              <w:numPr>
                <w:ilvl w:val="0"/>
                <w:numId w:val="2"/>
              </w:numPr>
              <w:spacing w:after="45"/>
            </w:pPr>
            <w:r>
              <w:rPr>
                <w:sz w:val="15"/>
                <w:szCs w:val="15"/>
              </w:rPr>
              <w:t xml:space="preserve">The authors note that BCLC A patients have a favourable prognosis and that the medicalisation required by these regimens may have conferred undue risk without commensurate benefit</w:t>
            </w:r>
          </w:p>
          <w:p>
            <w:pPr>
              <w:pStyle w:val="ListParagraph"/>
              <w:numPr>
                <w:ilvl w:val="0"/>
                <w:numId w:val="2"/>
              </w:numPr>
              <w:spacing w:after="45"/>
            </w:pPr>
            <w:r>
              <w:rPr>
                <w:sz w:val="15"/>
                <w:szCs w:val="15"/>
              </w:rPr>
              <w:t xml:space="preserve">Neither trial addressed whether adding locoregional therapy to systemic therapy improves outcomes, only the reverse</w:t>
            </w:r>
          </w:p>
          <w:p>
            <w:pPr>
              <w:pStyle w:val="ListParagraph"/>
              <w:numPr>
                <w:ilvl w:val="0"/>
                <w:numId w:val="2"/>
              </w:numPr>
              <w:spacing w:after="45"/>
            </w:pPr>
            <w:r>
              <w:rPr>
                <w:sz w:val="15"/>
                <w:szCs w:val="15"/>
              </w:rPr>
              <w:t xml:space="preserve">Chemoembolisation modality, technique and selectivity were variably reported in both trials</w:t>
            </w:r>
          </w:p>
          <w:p>
            <w:pPr>
              <w:pStyle w:val="ListParagraph"/>
              <w:numPr>
                <w:ilvl w:val="0"/>
                <w:numId w:val="2"/>
              </w:numPr>
              <w:spacing w:after="45"/>
            </w:pPr>
            <w:r>
              <w:rPr>
                <w:sz w:val="15"/>
                <w:szCs w:val="15"/>
              </w:rPr>
              <w:t xml:space="preserve">Delayed initiation of bevacizumab in EMERALD-1 may have blunted its effect</w:t>
            </w:r>
          </w:p>
          <w:p>
            <w:pPr>
              <w:pStyle w:val="ListParagraph"/>
              <w:numPr>
                <w:ilvl w:val="0"/>
                <w:numId w:val="2"/>
              </w:numPr>
              <w:spacing w:after="45"/>
            </w:pPr>
            <w:r>
              <w:rPr>
                <w:sz w:val="15"/>
                <w:szCs w:val="15"/>
              </w:rPr>
              <w:t xml:space="preserve">Progression-free survival is not a validated surrogate for overall survival in this setting</w:t>
            </w:r>
          </w:p>
          <w:p>
            <w:pPr>
              <w:pStyle w:val="ListParagraph"/>
              <w:numPr>
                <w:ilvl w:val="0"/>
                <w:numId w:val="2"/>
              </w:numPr>
              <w:spacing w:after="45"/>
            </w:pPr>
            <w:r>
              <w:rPr>
                <w:sz w:val="15"/>
                <w:szCs w:val="15"/>
              </w:rPr>
              <w:t xml:space="preserve">Quality-of-life data had not been reported for either trial at the time of writing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review is an expert narrative with no systematic search, no inclusion criteria and no evidence grading, so its appraisal cannot be separated from the judgment of its four authors</w:t>
            </w:r>
          </w:p>
          <w:p>
            <w:pPr>
              <w:pStyle w:val="ListParagraph"/>
              <w:numPr>
                <w:ilvl w:val="0"/>
                <w:numId w:val="2"/>
              </w:numPr>
              <w:spacing w:after="45"/>
            </w:pPr>
            <w:r>
              <w:rPr>
                <w:sz w:val="15"/>
                <w:szCs w:val="15"/>
              </w:rPr>
              <w:t xml:space="preserve">All four authors declare consultancy or advisory relationships with the manufacturers of both regimens under review, so the only published independent-sounding appraisal of these trials is written by people paid by their sponsors</w:t>
            </w:r>
          </w:p>
          <w:p>
            <w:pPr>
              <w:pStyle w:val="ListParagraph"/>
              <w:numPr>
                <w:ilvl w:val="0"/>
                <w:numId w:val="2"/>
              </w:numPr>
              <w:spacing w:after="45"/>
            </w:pPr>
            <w:r>
              <w:rPr>
                <w:sz w:val="15"/>
                <w:szCs w:val="15"/>
              </w:rPr>
              <w:t xml:space="preserve">The review disclaims cross-trial comparison and then tabulates the two trials side by side, although they differ in eligibility (Child-Pugh B7 and Vp1 to Vp2 invasion allowed in one and excluded in the other), in chemoembolisation schedule and in the sequencing of the systemic agents, so the table invites the comparison the text forbids</w:t>
            </w:r>
          </w:p>
          <w:p>
            <w:pPr>
              <w:pStyle w:val="ListParagraph"/>
              <w:numPr>
                <w:ilvl w:val="0"/>
                <w:numId w:val="2"/>
              </w:numPr>
              <w:spacing w:after="45"/>
            </w:pPr>
            <w:r>
              <w:rPr>
                <w:sz w:val="15"/>
                <w:szCs w:val="15"/>
              </w:rPr>
              <w:t xml:space="preserve">The RECIST version 1.1 response figures are internally inconsistent across the paper: Table 1 gives 44 against 30 percent and 47 against 37 percent, the body text gives 41.0, 43.6 and 29.8 percent and 47 against 33 percent, and Figure 2 gives 43.6 against 29.6 and 46.8 against 33.3 percent, so a reader cannot establish from the review what either trial's response rate was</w:t>
            </w:r>
          </w:p>
          <w:p>
            <w:pPr>
              <w:pStyle w:val="ListParagraph"/>
              <w:numPr>
                <w:ilvl w:val="0"/>
                <w:numId w:val="2"/>
              </w:numPr>
              <w:spacing w:after="45"/>
            </w:pPr>
            <w:r>
              <w:rPr>
                <w:sz w:val="15"/>
                <w:szCs w:val="15"/>
              </w:rPr>
              <w:t xml:space="preserve">Figure 2's own panel misprints the progression-free survival confidence interval as 12.6 to 10.0 and the hazard ratio confidence interval as 0.15 to 0.84, neither of which is a possible interval</w:t>
            </w:r>
          </w:p>
          <w:p>
            <w:pPr>
              <w:pStyle w:val="ListParagraph"/>
              <w:numPr>
                <w:ilvl w:val="0"/>
                <w:numId w:val="2"/>
              </w:numPr>
              <w:spacing w:after="45"/>
            </w:pPr>
            <w:r>
              <w:rPr>
                <w:sz w:val="15"/>
                <w:szCs w:val="15"/>
              </w:rPr>
              <w:t xml:space="preserve">The review states that quality-of-life data are needed to justify a progression-free survival endpoint at these toxicity rates and then reaches a practice conclusion without them, so its own standard of evidence is not met by its own recommendation</w:t>
            </w:r>
          </w:p>
          <w:p>
            <w:pPr>
              <w:pStyle w:val="ListParagraph"/>
              <w:numPr>
                <w:ilvl w:val="0"/>
                <w:numId w:val="2"/>
              </w:numPr>
              <w:spacing w:after="45"/>
            </w:pPr>
            <w:r>
              <w:rPr>
                <w:sz w:val="15"/>
                <w:szCs w:val="15"/>
              </w:rPr>
              <w:t xml:space="preserve">The alternative it raises, giving the same drugs sequentially after progression rather than concurrently, is never tested against any data, and no trial addressing it is identified</w:t>
            </w:r>
          </w:p>
          <w:p>
            <w:pPr>
              <w:pStyle w:val="ListParagraph"/>
              <w:numPr>
                <w:ilvl w:val="0"/>
                <w:numId w:val="2"/>
              </w:numPr>
              <w:spacing w:after="45"/>
            </w:pPr>
            <w:r>
              <w:rPr>
                <w:sz w:val="15"/>
                <w:szCs w:val="15"/>
              </w:rPr>
              <w:t xml:space="preserve">The review takes the regulatory approval of both regimens as the context for its scepticism but offers no analysis of the regulatory reasoning, so the reader is left with a disagreement between the authors and the agencies rather than an argument that settles it</w:t>
            </w:r>
          </w:p>
          <w:p>
            <w:pPr>
              <w:pStyle w:val="ListParagraph"/>
              <w:numPr>
                <w:ilvl w:val="0"/>
                <w:numId w:val="2"/>
              </w:numPr>
              <w:spacing w:after="45"/>
            </w:pPr>
            <w:r>
              <w:rPr>
                <w:sz w:val="15"/>
                <w:szCs w:val="15"/>
              </w:rPr>
              <w:t xml:space="preserve">No formal assessment of either trial's risk of bias is attempted, in a review whose central claim is that the trials' endpoints are insufficient</w:t>
            </w:r>
          </w:p>
        </w:tc>
      </w:tr>
    </w:tbl>
    <w:p>
      <w:pPr>
        <w:spacing w:after="0" w:line="276"/>
      </w:pPr>
      <w:r>
        <w:rPr>
          <w:color w:val="5A6069"/>
          <w:sz w:val="14"/>
          <w:szCs w:val="14"/>
        </w:rPr>
        <w:t xml:space="preserve">Funding: No funding statement is identified for the review; all four authors declare consultancy or advisory relationships with the sponsors of the regimens reviewed, including AstraZeneca, Merck, Eisai, Genentech and Boston Scientific</w:t>
      </w:r>
    </w:p>
    <w:p>
      <w:pPr>
        <w:keepNext/>
        <w:spacing w:after="50" w:before="260"/>
      </w:pPr>
      <w:r>
        <w:rPr>
          <w:rFonts w:ascii="Cambria" w:cs="Cambria" w:eastAsia="Cambria" w:hAnsi="Cambria"/>
          <w:b/>
          <w:bCs/>
          <w:color w:val="17365D"/>
          <w:sz w:val="20"/>
          <w:szCs w:val="20"/>
        </w:rPr>
        <w:t xml:space="preserve">LEGACY</w:t>
      </w:r>
      <w:r>
        <w:rPr>
          <w:b/>
          <w:bCs/>
          <w:color w:val="176A87"/>
          <w:sz w:val="15"/>
          <w:szCs w:val="15"/>
        </w:rPr>
        <w:t xml:space="preserve">   cohort</w:t>
      </w:r>
      <w:r>
        <w:rPr>
          <w:color w:val="5A6069"/>
          <w:sz w:val="15"/>
          <w:szCs w:val="15"/>
        </w:rPr>
        <w:t xml:space="preserve">   PMID 33739462</w:t>
      </w:r>
    </w:p>
    <w:p>
      <w:pPr>
        <w:spacing w:after="50" w:line="276"/>
      </w:pPr>
      <w:r>
        <w:rPr>
          <w:color w:val="5A6069"/>
          <w:sz w:val="17"/>
          <w:szCs w:val="17"/>
        </w:rPr>
        <w:t xml:space="preserve">Yttrium-90 Radioembolization for the Treatment of Solitary, Unresectable HCC: The LEGACY Study</w:t>
      </w:r>
    </w:p>
    <w:p>
      <w:pPr>
        <w:spacing w:after="50"/>
      </w:pPr>
      <w:r>
        <w:rPr>
          <w:b/>
          <w:bCs/>
          <w:color w:val="176A87"/>
          <w:sz w:val="16"/>
          <w:szCs w:val="16"/>
        </w:rPr>
        <w:t xml:space="preserve">Population. </w:t>
      </w:r>
      <w:r>
        <w:rPr>
          <w:sz w:val="16"/>
          <w:szCs w:val="16"/>
        </w:rPr>
        <w:t xml:space="preserve">162 consecutive patients with a solitary HCC of 8 cm or less and Child-Pugh A cirrhosis treated with Y-90 glass microspheres at three US centres between January 2014 and December 2017; median tumour diameter 2.7 cm with 62 percent under 3 cm, median absorbed dose 410 Gy, and 45 patients (28 percent) subsequently transplanted or resected</w:t>
      </w:r>
    </w:p>
    <w:p>
      <w:pPr>
        <w:spacing w:after="70"/>
      </w:pPr>
      <w:r>
        <w:rPr>
          <w:b/>
          <w:bCs/>
          <w:color w:val="17365D"/>
          <w:sz w:val="16"/>
          <w:szCs w:val="16"/>
        </w:rPr>
        <w:t xml:space="preserve">Bottom line. </w:t>
      </w:r>
      <w:r>
        <w:rPr>
          <w:sz w:val="16"/>
          <w:szCs w:val="16"/>
        </w:rPr>
        <w:t xml:space="preserve">LEGACY is the retrospective single-arm series that supported FDA premarket approval of TheraSphere for solitary unresectable HCC, reporting an 88.3 percent objective response by localised mRECIST with 62.2 percent lasting at least 6 months and 3-year survival of 86.6 percent. It has no comparator, the primary endpoint scores only the treated zone and falls to 46.3 percent by RECIST 1.1, and 28 percent of patients went on to transplantation or resection.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lack of a control arm and limited sample size compared with systemic therapy trials, all stated by the authors</w:t>
            </w:r>
          </w:p>
          <w:p>
            <w:pPr>
              <w:pStyle w:val="ListParagraph"/>
              <w:numPr>
                <w:ilvl w:val="0"/>
                <w:numId w:val="2"/>
              </w:numPr>
              <w:spacing w:after="45"/>
            </w:pPr>
            <w:r>
              <w:rPr>
                <w:sz w:val="15"/>
                <w:szCs w:val="15"/>
              </w:rPr>
              <w:t xml:space="preserve">The authors state that overall survival could have been a primary endpoint but that BCLC A studies are difficult because of the long natural history and effective post-progression treatments, so a surrogate was used</w:t>
            </w:r>
          </w:p>
          <w:p>
            <w:pPr>
              <w:pStyle w:val="ListParagraph"/>
              <w:numPr>
                <w:ilvl w:val="0"/>
                <w:numId w:val="2"/>
              </w:numPr>
              <w:spacing w:after="45"/>
            </w:pPr>
            <w:r>
              <w:rPr>
                <w:sz w:val="15"/>
                <w:szCs w:val="15"/>
              </w:rPr>
              <w:t xml:space="preserve">The authors note that 39.5 percent of patients were classed BCLC C only because of an ECOG score of 1 from cancer-related symptoms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localised mRECIST, scores only the treated zone, which near-guarantees a high figure for an ablative segmental dose; the same patients show 46.3 percent confirmed response by RECIST 1.1, so the headline number is a property of the metric as much as of the treatment</w:t>
            </w:r>
          </w:p>
          <w:p>
            <w:pPr>
              <w:pStyle w:val="ListParagraph"/>
              <w:numPr>
                <w:ilvl w:val="0"/>
                <w:numId w:val="2"/>
              </w:numPr>
              <w:spacing w:after="45"/>
            </w:pPr>
            <w:r>
              <w:rPr>
                <w:sz w:val="15"/>
                <w:szCs w:val="15"/>
              </w:rPr>
              <w:t xml:space="preserve">Twenty-eight percent of patients went on to transplantation or resection, so the 3-year survival of 86.6 percent cannot be attributed to radioembolisation and the paper reports no analysis censoring or excluding those patients</w:t>
            </w:r>
          </w:p>
          <w:p>
            <w:pPr>
              <w:pStyle w:val="ListParagraph"/>
              <w:numPr>
                <w:ilvl w:val="0"/>
                <w:numId w:val="2"/>
              </w:numPr>
              <w:spacing w:after="45"/>
            </w:pPr>
            <w:r>
              <w:rPr>
                <w:sz w:val="15"/>
                <w:szCs w:val="15"/>
              </w:rPr>
              <w:t xml:space="preserve">The population is selected on every axis that favours the result: solitary tumour, Child-Pugh A only, no prior therapy, no vascular invasion, median diameter 2.7 cm and nearly two thirds under 3 cm, which is the size range in which thermal ablation is already curative</w:t>
            </w:r>
          </w:p>
          <w:p>
            <w:pPr>
              <w:pStyle w:val="ListParagraph"/>
              <w:numPr>
                <w:ilvl w:val="0"/>
                <w:numId w:val="2"/>
              </w:numPr>
              <w:spacing w:after="45"/>
            </w:pPr>
            <w:r>
              <w:rPr>
                <w:sz w:val="15"/>
                <w:szCs w:val="15"/>
              </w:rPr>
              <w:t xml:space="preserve">The 400 Gy threshold dose the paper proposes for an ablative effect comes from a subset dose-pathology correlation within this same uncontrolled cohort, so a dose threshold is derived and endorsed in the series that generated it</w:t>
            </w:r>
          </w:p>
          <w:p>
            <w:pPr>
              <w:pStyle w:val="ListParagraph"/>
              <w:numPr>
                <w:ilvl w:val="0"/>
                <w:numId w:val="2"/>
              </w:numPr>
              <w:spacing w:after="45"/>
            </w:pPr>
            <w:r>
              <w:rPr>
                <w:sz w:val="15"/>
                <w:szCs w:val="15"/>
              </w:rPr>
              <w:t xml:space="preserve">Two of the reported figures are internally impossible as printed, a median progression-free survival given as 57.9 percent with a confidence interval of 40.7 to 57.9 and a median overall survival given as reached at 57.9 with a confidence interval of not estimable to not estimable</w:t>
            </w:r>
          </w:p>
          <w:p>
            <w:pPr>
              <w:pStyle w:val="ListParagraph"/>
              <w:numPr>
                <w:ilvl w:val="0"/>
                <w:numId w:val="2"/>
              </w:numPr>
              <w:spacing w:after="45"/>
            </w:pPr>
            <w:r>
              <w:rPr>
                <w:sz w:val="15"/>
                <w:szCs w:val="15"/>
              </w:rPr>
              <w:t xml:space="preserve">The Discussion imports the DOSISPHERE-01 survival figures of 26.6 against 10.7 months to argue for personalised dosimetry, which belong to a different trial in locally advanced disease and not to this cohort</w:t>
            </w:r>
          </w:p>
          <w:p>
            <w:pPr>
              <w:pStyle w:val="ListParagraph"/>
              <w:numPr>
                <w:ilvl w:val="0"/>
                <w:numId w:val="2"/>
              </w:numPr>
              <w:spacing w:after="45"/>
            </w:pPr>
            <w:r>
              <w:rPr>
                <w:sz w:val="15"/>
                <w:szCs w:val="15"/>
              </w:rPr>
              <w:t xml:space="preserve">A single-arm retrospective series became the basis of a premarket approval, so the device's approved indication rests on a design that cannot compare it with ablation, resection or chemoembolisation in the same patients</w:t>
            </w:r>
          </w:p>
          <w:p>
            <w:pPr>
              <w:pStyle w:val="ListParagraph"/>
              <w:numPr>
                <w:ilvl w:val="0"/>
                <w:numId w:val="2"/>
              </w:numPr>
              <w:spacing w:after="45"/>
            </w:pPr>
            <w:r>
              <w:rPr>
                <w:sz w:val="15"/>
                <w:szCs w:val="15"/>
              </w:rPr>
              <w:t xml:space="preserve">The sponsor funded the study and supplied the statistical support, scientific input, trial management and medical writing, two authors are its employees holding stock, and the independent central review and auditing the paper offers as strengths were commissioned within that arrangement</w:t>
            </w:r>
          </w:p>
          <w:p>
            <w:pPr>
              <w:pStyle w:val="ListParagraph"/>
              <w:numPr>
                <w:ilvl w:val="0"/>
                <w:numId w:val="2"/>
              </w:numPr>
              <w:spacing w:after="45"/>
            </w:pPr>
            <w:r>
              <w:rPr>
                <w:sz w:val="15"/>
                <w:szCs w:val="15"/>
              </w:rPr>
              <w:t xml:space="preserve">Eighteen percent of patients were over 75 and 39.5 percent were labelled BCLC C on performance status alone, so the cohort mixes patients whose staging reflects symptoms rather than tumour extent with the very early tumours that drive the response rate</w:t>
            </w:r>
          </w:p>
        </w:tc>
      </w:tr>
    </w:tbl>
    <w:p>
      <w:pPr>
        <w:spacing w:after="0" w:line="276"/>
      </w:pPr>
      <w:r>
        <w:rPr>
          <w:color w:val="5A6069"/>
          <w:sz w:val="14"/>
          <w:szCs w:val="14"/>
        </w:rPr>
        <w:t xml:space="preserve">Funding: Funded by Boston Scientific, which also supplied statistical support, scientific input, trial management and medical writing; two authors are company employees holding stock and most other authors consult for the sponsor</w:t>
      </w:r>
    </w:p>
    <w:p>
      <w:pPr>
        <w:keepNext/>
        <w:spacing w:after="50" w:before="260"/>
      </w:pPr>
      <w:r>
        <w:rPr>
          <w:rFonts w:ascii="Cambria" w:cs="Cambria" w:eastAsia="Cambria" w:hAnsi="Cambria"/>
          <w:b/>
          <w:bCs/>
          <w:color w:val="17365D"/>
          <w:sz w:val="20"/>
          <w:szCs w:val="20"/>
        </w:rPr>
        <w:t xml:space="preserve">Livraghi</w:t>
      </w:r>
      <w:r>
        <w:rPr>
          <w:b/>
          <w:bCs/>
          <w:color w:val="176A87"/>
          <w:sz w:val="15"/>
          <w:szCs w:val="15"/>
        </w:rPr>
        <w:t xml:space="preserve">   cohort</w:t>
      </w:r>
      <w:r>
        <w:rPr>
          <w:color w:val="5A6069"/>
          <w:sz w:val="15"/>
          <w:szCs w:val="15"/>
        </w:rPr>
        <w:t xml:space="preserve">   PMID 18008357</w:t>
      </w:r>
    </w:p>
    <w:p>
      <w:pPr>
        <w:spacing w:after="50" w:line="276"/>
      </w:pPr>
      <w:r>
        <w:rPr>
          <w:color w:val="5A6069"/>
          <w:sz w:val="17"/>
          <w:szCs w:val="17"/>
        </w:rPr>
        <w:t xml:space="preserve">Sustained Complete Response and Complications Rates After Radiofrequency Ablation of Very Early Hepatocellular Carcinoma in Cirrhosis: Is Resection Still the Treatment of Choice?</w:t>
      </w:r>
    </w:p>
    <w:p>
      <w:pPr>
        <w:spacing w:after="50"/>
      </w:pPr>
      <w:r>
        <w:rPr>
          <w:b/>
          <w:bCs/>
          <w:color w:val="176A87"/>
          <w:sz w:val="16"/>
          <w:szCs w:val="16"/>
        </w:rPr>
        <w:t xml:space="preserve">Population. </w:t>
      </w:r>
      <w:r>
        <w:rPr>
          <w:sz w:val="16"/>
          <w:szCs w:val="16"/>
        </w:rPr>
        <w:t xml:space="preserve">218 of 232 eligible patients with a single HCC of 2.0 cm or less and Child-Pugh A cirrhosis, treated by percutaneous radiofrequency ablation at 5 Italian departments between October 1995 and June 2006; 100 were retrospectively judged potentially operable</w:t>
      </w:r>
    </w:p>
    <w:p>
      <w:pPr>
        <w:spacing w:after="70"/>
      </w:pPr>
      <w:r>
        <w:rPr>
          <w:b/>
          <w:bCs/>
          <w:color w:val="17365D"/>
          <w:sz w:val="16"/>
          <w:szCs w:val="16"/>
        </w:rPr>
        <w:t xml:space="preserve">Bottom line. </w:t>
      </w:r>
      <w:r>
        <w:rPr>
          <w:sz w:val="16"/>
          <w:szCs w:val="16"/>
        </w:rPr>
        <w:t xml:space="preserve">A multicentre cohort showing that radiofrequency ablation of a single HCC of 2 cm or less achieves sustained complete local response in 97.2 percent with no mortality and a 1.8 percent major complication rate. The 68 percent 5-year survival used to argue that ablation can replace resection belongs to a retrospectively defined operable subgroup of 100 patients, not to the cohort, whose 5-year survival was 55 percent with 80 percent recurrence and 20 percent disease-free survival; there is no control group and the authors argue the randomised trial that would settle it is not feasible.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comparison with surgery is historical, drawn from three surgical series, and the authors acknowledge the well-known limitations of historical comparison</w:t>
            </w:r>
          </w:p>
          <w:p>
            <w:pPr>
              <w:pStyle w:val="ListParagraph"/>
              <w:numPr>
                <w:ilvl w:val="0"/>
                <w:numId w:val="2"/>
              </w:numPr>
              <w:spacing w:after="45"/>
            </w:pPr>
            <w:r>
              <w:rPr>
                <w:sz w:val="15"/>
                <w:szCs w:val="15"/>
              </w:rPr>
              <w:t xml:space="preserve">Fourteen of 232 eligible patients (6.0 percent) could not be treated because the tumour was poorly visible on ultrasound or lay next to bowel or main bile ducts</w:t>
            </w:r>
          </w:p>
          <w:p>
            <w:pPr>
              <w:pStyle w:val="ListParagraph"/>
              <w:numPr>
                <w:ilvl w:val="0"/>
                <w:numId w:val="2"/>
              </w:numPr>
              <w:spacing w:after="45"/>
            </w:pPr>
            <w:r>
              <w:rPr>
                <w:sz w:val="15"/>
                <w:szCs w:val="15"/>
              </w:rPr>
              <w:t xml:space="preserve">Three of the treatment failures occurred next to a large vessel, which the authors attribute to heat loss in the ablation zone</w:t>
            </w:r>
          </w:p>
          <w:p>
            <w:pPr>
              <w:pStyle w:val="ListParagraph"/>
              <w:numPr>
                <w:ilvl w:val="0"/>
                <w:numId w:val="2"/>
              </w:numPr>
              <w:spacing w:after="45"/>
            </w:pPr>
            <w:r>
              <w:rPr>
                <w:sz w:val="15"/>
                <w:szCs w:val="15"/>
              </w:rPr>
              <w:t xml:space="preserve">The authors state that a randomised trial of ablation against resection below 2 cm would need a very large sample and is probably not feasible</w:t>
            </w:r>
          </w:p>
          <w:p>
            <w:pPr>
              <w:pStyle w:val="ListParagraph"/>
              <w:numPr>
                <w:ilvl w:val="0"/>
                <w:numId w:val="2"/>
              </w:numPr>
              <w:spacing w:after="45"/>
            </w:pPr>
            <w:r>
              <w:rPr>
                <w:sz w:val="15"/>
                <w:szCs w:val="15"/>
              </w:rPr>
              <w:t xml:space="preserve">The authors concede that the high overall recurrence rate shows it is the natural history of the cirrhotic liver, not the first treatment, that governs prognosis, and that all published survival curves reflect repeated multimodal treatment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68 percent 5-year survival in the abstract and conclusion is that of the 100 patients retrospectively judged operable; the whole cohort's figure of 55 percent appears only once in the Results and never in the abstract, so the number set against surgical series is a selected subgroup</w:t>
            </w:r>
          </w:p>
          <w:p>
            <w:pPr>
              <w:pStyle w:val="ListParagraph"/>
              <w:numPr>
                <w:ilvl w:val="0"/>
                <w:numId w:val="2"/>
              </w:numPr>
              <w:spacing w:after="45"/>
            </w:pPr>
            <w:r>
              <w:rPr>
                <w:sz w:val="15"/>
                <w:szCs w:val="15"/>
              </w:rPr>
              <w:t xml:space="preserve">Operability was assigned by the authors from age 75 or under, alanine transferase under three times normal, bilirubin under 1.5 and absence of portal hypertension, with no surgeon assessing any patient, and operability was not an independent predictor of survival once adjusted (HR 0.63, 95% CI 0.31 to 1.26, p = 0.192), so the subgroup that carries the headline does not survive multivariable analysis</w:t>
            </w:r>
          </w:p>
          <w:p>
            <w:pPr>
              <w:pStyle w:val="ListParagraph"/>
              <w:numPr>
                <w:ilvl w:val="0"/>
                <w:numId w:val="2"/>
              </w:numPr>
              <w:spacing w:after="45"/>
            </w:pPr>
            <w:r>
              <w:rPr>
                <w:sz w:val="15"/>
                <w:szCs w:val="15"/>
              </w:rPr>
              <w:t xml:space="preserve">Three different complete-response figures appear in the same paper: 216 of 218 (97.2 percent) in the abstract, 214 of 218 (98.1 percent) complete radiological necrosis in the Results and 212 of 218 (97.2 percent) sustained complete local response; 216 of 218 is 99.1 percent, so the abstract's numerator and percentage do not correspond</w:t>
            </w:r>
          </w:p>
          <w:p>
            <w:pPr>
              <w:pStyle w:val="ListParagraph"/>
              <w:numPr>
                <w:ilvl w:val="0"/>
                <w:numId w:val="2"/>
              </w:numPr>
              <w:spacing w:after="45"/>
            </w:pPr>
            <w:r>
              <w:rPr>
                <w:sz w:val="15"/>
                <w:szCs w:val="15"/>
              </w:rPr>
              <w:t xml:space="preserve">The classification boundary creates the result: enhancement within the ablation zone or up to 2.0 cm from its border is local recurrence, anything beyond 2.0 cm is a new lesion, which yields a 0.9 percent local recurrence rate in a cohort where 80 percent of patients recurred somewhere in the liver</w:t>
            </w:r>
          </w:p>
          <w:p>
            <w:pPr>
              <w:pStyle w:val="ListParagraph"/>
              <w:numPr>
                <w:ilvl w:val="0"/>
                <w:numId w:val="2"/>
              </w:numPr>
              <w:spacing w:after="45"/>
            </w:pPr>
            <w:r>
              <w:rPr>
                <w:sz w:val="15"/>
                <w:szCs w:val="15"/>
              </w:rPr>
              <w:t xml:space="preserve">Disease-free survival of 26 percent at 3 years and 20 percent at 5 years is computed on 82 patients rather than 218, and the paper never states which 82 or why, while quoting confidence intervals as wide as 7 to 36 percent</w:t>
            </w:r>
          </w:p>
          <w:p>
            <w:pPr>
              <w:pStyle w:val="ListParagraph"/>
              <w:numPr>
                <w:ilvl w:val="0"/>
                <w:numId w:val="2"/>
              </w:numPr>
              <w:spacing w:after="45"/>
            </w:pPr>
            <w:r>
              <w:rPr>
                <w:sz w:val="15"/>
                <w:szCs w:val="15"/>
              </w:rPr>
              <w:t xml:space="preserve">The 14 patients excluded for poor ultrasound visibility or a high-risk location are precisely the tumours in which ablation fails and resection is straightforward, so the local-control endpoint is measured on ground selected to favour the technique; the paper also states that 218 of 232 is 93.3 percent when it is 94.0 percent</w:t>
            </w:r>
          </w:p>
          <w:p>
            <w:pPr>
              <w:pStyle w:val="ListParagraph"/>
              <w:numPr>
                <w:ilvl w:val="0"/>
                <w:numId w:val="2"/>
              </w:numPr>
              <w:spacing w:after="45"/>
            </w:pPr>
            <w:r>
              <w:rPr>
                <w:sz w:val="15"/>
                <w:szCs w:val="15"/>
              </w:rPr>
              <w:t xml:space="preserve">Technique was not standardised in any respect: five departments used at least four different electrode systems, including a 1.5 cm laterally deployed spiral, with power and exposure left to manufacturer recommendation and operator preference, and adequacy was judged by the extent of a hyperechoic cloud rather than by a measured margin on post-treatment imaging</w:t>
            </w:r>
          </w:p>
          <w:p>
            <w:pPr>
              <w:pStyle w:val="ListParagraph"/>
              <w:numPr>
                <w:ilvl w:val="0"/>
                <w:numId w:val="2"/>
              </w:numPr>
              <w:spacing w:after="45"/>
            </w:pPr>
            <w:r>
              <w:rPr>
                <w:sz w:val="15"/>
                <w:szCs w:val="15"/>
              </w:rPr>
              <w:t xml:space="preserve">Pathological confirmation of the 97.2 percent local response consists of the explants of the 3 patients who were transplanted and censored at transplantation, so 215 of 218 local responses rest on contrast CT alone, with follow-up imaging only every 4 to 6 months</w:t>
            </w:r>
          </w:p>
          <w:p>
            <w:pPr>
              <w:pStyle w:val="ListParagraph"/>
              <w:numPr>
                <w:ilvl w:val="0"/>
                <w:numId w:val="2"/>
              </w:numPr>
              <w:spacing w:after="45"/>
            </w:pPr>
            <w:r>
              <w:rPr>
                <w:sz w:val="15"/>
                <w:szCs w:val="15"/>
              </w:rPr>
              <w:t xml:space="preserve">Patients with any prospect of transplantation were excluded by design, so the cohort systematically omits the patients in whom the choice between ablation and resection carries the greatest consequence, and the authors justify this by Italian organ scarcity rather than by the clinical question</w:t>
            </w:r>
          </w:p>
          <w:p>
            <w:pPr>
              <w:pStyle w:val="ListParagraph"/>
              <w:numPr>
                <w:ilvl w:val="0"/>
                <w:numId w:val="2"/>
              </w:numPr>
              <w:spacing w:after="45"/>
            </w:pPr>
            <w:r>
              <w:rPr>
                <w:sz w:val="15"/>
                <w:szCs w:val="15"/>
              </w:rPr>
              <w:t xml:space="preserve">The only significant multivariable predictor of survival is the appearance of new lesions during follow-up (HR 1.97, 1.13 to 3.5), a post-treatment event entered as a predictor of a survival time it partly determines, and alpha-fetoprotein could not be analysed at all because only 11 patients had raised values, so the model contains no measure of tumour biology</w:t>
            </w:r>
          </w:p>
          <w:p>
            <w:pPr>
              <w:pStyle w:val="ListParagraph"/>
              <w:numPr>
                <w:ilvl w:val="0"/>
                <w:numId w:val="2"/>
              </w:numPr>
              <w:spacing w:after="45"/>
            </w:pPr>
            <w:r>
              <w:rPr>
                <w:sz w:val="15"/>
                <w:szCs w:val="15"/>
              </w:rPr>
              <w:t xml:space="preserve">Median follow-up was 31 months against 3- and 5-year endpoints in a cohort followed from 6 to 134 months, and no at-risk numbers appear under any survival curve</w:t>
            </w:r>
          </w:p>
          <w:p>
            <w:pPr>
              <w:pStyle w:val="ListParagraph"/>
              <w:numPr>
                <w:ilvl w:val="0"/>
                <w:numId w:val="2"/>
              </w:numPr>
              <w:spacing w:after="45"/>
            </w:pPr>
            <w:r>
              <w:rPr>
                <w:sz w:val="15"/>
                <w:szCs w:val="15"/>
              </w:rPr>
              <w:t xml:space="preserve">The surgical mortality the paper contrasts with its own 0 percent is a literature mean of 5 percent spanning 0 to 15 percent across series from different decades and countries, while the Italian hepatitis C surveillance population here (83.9 percent HCV, mean age 68, 44 percent female, 21.5 percent over 75) is compared with Japanese surgical cohorts</w:t>
            </w:r>
          </w:p>
          <w:p>
            <w:pPr>
              <w:pStyle w:val="ListParagraph"/>
              <w:numPr>
                <w:ilvl w:val="0"/>
                <w:numId w:val="2"/>
              </w:numPr>
              <w:spacing w:after="45"/>
            </w:pPr>
            <w:r>
              <w:rPr>
                <w:sz w:val="15"/>
                <w:szCs w:val="15"/>
              </w:rPr>
              <w:t xml:space="preserve">One of the four major complications is hyperbilirubinaemia lasting a month, and one is neoplastic seeding, so the 1.8 percent figure that anchors the safety argument contains a tumour implant from the procedure itself</w:t>
            </w:r>
          </w:p>
          <w:p>
            <w:pPr>
              <w:pStyle w:val="ListParagraph"/>
              <w:numPr>
                <w:ilvl w:val="0"/>
                <w:numId w:val="2"/>
              </w:numPr>
              <w:spacing w:after="45"/>
            </w:pPr>
            <w:r>
              <w:rPr>
                <w:sz w:val="15"/>
                <w:szCs w:val="15"/>
              </w:rPr>
              <w:t xml:space="preserve">The paper concludes that ablation should be the treatment of choice even when resection is possible, a statement of superiority drawn from an uncontrolled cohort by authors who in the same Discussion declare the controlled test of it unfeasible</w:t>
            </w:r>
          </w:p>
        </w:tc>
      </w:tr>
    </w:tbl>
    <w:p>
      <w:pPr>
        <w:spacing w:after="0" w:line="276"/>
      </w:pPr>
      <w:r>
        <w:rPr>
          <w:color w:val="5A6069"/>
          <w:sz w:val="14"/>
          <w:szCs w:val="14"/>
        </w:rPr>
        <w:t xml:space="preserve">Funding: No funding statement appears; the authors declare no potential conflict of interest</w:t>
      </w:r>
    </w:p>
    <w:p>
      <w:pPr>
        <w:keepNext/>
        <w:spacing w:after="50" w:before="260"/>
      </w:pPr>
      <w:r>
        <w:rPr>
          <w:rFonts w:ascii="Cambria" w:cs="Cambria" w:eastAsia="Cambria" w:hAnsi="Cambria"/>
          <w:b/>
          <w:bCs/>
          <w:color w:val="17365D"/>
          <w:sz w:val="20"/>
          <w:szCs w:val="20"/>
        </w:rPr>
        <w:t xml:space="preserve">MERITS-LT</w:t>
      </w:r>
      <w:r>
        <w:rPr>
          <w:b/>
          <w:bCs/>
          <w:color w:val="176A87"/>
          <w:sz w:val="15"/>
          <w:szCs w:val="15"/>
        </w:rPr>
        <w:t xml:space="preserve">   cohort</w:t>
      </w:r>
      <w:r>
        <w:rPr>
          <w:color w:val="5A6069"/>
          <w:sz w:val="15"/>
          <w:szCs w:val="15"/>
        </w:rPr>
        <w:t xml:space="preserve">   PMID 34331914</w:t>
      </w:r>
    </w:p>
    <w:p>
      <w:pPr>
        <w:spacing w:after="50" w:line="276"/>
      </w:pPr>
      <w:r>
        <w:rPr>
          <w:color w:val="5A6069"/>
          <w:sz w:val="17"/>
          <w:szCs w:val="17"/>
        </w:rPr>
        <w:t xml:space="preserve">Downstaging Outcomes for Hepatocellular Carcinoma: Results From the Multicenter Evaluation of Reduction in Tumor Size before Liver Transplantation (MERITS-LT) Consortium</w:t>
      </w:r>
    </w:p>
    <w:p>
      <w:pPr>
        <w:spacing w:after="50"/>
      </w:pPr>
      <w:r>
        <w:rPr>
          <w:b/>
          <w:bCs/>
          <w:color w:val="176A87"/>
          <w:sz w:val="16"/>
          <w:szCs w:val="16"/>
        </w:rPr>
        <w:t xml:space="preserve">Population. </w:t>
      </w:r>
      <w:r>
        <w:rPr>
          <w:sz w:val="16"/>
          <w:szCs w:val="16"/>
        </w:rPr>
        <w:t xml:space="preserve">209 consecutive patients meeting UNOS down-staging eligibility criteria at 7 US transplant centres in 4 UNOS regions, enrolled 2016 to 2019 from 324 with eligible tumour burden; 174 were successfully down-staged, 75 dropped out and 63 reached transplantation</w:t>
      </w:r>
    </w:p>
    <w:p>
      <w:pPr>
        <w:spacing w:after="70"/>
      </w:pPr>
      <w:r>
        <w:rPr>
          <w:b/>
          <w:bCs/>
          <w:color w:val="17365D"/>
          <w:sz w:val="16"/>
          <w:szCs w:val="16"/>
        </w:rPr>
        <w:t xml:space="preserve">Bottom line. </w:t>
      </w:r>
      <w:r>
        <w:rPr>
          <w:sz w:val="16"/>
          <w:szCs w:val="16"/>
        </w:rPr>
        <w:t xml:space="preserve">The first prospective multiregional test of the UNOS down-staging protocol: 83 percent of 209 patients were down-staged to within Milan criteria, 2-year cumulative dropout was 37.3 percent, 46.6 percent reached transplantation by 3 years and 2-year post-transplant survival was 95 percent, with no detectable difference between chemoembolisation and Y-90. The finding that matters is the 42.8 percent of explants beyond Milan criteria, which shows that imaging-defined down-staging does not reliably identify the tumour it claims to; post-transplant follow-up was a median 1.7 years in 63 patients, and the TACE-versus-Y-90 comparison is unadjusted and confounded.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Short post-transplant follow-up in a relatively small number of transplanted patients; the authors state it will take another 2 to 3 years to report the survival and recurrence data that would confirm efficacy</w:t>
            </w:r>
          </w:p>
          <w:p>
            <w:pPr>
              <w:pStyle w:val="ListParagraph"/>
              <w:numPr>
                <w:ilvl w:val="0"/>
                <w:numId w:val="2"/>
              </w:numPr>
              <w:spacing w:after="45"/>
            </w:pPr>
            <w:r>
              <w:rPr>
                <w:sz w:val="15"/>
                <w:szCs w:val="15"/>
              </w:rPr>
              <w:t xml:space="preserve">Three of the ten intended centres from two further UNOS regions could not supply data and were removed from the consortium, reducing power and applicability</w:t>
            </w:r>
          </w:p>
          <w:p>
            <w:pPr>
              <w:pStyle w:val="ListParagraph"/>
              <w:numPr>
                <w:ilvl w:val="0"/>
                <w:numId w:val="2"/>
              </w:numPr>
              <w:spacing w:after="45"/>
            </w:pPr>
            <w:r>
              <w:rPr>
                <w:sz w:val="15"/>
                <w:szCs w:val="15"/>
              </w:rPr>
              <w:t xml:space="preserve">The study was performed before the median-MELD-at-transplant-minus-3 allocation rule, so it cannot describe current waiting-list behaviour or access</w:t>
            </w:r>
          </w:p>
          <w:p>
            <w:pPr>
              <w:pStyle w:val="ListParagraph"/>
              <w:numPr>
                <w:ilvl w:val="0"/>
                <w:numId w:val="2"/>
              </w:numPr>
              <w:spacing w:after="45"/>
            </w:pPr>
            <w:r>
              <w:rPr>
                <w:sz w:val="15"/>
                <w:szCs w:val="15"/>
              </w:rPr>
              <w:t xml:space="preserve">Referral bias is possible because patients treated with locoregional therapy in the community who then progressed may never have been referred for transplantation</w:t>
            </w:r>
          </w:p>
          <w:p>
            <w:pPr>
              <w:pStyle w:val="ListParagraph"/>
              <w:numPr>
                <w:ilvl w:val="0"/>
                <w:numId w:val="2"/>
              </w:numPr>
              <w:spacing w:after="45"/>
            </w:pPr>
            <w:r>
              <w:rPr>
                <w:sz w:val="15"/>
                <w:szCs w:val="15"/>
              </w:rPr>
              <w:t xml:space="preserve">Centre-specific differences in the choice of first locoregional therapy persisted, ranging from 36 to 90 percent chemoembolisation across the 7 centres</w:t>
            </w:r>
          </w:p>
          <w:p>
            <w:pPr>
              <w:pStyle w:val="ListParagraph"/>
              <w:numPr>
                <w:ilvl w:val="0"/>
                <w:numId w:val="2"/>
              </w:numPr>
              <w:spacing w:after="45"/>
            </w:pPr>
            <w:r>
              <w:rPr>
                <w:sz w:val="15"/>
                <w:szCs w:val="15"/>
              </w:rPr>
              <w:t xml:space="preserve">Not all patients had AFP-L3, des-gamma-carboxyprothrombin or neutrophil-lymphocyte ratio measured at baseline, which the authors state limits the biomarker analysis</w:t>
            </w:r>
          </w:p>
          <w:p>
            <w:pPr>
              <w:pStyle w:val="ListParagraph"/>
              <w:numPr>
                <w:ilvl w:val="0"/>
                <w:numId w:val="2"/>
              </w:numPr>
              <w:spacing w:after="45"/>
            </w:pPr>
            <w:r>
              <w:rPr>
                <w:sz w:val="15"/>
                <w:szCs w:val="15"/>
              </w:rPr>
              <w:t xml:space="preserve">The authors concede that down-staging to within Milan criteria should be regarded as only a minimum requirement, given the under-staging rate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study population is conditional on transplant candidacy, not on tumour burden: 115 of 324 patients (35.5 percent) with eligible tumours were excluded for medical or psychosocial contraindications, decompensation with AFP above 1000 ng/mL, or bilirubin above 4, so the 83 percent success rate does not describe the patients a tumour board would consider for down-staging</w:t>
            </w:r>
          </w:p>
          <w:p>
            <w:pPr>
              <w:pStyle w:val="ListParagraph"/>
              <w:numPr>
                <w:ilvl w:val="0"/>
                <w:numId w:val="2"/>
              </w:numPr>
              <w:spacing w:after="45"/>
            </w:pPr>
            <w:r>
              <w:rPr>
                <w:sz w:val="15"/>
                <w:szCs w:val="15"/>
              </w:rPr>
              <w:t xml:space="preserve">Patients removed from the protocol for a non-liver medical contraindication, loss of interest or non-compliance were censored at delisting rather than counted as failures, so the analysis called intention-to-treat does not include the commonest competing routes out of the pathway</w:t>
            </w:r>
          </w:p>
          <w:p>
            <w:pPr>
              <w:pStyle w:val="ListParagraph"/>
              <w:numPr>
                <w:ilvl w:val="0"/>
                <w:numId w:val="2"/>
              </w:numPr>
              <w:spacing w:after="45"/>
            </w:pPr>
            <w:r>
              <w:rPr>
                <w:sz w:val="15"/>
                <w:szCs w:val="15"/>
              </w:rPr>
              <w:t xml:space="preserve">mRECIST response was assessed a median of 4.3 weeks after chemoembolisation but 6.3 weeks after Y-90 (p = 0.03), and radiation response is known to be delayed, so the central claim that the two treatments produced similar response compares measurements made at systematically different times</w:t>
            </w:r>
          </w:p>
          <w:p>
            <w:pPr>
              <w:pStyle w:val="ListParagraph"/>
              <w:numPr>
                <w:ilvl w:val="0"/>
                <w:numId w:val="2"/>
              </w:numPr>
              <w:spacing w:after="45"/>
            </w:pPr>
            <w:r>
              <w:rPr>
                <w:sz w:val="15"/>
                <w:szCs w:val="15"/>
              </w:rPr>
              <w:t xml:space="preserve">The chemoembolisation-versus-Y-90 comparison is non-randomised with large baseline imbalance (male 92.4 versus 72.6 percent, p &lt; 0.001; multifocal disease 75.8 versus 51.6 percent, p = 0.003; MELD p = 0.04) and the choice was driven by centre (p = 0.001), yet every comparison is reported as an unadjusted p value and interpreted as no difference</w:t>
            </w:r>
          </w:p>
          <w:p>
            <w:pPr>
              <w:pStyle w:val="ListParagraph"/>
              <w:numPr>
                <w:ilvl w:val="0"/>
                <w:numId w:val="2"/>
              </w:numPr>
              <w:spacing w:after="45"/>
            </w:pPr>
            <w:r>
              <w:rPr>
                <w:sz w:val="15"/>
                <w:szCs w:val="15"/>
              </w:rPr>
              <w:t xml:space="preserve">The explant comparison that most favours Y-90 rests on 13 explants: 4 of 13 completely necrotic and 3 of 13 beyond Milan criteria against 9 of 44 and 19 of 44 for chemoembolisation, differences the paper describes in the Discussion while reporting p values of 0.44 and 0.76</w:t>
            </w:r>
          </w:p>
          <w:p>
            <w:pPr>
              <w:pStyle w:val="ListParagraph"/>
              <w:numPr>
                <w:ilvl w:val="0"/>
                <w:numId w:val="2"/>
              </w:numPr>
              <w:spacing w:after="45"/>
            </w:pPr>
            <w:r>
              <w:rPr>
                <w:sz w:val="15"/>
                <w:szCs w:val="15"/>
              </w:rPr>
              <w:t xml:space="preserve">15 patients (7.2 percent) received some other first locoregional therapy and are silently dropped, so the comparison covers 194 of 209 patients without the omission being stated</w:t>
            </w:r>
          </w:p>
          <w:p>
            <w:pPr>
              <w:pStyle w:val="ListParagraph"/>
              <w:numPr>
                <w:ilvl w:val="0"/>
                <w:numId w:val="2"/>
              </w:numPr>
              <w:spacing w:after="45"/>
            </w:pPr>
            <w:r>
              <w:rPr>
                <w:sz w:val="15"/>
                <w:szCs w:val="15"/>
              </w:rPr>
              <w:t xml:space="preserve">HCC was never confirmed by biopsy at any of the seven institutions and nodules under 1 cm were not counted, so both the entry tumour burden and the down-staging endpoint rest on imaging in a study whose headline result is that imaging understaged 42.8 percent of explants</w:t>
            </w:r>
          </w:p>
          <w:p>
            <w:pPr>
              <w:pStyle w:val="ListParagraph"/>
              <w:numPr>
                <w:ilvl w:val="0"/>
                <w:numId w:val="2"/>
              </w:numPr>
              <w:spacing w:after="45"/>
            </w:pPr>
            <w:r>
              <w:rPr>
                <w:sz w:val="15"/>
                <w:szCs w:val="15"/>
              </w:rPr>
              <w:t xml:space="preserve">AFP-L3 of 10 percent or more, the only independent dropout predictor, was measured in 83 of 209 patients (40 percent) and yields a sub-hazard ratio of 3.7 with a confidence interval from 1.27 to 10.79 from a model containing two covariates, selected from univariable screening at p &lt; 0.1</w:t>
            </w:r>
          </w:p>
          <w:p>
            <w:pPr>
              <w:pStyle w:val="ListParagraph"/>
              <w:numPr>
                <w:ilvl w:val="0"/>
                <w:numId w:val="2"/>
              </w:numPr>
              <w:spacing w:after="45"/>
            </w:pPr>
            <w:r>
              <w:rPr>
                <w:sz w:val="15"/>
                <w:szCs w:val="15"/>
              </w:rPr>
              <w:t xml:space="preserve">Nearly half the cohort came from two centres (68 patients, 32.5 percent, and 33 patients, 15.8 percent), and no model in the paper includes a centre-level random effect or fixed effect despite demonstrated centre-driven treatment choice</w:t>
            </w:r>
          </w:p>
          <w:p>
            <w:pPr>
              <w:pStyle w:val="ListParagraph"/>
              <w:numPr>
                <w:ilvl w:val="0"/>
                <w:numId w:val="2"/>
              </w:numPr>
              <w:spacing w:after="45"/>
            </w:pPr>
            <w:r>
              <w:rPr>
                <w:sz w:val="15"/>
                <w:szCs w:val="15"/>
              </w:rPr>
              <w:t xml:space="preserve">43.2 percent of the dropouts for tumour progression occurred during the mandatory 6-month wait before MELD exception points, so nearly half the progression events happened before the patient could be prioritised; the paper treats the waiting rule as biological selection rather than as an access barrier that the data could quantify</w:t>
            </w:r>
          </w:p>
          <w:p>
            <w:pPr>
              <w:pStyle w:val="ListParagraph"/>
              <w:numPr>
                <w:ilvl w:val="0"/>
                <w:numId w:val="2"/>
              </w:numPr>
              <w:spacing w:after="45"/>
            </w:pPr>
            <w:r>
              <w:rPr>
                <w:sz w:val="15"/>
                <w:szCs w:val="15"/>
              </w:rPr>
              <w:t xml:space="preserve">The abstract reports dropout as 37.3 percent and the Results as 35.9 percent without explaining that the first is the 2-year competing-risk estimate and the second the crude proportion, and the two figures are used interchangeably in the Discussion</w:t>
            </w:r>
          </w:p>
          <w:p>
            <w:pPr>
              <w:pStyle w:val="ListParagraph"/>
              <w:numPr>
                <w:ilvl w:val="0"/>
                <w:numId w:val="2"/>
              </w:numPr>
              <w:spacing w:after="45"/>
            </w:pPr>
            <w:r>
              <w:rPr>
                <w:sz w:val="15"/>
                <w:szCs w:val="15"/>
              </w:rPr>
              <w:t xml:space="preserve">Post-transplant survival of 100 percent at 1 year and 95 percent at 2 years falls to 83.1 percent by 3 years in the same 63 patients, and the abstract and lay summary quote only the 2-year figure</w:t>
            </w:r>
          </w:p>
          <w:p>
            <w:pPr>
              <w:pStyle w:val="ListParagraph"/>
              <w:numPr>
                <w:ilvl w:val="0"/>
                <w:numId w:val="2"/>
              </w:numPr>
              <w:spacing w:after="45"/>
            </w:pPr>
            <w:r>
              <w:rPr>
                <w:sz w:val="15"/>
                <w:szCs w:val="15"/>
              </w:rPr>
              <w:t xml:space="preserve">The study is presented as validating the UNOS policy, but the protocol being validated is the authors' own UCSF and Region 5 protocol that UNOS adopted, the validation was done by the same group at seven experienced high-volume centres, and the prognostic score used as the benchmark (RETREAT) is also the first author's</w:t>
            </w:r>
          </w:p>
          <w:p>
            <w:pPr>
              <w:pStyle w:val="ListParagraph"/>
              <w:numPr>
                <w:ilvl w:val="0"/>
                <w:numId w:val="2"/>
              </w:numPr>
              <w:spacing w:after="45"/>
            </w:pPr>
            <w:r>
              <w:rPr>
                <w:sz w:val="15"/>
                <w:szCs w:val="15"/>
              </w:rPr>
              <w:t xml:space="preserve">The first and senior authors hold advisory roles and institutional research funding from Wako Diagnostics, whose assays measure AFP-L3 and des-gamma-carboxyprothrombin, the two biomarkers the paper advances as candidates for selection</w:t>
            </w:r>
          </w:p>
        </w:tc>
      </w:tr>
    </w:tbl>
    <w:p>
      <w:pPr>
        <w:spacing w:after="0" w:line="276"/>
      </w:pPr>
      <w:r>
        <w:rPr>
          <w:color w:val="5A6069"/>
          <w:sz w:val="14"/>
          <w:szCs w:val="14"/>
        </w:rPr>
        <w:t xml:space="preserve">Funding: Supported in part by a National Institutes of Health grant to the UCSF Liver Center (P30 DK026743); the first author reports advisory boards for and institutional research funding from Wako Diagnostics plus funding from Glycotest and Target PharmaSolutions, the senior author institutional funding from Wako Diagnostics, and two further authors multiple industry relationships</w:t>
      </w:r>
    </w:p>
    <w:p>
      <w:pPr>
        <w:keepNext/>
        <w:spacing w:after="50" w:before="260"/>
      </w:pPr>
      <w:r>
        <w:rPr>
          <w:rFonts w:ascii="Cambria" w:cs="Cambria" w:eastAsia="Cambria" w:hAnsi="Cambria"/>
          <w:b/>
          <w:bCs/>
          <w:color w:val="17365D"/>
          <w:sz w:val="20"/>
          <w:szCs w:val="20"/>
        </w:rPr>
        <w:t xml:space="preserve">Milan criteria</w:t>
      </w:r>
      <w:r>
        <w:rPr>
          <w:b/>
          <w:bCs/>
          <w:color w:val="176A87"/>
          <w:sz w:val="15"/>
          <w:szCs w:val="15"/>
        </w:rPr>
        <w:t xml:space="preserve">   cohort</w:t>
      </w:r>
      <w:r>
        <w:rPr>
          <w:color w:val="5A6069"/>
          <w:sz w:val="15"/>
          <w:szCs w:val="15"/>
        </w:rPr>
        <w:t xml:space="preserve">   PMID 8594428</w:t>
      </w:r>
    </w:p>
    <w:p>
      <w:pPr>
        <w:spacing w:after="50" w:line="276"/>
      </w:pPr>
      <w:r>
        <w:rPr>
          <w:color w:val="5A6069"/>
          <w:sz w:val="17"/>
          <w:szCs w:val="17"/>
        </w:rPr>
        <w:t xml:space="preserve">Liver Transplantation for the Treatment of Small Hepatocellular Carcinomas in Patients with Cirrhosis</w:t>
      </w:r>
    </w:p>
    <w:p>
      <w:pPr>
        <w:spacing w:after="50"/>
      </w:pPr>
      <w:r>
        <w:rPr>
          <w:b/>
          <w:bCs/>
          <w:color w:val="176A87"/>
          <w:sz w:val="16"/>
          <w:szCs w:val="16"/>
        </w:rPr>
        <w:t xml:space="preserve">Population. </w:t>
      </w:r>
      <w:r>
        <w:rPr>
          <w:sz w:val="16"/>
          <w:szCs w:val="16"/>
        </w:rPr>
        <w:t xml:space="preserve">48 patients with cirrhosis and unresectable early-stage HCC transplanted between January 1991 and December 1994, drawn from 60 listed and 295 patients with HCC seen at one Milan centre; 35 of the 48 were confirmed within the tumour limits on explant pathology</w:t>
      </w:r>
    </w:p>
    <w:p>
      <w:pPr>
        <w:spacing w:after="70"/>
      </w:pPr>
      <w:r>
        <w:rPr>
          <w:b/>
          <w:bCs/>
          <w:color w:val="17365D"/>
          <w:sz w:val="16"/>
          <w:szCs w:val="16"/>
        </w:rPr>
        <w:t xml:space="preserve">Bottom line. </w:t>
      </w:r>
      <w:r>
        <w:rPr>
          <w:sz w:val="16"/>
          <w:szCs w:val="16"/>
        </w:rPr>
        <w:t xml:space="preserve">Establishes that transplantation can give 75 percent four-year survival and 83 percent recurrence-free survival in cirrhotic patients with a single HCC of 5 cm or less or up to three nodules of 3 cm or less, and that tumours exceeding those limits do much worse. It does not validate the limits as a selection rule, because they were applied to explant pathology in the same 48 patients that generated them, with only four recurrences, no external cohort, and no analysis from the point of listing.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With only four recurrences the analyses of T stage, nodule number, alpha-fetoprotein and capsule had very low power, which the authors state explicitly in the Results</w:t>
            </w:r>
          </w:p>
          <w:p>
            <w:pPr>
              <w:pStyle w:val="ListParagraph"/>
              <w:numPr>
                <w:ilvl w:val="0"/>
                <w:numId w:val="2"/>
              </w:numPr>
              <w:spacing w:after="45"/>
            </w:pPr>
            <w:r>
              <w:rPr>
                <w:sz w:val="15"/>
                <w:szCs w:val="15"/>
              </w:rPr>
              <w:t xml:space="preserve">27 percent of tumours were assigned too low a stage before surgery despite angiography and CT arterial portography, so preoperative staging did not identify the group that did well</w:t>
            </w:r>
          </w:p>
          <w:p>
            <w:pPr>
              <w:pStyle w:val="ListParagraph"/>
              <w:numPr>
                <w:ilvl w:val="0"/>
                <w:numId w:val="2"/>
              </w:numPr>
              <w:spacing w:after="45"/>
            </w:pPr>
            <w:r>
              <w:rPr>
                <w:sz w:val="15"/>
                <w:szCs w:val="15"/>
              </w:rPr>
              <w:t xml:space="preserve">The study does not address transplantation versus resection for a small resectable HCC: unresectability was a requirement for entering the trial, as the authors state</w:t>
            </w:r>
          </w:p>
          <w:p>
            <w:pPr>
              <w:pStyle w:val="ListParagraph"/>
              <w:numPr>
                <w:ilvl w:val="0"/>
                <w:numId w:val="2"/>
              </w:numPr>
              <w:spacing w:after="45"/>
            </w:pPr>
            <w:r>
              <w:rPr>
                <w:sz w:val="15"/>
                <w:szCs w:val="15"/>
              </w:rPr>
              <w:t xml:space="preserve">Pre-transplant chemoembolisation was not randomly assigned but given only when liver function was not seriously impaired, so the comparison of treated and untreated patients is confounded, as the authors concede</w:t>
            </w:r>
          </w:p>
          <w:p>
            <w:pPr>
              <w:pStyle w:val="ListParagraph"/>
              <w:numPr>
                <w:ilvl w:val="0"/>
                <w:numId w:val="2"/>
              </w:numPr>
              <w:spacing w:after="45"/>
            </w:pPr>
            <w:r>
              <w:rPr>
                <w:sz w:val="15"/>
                <w:szCs w:val="15"/>
              </w:rPr>
              <w:t xml:space="preserve">Recurrence-free survival rises above overall survival after three years because recurrence was excluded at autopsy in some patients who died and because data were censored earlier, an artefact the authors note</w:t>
            </w:r>
          </w:p>
          <w:p>
            <w:pPr>
              <w:pStyle w:val="ListParagraph"/>
              <w:numPr>
                <w:ilvl w:val="0"/>
                <w:numId w:val="2"/>
              </w:numPr>
              <w:spacing w:after="45"/>
            </w:pPr>
            <w:r>
              <w:rPr>
                <w:sz w:val="15"/>
                <w:szCs w:val="15"/>
              </w:rPr>
              <w:t xml:space="preserve">The authors state the results need confirmation by others and that transplantation should be offered only for unresectable tumours until randomised data exist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Survival is counted from transplantation, not from listing: of 60 patients listed, 1 died waiting and 11 were still waiting at the census date, and none of the 12 appear in any survival analysis, so the figures describe the patients who got a graft rather than the patients selected by the criteria</w:t>
            </w:r>
          </w:p>
          <w:p>
            <w:pPr>
              <w:pStyle w:val="ListParagraph"/>
              <w:numPr>
                <w:ilvl w:val="0"/>
                <w:numId w:val="2"/>
              </w:numPr>
              <w:spacing w:after="45"/>
            </w:pPr>
            <w:r>
              <w:rPr>
                <w:sz w:val="15"/>
                <w:szCs w:val="15"/>
              </w:rPr>
              <w:t xml:space="preserve">The 85 percent versus 50 percent comparison is a comparison of correctly staged against understaged patients, not a test of the criteria: the limits were set before enrolment but assessed only on the explanted liver, so the division is made after the organ has been used and cannot be reproduced prospectively</w:t>
            </w:r>
          </w:p>
          <w:p>
            <w:pPr>
              <w:pStyle w:val="ListParagraph"/>
              <w:numPr>
                <w:ilvl w:val="0"/>
                <w:numId w:val="2"/>
              </w:numPr>
              <w:spacing w:after="45"/>
            </w:pPr>
            <w:r>
              <w:rPr>
                <w:sz w:val="15"/>
                <w:szCs w:val="15"/>
              </w:rPr>
              <w:t xml:space="preserve">The four-year estimates rest on almost no one at risk: Figure 1 shows 5 patients at risk at 48 months and Figure 3 shows 3 criteria-met and 3 criteria-not-met patients at risk at that point, with no confidence interval given on either survival difference</w:t>
            </w:r>
          </w:p>
          <w:p>
            <w:pPr>
              <w:pStyle w:val="ListParagraph"/>
              <w:numPr>
                <w:ilvl w:val="0"/>
                <w:numId w:val="2"/>
              </w:numPr>
              <w:spacing w:after="45"/>
            </w:pPr>
            <w:r>
              <w:rPr>
                <w:sz w:val="15"/>
                <w:szCs w:val="15"/>
              </w:rPr>
              <w:t xml:space="preserve">The whole prognostic separation is driven by four recurrence events in 48 patients, three of them in the understaged group; no multivariable model is fitted and no adjustment is made for the fact that the understaged group also had larger and more numerous tumours</w:t>
            </w:r>
          </w:p>
          <w:p>
            <w:pPr>
              <w:pStyle w:val="ListParagraph"/>
              <w:numPr>
                <w:ilvl w:val="0"/>
                <w:numId w:val="2"/>
              </w:numPr>
              <w:spacing w:after="45"/>
            </w:pPr>
            <w:r>
              <w:rPr>
                <w:sz w:val="15"/>
                <w:szCs w:val="15"/>
              </w:rPr>
              <w:t xml:space="preserve">Only 2 of the 8 deaths were from recurrent cancer; the rest were perioperative bleeding, sepsis, pulmonary embolism, recurrent HBV, post-transplant lymphoproliferative disease and chronic rejection with aspergillosis, so overall survival in this cohort measures transplant mortality more than tumour biology</w:t>
            </w:r>
          </w:p>
          <w:p>
            <w:pPr>
              <w:pStyle w:val="ListParagraph"/>
              <w:numPr>
                <w:ilvl w:val="0"/>
                <w:numId w:val="2"/>
              </w:numPr>
              <w:spacing w:after="45"/>
            </w:pPr>
            <w:r>
              <w:rPr>
                <w:sz w:val="15"/>
                <w:szCs w:val="15"/>
              </w:rPr>
              <w:t xml:space="preserve">The three patients who died within one month were counted as recurrence-free on the stated assumption that they had not lived long enough to recur, which moves early deaths into the favourable column of the recurrence-free endpoint</w:t>
            </w:r>
          </w:p>
          <w:p>
            <w:pPr>
              <w:pStyle w:val="ListParagraph"/>
              <w:numPr>
                <w:ilvl w:val="0"/>
                <w:numId w:val="2"/>
              </w:numPr>
              <w:spacing w:after="45"/>
            </w:pPr>
            <w:r>
              <w:rPr>
                <w:sz w:val="15"/>
                <w:szCs w:val="15"/>
              </w:rPr>
              <w:t xml:space="preserve">Diagnosis of HCC was accepted on an alpha-fetoprotein above 300 ng/mL without biopsy in some patients, and 15 patients had a single lesion of 2 cm or less, so the cohort may include nodules that were not HCC while the explant series reports a median tumour diameter of only 1.5 cm</w:t>
            </w:r>
          </w:p>
          <w:p>
            <w:pPr>
              <w:pStyle w:val="ListParagraph"/>
              <w:numPr>
                <w:ilvl w:val="0"/>
                <w:numId w:val="2"/>
              </w:numPr>
              <w:spacing w:after="45"/>
            </w:pPr>
            <w:r>
              <w:rPr>
                <w:sz w:val="15"/>
                <w:szCs w:val="15"/>
              </w:rPr>
              <w:t xml:space="preserve">Explant pathology, which defines the within-criteria group, was read after 26 of 48 patients had received one to four cycles of lipiodol chemoembolisation; treatment that shrinks or devitalises nodules will move patients into the favourable group, and no sensitivity analysis excluding the pretreated patients is offered</w:t>
            </w:r>
          </w:p>
          <w:p>
            <w:pPr>
              <w:pStyle w:val="ListParagraph"/>
              <w:numPr>
                <w:ilvl w:val="0"/>
                <w:numId w:val="2"/>
              </w:numPr>
              <w:spacing w:after="45"/>
            </w:pPr>
            <w:r>
              <w:rPr>
                <w:sz w:val="15"/>
                <w:szCs w:val="15"/>
              </w:rPr>
              <w:t xml:space="preserve">Vascular invasion and nodal metastasis were found in none of the 48 explants, which is implausible for a series with up to 11 nodules per liver and suggests the pathological protocol (1 cm slices, hilar nodes only) was not sensitive to microvascular invasion, the very feature used to justify the limits</w:t>
            </w:r>
          </w:p>
          <w:p>
            <w:pPr>
              <w:pStyle w:val="ListParagraph"/>
              <w:numPr>
                <w:ilvl w:val="0"/>
                <w:numId w:val="2"/>
              </w:numPr>
              <w:spacing w:after="45"/>
            </w:pPr>
            <w:r>
              <w:rPr>
                <w:sz w:val="15"/>
                <w:szCs w:val="15"/>
              </w:rPr>
              <w:t xml:space="preserve">Every comparator in the Discussion is historical and drawn from the literature: 25 percent three-year survival for untreated small HCC, 70 percent four-year survival in the European Liver Transplant Registry for cirrhosis alone, and 0 to 56 percent five-year survival after resection; there is no contemporaneous control group of any kind</w:t>
            </w:r>
          </w:p>
          <w:p>
            <w:pPr>
              <w:pStyle w:val="ListParagraph"/>
              <w:numPr>
                <w:ilvl w:val="0"/>
                <w:numId w:val="2"/>
              </w:numPr>
              <w:spacing w:after="45"/>
            </w:pPr>
            <w:r>
              <w:rPr>
                <w:sz w:val="15"/>
                <w:szCs w:val="15"/>
              </w:rPr>
              <w:t xml:space="preserve">One of the four recurrences was a subcutaneous implant along the track of the pre-transplant diagnostic liver biopsy, so a quarter of the recurrence events were iatrogenic consequences of the staging algorithm the paper relies on, and this is reported without comment on the risk of seeding</w:t>
            </w:r>
          </w:p>
          <w:p>
            <w:pPr>
              <w:pStyle w:val="ListParagraph"/>
              <w:numPr>
                <w:ilvl w:val="0"/>
                <w:numId w:val="2"/>
              </w:numPr>
              <w:spacing w:after="45"/>
            </w:pPr>
            <w:r>
              <w:rPr>
                <w:sz w:val="15"/>
                <w:szCs w:val="15"/>
              </w:rPr>
              <w:t xml:space="preserve">The acknowledgements thank staff of Sandoz, Fujisawa and Knoll, and the Discussion advances a claim about corticosteroid-sparing immunosuppression and recurrence risk, while the article carries no conflict-of-interest disclosure</w:t>
            </w:r>
          </w:p>
        </w:tc>
      </w:tr>
    </w:tbl>
    <w:p>
      <w:pPr>
        <w:spacing w:after="0" w:line="276"/>
      </w:pPr>
      <w:r>
        <w:rPr>
          <w:color w:val="5A6069"/>
          <w:sz w:val="14"/>
          <w:szCs w:val="14"/>
        </w:rPr>
        <w:t xml:space="preserve">Funding: Supported by the Italian Association for Cancer Research; no conflict-of-interest statement appears anywhere in the article, and the acknowledgements thank staff of Sandoz, Fujisawa and Knoll</w:t>
      </w:r>
    </w:p>
    <w:p>
      <w:pPr>
        <w:keepNext/>
        <w:spacing w:after="50" w:before="260"/>
      </w:pPr>
      <w:r>
        <w:rPr>
          <w:rFonts w:ascii="Cambria" w:cs="Cambria" w:eastAsia="Cambria" w:hAnsi="Cambria"/>
          <w:b/>
          <w:bCs/>
          <w:color w:val="17365D"/>
          <w:sz w:val="20"/>
          <w:szCs w:val="20"/>
        </w:rPr>
        <w:t xml:space="preserve">MWA vs RFA</w:t>
      </w:r>
      <w:r>
        <w:rPr>
          <w:b/>
          <w:bCs/>
          <w:color w:val="176A87"/>
          <w:sz w:val="15"/>
          <w:szCs w:val="15"/>
        </w:rPr>
        <w:t xml:space="preserve">   Randomised trial</w:t>
      </w:r>
      <w:r>
        <w:rPr>
          <w:color w:val="5A6069"/>
          <w:sz w:val="15"/>
          <w:szCs w:val="15"/>
        </w:rPr>
        <w:t xml:space="preserve">   PMID 29503247</w:t>
      </w:r>
    </w:p>
    <w:p>
      <w:pPr>
        <w:spacing w:after="50" w:line="276"/>
      </w:pPr>
      <w:r>
        <w:rPr>
          <w:color w:val="5A6069"/>
          <w:sz w:val="17"/>
          <w:szCs w:val="17"/>
        </w:rPr>
        <w:t xml:space="preserve">Efficacy of microwave ablation versus radiofrequency ablation for the treatment of hepatocellular carcinoma in patients with chronic liver disease: a randomised controlled phase 2 trial</w:t>
      </w:r>
    </w:p>
    <w:p>
      <w:pPr>
        <w:spacing w:after="50"/>
      </w:pPr>
      <w:r>
        <w:rPr>
          <w:b/>
          <w:bCs/>
          <w:color w:val="176A87"/>
          <w:sz w:val="16"/>
          <w:szCs w:val="16"/>
        </w:rPr>
        <w:t xml:space="preserve">Population. </w:t>
      </w:r>
      <w:r>
        <w:rPr>
          <w:sz w:val="16"/>
          <w:szCs w:val="16"/>
        </w:rPr>
        <w:t xml:space="preserve">152 patients with BCLC 0 or A HCC of 4 cm or smaller randomised at four French and Swiss centres; 144 analysed per protocol, 71 patients with 98 lesions treated by microwave ablation and 73 with 104 lesions by radiofrequency ablation</w:t>
      </w:r>
    </w:p>
    <w:p>
      <w:pPr>
        <w:spacing w:after="70"/>
      </w:pPr>
      <w:r>
        <w:rPr>
          <w:b/>
          <w:bCs/>
          <w:color w:val="17365D"/>
          <w:sz w:val="16"/>
          <w:szCs w:val="16"/>
        </w:rPr>
        <w:t xml:space="preserve">Bottom line. </w:t>
      </w:r>
      <w:r>
        <w:rPr>
          <w:sz w:val="16"/>
          <w:szCs w:val="16"/>
        </w:rPr>
        <w:t xml:space="preserve">A randomised superiority trial that failed: local tumour progression at 2 years was 6 percent of 98 lesions with microwave ablation versus 12 percent of 104 with radiofrequency ablation, risk ratio 1.62 (95% CI 0.66 to 3.94), p = 0.27, with no difference in residual tumour, time to progression, survival or complications. Because it was designed to detect an implausibly large difference, the null result does not establish that the two techniques are equivalent, and the trial never tested the 3 to 4 cm lesions in which microwave ablation is supposed to help.</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microwave ablations used a single device (Acculis Sulis VpMTA) when many commercially available systems differ in antenna design, frequency, probe number and power, so the result does not generalise across devices</w:t>
            </w:r>
          </w:p>
          <w:p>
            <w:pPr>
              <w:pStyle w:val="ListParagraph"/>
              <w:numPr>
                <w:ilvl w:val="0"/>
                <w:numId w:val="2"/>
              </w:numPr>
              <w:spacing w:after="45"/>
            </w:pPr>
            <w:r>
              <w:rPr>
                <w:sz w:val="15"/>
                <w:szCs w:val="15"/>
              </w:rPr>
              <w:t xml:space="preserve">Patients were excluded after randomisation for not receiving the allocated intervention or for immediate loss to follow-up, which forced a per-protocol rather than intention-to-treat analysis</w:t>
            </w:r>
          </w:p>
          <w:p>
            <w:pPr>
              <w:pStyle w:val="ListParagraph"/>
              <w:numPr>
                <w:ilvl w:val="0"/>
                <w:numId w:val="2"/>
              </w:numPr>
              <w:spacing w:after="45"/>
            </w:pPr>
            <w:r>
              <w:rPr>
                <w:sz w:val="15"/>
                <w:szCs w:val="15"/>
              </w:rPr>
              <w:t xml:space="preserve">Allocation used sealed opaque envelopes, which the authors call a non-optimal method of concealment and masking, and operators were not masked</w:t>
            </w:r>
          </w:p>
          <w:p>
            <w:pPr>
              <w:pStyle w:val="ListParagraph"/>
              <w:numPr>
                <w:ilvl w:val="0"/>
                <w:numId w:val="2"/>
              </w:numPr>
              <w:spacing w:after="45"/>
            </w:pPr>
            <w:r>
              <w:rPr>
                <w:sz w:val="15"/>
                <w:szCs w:val="15"/>
              </w:rPr>
              <w:t xml:space="preserve">The design assumed 2.7 percent local progression with microwave and 15.4 percent with radiofrequency ablation, which the authors concede was optimistic; the observed difference was much smaller than estimated</w:t>
            </w:r>
          </w:p>
          <w:p>
            <w:pPr>
              <w:pStyle w:val="ListParagraph"/>
              <w:numPr>
                <w:ilvl w:val="0"/>
                <w:numId w:val="2"/>
              </w:numPr>
              <w:spacing w:after="45"/>
            </w:pPr>
            <w:r>
              <w:rPr>
                <w:sz w:val="15"/>
                <w:szCs w:val="15"/>
              </w:rPr>
              <w:t xml:space="preserve">Only 11 lesions measured 3 to 4 cm, so the larger-lesion analysis in which microwave ablation might differ was not possible</w:t>
            </w:r>
          </w:p>
          <w:p>
            <w:pPr>
              <w:pStyle w:val="ListParagraph"/>
              <w:numPr>
                <w:ilvl w:val="0"/>
                <w:numId w:val="2"/>
              </w:numPr>
              <w:spacing w:after="45"/>
            </w:pPr>
            <w:r>
              <w:rPr>
                <w:sz w:val="15"/>
                <w:szCs w:val="15"/>
              </w:rPr>
              <w:t xml:space="preserve">Two years is short follow-up for BCLC 0 to A disease, and management after local tumour progression was not assessed in this report</w:t>
            </w:r>
          </w:p>
          <w:p>
            <w:pPr>
              <w:pStyle w:val="ListParagraph"/>
              <w:numPr>
                <w:ilvl w:val="0"/>
                <w:numId w:val="2"/>
              </w:numPr>
              <w:spacing w:after="45"/>
            </w:pPr>
            <w:r>
              <w:rPr>
                <w:sz w:val="15"/>
                <w:szCs w:val="15"/>
              </w:rPr>
              <w:t xml:space="preserve">The authors state that equivalence of the two techniques cannot be confirmed from a trial designed to assess superiority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Randomisation was by patient but the primary endpoint was analysed lesion by lesion, with 38 percent of patients contributing two or three lesions; no clustering or random-effect adjustment is described, so the chi-square test on 98 versus 104 lesions treats correlated lesions as independent and overstates precision</w:t>
            </w:r>
          </w:p>
          <w:p>
            <w:pPr>
              <w:pStyle w:val="ListParagraph"/>
              <w:numPr>
                <w:ilvl w:val="0"/>
                <w:numId w:val="2"/>
              </w:numPr>
              <w:spacing w:after="45"/>
            </w:pPr>
            <w:r>
              <w:rPr>
                <w:sz w:val="15"/>
                <w:szCs w:val="15"/>
              </w:rPr>
              <w:t xml:space="preserve">The trial had almost no power for the difference actually seen: 78 lesions per arm were sized for a 12.7 percentage-point absolute gap, while the observed gap was 6 percentage points, so the p value of 0.27 is uninformative rather than reassuring, yet the Interpretation is written as a positive statement that progression was low with both methods</w:t>
            </w:r>
          </w:p>
          <w:p>
            <w:pPr>
              <w:pStyle w:val="ListParagraph"/>
              <w:numPr>
                <w:ilvl w:val="0"/>
                <w:numId w:val="2"/>
              </w:numPr>
              <w:spacing w:after="45"/>
            </w:pPr>
            <w:r>
              <w:rPr>
                <w:sz w:val="15"/>
                <w:szCs w:val="15"/>
              </w:rPr>
              <w:t xml:space="preserve">Lesions with residual unablated tumour at one month were re-treated and the authors state that follow-up began only once the lesion was deemed completely ablated, so the nine lesions most likely to progress had their clock reset and were removed from the primary endpoint window by design</w:t>
            </w:r>
          </w:p>
          <w:p>
            <w:pPr>
              <w:pStyle w:val="ListParagraph"/>
              <w:numPr>
                <w:ilvl w:val="0"/>
                <w:numId w:val="2"/>
              </w:numPr>
              <w:spacing w:after="45"/>
            </w:pPr>
            <w:r>
              <w:rPr>
                <w:sz w:val="15"/>
                <w:szCs w:val="15"/>
              </w:rPr>
              <w:t xml:space="preserve">The Methods justify using a raw proportion rather than a Kaplan-Meier estimate on the grounds that all lesions were assessable at 2 years, but the at-risk table under the progression figure shows only 44 radiofrequency and 52 microwave lesions at risk at 2 years with 48 and 41 censored, so the stated assumption is contradicted by the published figure</w:t>
            </w:r>
          </w:p>
          <w:p>
            <w:pPr>
              <w:pStyle w:val="ListParagraph"/>
              <w:numPr>
                <w:ilvl w:val="0"/>
                <w:numId w:val="2"/>
              </w:numPr>
              <w:spacing w:after="45"/>
            </w:pPr>
            <w:r>
              <w:rPr>
                <w:sz w:val="15"/>
                <w:szCs w:val="15"/>
              </w:rPr>
              <w:t xml:space="preserve">The captions of Figures 2 and 3 are transposed in the published article and two different log-rank p values appear for the same pair of curves (0.1854 and 0.8012), so the survival and local-progression analyses cannot be reconciled from the paper as printed</w:t>
            </w:r>
          </w:p>
          <w:p>
            <w:pPr>
              <w:pStyle w:val="ListParagraph"/>
              <w:numPr>
                <w:ilvl w:val="0"/>
                <w:numId w:val="2"/>
              </w:numPr>
              <w:spacing w:after="45"/>
            </w:pPr>
            <w:r>
              <w:rPr>
                <w:sz w:val="15"/>
                <w:szCs w:val="15"/>
              </w:rPr>
              <w:t xml:space="preserve">Ablation-zone volumes are given as 5.4 mm3 (SD 20.8) for microwave versus 28.4 mm3 (SD 21) for radiofrequency, p = 0.35, alongside lesion volumes of 4.3 and 5.4 mm3 in Table 2; these are physically impossible magnitudes with standard deviations several times the mean, and the conclusion that microwave ablation produces no larger necrosis zone rests on them</w:t>
            </w:r>
          </w:p>
          <w:p>
            <w:pPr>
              <w:pStyle w:val="ListParagraph"/>
              <w:numPr>
                <w:ilvl w:val="0"/>
                <w:numId w:val="2"/>
              </w:numPr>
              <w:spacing w:after="45"/>
            </w:pPr>
            <w:r>
              <w:rPr>
                <w:sz w:val="15"/>
                <w:szCs w:val="15"/>
              </w:rPr>
              <w:t xml:space="preserve">Baseline distribution of lesions differed between arms in ways that bear on ablation difficulty and heat-sink: segment II held 18 microwave versus 5 radiofrequency lesions, the right lobe 54 versus 66, and Child-Pugh B patients were 20 versus 27 percent; no adjustment or sensitivity analysis is reported</w:t>
            </w:r>
          </w:p>
          <w:p>
            <w:pPr>
              <w:pStyle w:val="ListParagraph"/>
              <w:numPr>
                <w:ilvl w:val="0"/>
                <w:numId w:val="2"/>
              </w:numPr>
              <w:spacing w:after="45"/>
            </w:pPr>
            <w:r>
              <w:rPr>
                <w:sz w:val="15"/>
                <w:szCs w:val="15"/>
              </w:rPr>
              <w:t xml:space="preserve">New distant intrahepatic foci appeared in 72 and 70 percent of lesions by 2 years and 13 to 16 percent of patients were transplanted and censored, so the primary endpoint was measured against a background in which nearly every patient developed new disease, and local progression cannot separate technique quality from tumour biology</w:t>
            </w:r>
          </w:p>
          <w:p>
            <w:pPr>
              <w:pStyle w:val="ListParagraph"/>
              <w:numPr>
                <w:ilvl w:val="0"/>
                <w:numId w:val="2"/>
              </w:numPr>
              <w:spacing w:after="45"/>
            </w:pPr>
            <w:r>
              <w:rPr>
                <w:sz w:val="15"/>
                <w:szCs w:val="15"/>
              </w:rPr>
              <w:t xml:space="preserve">ClinicalTrials.gov registration NCT02859753 postdates the close of enrolment in February 2015; the authors record only university-level registration in 2011, so the primary endpoint and the per-protocol analysis population cannot be checked against a pre-enrolment record</w:t>
            </w:r>
          </w:p>
          <w:p>
            <w:pPr>
              <w:pStyle w:val="ListParagraph"/>
              <w:numPr>
                <w:ilvl w:val="0"/>
                <w:numId w:val="2"/>
              </w:numPr>
              <w:spacing w:after="45"/>
            </w:pPr>
            <w:r>
              <w:rPr>
                <w:sz w:val="15"/>
                <w:szCs w:val="15"/>
              </w:rPr>
              <w:t xml:space="preserve">The five operators had 8 to 20 years of interventional oncology experience, but radiofrequency ablation was the established technique and microwave the newer one during 2011 to 2015; an operator learning curve favouring the control arm is neither measured nor discussed</w:t>
            </w:r>
          </w:p>
          <w:p>
            <w:pPr>
              <w:pStyle w:val="ListParagraph"/>
              <w:numPr>
                <w:ilvl w:val="0"/>
                <w:numId w:val="2"/>
              </w:numPr>
              <w:spacing w:after="45"/>
            </w:pPr>
            <w:r>
              <w:rPr>
                <w:sz w:val="15"/>
                <w:szCs w:val="15"/>
              </w:rPr>
              <w:t xml:space="preserve">The reported risk ratio of 1.62 is oriented with radiofrequency ablation as the numerator while the point estimate favours microwave ablation, and the paper never states the direction, so the only effect estimate in the abstract reads as if it disfavoured the experimental arm</w:t>
            </w:r>
          </w:p>
          <w:p>
            <w:pPr>
              <w:pStyle w:val="ListParagraph"/>
              <w:numPr>
                <w:ilvl w:val="0"/>
                <w:numId w:val="2"/>
              </w:numPr>
              <w:spacing w:after="45"/>
            </w:pPr>
            <w:r>
              <w:rPr>
                <w:sz w:val="15"/>
                <w:szCs w:val="15"/>
              </w:rPr>
              <w:t xml:space="preserve">The trial was funded by Microsulis (AngioDynamics), maker of the microwave device, the sponsor reviewed the manuscript, and the editing support was paid for from the same grant, yet the declaration of interests reads in full that the authors have no competing interests</w:t>
            </w:r>
          </w:p>
        </w:tc>
      </w:tr>
    </w:tbl>
    <w:p>
      <w:pPr>
        <w:spacing w:after="0" w:line="276"/>
      </w:pPr>
      <w:r>
        <w:rPr>
          <w:color w:val="5A6069"/>
          <w:sz w:val="14"/>
          <w:szCs w:val="14"/>
        </w:rPr>
        <w:t xml:space="preserve">Funding: Grant from Microsulis (AngioDynamics), the manufacturer of the microwave device, which also funded editing support; the sponsor reviewed the submitted manuscript; the authors declare no competing interests</w:t>
      </w:r>
    </w:p>
    <w:p>
      <w:pPr>
        <w:keepNext/>
        <w:spacing w:after="50" w:before="260"/>
      </w:pPr>
      <w:r>
        <w:rPr>
          <w:rFonts w:ascii="Cambria" w:cs="Cambria" w:eastAsia="Cambria" w:hAnsi="Cambria"/>
          <w:b/>
          <w:bCs/>
          <w:color w:val="17365D"/>
          <w:sz w:val="20"/>
          <w:szCs w:val="20"/>
        </w:rPr>
        <w:t xml:space="preserve">PRECISION V</w:t>
      </w:r>
      <w:r>
        <w:rPr>
          <w:b/>
          <w:bCs/>
          <w:color w:val="176A87"/>
          <w:sz w:val="15"/>
          <w:szCs w:val="15"/>
        </w:rPr>
        <w:t xml:space="preserve">   Randomised trial</w:t>
      </w:r>
      <w:r>
        <w:rPr>
          <w:color w:val="5A6069"/>
          <w:sz w:val="15"/>
          <w:szCs w:val="15"/>
        </w:rPr>
        <w:t xml:space="preserve">   PMID 19908093</w:t>
      </w:r>
    </w:p>
    <w:p>
      <w:pPr>
        <w:spacing w:after="50" w:line="276"/>
      </w:pPr>
      <w:r>
        <w:rPr>
          <w:color w:val="5A6069"/>
          <w:sz w:val="17"/>
          <w:szCs w:val="17"/>
        </w:rPr>
        <w:t xml:space="preserve">Prospective Randomized Study of Doxorubicin-Eluting-Bead Embolization in the Treatment of Hepatocellular Carcinoma: Results of the PRECISION V Study</w:t>
      </w:r>
    </w:p>
    <w:p>
      <w:pPr>
        <w:spacing w:after="50"/>
      </w:pPr>
      <w:r>
        <w:rPr>
          <w:b/>
          <w:bCs/>
          <w:color w:val="176A87"/>
          <w:sz w:val="16"/>
          <w:szCs w:val="16"/>
        </w:rPr>
        <w:t xml:space="preserve">Population. </w:t>
      </w:r>
      <w:r>
        <w:rPr>
          <w:sz w:val="16"/>
          <w:szCs w:val="16"/>
        </w:rPr>
        <w:t xml:space="preserve">212 patients with Child-Pugh A or B cirrhosis and large or multinodular unresectable N0 M0 HCC randomised at European centres to drug-eluting bead chemoembolisation (102) or conventional chemoembolisation (110); the modified intention-to-treat population analysed was 93 and 108 patients who received at least one treatment</w:t>
      </w:r>
    </w:p>
    <w:p>
      <w:pPr>
        <w:spacing w:after="70"/>
      </w:pPr>
      <w:r>
        <w:rPr>
          <w:b/>
          <w:bCs/>
          <w:color w:val="17365D"/>
          <w:sz w:val="16"/>
          <w:szCs w:val="16"/>
        </w:rPr>
        <w:t xml:space="preserve">Bottom line. </w:t>
      </w:r>
      <w:r>
        <w:rPr>
          <w:sz w:val="16"/>
          <w:szCs w:val="16"/>
        </w:rPr>
        <w:t xml:space="preserve">PRECISION V is the trial routinely cited as establishing drug-eluting beads, and it failed its primary endpoint: EASL objective response at 6 months did not differ significantly from conventional chemoembolisation. It is a phase 2 study with a six-month radiological endpoint, no time-to-progression or survival data, a fixed 150 mg doxorubicin dose in the experimental arm against a body-surface-area and bilirubin-adjusted dose in the control arm, and manufacturer sponsorship.</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number of patients required to show superiority was underestimated because conventional chemoembolisation achieved a 44 percent response rate against the assumed 35 percent, which the authors state</w:t>
            </w:r>
          </w:p>
          <w:p>
            <w:pPr>
              <w:pStyle w:val="ListParagraph"/>
              <w:numPr>
                <w:ilvl w:val="0"/>
                <w:numId w:val="2"/>
              </w:numPr>
              <w:spacing w:after="45"/>
            </w:pPr>
            <w:r>
              <w:rPr>
                <w:sz w:val="15"/>
                <w:szCs w:val="15"/>
              </w:rPr>
              <w:t xml:space="preserve">Robust time-to-progression and survival data would require further randomised trials with longer follow-up, as the authors acknowledge</w:t>
            </w:r>
          </w:p>
          <w:p>
            <w:pPr>
              <w:pStyle w:val="ListParagraph"/>
              <w:numPr>
                <w:ilvl w:val="0"/>
                <w:numId w:val="2"/>
              </w:numPr>
              <w:spacing w:after="45"/>
            </w:pPr>
            <w:r>
              <w:rPr>
                <w:sz w:val="15"/>
                <w:szCs w:val="15"/>
              </w:rPr>
              <w:t xml:space="preserve">The authors note that conventional chemoembolisation varies widely between centres in drugs, embolic agents, doses and schedules, and that evidence of a survival benefit at 3 years is low</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two arms did not receive comparable drug: the bead arm had a fixed 150 mg of doxorubicin with no adjustment for bilirubin or body surface area while the control arm had 50 to 75 mg per square metre adjusted for both, so roughly double the dose was delivered in the experimental arm and any difference in response or in hepatic enzyme change is confounded with dose rather than with the delivery platform</w:t>
            </w:r>
          </w:p>
          <w:p>
            <w:pPr>
              <w:pStyle w:val="ListParagraph"/>
              <w:numPr>
                <w:ilvl w:val="0"/>
                <w:numId w:val="2"/>
              </w:numPr>
              <w:spacing w:after="45"/>
            </w:pPr>
            <w:r>
              <w:rPr>
                <w:sz w:val="15"/>
                <w:szCs w:val="15"/>
              </w:rPr>
              <w:t xml:space="preserve">The primary analysis population is a modified intention-to-treat set restricted to patients who received at least one chemoembolisation, and the attrition was asymmetric (9 of 102 bead patients never treated against 2 of 110 controls), so 11 randomised patients were removed from the comparison in the direction that favours the experimental arm</w:t>
            </w:r>
          </w:p>
          <w:p>
            <w:pPr>
              <w:pStyle w:val="ListParagraph"/>
              <w:numPr>
                <w:ilvl w:val="0"/>
                <w:numId w:val="2"/>
              </w:numPr>
              <w:spacing w:after="45"/>
            </w:pPr>
            <w:r>
              <w:rPr>
                <w:sz w:val="15"/>
                <w:szCs w:val="15"/>
              </w:rPr>
              <w:t xml:space="preserve">The adaptive three-stage group sequential design set the final significance boundary at a p value of 0.024 rather than 0.05, and the trial enrolled 212 patients against a design built around 200, so the failed primary endpoint was judged against a boundary the paper does not discuss when describing the result as favourable</w:t>
            </w:r>
          </w:p>
          <w:p>
            <w:pPr>
              <w:pStyle w:val="ListParagraph"/>
              <w:numPr>
                <w:ilvl w:val="0"/>
                <w:numId w:val="2"/>
              </w:numPr>
              <w:spacing w:after="45"/>
            </w:pPr>
            <w:r>
              <w:rPr>
                <w:sz w:val="15"/>
                <w:szCs w:val="15"/>
              </w:rPr>
              <w:t xml:space="preserve">Every analysis other than the failed primary endpoint and the primary safety endpoint is described in the Methods as supportive in nature and analysed descriptively, so all the positive statements in the paper are descriptive</w:t>
            </w:r>
          </w:p>
          <w:p>
            <w:pPr>
              <w:pStyle w:val="ListParagraph"/>
              <w:numPr>
                <w:ilvl w:val="0"/>
                <w:numId w:val="2"/>
              </w:numPr>
              <w:spacing w:after="45"/>
            </w:pPr>
            <w:r>
              <w:rPr>
                <w:sz w:val="15"/>
                <w:szCs w:val="15"/>
              </w:rPr>
              <w:t xml:space="preserve">The subgroup of more advanced patients (Child-Pugh B, ECOG 1, bilobar or recurrent disease) is described in the Methods as preplanned and in the Results and Discussion as post hoc and hypothesis-generating, with p values unadjusted for multiplicity; this subgroup is the basis for the paper's conclusion that the device offers benefit in more advanced disease</w:t>
            </w:r>
          </w:p>
          <w:p>
            <w:pPr>
              <w:pStyle w:val="ListParagraph"/>
              <w:numPr>
                <w:ilvl w:val="0"/>
                <w:numId w:val="2"/>
              </w:numPr>
              <w:spacing w:after="45"/>
            </w:pPr>
            <w:r>
              <w:rPr>
                <w:sz w:val="15"/>
                <w:szCs w:val="15"/>
              </w:rPr>
              <w:t xml:space="preserve">Thirteen patients with bilobar disease received a second embolisation of the other lobe within three weeks as procedure 1B, unevenly distributed (8 bead against 5 control), so treatment intensity differed between arms outside the randomised comparison</w:t>
            </w:r>
          </w:p>
          <w:p>
            <w:pPr>
              <w:pStyle w:val="ListParagraph"/>
              <w:numPr>
                <w:ilvl w:val="0"/>
                <w:numId w:val="2"/>
              </w:numPr>
              <w:spacing w:after="45"/>
            </w:pPr>
            <w:r>
              <w:rPr>
                <w:sz w:val="15"/>
                <w:szCs w:val="15"/>
              </w:rPr>
              <w:t xml:space="preserve">The primary endpoint is EASL radiological response at 6 months, a surrogate with no established relation to survival in this setting, and follow-up stopped at 6 months, so the trial cannot answer whether the device changes any outcome a patient would notice</w:t>
            </w:r>
          </w:p>
          <w:p>
            <w:pPr>
              <w:pStyle w:val="ListParagraph"/>
              <w:numPr>
                <w:ilvl w:val="0"/>
                <w:numId w:val="2"/>
              </w:numPr>
              <w:spacing w:after="45"/>
            </w:pPr>
            <w:r>
              <w:rPr>
                <w:sz w:val="15"/>
                <w:szCs w:val="15"/>
              </w:rPr>
              <w:t xml:space="preserve">Thirteen patients were downstaged to curative treatment and discontinued (5 bead, 8 control), and 67 of 201 treated patients discontinued treatment altogether, with no accounting for how these departures affect a 6-month response endpoint</w:t>
            </w:r>
          </w:p>
          <w:p>
            <w:pPr>
              <w:pStyle w:val="ListParagraph"/>
              <w:numPr>
                <w:ilvl w:val="0"/>
                <w:numId w:val="2"/>
              </w:numPr>
              <w:spacing w:after="45"/>
            </w:pPr>
            <w:r>
              <w:rPr>
                <w:sz w:val="15"/>
                <w:szCs w:val="15"/>
              </w:rPr>
              <w:t xml:space="preserve">The control arm's embolic agent was left to investigator choice while the experimental arm used a single standardised device, so the comparison is between a defined product and a heterogeneous practice</w:t>
            </w:r>
          </w:p>
          <w:p>
            <w:pPr>
              <w:pStyle w:val="ListParagraph"/>
              <w:numPr>
                <w:ilvl w:val="0"/>
                <w:numId w:val="2"/>
              </w:numPr>
              <w:spacing w:after="45"/>
            </w:pPr>
            <w:r>
              <w:rPr>
                <w:sz w:val="15"/>
                <w:szCs w:val="15"/>
              </w:rPr>
              <w:t xml:space="preserve">The trial was sponsored by the manufacturer of the device under test, and the paper offers no statement about who performed the analysis or who drafted the manuscript</w:t>
            </w:r>
          </w:p>
          <w:p>
            <w:pPr>
              <w:pStyle w:val="ListParagraph"/>
              <w:numPr>
                <w:ilvl w:val="0"/>
                <w:numId w:val="2"/>
              </w:numPr>
              <w:spacing w:after="45"/>
            </w:pPr>
            <w:r>
              <w:rPr>
                <w:sz w:val="15"/>
                <w:szCs w:val="15"/>
              </w:rPr>
              <w:t xml:space="preserve">The later independently conducted PRECISION Italia randomised trial, with no industry sponsor, found no difference in response, time to progression (9 months in both arms) or 2-year survival (56.8 against 55.4 percent, p = 0.949) and was stopped for futility</w:t>
            </w:r>
          </w:p>
        </w:tc>
      </w:tr>
    </w:tbl>
    <w:p>
      <w:pPr>
        <w:spacing w:after="0" w:line="276"/>
      </w:pPr>
      <w:r>
        <w:rPr>
          <w:color w:val="5A6069"/>
          <w:sz w:val="14"/>
          <w:szCs w:val="14"/>
        </w:rPr>
        <w:t xml:space="preserve">Funding: Sponsored by Biocompatibles UK Ltd, the manufacturer of the DC Bead device under test, as declared in the acknowledgments</w:t>
      </w:r>
    </w:p>
    <w:p>
      <w:pPr>
        <w:keepNext/>
        <w:spacing w:after="50" w:before="260"/>
      </w:pPr>
      <w:r>
        <w:rPr>
          <w:rFonts w:ascii="Cambria" w:cs="Cambria" w:eastAsia="Cambria" w:hAnsi="Cambria"/>
          <w:b/>
          <w:bCs/>
          <w:color w:val="17365D"/>
          <w:sz w:val="20"/>
          <w:szCs w:val="20"/>
        </w:rPr>
        <w:t xml:space="preserve">PREMIERE</w:t>
      </w:r>
      <w:r>
        <w:rPr>
          <w:b/>
          <w:bCs/>
          <w:color w:val="176A87"/>
          <w:sz w:val="15"/>
          <w:szCs w:val="15"/>
        </w:rPr>
        <w:t xml:space="preserve">   Randomised trial</w:t>
      </w:r>
      <w:r>
        <w:rPr>
          <w:color w:val="5A6069"/>
          <w:sz w:val="15"/>
          <w:szCs w:val="15"/>
        </w:rPr>
        <w:t xml:space="preserve">   PMID 27575820</w:t>
      </w:r>
    </w:p>
    <w:p>
      <w:pPr>
        <w:spacing w:after="50" w:line="276"/>
      </w:pPr>
      <w:r>
        <w:rPr>
          <w:color w:val="5A6069"/>
          <w:sz w:val="17"/>
          <w:szCs w:val="17"/>
        </w:rPr>
        <w:t xml:space="preserve">Y90 Radioembolization Significantly Prolongs Time to Progression Compared With Chemoembolization in Patients With Hepatocellular Carcinoma</w:t>
      </w:r>
    </w:p>
    <w:p>
      <w:pPr>
        <w:spacing w:after="50"/>
      </w:pPr>
      <w:r>
        <w:rPr>
          <w:b/>
          <w:bCs/>
          <w:color w:val="176A87"/>
          <w:sz w:val="16"/>
          <w:szCs w:val="16"/>
        </w:rPr>
        <w:t xml:space="preserve">Population. </w:t>
      </w:r>
      <w:r>
        <w:rPr>
          <w:sz w:val="16"/>
          <w:szCs w:val="16"/>
        </w:rPr>
        <w:t xml:space="preserve">45 of 179 eligible BCLC A or B patients with HCC not amenable to resection or ablation, randomised 1:1 at a single US centre between October 2009 and October 2015 to Y-90 glass microspheres at 120 Gy (24) or conventional chemoembolisation (21); most were listed for transplantation, and half the Y-90 arm was Child-Pugh B at randomisation</w:t>
      </w:r>
    </w:p>
    <w:p>
      <w:pPr>
        <w:spacing w:after="70"/>
      </w:pPr>
      <w:r>
        <w:rPr>
          <w:b/>
          <w:bCs/>
          <w:color w:val="17365D"/>
          <w:sz w:val="16"/>
          <w:szCs w:val="16"/>
        </w:rPr>
        <w:t xml:space="preserve">Bottom line. </w:t>
      </w:r>
      <w:r>
        <w:rPr>
          <w:sz w:val="16"/>
          <w:szCs w:val="16"/>
        </w:rPr>
        <w:t xml:space="preserve">Widely cited as PREMIERE, this is a 45-patient single-centre randomised trial in which radioembolisation gave a much longer time to progression than chemoembolisation (median over 26 against 6.8 months, HR 0.122) with identical survival. It was stopped for slow accrual at a third of its planned size with no prespecified interim analysis, the endpoint is a surrogate censored at transplantation, and the arms were poorly balanced on liver function.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Imaging and survival were censored at transplantation, which the authors defend as the correct method for time to progression while acknowledging it as a limitation</w:t>
            </w:r>
          </w:p>
          <w:p>
            <w:pPr>
              <w:pStyle w:val="ListParagraph"/>
              <w:numPr>
                <w:ilvl w:val="0"/>
                <w:numId w:val="2"/>
              </w:numPr>
              <w:spacing w:after="45"/>
            </w:pPr>
            <w:r>
              <w:rPr>
                <w:sz w:val="15"/>
                <w:szCs w:val="15"/>
              </w:rPr>
              <w:t xml:space="preserve">Time to progression was used as a surrogate because survival in this population is confounded by crossover to other therapies</w:t>
            </w:r>
          </w:p>
          <w:p>
            <w:pPr>
              <w:pStyle w:val="ListParagraph"/>
              <w:numPr>
                <w:ilvl w:val="0"/>
                <w:numId w:val="2"/>
              </w:numPr>
              <w:spacing w:after="45"/>
            </w:pPr>
            <w:r>
              <w:rPr>
                <w:sz w:val="15"/>
                <w:szCs w:val="15"/>
              </w:rPr>
              <w:t xml:space="preserve">The study was halted on the recommendation of the cancer centre because of accrual difficulties</w:t>
            </w:r>
          </w:p>
          <w:p>
            <w:pPr>
              <w:pStyle w:val="ListParagraph"/>
              <w:numPr>
                <w:ilvl w:val="0"/>
                <w:numId w:val="2"/>
              </w:numPr>
              <w:spacing w:after="45"/>
            </w:pPr>
            <w:r>
              <w:rPr>
                <w:sz w:val="15"/>
                <w:szCs w:val="15"/>
              </w:rPr>
              <w:t xml:space="preserve">Only 45 of 179 eligible patients were randomised, with 43 declining research and others selecting a specific therapy</w:t>
            </w:r>
          </w:p>
          <w:p>
            <w:pPr>
              <w:pStyle w:val="ListParagraph"/>
              <w:numPr>
                <w:ilvl w:val="0"/>
                <w:numId w:val="2"/>
              </w:numPr>
              <w:spacing w:after="45"/>
            </w:pPr>
            <w:r>
              <w:rPr>
                <w:sz w:val="15"/>
                <w:szCs w:val="15"/>
              </w:rPr>
              <w:t xml:space="preserve">The authors state that the Child-Pugh B case mix explains survival lower than expected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hazard ratio of 0.122 rests on 12 progression events in 45 patients and its confidence interval spans roughly a twentyfold range, so the effect size is not estimable to any useful precision even though the direction is clear</w:t>
            </w:r>
          </w:p>
          <w:p>
            <w:pPr>
              <w:pStyle w:val="ListParagraph"/>
              <w:numPr>
                <w:ilvl w:val="0"/>
                <w:numId w:val="2"/>
              </w:numPr>
              <w:spacing w:after="45"/>
            </w:pPr>
            <w:r>
              <w:rPr>
                <w:sz w:val="15"/>
                <w:szCs w:val="15"/>
              </w:rPr>
              <w:t xml:space="preserve">The trial was stopped at 45 of 124 planned patients with no prespecified interim analysis, and the conditional power of 96.8 percent offered in mitigation is a hypothetical calculation assuming the protocol hazard ratio would have held in the 79 patients never enrolled</w:t>
            </w:r>
          </w:p>
          <w:p>
            <w:pPr>
              <w:pStyle w:val="ListParagraph"/>
              <w:numPr>
                <w:ilvl w:val="0"/>
                <w:numId w:val="2"/>
              </w:numPr>
              <w:spacing w:after="45"/>
            </w:pPr>
            <w:r>
              <w:rPr>
                <w:sz w:val="15"/>
                <w:szCs w:val="15"/>
              </w:rPr>
              <w:t xml:space="preserve">The arms were unbalanced on precisely the variables that determine progression and survival: half the Y-90 arm was Child-Pugh B at randomisation and 54 percent by the day of first treatment against 24 percent for chemoembolisation, with portal hypertension in 83 against 52 percent (p = 0.051), and no adjustment is made</w:t>
            </w:r>
          </w:p>
          <w:p>
            <w:pPr>
              <w:pStyle w:val="ListParagraph"/>
              <w:numPr>
                <w:ilvl w:val="0"/>
                <w:numId w:val="2"/>
              </w:numPr>
              <w:spacing w:after="45"/>
            </w:pPr>
            <w:r>
              <w:rPr>
                <w:sz w:val="15"/>
                <w:szCs w:val="15"/>
              </w:rPr>
              <w:t xml:space="preserve">Survival was identical between arms, so the trial demonstrates better local control rather than patient benefit, and the reduction in waiting-list dropout that the paper advances as the clinical rationale was never itself measured</w:t>
            </w:r>
          </w:p>
          <w:p>
            <w:pPr>
              <w:pStyle w:val="ListParagraph"/>
              <w:numPr>
                <w:ilvl w:val="0"/>
                <w:numId w:val="2"/>
              </w:numPr>
              <w:spacing w:after="45"/>
            </w:pPr>
            <w:r>
              <w:rPr>
                <w:sz w:val="15"/>
                <w:szCs w:val="15"/>
              </w:rPr>
              <w:t xml:space="preserve">Censoring at transplantation removes the most favourable outcomes from both arms, and with most patients listed for transplantation the proportion censored is large, which is why competing-risk and inverse-probability-of-censoring-weighted analyses were needed to support the primary result</w:t>
            </w:r>
          </w:p>
          <w:p>
            <w:pPr>
              <w:pStyle w:val="ListParagraph"/>
              <w:numPr>
                <w:ilvl w:val="0"/>
                <w:numId w:val="2"/>
              </w:numPr>
              <w:spacing w:after="45"/>
            </w:pPr>
            <w:r>
              <w:rPr>
                <w:sz w:val="15"/>
                <w:szCs w:val="15"/>
              </w:rPr>
              <w:t xml:space="preserve">Enrolment was 25 percent of eligible patients at a single centre, with 49 requesting Y-90 and 13 requesting chemoembolisation outside the trial, so the randomised cohort is the minority indifferent between the two at a centre with a strong radioembolisation programme</w:t>
            </w:r>
          </w:p>
          <w:p>
            <w:pPr>
              <w:pStyle w:val="ListParagraph"/>
              <w:numPr>
                <w:ilvl w:val="0"/>
                <w:numId w:val="2"/>
              </w:numPr>
              <w:spacing w:after="45"/>
            </w:pPr>
            <w:r>
              <w:rPr>
                <w:sz w:val="15"/>
                <w:szCs w:val="15"/>
              </w:rPr>
              <w:t xml:space="preserve">Two of 21 chemoembolisation patients were treated off study, so the control arm as delivered is smaller still</w:t>
            </w:r>
          </w:p>
          <w:p>
            <w:pPr>
              <w:pStyle w:val="ListParagraph"/>
              <w:numPr>
                <w:ilvl w:val="0"/>
                <w:numId w:val="2"/>
              </w:numPr>
              <w:spacing w:after="45"/>
            </w:pPr>
            <w:r>
              <w:rPr>
                <w:sz w:val="15"/>
                <w:szCs w:val="15"/>
              </w:rPr>
              <w:t xml:space="preserve">Y-90 patients waited longer for their first treatment than chemoembolisation patients, which the authors present as a strength but which also means the two arms differ in the interval between staging and treatment</w:t>
            </w:r>
          </w:p>
          <w:p>
            <w:pPr>
              <w:pStyle w:val="ListParagraph"/>
              <w:numPr>
                <w:ilvl w:val="0"/>
                <w:numId w:val="2"/>
              </w:numPr>
              <w:spacing w:after="45"/>
            </w:pPr>
            <w:r>
              <w:rPr>
                <w:sz w:val="15"/>
                <w:szCs w:val="15"/>
              </w:rPr>
              <w:t xml:space="preserve">Three authors including the senior author advise the manufacturer of the device tested, and the trial's conclusion prompted the centre to change its own practice to radioembolisation for transplant bridging</w:t>
            </w:r>
          </w:p>
          <w:p>
            <w:pPr>
              <w:pStyle w:val="ListParagraph"/>
              <w:numPr>
                <w:ilvl w:val="0"/>
                <w:numId w:val="2"/>
              </w:numPr>
              <w:spacing w:after="45"/>
            </w:pPr>
            <w:r>
              <w:rPr>
                <w:sz w:val="15"/>
                <w:szCs w:val="15"/>
              </w:rPr>
              <w:t xml:space="preserve">The paper is universally cited as PREMIERE although it never uses that name, which makes its small size and single-centre origin easy to overlook</w:t>
            </w:r>
          </w:p>
        </w:tc>
      </w:tr>
    </w:tbl>
    <w:p>
      <w:pPr>
        <w:spacing w:after="0" w:line="276"/>
      </w:pPr>
      <w:r>
        <w:rPr>
          <w:color w:val="5A6069"/>
          <w:sz w:val="14"/>
          <w:szCs w:val="14"/>
        </w:rPr>
        <w:t xml:space="preserve">Funding: Funded in part by NIH grant CA126809; three authors, including the senior author, advise BTG International, which manufactures the TheraSphere device tested</w:t>
      </w:r>
    </w:p>
    <w:p>
      <w:pPr>
        <w:keepNext/>
        <w:spacing w:after="50" w:before="260"/>
      </w:pPr>
      <w:r>
        <w:rPr>
          <w:rFonts w:ascii="Cambria" w:cs="Cambria" w:eastAsia="Cambria" w:hAnsi="Cambria"/>
          <w:b/>
          <w:bCs/>
          <w:color w:val="17365D"/>
          <w:sz w:val="20"/>
          <w:szCs w:val="20"/>
        </w:rPr>
        <w:t xml:space="preserve">RASER</w:t>
      </w:r>
      <w:r>
        <w:rPr>
          <w:b/>
          <w:bCs/>
          <w:color w:val="176A87"/>
          <w:sz w:val="15"/>
          <w:szCs w:val="15"/>
        </w:rPr>
        <w:t xml:space="preserve">   Prospective trial</w:t>
      </w:r>
      <w:r>
        <w:rPr>
          <w:color w:val="5A6069"/>
          <w:sz w:val="15"/>
          <w:szCs w:val="15"/>
        </w:rPr>
        <w:t xml:space="preserve">   PMID 35617978</w:t>
      </w:r>
    </w:p>
    <w:p>
      <w:pPr>
        <w:spacing w:after="50" w:line="276"/>
      </w:pPr>
      <w:r>
        <w:rPr>
          <w:color w:val="5A6069"/>
          <w:sz w:val="17"/>
          <w:szCs w:val="17"/>
        </w:rPr>
        <w:t xml:space="preserve">Radiation segmentectomy for curative intent of unresectable very early to early stage hepatocellular carcinoma (RASER): a single-centre, single-arm study</w:t>
      </w:r>
    </w:p>
    <w:p>
      <w:pPr>
        <w:spacing w:after="50"/>
      </w:pPr>
      <w:r>
        <w:rPr>
          <w:b/>
          <w:bCs/>
          <w:color w:val="176A87"/>
          <w:sz w:val="16"/>
          <w:szCs w:val="16"/>
        </w:rPr>
        <w:t xml:space="preserve">Population. </w:t>
      </w:r>
      <w:r>
        <w:rPr>
          <w:sz w:val="16"/>
          <w:szCs w:val="16"/>
        </w:rPr>
        <w:t xml:space="preserve">29 of 44 screened adults with a solitary treatment-naive HCC of 3 cm or less in a location unfavourable for ablation, treated with a single radiation segmentectomy at one centre; 24 completed follow-up, 8 were transplanted and 5 were lost</w:t>
      </w:r>
    </w:p>
    <w:p>
      <w:pPr>
        <w:spacing w:after="70"/>
      </w:pPr>
      <w:r>
        <w:rPr>
          <w:b/>
          <w:bCs/>
          <w:color w:val="17365D"/>
          <w:sz w:val="16"/>
          <w:szCs w:val="16"/>
        </w:rPr>
        <w:t xml:space="preserve">Bottom line. </w:t>
      </w:r>
      <w:r>
        <w:rPr>
          <w:sz w:val="16"/>
          <w:szCs w:val="16"/>
        </w:rPr>
        <w:t xml:space="preserve">A 29-patient single-arm study showing that an ablative segmental Y-90 dose produces complete response in 83 percent of target lesions initially and sustained complete response in 90 percent, with complete necrosis of all eight target lesions that reached explant. It is a response study with no comparator, one unmasked in-house reader, 24 months of follow-up and 44 percent of patients censored by transplant or loss, so it does not show that radiation segmentectomy matches ablation for recurrence or survival.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masked independent reviewers and no comparison group, both stated by the authors</w:t>
            </w:r>
          </w:p>
          <w:p>
            <w:pPr>
              <w:pStyle w:val="ListParagraph"/>
              <w:numPr>
                <w:ilvl w:val="0"/>
                <w:numId w:val="2"/>
              </w:numPr>
              <w:spacing w:after="45"/>
            </w:pPr>
            <w:r>
              <w:rPr>
                <w:sz w:val="15"/>
                <w:szCs w:val="15"/>
              </w:rPr>
              <w:t xml:space="preserve">All procedures were done by interventional radiologists with more than 10 years of radioembolisation experience, which the authors note limits transferability</w:t>
            </w:r>
          </w:p>
          <w:p>
            <w:pPr>
              <w:pStyle w:val="ListParagraph"/>
              <w:numPr>
                <w:ilvl w:val="0"/>
                <w:numId w:val="2"/>
              </w:numPr>
              <w:spacing w:after="45"/>
            </w:pPr>
            <w:r>
              <w:rPr>
                <w:sz w:val="15"/>
                <w:szCs w:val="15"/>
              </w:rPr>
              <w:t xml:space="preserve">Inclusion criteria were strict, which the authors say limits generalisability to most patients diagnosed with HCC</w:t>
            </w:r>
          </w:p>
          <w:p>
            <w:pPr>
              <w:pStyle w:val="ListParagraph"/>
              <w:numPr>
                <w:ilvl w:val="0"/>
                <w:numId w:val="2"/>
              </w:numPr>
              <w:spacing w:after="45"/>
            </w:pPr>
            <w:r>
              <w:rPr>
                <w:sz w:val="15"/>
                <w:szCs w:val="15"/>
              </w:rPr>
              <w:t xml:space="preserve">Radioembolisation requires established nuclear medicine infrastructure and supportive reimbursement, which may not exist elsewhere</w:t>
            </w:r>
          </w:p>
          <w:p>
            <w:pPr>
              <w:pStyle w:val="ListParagraph"/>
              <w:numPr>
                <w:ilvl w:val="0"/>
                <w:numId w:val="2"/>
              </w:numPr>
              <w:spacing w:after="45"/>
            </w:pPr>
            <w:r>
              <w:rPr>
                <w:sz w:val="15"/>
                <w:szCs w:val="15"/>
              </w:rPr>
              <w:t xml:space="preserve">The explant pathology was not reviewed to a standardised protocol and the sample is only eight patients, which the authors state in the Discussion</w:t>
            </w:r>
          </w:p>
          <w:p>
            <w:pPr>
              <w:pStyle w:val="ListParagraph"/>
              <w:numPr>
                <w:ilvl w:val="0"/>
                <w:numId w:val="2"/>
              </w:numPr>
              <w:spacing w:after="45"/>
            </w:pPr>
            <w:r>
              <w:rPr>
                <w:sz w:val="15"/>
                <w:szCs w:val="15"/>
              </w:rPr>
              <w:t xml:space="preserve">The authors attribute the higher recorded adverse-event rate to the prospective design with extra visits and laboratory tests rather than to the treatment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sample size was set to detect a 30 percentage-point improvement in complete response over an assumed 50 percent with chemoembolisation, but no chemoembolisation arm exists and the 50 percent assumption carries no citation in the text, so the single-arm result is never formally tested against any goal and no p value or confidence interval against a performance threshold is reported</w:t>
            </w:r>
          </w:p>
          <w:p>
            <w:pPr>
              <w:pStyle w:val="ListParagraph"/>
              <w:numPr>
                <w:ilvl w:val="0"/>
                <w:numId w:val="2"/>
              </w:numPr>
              <w:spacing w:after="45"/>
            </w:pPr>
            <w:r>
              <w:rPr>
                <w:sz w:val="15"/>
                <w:szCs w:val="15"/>
              </w:rPr>
              <w:t xml:space="preserve">The Methods state that imaging response was read by an independent board-certified radiologist with 18 years of experience while the limitations state there were no masked independent reviewers; the paper contradicts itself about who judged the primary endpoint</w:t>
            </w:r>
          </w:p>
          <w:p>
            <w:pPr>
              <w:pStyle w:val="ListParagraph"/>
              <w:numPr>
                <w:ilvl w:val="0"/>
                <w:numId w:val="2"/>
              </w:numPr>
              <w:spacing w:after="45"/>
            </w:pPr>
            <w:r>
              <w:rPr>
                <w:sz w:val="15"/>
                <w:szCs w:val="15"/>
              </w:rPr>
              <w:t xml:space="preserve">Sustained complete response (90 percent, 26 of 29) exceeds the initial complete response (83 percent, 24 of 29) because partial responders converted later, and one of the 26 had only a single post-treatment image before being lost to follow-up, so the headline figure counts a patient with one assessment as a durable responder</w:t>
            </w:r>
          </w:p>
          <w:p>
            <w:pPr>
              <w:pStyle w:val="ListParagraph"/>
              <w:numPr>
                <w:ilvl w:val="0"/>
                <w:numId w:val="2"/>
              </w:numPr>
              <w:spacing w:after="45"/>
            </w:pPr>
            <w:r>
              <w:rPr>
                <w:sz w:val="15"/>
                <w:szCs w:val="15"/>
              </w:rPr>
              <w:t xml:space="preserve">Eight of 29 patients (27 percent) were transplanted at a median of 341 days and 5 (17 percent) were lost, and transplantation was handled as a competing risk, so the 2-year cumulative target progression of 12 percent is estimated in a cohort from which 44 percent of patients had departed</w:t>
            </w:r>
          </w:p>
          <w:p>
            <w:pPr>
              <w:pStyle w:val="ListParagraph"/>
              <w:numPr>
                <w:ilvl w:val="0"/>
                <w:numId w:val="2"/>
              </w:numPr>
              <w:spacing w:after="45"/>
            </w:pPr>
            <w:r>
              <w:rPr>
                <w:sz w:val="15"/>
                <w:szCs w:val="15"/>
              </w:rPr>
              <w:t xml:space="preserve">The criterion for unfavourable location was a tumour within 5 mm of any of ten structures including the liver capsule, and 28 of 29 tumours were peripheral, so almost any subcapsular nodule qualifies; the premise that these were tumours where ablation underperforms is asserted from the literature rather than established for this cohort</w:t>
            </w:r>
          </w:p>
          <w:p>
            <w:pPr>
              <w:pStyle w:val="ListParagraph"/>
              <w:numPr>
                <w:ilvl w:val="0"/>
                <w:numId w:val="2"/>
              </w:numPr>
              <w:spacing w:after="45"/>
            </w:pPr>
            <w:r>
              <w:rPr>
                <w:sz w:val="15"/>
                <w:szCs w:val="15"/>
              </w:rPr>
              <w:t xml:space="preserve">Delivered dose was not standardised in any meaningful sense: the calculated segmental dose ranged from 181 to 3340 Gy against a stated goal of more than 205 Gy, and the PET-measured tumour dose from 190.8 to 3730 Gy, so the study cannot say what dose produced the response, and the 205 Gy threshold traces back to retrospective dosimetry series rather than to a prospectively validated cut-off</w:t>
            </w:r>
          </w:p>
          <w:p>
            <w:pPr>
              <w:pStyle w:val="ListParagraph"/>
              <w:numPr>
                <w:ilvl w:val="0"/>
                <w:numId w:val="2"/>
              </w:numPr>
              <w:spacing w:after="45"/>
            </w:pPr>
            <w:r>
              <w:rPr>
                <w:sz w:val="15"/>
                <w:szCs w:val="15"/>
              </w:rPr>
              <w:t xml:space="preserve">Three of the eight explanted livers (38 percent) contained additional untreated HCC, one with microscopic nodules and vascular invasion, so more than a third of the patients who could be checked had been understaged; the paper reports 100 percent necrosis of the target lesion as the finding and does not treat the understaging as a result</w:t>
            </w:r>
          </w:p>
          <w:p>
            <w:pPr>
              <w:pStyle w:val="ListParagraph"/>
              <w:numPr>
                <w:ilvl w:val="0"/>
                <w:numId w:val="2"/>
              </w:numPr>
              <w:spacing w:after="45"/>
            </w:pPr>
            <w:r>
              <w:rPr>
                <w:sz w:val="15"/>
                <w:szCs w:val="15"/>
              </w:rPr>
              <w:t xml:space="preserve">One patient with a solitary HCC of 3 cm or less progressed to advanced HCC with portal invasion and died at 296 days, attributed in the text to aggressive tumour biology rather than examined as a staging or selection failure in a cohort entered as very early to early stage</w:t>
            </w:r>
          </w:p>
          <w:p>
            <w:pPr>
              <w:pStyle w:val="ListParagraph"/>
              <w:numPr>
                <w:ilvl w:val="0"/>
                <w:numId w:val="2"/>
              </w:numPr>
              <w:spacing w:after="45"/>
            </w:pPr>
            <w:r>
              <w:rPr>
                <w:sz w:val="15"/>
                <w:szCs w:val="15"/>
              </w:rPr>
              <w:t xml:space="preserve">Grade 3 laboratory toxicity occurred in 17 percent, and the authors discount it on the grounds that all such patients had baseline abnormalities that CTCAE does not account for, without presenting a sensitivity analysis using change from baseline</w:t>
            </w:r>
          </w:p>
          <w:p>
            <w:pPr>
              <w:pStyle w:val="ListParagraph"/>
              <w:numPr>
                <w:ilvl w:val="0"/>
                <w:numId w:val="2"/>
              </w:numPr>
              <w:spacing w:after="45"/>
            </w:pPr>
            <w:r>
              <w:rPr>
                <w:sz w:val="15"/>
                <w:szCs w:val="15"/>
              </w:rPr>
              <w:t xml:space="preserve">The dose cohort is described as 26 of 29 (90 percent) with three excluded for technical issues labelled 7 percent, when three of 29 is 10 percent; the denominators in the dosimetry paragraph do not add up</w:t>
            </w:r>
          </w:p>
          <w:p>
            <w:pPr>
              <w:pStyle w:val="ListParagraph"/>
              <w:numPr>
                <w:ilvl w:val="0"/>
                <w:numId w:val="2"/>
              </w:numPr>
              <w:spacing w:after="45"/>
            </w:pPr>
            <w:r>
              <w:rPr>
                <w:sz w:val="15"/>
                <w:szCs w:val="15"/>
              </w:rPr>
              <w:t xml:space="preserve">ClinicalTrials.gov registration NCT03248375 was filed roughly a year after the first patient was enrolled on 3 August 2016, attributed to an administrative transition, so the primary endpoint cannot be verified as pre-specified</w:t>
            </w:r>
          </w:p>
          <w:p>
            <w:pPr>
              <w:pStyle w:val="ListParagraph"/>
              <w:numPr>
                <w:ilvl w:val="0"/>
                <w:numId w:val="2"/>
              </w:numPr>
              <w:spacing w:after="45"/>
            </w:pPr>
            <w:r>
              <w:rPr>
                <w:sz w:val="15"/>
                <w:szCs w:val="15"/>
              </w:rPr>
              <w:t xml:space="preserve">The paper's closing sentence states that the results support including radiation segmentectomy in the BCLC guidelines, a recommendation drawn from 29 single-arm patients by an author group that includes the senior author of the BCLC update it cites and whose lead author advises the device manufacturer that funded the study</w:t>
            </w:r>
          </w:p>
        </w:tc>
      </w:tr>
    </w:tbl>
    <w:p>
      <w:pPr>
        <w:spacing w:after="0" w:line="276"/>
      </w:pPr>
      <w:r>
        <w:rPr>
          <w:color w:val="5A6069"/>
          <w:sz w:val="14"/>
          <w:szCs w:val="14"/>
        </w:rPr>
        <w:t xml:space="preserve">Funding: Investigator-initiated grant from Boston Scientific, maker of TheraSphere; the funder is stated not to have been involved in any step; the first and corresponding author reports grant support, consulting fees and Boston Scientific medical advisory board membership, and three further authors report Boston Scientific or industry payments</w:t>
      </w:r>
    </w:p>
    <w:p>
      <w:pPr>
        <w:keepNext/>
        <w:spacing w:after="50" w:before="260"/>
      </w:pPr>
      <w:r>
        <w:rPr>
          <w:rFonts w:ascii="Cambria" w:cs="Cambria" w:eastAsia="Cambria" w:hAnsi="Cambria"/>
          <w:b/>
          <w:bCs/>
          <w:color w:val="17365D"/>
          <w:sz w:val="20"/>
          <w:szCs w:val="20"/>
        </w:rPr>
        <w:t xml:space="preserve">REACH-2</w:t>
      </w:r>
      <w:r>
        <w:rPr>
          <w:b/>
          <w:bCs/>
          <w:color w:val="176A87"/>
          <w:sz w:val="15"/>
          <w:szCs w:val="15"/>
        </w:rPr>
        <w:t xml:space="preserve">   Randomised trial</w:t>
      </w:r>
      <w:r>
        <w:rPr>
          <w:color w:val="5A6069"/>
          <w:sz w:val="15"/>
          <w:szCs w:val="15"/>
        </w:rPr>
        <w:t xml:space="preserve">   PMID 30665869</w:t>
      </w:r>
    </w:p>
    <w:p>
      <w:pPr>
        <w:spacing w:after="50" w:line="276"/>
      </w:pPr>
      <w:r>
        <w:rPr>
          <w:color w:val="5A6069"/>
          <w:sz w:val="17"/>
          <w:szCs w:val="17"/>
        </w:rPr>
        <w:t xml:space="preserve">Ramucirumab after sorafenib in patients with advanced hepatocellular carcinoma and increased alpha-fetoprotein concentrations (REACH-2): a randomised, double-blind, placebo-controlled, phase 3 trial</w:t>
      </w:r>
    </w:p>
    <w:p>
      <w:pPr>
        <w:spacing w:after="50"/>
      </w:pPr>
      <w:r>
        <w:rPr>
          <w:b/>
          <w:bCs/>
          <w:color w:val="176A87"/>
          <w:sz w:val="16"/>
          <w:szCs w:val="16"/>
        </w:rPr>
        <w:t xml:space="preserve">Population. </w:t>
      </w:r>
      <w:r>
        <w:rPr>
          <w:sz w:val="16"/>
          <w:szCs w:val="16"/>
        </w:rPr>
        <w:t xml:space="preserve">292 of 436 screened patients with advanced HCC, Child-Pugh A and a baseline alpha-fetoprotein of 400 ng/mL or more who had previously received sorafenib, randomised 2:1 to ramucirumab (197) or placebo (95) between July 2015 and August 2017; 50 patients (17 percent) had stopped sorafenib for intolerance and median prior sorafenib duration was 4.1 months</w:t>
      </w:r>
    </w:p>
    <w:p>
      <w:pPr>
        <w:spacing w:after="70"/>
      </w:pPr>
      <w:r>
        <w:rPr>
          <w:b/>
          <w:bCs/>
          <w:color w:val="17365D"/>
          <w:sz w:val="16"/>
          <w:szCs w:val="16"/>
        </w:rPr>
        <w:t xml:space="preserve">Bottom line. </w:t>
      </w:r>
      <w:r>
        <w:rPr>
          <w:sz w:val="16"/>
          <w:szCs w:val="16"/>
        </w:rPr>
        <w:t xml:space="preserve">REACH-2 is the only positive biomarker-selected phase 3 trial in HCC, showing median overall survival of 8.5 against 7.3 months (HR 0.710, 95% CI 0.531 to 0.949, p = 0.0199) in patients with alpha-fetoprotein of 400 ng/mL or more after sorafenib. The absolute gain is 1.2 months with a 5 percent response rate, the trial's sample size and effect assumption were cut by protocol amendment after enrolment began, and the enriching biomarker was itself imbalanced between the arms it defines.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Patients with Child-Pugh class B or worse cirrhosis were excluded in line with guideline recommendations for trial exclusion</w:t>
            </w:r>
          </w:p>
          <w:p>
            <w:pPr>
              <w:pStyle w:val="ListParagraph"/>
              <w:numPr>
                <w:ilvl w:val="0"/>
                <w:numId w:val="2"/>
              </w:numPr>
              <w:spacing w:after="45"/>
            </w:pPr>
            <w:r>
              <w:rPr>
                <w:sz w:val="15"/>
                <w:szCs w:val="15"/>
              </w:rPr>
              <w:t xml:space="preserve">Patients with an alpha-fetoprotein below 400 ng/mL were excluded on the basis of the earlier REACH result, so no further data exist for them</w:t>
            </w:r>
          </w:p>
          <w:p>
            <w:pPr>
              <w:pStyle w:val="ListParagraph"/>
              <w:numPr>
                <w:ilvl w:val="0"/>
                <w:numId w:val="2"/>
              </w:numPr>
              <w:spacing w:after="45"/>
            </w:pPr>
            <w:r>
              <w:rPr>
                <w:sz w:val="15"/>
                <w:szCs w:val="15"/>
              </w:rPr>
              <w:t xml:space="preserve">Only sorafenib-pretreated patients were enrolled, which the authors list as a limitation, with an expansion cohort initiated for patients given other first-line treatments</w:t>
            </w:r>
          </w:p>
          <w:p>
            <w:pPr>
              <w:pStyle w:val="ListParagraph"/>
              <w:numPr>
                <w:ilvl w:val="0"/>
                <w:numId w:val="2"/>
              </w:numPr>
              <w:spacing w:after="45"/>
            </w:pPr>
            <w:r>
              <w:rPr>
                <w:sz w:val="15"/>
                <w:szCs w:val="15"/>
              </w:rPr>
              <w:t xml:space="preserve">Baseline alpha-fetoprotein was the only factor with a potential imbalance between groups, which the authors attribute to chance</w:t>
            </w:r>
          </w:p>
          <w:p>
            <w:pPr>
              <w:pStyle w:val="ListParagraph"/>
              <w:numPr>
                <w:ilvl w:val="0"/>
                <w:numId w:val="2"/>
              </w:numPr>
              <w:spacing w:after="45"/>
            </w:pPr>
            <w:r>
              <w:rPr>
                <w:sz w:val="15"/>
                <w:szCs w:val="15"/>
              </w:rPr>
              <w:t xml:space="preserve">Health-related quality of life, pharmacokinetic and immunogenicity results are stated to be reported separately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protocol amendment on 24 April 2017, nearly two years into enrolment, removed the planned interim efficacy analysis and cut the required sample from 399 to 279 patients while reducing the assumed hazard ratio, a decision taken by the principal investigator, the steering committee and the sponsor together, and the final analysis then occurred at exactly the 221 deaths the revised design required</w:t>
            </w:r>
          </w:p>
          <w:p>
            <w:pPr>
              <w:pStyle w:val="ListParagraph"/>
              <w:numPr>
                <w:ilvl w:val="0"/>
                <w:numId w:val="2"/>
              </w:numPr>
              <w:spacing w:after="45"/>
            </w:pPr>
            <w:r>
              <w:rPr>
                <w:sz w:val="15"/>
                <w:szCs w:val="15"/>
              </w:rPr>
              <w:t xml:space="preserve">The design assumed a placebo median survival of 4.5 months and the observed figure was 7.3 months, so the control arm behaved quite unlike the assumption on which the revised sample size rested, and the trial cleared significance only at p = 0.0199</w:t>
            </w:r>
          </w:p>
          <w:p>
            <w:pPr>
              <w:pStyle w:val="ListParagraph"/>
              <w:numPr>
                <w:ilvl w:val="0"/>
                <w:numId w:val="2"/>
              </w:numPr>
              <w:spacing w:after="45"/>
            </w:pPr>
            <w:r>
              <w:rPr>
                <w:sz w:val="15"/>
                <w:szCs w:val="15"/>
              </w:rPr>
              <w:t xml:space="preserve">The enriching biomarker was unbalanced in the direction that disfavours the experimental arm (median alpha-fetoprotein 3,920 ng/mL with ramucirumab against 2,741 ng/mL with placebo, upper quartiles 20,000 against 11,861) and alpha-fetoprotein was not a stratification factor, so with only 95 control patients the trial's defining biology was left to chance</w:t>
            </w:r>
          </w:p>
          <w:p>
            <w:pPr>
              <w:pStyle w:val="ListParagraph"/>
              <w:numPr>
                <w:ilvl w:val="0"/>
                <w:numId w:val="2"/>
              </w:numPr>
              <w:spacing w:after="45"/>
            </w:pPr>
            <w:r>
              <w:rPr>
                <w:sz w:val="15"/>
                <w:szCs w:val="15"/>
              </w:rPr>
              <w:t xml:space="preserve">The absolute median gain is 1.2 months with an objective response rate of about 5 percent, so the benefit rests on a time-to-event endpoint in a population whose median survival remains under 9 months</w:t>
            </w:r>
          </w:p>
          <w:p>
            <w:pPr>
              <w:pStyle w:val="ListParagraph"/>
              <w:numPr>
                <w:ilvl w:val="0"/>
                <w:numId w:val="2"/>
              </w:numPr>
              <w:spacing w:after="45"/>
            </w:pPr>
            <w:r>
              <w:rPr>
                <w:sz w:val="15"/>
                <w:szCs w:val="15"/>
              </w:rPr>
              <w:t xml:space="preserve">The 400 ng/mL threshold is carried over from a subgroup of the negative REACH trial with no stated biological derivation, and the paper reports no VEGFR2 or other mechanistic marker linking ramucirumab's target to the benefit, so the selection is prognostic enrichment rather than demonstrated prediction</w:t>
            </w:r>
          </w:p>
          <w:p>
            <w:pPr>
              <w:pStyle w:val="ListParagraph"/>
              <w:numPr>
                <w:ilvl w:val="0"/>
                <w:numId w:val="2"/>
              </w:numPr>
              <w:spacing w:after="45"/>
            </w:pPr>
            <w:r>
              <w:rPr>
                <w:sz w:val="15"/>
                <w:szCs w:val="15"/>
              </w:rPr>
              <w:t xml:space="preserve">The pooled analysis of REACH-2 with REACH by a random-effects frailty model (HR 0.694) combines the confirmatory trial with the very subgroup that generated its hypothesis, so it cannot be read as independent corroboration</w:t>
            </w:r>
          </w:p>
          <w:p>
            <w:pPr>
              <w:pStyle w:val="ListParagraph"/>
              <w:numPr>
                <w:ilvl w:val="0"/>
                <w:numId w:val="2"/>
              </w:numPr>
              <w:spacing w:after="45"/>
            </w:pPr>
            <w:r>
              <w:rPr>
                <w:sz w:val="15"/>
                <w:szCs w:val="15"/>
              </w:rPr>
              <w:t xml:space="preserve">Response and progression were assessed locally by investigators under RECIST 1.1 with no blinded independent central review</w:t>
            </w:r>
          </w:p>
          <w:p>
            <w:pPr>
              <w:pStyle w:val="ListParagraph"/>
              <w:numPr>
                <w:ilvl w:val="0"/>
                <w:numId w:val="2"/>
              </w:numPr>
              <w:spacing w:after="45"/>
            </w:pPr>
            <w:r>
              <w:rPr>
                <w:sz w:val="15"/>
                <w:szCs w:val="15"/>
              </w:rPr>
              <w:t xml:space="preserve">Median follow-up for overall survival was 7.6 months against a reported median survival of 8.5 months, so half the survival estimate lies beyond the median observation period</w:t>
            </w:r>
          </w:p>
          <w:p>
            <w:pPr>
              <w:pStyle w:val="ListParagraph"/>
              <w:numPr>
                <w:ilvl w:val="0"/>
                <w:numId w:val="2"/>
              </w:numPr>
              <w:spacing w:after="45"/>
            </w:pPr>
            <w:r>
              <w:rPr>
                <w:sz w:val="15"/>
                <w:szCs w:val="15"/>
              </w:rPr>
              <w:t xml:space="preserve">The favourable patient-reported result is time to deterioration of the eight-item FHSI symptom index, which sits fourth in the gatekeeping sequence, while the broader quality-of-life instrument results are deferred to a separate report</w:t>
            </w:r>
          </w:p>
          <w:p>
            <w:pPr>
              <w:pStyle w:val="ListParagraph"/>
              <w:numPr>
                <w:ilvl w:val="0"/>
                <w:numId w:val="2"/>
              </w:numPr>
              <w:spacing w:after="45"/>
            </w:pPr>
            <w:r>
              <w:rPr>
                <w:sz w:val="15"/>
                <w:szCs w:val="15"/>
              </w:rPr>
              <w:t xml:space="preserve">The sponsor designed both the parent and the confirmatory trial, collected, analysed and interpreted the data and wrote the report, and two authors are its employees with shares and pending patents in the area</w:t>
            </w:r>
          </w:p>
          <w:p>
            <w:pPr>
              <w:pStyle w:val="ListParagraph"/>
              <w:numPr>
                <w:ilvl w:val="0"/>
                <w:numId w:val="2"/>
              </w:numPr>
              <w:spacing w:after="45"/>
            </w:pPr>
            <w:r>
              <w:rPr>
                <w:sz w:val="15"/>
                <w:szCs w:val="15"/>
              </w:rPr>
              <w:t xml:space="preserve">Grade 3 or worse hypertension occurred in 13 percent against 4 percent and hyponatraemia in 5 against 2 percent, so the tolerability claim that underpins the proposal to combine ramucirumab with checkpoint inhibitors is relative rather than absolute</w:t>
            </w:r>
          </w:p>
        </w:tc>
      </w:tr>
    </w:tbl>
    <w:p>
      <w:pPr>
        <w:spacing w:after="0" w:line="276"/>
      </w:pPr>
      <w:r>
        <w:rPr>
          <w:color w:val="5A6069"/>
          <w:sz w:val="14"/>
          <w:szCs w:val="14"/>
        </w:rPr>
        <w:t xml:space="preserve">Funding: Funded by Eli Lilly, which had roles in the design of both REACH and REACH-2 and in data collection, analysis, interpretation and writing of the report; two authors are Lilly employees, shareholders and hold pending patents</w:t>
      </w:r>
    </w:p>
    <w:p>
      <w:pPr>
        <w:keepNext/>
        <w:spacing w:after="50" w:before="260"/>
      </w:pPr>
      <w:r>
        <w:rPr>
          <w:rFonts w:ascii="Cambria" w:cs="Cambria" w:eastAsia="Cambria" w:hAnsi="Cambria"/>
          <w:b/>
          <w:bCs/>
          <w:color w:val="17365D"/>
          <w:sz w:val="20"/>
          <w:szCs w:val="20"/>
        </w:rPr>
        <w:t xml:space="preserve">RESORCE</w:t>
      </w:r>
      <w:r>
        <w:rPr>
          <w:b/>
          <w:bCs/>
          <w:color w:val="176A87"/>
          <w:sz w:val="15"/>
          <w:szCs w:val="15"/>
        </w:rPr>
        <w:t xml:space="preserve">   Randomised trial</w:t>
      </w:r>
      <w:r>
        <w:rPr>
          <w:color w:val="5A6069"/>
          <w:sz w:val="15"/>
          <w:szCs w:val="15"/>
        </w:rPr>
        <w:t xml:space="preserve">   PMID 27932229</w:t>
      </w:r>
    </w:p>
    <w:p>
      <w:pPr>
        <w:spacing w:after="50" w:line="276"/>
      </w:pPr>
      <w:r>
        <w:rPr>
          <w:color w:val="5A6069"/>
          <w:sz w:val="17"/>
          <w:szCs w:val="17"/>
        </w:rPr>
        <w:t xml:space="preserve">Regorafenib for patients with hepatocellular carcinoma who progressed on sorafenib treatment (RESORCE): a randomised, double-blind, placebo-controlled, phase 3 trial</w:t>
      </w:r>
    </w:p>
    <w:p>
      <w:pPr>
        <w:spacing w:after="50"/>
      </w:pPr>
      <w:r>
        <w:rPr>
          <w:b/>
          <w:bCs/>
          <w:color w:val="176A87"/>
          <w:sz w:val="16"/>
          <w:szCs w:val="16"/>
        </w:rPr>
        <w:t xml:space="preserve">Population. </w:t>
      </w:r>
      <w:r>
        <w:rPr>
          <w:sz w:val="16"/>
          <w:szCs w:val="16"/>
        </w:rPr>
        <w:t xml:space="preserve">573 of 843 screened patients with HCC, Child-Pugh A and ECOG 0 or 1 who had tolerated sorafenib and progressed on it, randomised 2:1 to regorafenib (379) or placebo (194) between May 2013 and December 2015, with Asian recruitment capped at 40 percent; median prior sorafenib duration 7.8 months in both arms</w:t>
      </w:r>
    </w:p>
    <w:p>
      <w:pPr>
        <w:spacing w:after="70"/>
      </w:pPr>
      <w:r>
        <w:rPr>
          <w:b/>
          <w:bCs/>
          <w:color w:val="17365D"/>
          <w:sz w:val="16"/>
          <w:szCs w:val="16"/>
        </w:rPr>
        <w:t xml:space="preserve">Bottom line. </w:t>
      </w:r>
      <w:r>
        <w:rPr>
          <w:sz w:val="16"/>
          <w:szCs w:val="16"/>
        </w:rPr>
        <w:t xml:space="preserve">RESORCE was the first trial to show a survival benefit for any systemic agent after sorafenib, with median overall survival 10.6 against 7.8 months (HR 0.63, 95% CI 0.50 to 0.79) and gains in progression-free survival, time to progression and response. It is a well-conducted double-blind trial with a prespecified effect size that it met; the costs are that enrolment required prior tolerance of sorafenib, every treated patient had an adverse event, and the trial's own quality-of-life instruments were significantly worse with regorafenib.</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enrolled only patients who progressed during sorafenib treatment, so the authors state that no firm conclusion can be drawn about regorafenib in patients who do not tolerate sorafenib</w:t>
            </w:r>
          </w:p>
          <w:p>
            <w:pPr>
              <w:pStyle w:val="ListParagraph"/>
              <w:numPr>
                <w:ilvl w:val="0"/>
                <w:numId w:val="2"/>
              </w:numPr>
              <w:spacing w:after="45"/>
            </w:pPr>
            <w:r>
              <w:rPr>
                <w:sz w:val="15"/>
                <w:szCs w:val="15"/>
              </w:rPr>
              <w:t xml:space="preserve">Special populations such as patients co-infected with HIV were not included</w:t>
            </w:r>
          </w:p>
          <w:p>
            <w:pPr>
              <w:pStyle w:val="ListParagraph"/>
              <w:numPr>
                <w:ilvl w:val="0"/>
                <w:numId w:val="2"/>
              </w:numPr>
              <w:spacing w:after="45"/>
            </w:pPr>
            <w:r>
              <w:rPr>
                <w:sz w:val="15"/>
                <w:szCs w:val="15"/>
              </w:rPr>
              <w:t xml:space="preserve">The authors note that the association between adverse events such as hand-foot skin reaction and outcome is based on post-randomisation events and so cannot be used to select patients likely to benefit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Eligibility required documented tolerance of sorafenib before progression on it, which selects for tolerance of a related multikinase inhibitor as well, so the 10.6-month median and the manageable toxicity profile describe a population pre-selected on the exposure being tested</w:t>
            </w:r>
          </w:p>
          <w:p>
            <w:pPr>
              <w:pStyle w:val="ListParagraph"/>
              <w:numPr>
                <w:ilvl w:val="0"/>
                <w:numId w:val="2"/>
              </w:numPr>
              <w:spacing w:after="45"/>
            </w:pPr>
            <w:r>
              <w:rPr>
                <w:sz w:val="15"/>
                <w:szCs w:val="15"/>
              </w:rPr>
              <w:t xml:space="preserve">The trial's own health-related quality-of-life results favoured placebo: FACT-Hep and the Trial Outcome Index were significantly worse with regorafenib (p = 0.0006 and p &lt; 0.0001), and the authors set this aside on the grounds that published minimally important difference thresholds were not met, with the data placed in an appendix</w:t>
            </w:r>
          </w:p>
          <w:p>
            <w:pPr>
              <w:pStyle w:val="ListParagraph"/>
              <w:numPr>
                <w:ilvl w:val="0"/>
                <w:numId w:val="2"/>
              </w:numPr>
              <w:spacing w:after="45"/>
            </w:pPr>
            <w:r>
              <w:rPr>
                <w:sz w:val="15"/>
                <w:szCs w:val="15"/>
              </w:rPr>
              <w:t xml:space="preserve">Every treated patient had an adverse event and 47 of 379 regorafenib patients discontinued for an adverse event unrelated to disease progression against 12 of 194 on placebo, so the 2.8-month median gain is bought at a cost the trial measured but discounted</w:t>
            </w:r>
          </w:p>
          <w:p>
            <w:pPr>
              <w:pStyle w:val="ListParagraph"/>
              <w:numPr>
                <w:ilvl w:val="0"/>
                <w:numId w:val="2"/>
              </w:numPr>
              <w:spacing w:after="45"/>
            </w:pPr>
            <w:r>
              <w:rPr>
                <w:sz w:val="15"/>
                <w:szCs w:val="15"/>
              </w:rPr>
              <w:t xml:space="preserve">Response and progression were assessed by investigators using mRECIST and RECIST with no blinded independent central review, and the two complete responses reported by mRECIST are a criterion that excludes necrosis of the target lesion from the measurement</w:t>
            </w:r>
          </w:p>
          <w:p>
            <w:pPr>
              <w:pStyle w:val="ListParagraph"/>
              <w:numPr>
                <w:ilvl w:val="0"/>
                <w:numId w:val="2"/>
              </w:numPr>
              <w:spacing w:after="45"/>
            </w:pPr>
            <w:r>
              <w:rPr>
                <w:sz w:val="15"/>
                <w:szCs w:val="15"/>
              </w:rPr>
              <w:t xml:space="preserve">Patients who progressed from Child-Pugh A to B between screening and randomisation were enrolled, disclosed only in a footnote to the baseline table, and 5 regorafenib and 6 placebo patients were Child-Pugh B at baseline</w:t>
            </w:r>
          </w:p>
          <w:p>
            <w:pPr>
              <w:pStyle w:val="ListParagraph"/>
              <w:numPr>
                <w:ilvl w:val="0"/>
                <w:numId w:val="2"/>
              </w:numPr>
              <w:spacing w:after="45"/>
            </w:pPr>
            <w:r>
              <w:rPr>
                <w:sz w:val="15"/>
                <w:szCs w:val="15"/>
              </w:rPr>
              <w:t xml:space="preserve">Asian recruitment was capped at 40 percent by design, which constrains the trial's representativeness of the global disease by administrative fiat rather than by eligibility</w:t>
            </w:r>
          </w:p>
          <w:p>
            <w:pPr>
              <w:pStyle w:val="ListParagraph"/>
              <w:numPr>
                <w:ilvl w:val="0"/>
                <w:numId w:val="2"/>
              </w:numPr>
              <w:spacing w:after="45"/>
            </w:pPr>
            <w:r>
              <w:rPr>
                <w:sz w:val="15"/>
                <w:szCs w:val="15"/>
              </w:rPr>
              <w:t xml:space="preserve">Pharmacokinetic and biomarker evaluations are stated not to be reported here, so the trial that established sorafenib-to-regorafenib sequencing published no biomarker that would identify who should receive it</w:t>
            </w:r>
          </w:p>
          <w:p>
            <w:pPr>
              <w:pStyle w:val="ListParagraph"/>
              <w:numPr>
                <w:ilvl w:val="0"/>
                <w:numId w:val="2"/>
              </w:numPr>
              <w:spacing w:after="45"/>
            </w:pPr>
            <w:r>
              <w:rPr>
                <w:sz w:val="15"/>
                <w:szCs w:val="15"/>
              </w:rPr>
              <w:t xml:space="preserve">The comparator is placebo plus best supportive care, appropriate when the trial was designed but no longer the relevant control, and the trial cannot speak to regorafenib after an immunotherapy combination, which is now the usual first line</w:t>
            </w:r>
          </w:p>
          <w:p>
            <w:pPr>
              <w:pStyle w:val="ListParagraph"/>
              <w:numPr>
                <w:ilvl w:val="0"/>
                <w:numId w:val="2"/>
              </w:numPr>
              <w:spacing w:after="45"/>
            </w:pPr>
            <w:r>
              <w:rPr>
                <w:sz w:val="15"/>
                <w:szCs w:val="15"/>
              </w:rPr>
              <w:t xml:space="preserve">238 of 843 screened patients failed screening, so roughly a third of patients considered for a trial restricted to sorafenib-tolerant progressors were still not eligible, and the paper gives no characteristics for them</w:t>
            </w:r>
          </w:p>
          <w:p>
            <w:pPr>
              <w:pStyle w:val="ListParagraph"/>
              <w:numPr>
                <w:ilvl w:val="0"/>
                <w:numId w:val="2"/>
              </w:numPr>
              <w:spacing w:after="45"/>
            </w:pPr>
            <w:r>
              <w:rPr>
                <w:sz w:val="15"/>
                <w:szCs w:val="15"/>
              </w:rPr>
              <w:t xml:space="preserve">The Discussion's claim that prolonging exposure to multikinase inhibitors in sequence extends survival cannot be separated from the selection the eligibility criteria imposed, since only patients who had already demonstrated tolerance and a reasonable duration on sorafenib could enter</w:t>
            </w:r>
          </w:p>
          <w:p>
            <w:pPr>
              <w:pStyle w:val="ListParagraph"/>
              <w:numPr>
                <w:ilvl w:val="0"/>
                <w:numId w:val="2"/>
              </w:numPr>
              <w:spacing w:after="45"/>
            </w:pPr>
            <w:r>
              <w:rPr>
                <w:sz w:val="15"/>
                <w:szCs w:val="15"/>
              </w:rPr>
              <w:t xml:space="preserve">All statistical analyses were performed by the funder, which also provided the drug, co-designed the trial, collected and interpreted the data, prepared the report and paid for the writing assistance, so no analysis independent of Bayer underlies the registration result</w:t>
            </w:r>
          </w:p>
        </w:tc>
      </w:tr>
    </w:tbl>
    <w:p>
      <w:pPr>
        <w:spacing w:after="0" w:line="276"/>
      </w:pPr>
      <w:r>
        <w:rPr>
          <w:color w:val="5A6069"/>
          <w:sz w:val="14"/>
          <w:szCs w:val="14"/>
        </w:rPr>
        <w:t xml:space="preserve">Funding: Funded by Bayer, which provided the study drug, designed the trial with the principal investigator and steering committee, took part in data collection and interpretation and in preparing the report, performed all statistical analyses and funded writing assistance; three authors are Bayer employees, one holding stock, and the principal investigator reports grants and personal fees from Bayer</w:t>
      </w:r>
    </w:p>
    <w:p>
      <w:pPr>
        <w:keepNext/>
        <w:spacing w:after="50" w:before="260"/>
      </w:pPr>
      <w:r>
        <w:rPr>
          <w:rFonts w:ascii="Cambria" w:cs="Cambria" w:eastAsia="Cambria" w:hAnsi="Cambria"/>
          <w:b/>
          <w:bCs/>
          <w:color w:val="17365D"/>
          <w:sz w:val="20"/>
          <w:szCs w:val="20"/>
        </w:rPr>
        <w:t xml:space="preserve">RTOG 1112</w:t>
      </w:r>
      <w:r>
        <w:rPr>
          <w:b/>
          <w:bCs/>
          <w:color w:val="176A87"/>
          <w:sz w:val="15"/>
          <w:szCs w:val="15"/>
        </w:rPr>
        <w:t xml:space="preserve">   Randomised trial</w:t>
      </w:r>
      <w:r>
        <w:rPr>
          <w:color w:val="5A6069"/>
          <w:sz w:val="15"/>
          <w:szCs w:val="15"/>
        </w:rPr>
        <w:t xml:space="preserve">   PMID 39699905</w:t>
      </w:r>
    </w:p>
    <w:p>
      <w:pPr>
        <w:spacing w:after="50" w:line="276"/>
      </w:pPr>
      <w:r>
        <w:rPr>
          <w:color w:val="5A6069"/>
          <w:sz w:val="17"/>
          <w:szCs w:val="17"/>
        </w:rPr>
        <w:t xml:space="preserve">Stereotactic Body Radiotherapy vs Sorafenib Alone in Hepatocellular Carcinoma: The NRG Oncology/RTOG 1112 Phase 3 Randomized Clinical Trial</w:t>
      </w:r>
    </w:p>
    <w:p>
      <w:pPr>
        <w:spacing w:after="50"/>
      </w:pPr>
      <w:r>
        <w:rPr>
          <w:b/>
          <w:bCs/>
          <w:color w:val="176A87"/>
          <w:sz w:val="16"/>
          <w:szCs w:val="16"/>
        </w:rPr>
        <w:t xml:space="preserve">Population. </w:t>
      </w:r>
      <w:r>
        <w:rPr>
          <w:sz w:val="16"/>
          <w:szCs w:val="16"/>
        </w:rPr>
        <w:t xml:space="preserve">193 patients randomised and 177 eligible and analysed at 23 sites in the USA, Canada, Australia and Hong Kong between April 2013 and March 2021: 92 to sorafenib alone and 85 to personalised stereotactic body radiotherapy of 27.5 to 50 Gy in 5 fractions followed by sorafenib; 145 of 177 were BCLC C, macrovascular invasion was present in 131 (74.0 percent) and 112 (63.3 percent) had Vp3, Vp4 or inferior vena cava involvement</w:t>
      </w:r>
    </w:p>
    <w:p>
      <w:pPr>
        <w:spacing w:after="70"/>
      </w:pPr>
      <w:r>
        <w:rPr>
          <w:b/>
          <w:bCs/>
          <w:color w:val="17365D"/>
          <w:sz w:val="16"/>
          <w:szCs w:val="16"/>
        </w:rPr>
        <w:t xml:space="preserve">Bottom line. </w:t>
      </w:r>
      <w:r>
        <w:rPr>
          <w:sz w:val="16"/>
          <w:szCs w:val="16"/>
        </w:rPr>
        <w:t xml:space="preserve">NRG/RTOG 1112 is the only phase 3 trial of adding stereotactic radiotherapy to first-line systemic therapy in locally advanced HCC, reporting median overall survival of 15.8 against 12.3 months. It missed its primary endpoint on the prespecified univariate analysis (one-sided p = 0.06) and the significant 28 percent mortality reduction comes from a multivariable model; power fell from 368 planned patients to 177 analysed with 65 percent power, and the comparator was obsolete before the trial closed.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Slow accrual and early closure with substantially reduced power, which the authors state</w:t>
            </w:r>
          </w:p>
          <w:p>
            <w:pPr>
              <w:pStyle w:val="ListParagraph"/>
              <w:numPr>
                <w:ilvl w:val="0"/>
                <w:numId w:val="2"/>
              </w:numPr>
              <w:spacing w:after="45"/>
            </w:pPr>
            <w:r>
              <w:rPr>
                <w:sz w:val="15"/>
                <w:szCs w:val="15"/>
              </w:rPr>
              <w:t xml:space="preserve">A low quality-of-life completion rate precluded formal statistical analysis of that secondary endpoint</w:t>
            </w:r>
          </w:p>
          <w:p>
            <w:pPr>
              <w:pStyle w:val="ListParagraph"/>
              <w:numPr>
                <w:ilvl w:val="0"/>
                <w:numId w:val="2"/>
              </w:numPr>
              <w:spacing w:after="45"/>
            </w:pPr>
            <w:r>
              <w:rPr>
                <w:sz w:val="15"/>
                <w:szCs w:val="15"/>
              </w:rPr>
              <w:t xml:space="preserve">The authors call for trials of radiotherapy added to current first-line immunotherapy, since sorafenib was superseded during the trial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was not met on the prespecified univariate analysis (one-sided p = 0.06) and the headline 28 percent reduction in mortality is the adjusted hazard ratio of 0.72 (95% CI 0.52 to 0.99) from a multivariable model, so the trial's positive claim does not come from the randomised comparison as designed</w:t>
            </w:r>
          </w:p>
          <w:p>
            <w:pPr>
              <w:pStyle w:val="ListParagraph"/>
              <w:numPr>
                <w:ilvl w:val="0"/>
                <w:numId w:val="2"/>
              </w:numPr>
              <w:spacing w:after="45"/>
            </w:pPr>
            <w:r>
              <w:rPr>
                <w:sz w:val="15"/>
                <w:szCs w:val="15"/>
              </w:rPr>
              <w:t xml:space="preserve">Power was eroded in three stages: the design required 368 patients and 277 events, an amendment in March 2020 reduced this to 292 patients and 238 events for 80 percent power, and the trial closed in March 2021 and was converted to a time-driven analysis with 65 percent power on 177 eligible patients and 153 deaths</w:t>
            </w:r>
          </w:p>
          <w:p>
            <w:pPr>
              <w:pStyle w:val="ListParagraph"/>
              <w:numPr>
                <w:ilvl w:val="0"/>
                <w:numId w:val="2"/>
              </w:numPr>
              <w:spacing w:after="45"/>
            </w:pPr>
            <w:r>
              <w:rPr>
                <w:sz w:val="15"/>
                <w:szCs w:val="15"/>
              </w:rPr>
              <w:t xml:space="preserve">Contamination ran both ways and is not accounted for: 19 of 92 patients (20.7 percent) randomised to sorafenib alone later received radiotherapy while 13 of 85 (15 percent) in the radiotherapy arm never started sorafenib and those who did took a lower median daily dose, so neither arm received its allocated strategy intact</w:t>
            </w:r>
          </w:p>
          <w:p>
            <w:pPr>
              <w:pStyle w:val="ListParagraph"/>
              <w:numPr>
                <w:ilvl w:val="0"/>
                <w:numId w:val="2"/>
              </w:numPr>
              <w:spacing w:after="45"/>
            </w:pPr>
            <w:r>
              <w:rPr>
                <w:sz w:val="15"/>
                <w:szCs w:val="15"/>
              </w:rPr>
              <w:t xml:space="preserve">Quality of life, the usual justification for adding a liver-directed treatment, could not be analysed because of low consent and completion, leaving 6 of 17 against 2 of 20 patients as the only data in a trial that ran for eight years</w:t>
            </w:r>
          </w:p>
          <w:p>
            <w:pPr>
              <w:pStyle w:val="ListParagraph"/>
              <w:numPr>
                <w:ilvl w:val="0"/>
                <w:numId w:val="2"/>
              </w:numPr>
              <w:spacing w:after="45"/>
            </w:pPr>
            <w:r>
              <w:rPr>
                <w:sz w:val="15"/>
                <w:szCs w:val="15"/>
              </w:rPr>
              <w:t xml:space="preserve">Response and progression were assessed locally with no blinded central review in an open-label trial, which matters most for the progression-free survival and vascular response endpoints that carried the largest effect sizes</w:t>
            </w:r>
          </w:p>
          <w:p>
            <w:pPr>
              <w:pStyle w:val="ListParagraph"/>
              <w:numPr>
                <w:ilvl w:val="0"/>
                <w:numId w:val="2"/>
              </w:numPr>
              <w:spacing w:after="45"/>
            </w:pPr>
            <w:r>
              <w:rPr>
                <w:sz w:val="15"/>
                <w:szCs w:val="15"/>
              </w:rPr>
              <w:t xml:space="preserve">Sixteen of 193 randomised patients were found ineligible and excluded, so the analysis population is not the randomised population and the paper does not present an analysis that keeps them in</w:t>
            </w:r>
          </w:p>
          <w:p>
            <w:pPr>
              <w:pStyle w:val="ListParagraph"/>
              <w:numPr>
                <w:ilvl w:val="0"/>
                <w:numId w:val="2"/>
              </w:numPr>
              <w:spacing w:after="45"/>
            </w:pPr>
            <w:r>
              <w:rPr>
                <w:sz w:val="15"/>
                <w:szCs w:val="15"/>
              </w:rPr>
              <w:t xml:space="preserve">The comparator was superseded by immunotherapy combinations during the trial, which is the stated reason accrual was stopped, so the result cannot tell a tumour board whether to add radiotherapy to atezolizumab plus bevacizumab or durvalumab plus tremelimumab</w:t>
            </w:r>
          </w:p>
          <w:p>
            <w:pPr>
              <w:pStyle w:val="ListParagraph"/>
              <w:numPr>
                <w:ilvl w:val="0"/>
                <w:numId w:val="2"/>
              </w:numPr>
              <w:spacing w:after="45"/>
            </w:pPr>
            <w:r>
              <w:rPr>
                <w:sz w:val="15"/>
                <w:szCs w:val="15"/>
              </w:rPr>
              <w:t xml:space="preserve">The article required correction in April 2025 for typographical errors in the Key Points and Table 1, and residual errors remain in the published text, including an impossible platelet threshold of 60,000 cells per 10 to the third per microlitre and a subgroup forest plot whose events column begins at 129 of 150 where the correct figure is 153 of 177</w:t>
            </w:r>
          </w:p>
          <w:p>
            <w:pPr>
              <w:pStyle w:val="ListParagraph"/>
              <w:numPr>
                <w:ilvl w:val="0"/>
                <w:numId w:val="2"/>
              </w:numPr>
              <w:spacing w:after="45"/>
            </w:pPr>
            <w:r>
              <w:rPr>
                <w:sz w:val="15"/>
                <w:szCs w:val="15"/>
              </w:rPr>
              <w:t xml:space="preserve">The abstract reports treatment-related grade 3 or higher events as 37 of 88 and 39 of 83 while the Results list grade 3 and grade 4 separately with different totals, so the toxicity comparison is not reproducible from the paper</w:t>
            </w:r>
          </w:p>
          <w:p>
            <w:pPr>
              <w:pStyle w:val="ListParagraph"/>
              <w:numPr>
                <w:ilvl w:val="0"/>
                <w:numId w:val="2"/>
              </w:numPr>
              <w:spacing w:after="45"/>
            </w:pPr>
            <w:r>
              <w:rPr>
                <w:sz w:val="15"/>
                <w:szCs w:val="15"/>
              </w:rPr>
              <w:t xml:space="preserve">Radiotherapy dose was personalised from 27.5 to nearly twofold higher at 50 Gy in 5 fractions according to liver tolerance, so the experimental arm is a range of treatments rather than one, and no dose-response analysis is presented</w:t>
            </w:r>
          </w:p>
        </w:tc>
      </w:tr>
    </w:tbl>
    <w:p>
      <w:pPr>
        <w:spacing w:after="0" w:line="276"/>
      </w:pPr>
      <w:r>
        <w:rPr>
          <w:color w:val="5A6069"/>
          <w:sz w:val="14"/>
          <w:szCs w:val="14"/>
        </w:rPr>
        <w:t xml:space="preserve">Funding: Funded by National Cancer Institute grants U10CA180868, U10CA180822, UG1CA189867 and U24CA180803; the funder had no role in design, conduct, analysis or the decision to publish, although several authors report industry payments outside the submitted work</w:t>
      </w:r>
    </w:p>
    <w:p>
      <w:pPr>
        <w:keepNext/>
        <w:spacing w:after="50" w:before="260"/>
      </w:pPr>
      <w:r>
        <w:rPr>
          <w:rFonts w:ascii="Cambria" w:cs="Cambria" w:eastAsia="Cambria" w:hAnsi="Cambria"/>
          <w:b/>
          <w:bCs/>
          <w:color w:val="17365D"/>
          <w:sz w:val="20"/>
          <w:szCs w:val="20"/>
        </w:rPr>
        <w:t xml:space="preserve">SARAH</w:t>
      </w:r>
      <w:r>
        <w:rPr>
          <w:b/>
          <w:bCs/>
          <w:color w:val="176A87"/>
          <w:sz w:val="15"/>
          <w:szCs w:val="15"/>
        </w:rPr>
        <w:t xml:space="preserve">   Randomised trial</w:t>
      </w:r>
      <w:r>
        <w:rPr>
          <w:color w:val="5A6069"/>
          <w:sz w:val="15"/>
          <w:szCs w:val="15"/>
        </w:rPr>
        <w:t xml:space="preserve">   PMID 29107679</w:t>
      </w:r>
    </w:p>
    <w:p>
      <w:pPr>
        <w:spacing w:after="50" w:line="276"/>
      </w:pPr>
      <w:r>
        <w:rPr>
          <w:color w:val="5A6069"/>
          <w:sz w:val="17"/>
          <w:szCs w:val="17"/>
        </w:rPr>
        <w:t xml:space="preserve">Efficacy and safety of selective internal radiotherapy with yttrium-90 resin microspheres compared with sorafenib in locally advanced and inoperable hepatocellular carcinoma (SARAH): an open-label randomised controlled phase 3 trial</w:t>
      </w:r>
    </w:p>
    <w:p>
      <w:pPr>
        <w:spacing w:after="50"/>
      </w:pPr>
      <w:r>
        <w:rPr>
          <w:b/>
          <w:bCs/>
          <w:color w:val="176A87"/>
          <w:sz w:val="16"/>
          <w:szCs w:val="16"/>
        </w:rPr>
        <w:t xml:space="preserve">Population. </w:t>
      </w:r>
      <w:r>
        <w:rPr>
          <w:sz w:val="16"/>
          <w:szCs w:val="16"/>
        </w:rPr>
        <w:t xml:space="preserve">459 patients with BCLC C HCC, unresectable recurrence after previously cured HCC, or HCC after two failed rounds of chemoembolisation, randomised 1:1 at 25 French liver centres between December 2011 and March 2015 to Y-90 resin radioembolisation (237) or sorafenib (222); 63 percent had macrovascular invasion, 16 percent were Child-Pugh B7 and 22 percent of the radioembolisation arm never received the treatment</w:t>
      </w:r>
    </w:p>
    <w:p>
      <w:pPr>
        <w:spacing w:after="70"/>
      </w:pPr>
      <w:r>
        <w:rPr>
          <w:b/>
          <w:bCs/>
          <w:color w:val="17365D"/>
          <w:sz w:val="16"/>
          <w:szCs w:val="16"/>
        </w:rPr>
        <w:t xml:space="preserve">Bottom line. </w:t>
      </w:r>
      <w:r>
        <w:rPr>
          <w:sz w:val="16"/>
          <w:szCs w:val="16"/>
        </w:rPr>
        <w:t xml:space="preserve">SARAH found no survival advantage for radioembolisation over sorafenib in locally advanced HCC (median 8.0 against 9.9 months, HR 1.15), with better tolerability and quality of life after radioembolisation. The negative result is substantially a delivery and dosing failure: 22 percent of the radioembolisation arm never received it, the per-protocol medians were identical, activity was prescribed by body surface area, and the trial's own later dose-response analysis showed survival of 14.1 against 6.1 months above and below a tumour absorbed dose of 100 Gy.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More patients assigned radioembolisation than sorafenib never received their allocated treatment, which the authors state</w:t>
            </w:r>
          </w:p>
          <w:p>
            <w:pPr>
              <w:pStyle w:val="ListParagraph"/>
              <w:numPr>
                <w:ilvl w:val="0"/>
                <w:numId w:val="2"/>
              </w:numPr>
              <w:spacing w:after="45"/>
            </w:pPr>
            <w:r>
              <w:rPr>
                <w:sz w:val="15"/>
                <w:szCs w:val="15"/>
              </w:rPr>
              <w:t xml:space="preserve">There was a long work-up delay before radioembolisation</w:t>
            </w:r>
          </w:p>
          <w:p>
            <w:pPr>
              <w:pStyle w:val="ListParagraph"/>
              <w:numPr>
                <w:ilvl w:val="0"/>
                <w:numId w:val="2"/>
              </w:numPr>
              <w:spacing w:after="45"/>
            </w:pPr>
            <w:r>
              <w:rPr>
                <w:sz w:val="15"/>
                <w:szCs w:val="15"/>
              </w:rPr>
              <w:t xml:space="preserve">Many participating centres had limited experience with radioembolisation despite certification requirements</w:t>
            </w:r>
          </w:p>
          <w:p>
            <w:pPr>
              <w:pStyle w:val="ListParagraph"/>
              <w:numPr>
                <w:ilvl w:val="0"/>
                <w:numId w:val="2"/>
              </w:numPr>
              <w:spacing w:after="45"/>
            </w:pPr>
            <w:r>
              <w:rPr>
                <w:sz w:val="15"/>
                <w:szCs w:val="15"/>
              </w:rPr>
              <w:t xml:space="preserve">Dose-related efficacy had not been evaluated at the time of the report, which the authors list as a limitation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Fifty-three of 237 patients assigned radioembolisation never received it and about half of those crossed to sorafenib, so the intention-to-treat hazard ratio of 1.15 becomes 0.99 with identical 9.9-month medians in the per-protocol set; the trial cannot distinguish an ineffective treatment from an undelivered one</w:t>
            </w:r>
          </w:p>
          <w:p>
            <w:pPr>
              <w:pStyle w:val="ListParagraph"/>
              <w:numPr>
                <w:ilvl w:val="0"/>
                <w:numId w:val="2"/>
              </w:numPr>
              <w:spacing w:after="45"/>
            </w:pPr>
            <w:r>
              <w:rPr>
                <w:sz w:val="15"/>
                <w:szCs w:val="15"/>
              </w:rPr>
              <w:t xml:space="preserve">Activity was prescribed by the body surface area model with no verification of tumour absorbed dose, and the trial's own subsequent dose-response analysis found median survival of 14.1 months at 100 Gy or more against 6.1 months below it, so a substantial fraction of the experimental arm received a dose the same investigators later showed to be insufficient</w:t>
            </w:r>
          </w:p>
          <w:p>
            <w:pPr>
              <w:pStyle w:val="ListParagraph"/>
              <w:numPr>
                <w:ilvl w:val="0"/>
                <w:numId w:val="2"/>
              </w:numPr>
              <w:spacing w:after="45"/>
            </w:pPr>
            <w:r>
              <w:rPr>
                <w:sz w:val="15"/>
                <w:szCs w:val="15"/>
              </w:rPr>
              <w:t xml:space="preserve">The enrolled population was both too advanced and too heterogeneous for a liver-directed treatment: 63 percent had macrovascular invasion, 16 percent were Child-Pugh B7 and the median tumour burden was 18 percent of the liver, and a post hoc subset with burden of 25 percent or less and ALBI grade 1 reached 21.9 against 17.0 months in favour of radioembolisation</w:t>
            </w:r>
          </w:p>
          <w:p>
            <w:pPr>
              <w:pStyle w:val="ListParagraph"/>
              <w:numPr>
                <w:ilvl w:val="0"/>
                <w:numId w:val="2"/>
              </w:numPr>
              <w:spacing w:after="45"/>
            </w:pPr>
            <w:r>
              <w:rPr>
                <w:sz w:val="15"/>
                <w:szCs w:val="15"/>
              </w:rPr>
              <w:t xml:space="preserve">The operational penalty fell entirely on one arm: a median 29 days from randomisation to radioembolisation against 7 days to sorafenib in a population whose median survival was about 9 months, so roughly a tenth of the available survival time was consumed by work-up in the experimental arm alone</w:t>
            </w:r>
          </w:p>
          <w:p>
            <w:pPr>
              <w:pStyle w:val="ListParagraph"/>
              <w:numPr>
                <w:ilvl w:val="0"/>
                <w:numId w:val="2"/>
              </w:numPr>
              <w:spacing w:after="45"/>
            </w:pPr>
            <w:r>
              <w:rPr>
                <w:sz w:val="15"/>
                <w:szCs w:val="15"/>
              </w:rPr>
              <w:t xml:space="preserve">Eligibility included three quite different clinical situations, advanced disease, recurrence after cure and failure of two rounds of chemoembolisation, with no stratification that would let the result be read for any one of them</w:t>
            </w:r>
          </w:p>
          <w:p>
            <w:pPr>
              <w:pStyle w:val="ListParagraph"/>
              <w:numPr>
                <w:ilvl w:val="0"/>
                <w:numId w:val="2"/>
              </w:numPr>
              <w:spacing w:after="45"/>
            </w:pPr>
            <w:r>
              <w:rPr>
                <w:sz w:val="15"/>
                <w:szCs w:val="15"/>
              </w:rPr>
              <w:t xml:space="preserve">The comparator is now historical, so the trial cannot say how radioembolisation performs against the immunotherapy doublets that have replaced sorafenib in first-line advanced disease</w:t>
            </w:r>
          </w:p>
          <w:p>
            <w:pPr>
              <w:pStyle w:val="ListParagraph"/>
              <w:numPr>
                <w:ilvl w:val="0"/>
                <w:numId w:val="2"/>
              </w:numPr>
              <w:spacing w:after="45"/>
            </w:pPr>
            <w:r>
              <w:rPr>
                <w:sz w:val="15"/>
                <w:szCs w:val="15"/>
              </w:rPr>
              <w:t xml:space="preserve">Quality of life and tolerability favoured radioembolisation, which in an open-label trial with a single procedure against a continuously dosed oral drug reflects the shape of the two treatments as much as their toxicity</w:t>
            </w:r>
          </w:p>
          <w:p>
            <w:pPr>
              <w:pStyle w:val="ListParagraph"/>
              <w:numPr>
                <w:ilvl w:val="0"/>
                <w:numId w:val="2"/>
              </w:numPr>
              <w:spacing w:after="45"/>
            </w:pPr>
            <w:r>
              <w:rPr>
                <w:sz w:val="15"/>
                <w:szCs w:val="15"/>
              </w:rPr>
              <w:t xml:space="preserve">The abstract gives serious adverse events in the sorafenib arm as 82 percent and the Results text as 81 percent, so the paper's own safety denominator is inconsistent</w:t>
            </w:r>
          </w:p>
          <w:p>
            <w:pPr>
              <w:pStyle w:val="ListParagraph"/>
              <w:numPr>
                <w:ilvl w:val="0"/>
                <w:numId w:val="2"/>
              </w:numPr>
              <w:spacing w:after="45"/>
            </w:pPr>
            <w:r>
              <w:rPr>
                <w:sz w:val="15"/>
                <w:szCs w:val="15"/>
              </w:rPr>
              <w:t xml:space="preserve">The sponsor manufactures the device tested and also funded the editorial assistance, and the paper reports no independent statistical analysis</w:t>
            </w:r>
          </w:p>
        </w:tc>
      </w:tr>
    </w:tbl>
    <w:p>
      <w:pPr>
        <w:spacing w:after="0" w:line="276"/>
      </w:pPr>
      <w:r>
        <w:rPr>
          <w:color w:val="5A6069"/>
          <w:sz w:val="14"/>
          <w:szCs w:val="14"/>
        </w:rPr>
        <w:t xml:space="preserve">Funding: Funded by Sirtex Medical, which makes the resin microspheres tested, and which also paid for editorial assistance</w:t>
      </w:r>
    </w:p>
    <w:p>
      <w:pPr>
        <w:keepNext/>
        <w:spacing w:after="50" w:before="260"/>
      </w:pPr>
      <w:r>
        <w:rPr>
          <w:rFonts w:ascii="Cambria" w:cs="Cambria" w:eastAsia="Cambria" w:hAnsi="Cambria"/>
          <w:b/>
          <w:bCs/>
          <w:color w:val="17365D"/>
          <w:sz w:val="20"/>
          <w:szCs w:val="20"/>
        </w:rPr>
        <w:t xml:space="preserve">SBRT vs RFA</w:t>
      </w:r>
      <w:r>
        <w:rPr>
          <w:b/>
          <w:bCs/>
          <w:color w:val="176A87"/>
          <w:sz w:val="15"/>
          <w:szCs w:val="15"/>
        </w:rPr>
        <w:t xml:space="preserve">   Randomised trial</w:t>
      </w:r>
      <w:r>
        <w:rPr>
          <w:color w:val="5A6069"/>
          <w:sz w:val="15"/>
          <w:szCs w:val="15"/>
        </w:rPr>
        <w:t xml:space="preserve">   PMID 39693584</w:t>
      </w:r>
    </w:p>
    <w:p>
      <w:pPr>
        <w:spacing w:after="50" w:line="276"/>
      </w:pPr>
      <w:r>
        <w:rPr>
          <w:color w:val="5A6069"/>
          <w:sz w:val="17"/>
          <w:szCs w:val="17"/>
        </w:rPr>
        <w:t xml:space="preserve">Radiofrequency Ablation Versus Stereotactic Body Radiotherapy for Recurrent Small Hepatocellular Carcinoma: A Randomized, Open-Label, Controlled Trial</w:t>
      </w:r>
    </w:p>
    <w:p>
      <w:pPr>
        <w:spacing w:after="50"/>
      </w:pPr>
      <w:r>
        <w:rPr>
          <w:b/>
          <w:bCs/>
          <w:color w:val="176A87"/>
          <w:sz w:val="16"/>
          <w:szCs w:val="16"/>
        </w:rPr>
        <w:t xml:space="preserve">Population. </w:t>
      </w:r>
      <w:r>
        <w:rPr>
          <w:sz w:val="16"/>
          <w:szCs w:val="16"/>
        </w:rPr>
        <w:t xml:space="preserve">166 patients with a solitary recurrent HCC of 5 cm or less after curative resection or ablation, Child-Pugh A and Karnofsky 90 or above, randomised 1:1 at Sun Yat-sen University Cancer Center between August 2019 and April 2022 to stereotactic body radiotherapy (median 45 Gy in 3 fractions) or percutaneous radiofrequency ablation with a margin over 1 cm; 88 percent had hepatitis B, median diameter was 1.6 to 1.7 cm and about 70 percent of tumours were 2 cm or smaller</w:t>
      </w:r>
    </w:p>
    <w:p>
      <w:pPr>
        <w:spacing w:after="70"/>
      </w:pPr>
      <w:r>
        <w:rPr>
          <w:b/>
          <w:bCs/>
          <w:color w:val="17365D"/>
          <w:sz w:val="16"/>
          <w:szCs w:val="16"/>
        </w:rPr>
        <w:t xml:space="preserve">Bottom line. </w:t>
      </w:r>
      <w:r>
        <w:rPr>
          <w:sz w:val="16"/>
          <w:szCs w:val="16"/>
        </w:rPr>
        <w:t xml:space="preserve">The first randomised comparison of stereotactic radiotherapy with repeat ablation for a small solitary HCC recurrence, finding better local progression-free survival with radiotherapy (3-year 77.6 against 59.7 percent). The primary endpoint is a composite that counts death from any cause and the two arms reached it by different routes, progression-free and overall survival were indistinguishable over 42 months, and the 2 to 5 cm stratum of 48 patients showed no difference at all.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Most patients had hepatitis B-related HCC, so other aetiologies need validation</w:t>
            </w:r>
          </w:p>
          <w:p>
            <w:pPr>
              <w:pStyle w:val="ListParagraph"/>
              <w:numPr>
                <w:ilvl w:val="0"/>
                <w:numId w:val="2"/>
              </w:numPr>
              <w:spacing w:after="45"/>
            </w:pPr>
            <w:r>
              <w:rPr>
                <w:sz w:val="15"/>
                <w:szCs w:val="15"/>
              </w:rPr>
              <w:t xml:space="preserve">Response was assessed by two experienced radiologists rather than by a central review committee</w:t>
            </w:r>
          </w:p>
          <w:p>
            <w:pPr>
              <w:pStyle w:val="ListParagraph"/>
              <w:numPr>
                <w:ilvl w:val="0"/>
                <w:numId w:val="2"/>
              </w:numPr>
              <w:spacing w:after="45"/>
            </w:pPr>
            <w:r>
              <w:rPr>
                <w:sz w:val="15"/>
                <w:szCs w:val="15"/>
              </w:rPr>
              <w:t xml:space="preserve">Single-centre design with possible selection bias, which the authors state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is a composite counting death from any cause and the arms reached it differently: 8 of 14 radiotherapy events were deaths without local progression against 7 of 27 for ablation, so the significant result rests on a difference of about 14 local progression events in 166 patients</w:t>
            </w:r>
          </w:p>
          <w:p>
            <w:pPr>
              <w:pStyle w:val="ListParagraph"/>
              <w:numPr>
                <w:ilvl w:val="0"/>
                <w:numId w:val="2"/>
              </w:numPr>
              <w:spacing w:after="45"/>
            </w:pPr>
            <w:r>
              <w:rPr>
                <w:sz w:val="15"/>
                <w:szCs w:val="15"/>
              </w:rPr>
              <w:t xml:space="preserve">Better local control bought nothing measurable downstream across 42 months, with progression-free survival (HR 0.76, p = 0.190) and overall survival (HR 0.91, p = 0.830) indistinguishable, because most failures were intrahepatic distant recurrence driven by the underlying cirrhosis rather than failure in the treated field</w:t>
            </w:r>
          </w:p>
          <w:p>
            <w:pPr>
              <w:pStyle w:val="ListParagraph"/>
              <w:numPr>
                <w:ilvl w:val="0"/>
                <w:numId w:val="2"/>
              </w:numPr>
              <w:spacing w:after="45"/>
            </w:pPr>
            <w:r>
              <w:rPr>
                <w:sz w:val="15"/>
                <w:szCs w:val="15"/>
              </w:rPr>
              <w:t xml:space="preserve">With 19 deaths in 166 patients and a design powered for only 32 local progression-free survival events, the survival comparison is grossly underpowered and its confidence interval runs from 0.37 to 2.22, so neither benefit nor harm can be excluded</w:t>
            </w:r>
          </w:p>
          <w:p>
            <w:pPr>
              <w:pStyle w:val="ListParagraph"/>
              <w:numPr>
                <w:ilvl w:val="0"/>
                <w:numId w:val="2"/>
              </w:numPr>
              <w:spacing w:after="45"/>
            </w:pPr>
            <w:r>
              <w:rPr>
                <w:sz w:val="15"/>
                <w:szCs w:val="15"/>
              </w:rPr>
              <w:t xml:space="preserve">Local progression was defined differently in the two arms, within 1 cm of the ablation zone against within 1 cm of the target volume, and post-radiotherapy change is harder to adjudicate than an ablation cavity, so the unblinded read carries the trial's only positive endpoint</w:t>
            </w:r>
          </w:p>
          <w:p>
            <w:pPr>
              <w:pStyle w:val="ListParagraph"/>
              <w:numPr>
                <w:ilvl w:val="0"/>
                <w:numId w:val="2"/>
              </w:numPr>
              <w:spacing w:after="45"/>
            </w:pPr>
            <w:r>
              <w:rPr>
                <w:sz w:val="15"/>
                <w:szCs w:val="15"/>
              </w:rPr>
              <w:t xml:space="preserve">Three ablation patients needed a second session to achieve complete ablation and were not counted as local failures, a convention that moves early technical failures out of the endpoint in the arm that lost on it</w:t>
            </w:r>
          </w:p>
          <w:p>
            <w:pPr>
              <w:pStyle w:val="ListParagraph"/>
              <w:numPr>
                <w:ilvl w:val="0"/>
                <w:numId w:val="2"/>
              </w:numPr>
              <w:spacing w:after="45"/>
            </w:pPr>
            <w:r>
              <w:rPr>
                <w:sz w:val="15"/>
                <w:szCs w:val="15"/>
              </w:rPr>
              <w:t xml:space="preserve">The population is a best case for both modalities: single centre, 88 percent hepatitis B, over 90 percent Child-Pugh 5, median tumour 1.6 to 1.7 cm with about 70 percent at 2 cm or less, so the result applies to the easiest recurrences rather than to the perivascular or subcapsular ones where the choice is hard</w:t>
            </w:r>
          </w:p>
          <w:p>
            <w:pPr>
              <w:pStyle w:val="ListParagraph"/>
              <w:numPr>
                <w:ilvl w:val="0"/>
                <w:numId w:val="2"/>
              </w:numPr>
              <w:spacing w:after="45"/>
            </w:pPr>
            <w:r>
              <w:rPr>
                <w:sz w:val="15"/>
                <w:szCs w:val="15"/>
              </w:rPr>
              <w:t xml:space="preserve">The 2 to 5 cm stratum held only 48 patients and showed no difference between the modalities, which contradicts the retrospective literature in which radiotherapy's advantage grows with tumour size, and the paper does not reconcile the two</w:t>
            </w:r>
          </w:p>
          <w:p>
            <w:pPr>
              <w:pStyle w:val="ListParagraph"/>
              <w:numPr>
                <w:ilvl w:val="0"/>
                <w:numId w:val="2"/>
              </w:numPr>
              <w:spacing w:after="45"/>
            </w:pPr>
            <w:r>
              <w:rPr>
                <w:sz w:val="15"/>
                <w:szCs w:val="15"/>
              </w:rPr>
              <w:t xml:space="preserve">Both arms were delivered by one group at one high-volume centre, with a guaranteed ablation margin over 1 cm that most units would not reliably achieve, so the control arm is also a best case</w:t>
            </w:r>
          </w:p>
          <w:p>
            <w:pPr>
              <w:pStyle w:val="ListParagraph"/>
              <w:numPr>
                <w:ilvl w:val="0"/>
                <w:numId w:val="2"/>
              </w:numPr>
              <w:spacing w:after="45"/>
            </w:pPr>
            <w:r>
              <w:rPr>
                <w:sz w:val="15"/>
                <w:szCs w:val="15"/>
              </w:rPr>
              <w:t xml:space="preserve">Open-label with no central imaging review, acknowledged by the authors, in a trial whose entire positive result is an imaging judgment</w:t>
            </w:r>
          </w:p>
        </w:tc>
      </w:tr>
    </w:tbl>
    <w:p>
      <w:pPr>
        <w:spacing w:after="0" w:line="276"/>
      </w:pPr>
      <w:r>
        <w:rPr>
          <w:color w:val="5A6069"/>
          <w:sz w:val="14"/>
          <w:szCs w:val="14"/>
        </w:rPr>
        <w:t xml:space="preserve">Funding: Funded by Sun Yat-sen University's 5010 programme and the National Natural Science Foundation of China, with no declared conflicts of interest</w:t>
      </w:r>
    </w:p>
    <w:p>
      <w:pPr>
        <w:keepNext/>
        <w:spacing w:after="50" w:before="260"/>
      </w:pPr>
      <w:r>
        <w:rPr>
          <w:rFonts w:ascii="Cambria" w:cs="Cambria" w:eastAsia="Cambria" w:hAnsi="Cambria"/>
          <w:b/>
          <w:bCs/>
          <w:color w:val="17365D"/>
          <w:sz w:val="20"/>
          <w:szCs w:val="20"/>
        </w:rPr>
        <w:t xml:space="preserve">SIRveNIB</w:t>
      </w:r>
      <w:r>
        <w:rPr>
          <w:b/>
          <w:bCs/>
          <w:color w:val="176A87"/>
          <w:sz w:val="15"/>
          <w:szCs w:val="15"/>
        </w:rPr>
        <w:t xml:space="preserve">   Randomised trial</w:t>
      </w:r>
      <w:r>
        <w:rPr>
          <w:color w:val="5A6069"/>
          <w:sz w:val="15"/>
          <w:szCs w:val="15"/>
        </w:rPr>
        <w:t xml:space="preserve">   PMID 29498924</w:t>
      </w:r>
    </w:p>
    <w:p>
      <w:pPr>
        <w:spacing w:after="50" w:line="276"/>
      </w:pPr>
      <w:r>
        <w:rPr>
          <w:color w:val="5A6069"/>
          <w:sz w:val="17"/>
          <w:szCs w:val="17"/>
        </w:rPr>
        <w:t xml:space="preserve">SIRveNIB: Selective Internal Radiation Therapy Versus Sorafenib in Asia-Pacific Patients With Hepatocellular Carcinoma</w:t>
      </w:r>
    </w:p>
    <w:p>
      <w:pPr>
        <w:spacing w:after="50"/>
      </w:pPr>
      <w:r>
        <w:rPr>
          <w:b/>
          <w:bCs/>
          <w:color w:val="176A87"/>
          <w:sz w:val="16"/>
          <w:szCs w:val="16"/>
        </w:rPr>
        <w:t xml:space="preserve">Population. </w:t>
      </w:r>
      <w:r>
        <w:rPr>
          <w:sz w:val="16"/>
          <w:szCs w:val="16"/>
        </w:rPr>
        <w:t xml:space="preserve">360 patients with BCLC B or C HCC confined to the liver, not amenable to curative treatment, randomised 1:1 at 27 centres in 11 Asia-Pacific countries between July 2010 and May 2016 to a single Y-90 resin radioembolisation (182) or sorafenib (178); 90 percent were Child-Pugh A and about 30 percent had portal vein thrombosis, and only 130 of 182 assigned radioembolisation received it</w:t>
      </w:r>
    </w:p>
    <w:p>
      <w:pPr>
        <w:spacing w:after="70"/>
      </w:pPr>
      <w:r>
        <w:rPr>
          <w:b/>
          <w:bCs/>
          <w:color w:val="17365D"/>
          <w:sz w:val="16"/>
          <w:szCs w:val="16"/>
        </w:rPr>
        <w:t xml:space="preserve">Bottom line. </w:t>
      </w:r>
      <w:r>
        <w:rPr>
          <w:sz w:val="16"/>
          <w:szCs w:val="16"/>
        </w:rPr>
        <w:t xml:space="preserve">SIRveNIB found no survival difference between a single radioembolisation and sorafenib in locally advanced HCC (median 8.8 against 10.0 months by intention to treat), with fewer adverse events and a higher tumour response rate after radioembolisation. Its interpretation is dominated by delivery failure: 28.6 percent of patients assigned radioembolisation never received it against 9.0 percent assigned sorafenib, and every signal favouring radioembolisation appears only in the treated population.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 high proportion of patients assigned radioembolisation never received it, which the authors list first</w:t>
            </w:r>
          </w:p>
          <w:p>
            <w:pPr>
              <w:pStyle w:val="ListParagraph"/>
              <w:numPr>
                <w:ilvl w:val="0"/>
                <w:numId w:val="2"/>
              </w:numPr>
              <w:spacing w:after="45"/>
            </w:pPr>
            <w:r>
              <w:rPr>
                <w:sz w:val="15"/>
                <w:szCs w:val="15"/>
              </w:rPr>
              <w:t xml:space="preserve">The EQ-5D instrument used for quality of life is not liver-specific</w:t>
            </w:r>
          </w:p>
          <w:p>
            <w:pPr>
              <w:pStyle w:val="ListParagraph"/>
              <w:numPr>
                <w:ilvl w:val="0"/>
                <w:numId w:val="2"/>
              </w:numPr>
              <w:spacing w:after="45"/>
            </w:pPr>
            <w:r>
              <w:rPr>
                <w:sz w:val="15"/>
                <w:szCs w:val="15"/>
              </w:rPr>
              <w:t xml:space="preserve">The BCLC C survival finding rests on a small sample and was not corrected for multiplicity, so the authors state it should be considered exploratory</w:t>
            </w:r>
          </w:p>
          <w:p>
            <w:pPr>
              <w:pStyle w:val="ListParagraph"/>
              <w:numPr>
                <w:ilvl w:val="0"/>
                <w:numId w:val="2"/>
              </w:numPr>
              <w:spacing w:after="45"/>
            </w:pPr>
            <w:r>
              <w:rPr>
                <w:sz w:val="15"/>
                <w:szCs w:val="15"/>
              </w:rPr>
              <w:t xml:space="preserve">The authors note that patients from five of the eleven participating countries had to travel to Singapore for work-up and treatment and then return home for follow-up, which caused progression, death and consent withdrawal before treatment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comparison is partly a test of logistics rather than of biology: 52 of 182 patients assigned radioembolisation never received it, 29 of them because they were found ineligible after randomisation, and all remained in the intention-to-treat analysis, while the median interval from randomisation to treatment was 21 days for radioembolisation against 3 days for sorafenib in a population surviving about 9 months</w:t>
            </w:r>
          </w:p>
          <w:p>
            <w:pPr>
              <w:pStyle w:val="ListParagraph"/>
              <w:numPr>
                <w:ilvl w:val="0"/>
                <w:numId w:val="2"/>
              </w:numPr>
              <w:spacing w:after="45"/>
            </w:pPr>
            <w:r>
              <w:rPr>
                <w:sz w:val="15"/>
                <w:szCs w:val="15"/>
              </w:rPr>
              <w:t xml:space="preserve">Every positive result, including progression-free survival, time to progression, 6-month survival and the BCLC C subgroup, appears only in the treated population, which is a post-randomisation selected group from which the patients too ill or too anatomically unsuitable to be treated have been removed</w:t>
            </w:r>
          </w:p>
          <w:p>
            <w:pPr>
              <w:pStyle w:val="ListParagraph"/>
              <w:numPr>
                <w:ilvl w:val="0"/>
                <w:numId w:val="2"/>
              </w:numPr>
              <w:spacing w:after="45"/>
            </w:pPr>
            <w:r>
              <w:rPr>
                <w:sz w:val="15"/>
                <w:szCs w:val="15"/>
              </w:rPr>
              <w:t xml:space="preserve">The protocol permitted only a single radioembolisation while the contemporaneous SARAH trial allowed repeat treatment and delivered more than one to 37 percent of treated patients, and activity was prescribed by body surface area or the partition model rather than by personalised dosimetry, so the trial may have tested an underdosed version of the therapy</w:t>
            </w:r>
          </w:p>
          <w:p>
            <w:pPr>
              <w:pStyle w:val="ListParagraph"/>
              <w:numPr>
                <w:ilvl w:val="0"/>
                <w:numId w:val="2"/>
              </w:numPr>
              <w:spacing w:after="45"/>
            </w:pPr>
            <w:r>
              <w:rPr>
                <w:sz w:val="15"/>
                <w:szCs w:val="15"/>
              </w:rPr>
              <w:t xml:space="preserve">Cross-border delivery of the intervention was built into the design, so the treatment arm carried an operational burden that no routine practice would impose and that the control arm did not share</w:t>
            </w:r>
          </w:p>
          <w:p>
            <w:pPr>
              <w:pStyle w:val="ListParagraph"/>
              <w:numPr>
                <w:ilvl w:val="0"/>
                <w:numId w:val="2"/>
              </w:numPr>
              <w:spacing w:after="45"/>
            </w:pPr>
            <w:r>
              <w:rPr>
                <w:sz w:val="15"/>
                <w:szCs w:val="15"/>
              </w:rPr>
              <w:t xml:space="preserve">The control arm, sorafenib monotherapy, has since been displaced by immunotherapy combinations, so an equivalence result against sorafenib does not position radioembolisation against current first-line care</w:t>
            </w:r>
          </w:p>
          <w:p>
            <w:pPr>
              <w:pStyle w:val="ListParagraph"/>
              <w:numPr>
                <w:ilvl w:val="0"/>
                <w:numId w:val="2"/>
              </w:numPr>
              <w:spacing w:after="45"/>
            </w:pPr>
            <w:r>
              <w:rPr>
                <w:sz w:val="15"/>
                <w:szCs w:val="15"/>
              </w:rPr>
              <w:t xml:space="preserve">The trial is described as a two-tailed superiority-or-detriment design, so a null result cannot be read as equivalence, yet the conclusion that overall survival did not differ is routinely cited as though it established that</w:t>
            </w:r>
          </w:p>
          <w:p>
            <w:pPr>
              <w:pStyle w:val="ListParagraph"/>
              <w:numPr>
                <w:ilvl w:val="0"/>
                <w:numId w:val="2"/>
              </w:numPr>
              <w:spacing w:after="45"/>
            </w:pPr>
            <w:r>
              <w:rPr>
                <w:sz w:val="15"/>
                <w:szCs w:val="15"/>
              </w:rPr>
              <w:t xml:space="preserve">Randomisation was stratified by centre and portal vein thrombosis only, in a trial spanning 11 countries with markedly different work-up pathways, and no stratification or adjustment for country or for travel requirement was applied</w:t>
            </w:r>
          </w:p>
          <w:p>
            <w:pPr>
              <w:pStyle w:val="ListParagraph"/>
              <w:numPr>
                <w:ilvl w:val="0"/>
                <w:numId w:val="2"/>
              </w:numPr>
              <w:spacing w:after="45"/>
            </w:pPr>
            <w:r>
              <w:rPr>
                <w:sz w:val="15"/>
                <w:szCs w:val="15"/>
              </w:rPr>
              <w:t xml:space="preserve">The published text carries numerous transcription errors in the figures and tables, including transposed medians in the survival panels, a garbled 6-month survival sentence with the control arm's confidence interval pasted into the treatment arm's slot, and minus signs rendered as digits, so the printed effect estimates cannot be taken at face value</w:t>
            </w:r>
          </w:p>
          <w:p>
            <w:pPr>
              <w:pStyle w:val="ListParagraph"/>
              <w:numPr>
                <w:ilvl w:val="0"/>
                <w:numId w:val="2"/>
              </w:numPr>
              <w:spacing w:after="45"/>
            </w:pPr>
            <w:r>
              <w:rPr>
                <w:sz w:val="15"/>
                <w:szCs w:val="15"/>
              </w:rPr>
              <w:t xml:space="preserve">Despite being described as investigator-initiated, the device manufacturer funded most of the investigators' research, the lead author sits on its speakers bureau and advisory board, and the manuscript was edited by a Sirtex-supported agency</w:t>
            </w:r>
          </w:p>
        </w:tc>
      </w:tr>
    </w:tbl>
    <w:p>
      <w:pPr>
        <w:spacing w:after="0" w:line="276"/>
      </w:pPr>
      <w:r>
        <w:rPr>
          <w:color w:val="5A6069"/>
          <w:sz w:val="14"/>
          <w:szCs w:val="14"/>
        </w:rPr>
        <w:t xml:space="preserve">Funding: Investigator-initiated but extensively supported by Sirtex Medical, which makes the resin microspheres tested: the lead author declares honoraria, consultancy, speakers bureau membership and institutional research funding from Sirtex, most co-authors declare Sirtex research funding, and the manuscript's language editing was Sirtex-supported</w:t>
      </w:r>
    </w:p>
    <w:p>
      <w:pPr>
        <w:keepNext/>
        <w:spacing w:after="50" w:before="260"/>
      </w:pPr>
      <w:r>
        <w:rPr>
          <w:rFonts w:ascii="Cambria" w:cs="Cambria" w:eastAsia="Cambria" w:hAnsi="Cambria"/>
          <w:b/>
          <w:bCs/>
          <w:color w:val="17365D"/>
          <w:sz w:val="20"/>
          <w:szCs w:val="20"/>
        </w:rPr>
        <w:t xml:space="preserve">SURF final</w:t>
      </w:r>
      <w:r>
        <w:rPr>
          <w:b/>
          <w:bCs/>
          <w:color w:val="176A87"/>
          <w:sz w:val="15"/>
          <w:szCs w:val="15"/>
        </w:rPr>
        <w:t xml:space="preserve">   Randomised trial</w:t>
      </w:r>
      <w:r>
        <w:rPr>
          <w:color w:val="5A6069"/>
          <w:sz w:val="15"/>
          <w:szCs w:val="15"/>
        </w:rPr>
        <w:t xml:space="preserve">   PMID 40554738</w:t>
      </w:r>
    </w:p>
    <w:p>
      <w:pPr>
        <w:spacing w:after="50" w:line="276"/>
      </w:pPr>
      <w:r>
        <w:rPr>
          <w:color w:val="5A6069"/>
          <w:sz w:val="17"/>
          <w:szCs w:val="17"/>
        </w:rPr>
        <w:t xml:space="preserve">Surgery Versus Ablation for Hepatocellular Carcinoma: A Randomized Controlled Trial (SURF-RCT Trial) and a Nonrandomized Prospective Observational Trial (SURF-Cohort Trial)</w:t>
      </w:r>
    </w:p>
    <w:p>
      <w:pPr>
        <w:spacing w:after="50"/>
      </w:pPr>
      <w:r>
        <w:rPr>
          <w:b/>
          <w:bCs/>
          <w:color w:val="176A87"/>
          <w:sz w:val="16"/>
          <w:szCs w:val="16"/>
        </w:rPr>
        <w:t xml:space="preserve">Population. </w:t>
      </w:r>
      <w:r>
        <w:rPr>
          <w:sz w:val="16"/>
          <w:szCs w:val="16"/>
        </w:rPr>
        <w:t xml:space="preserve">1,094 patients assessed at 49 of 118 Japanese institutions between April 2009 and August 2015, yielding 302 in the randomised SURF-RCT (surgery 150, ablation 152) and 753 who declined randomisation in the parallel SURF-Cohort (surgery 382, ablation 371); 90 percent of the randomised patients had a solitary tumour with a median diameter of 1.8 cm</w:t>
      </w:r>
    </w:p>
    <w:p>
      <w:pPr>
        <w:spacing w:after="70"/>
      </w:pPr>
      <w:r>
        <w:rPr>
          <w:b/>
          <w:bCs/>
          <w:color w:val="17365D"/>
          <w:sz w:val="16"/>
          <w:szCs w:val="16"/>
        </w:rPr>
        <w:t xml:space="preserve">Bottom line. </w:t>
      </w:r>
      <w:r>
        <w:rPr>
          <w:sz w:val="16"/>
          <w:szCs w:val="16"/>
        </w:rPr>
        <w:t xml:space="preserve">The final SURF report: 5-year overall survival was 74.6 percent after surgery and 70.4 percent after ablation (HR 0.96, adjusted p = 0.84) with recurrence-free survival 42.9 versus 42.7 percent (HR 0.90), and the 753-patient observational cohort agreed after weighting. Local recurrence was twice as common after ablation in both studies, the trial had 67.2 percent power for the 10-point difference it was designed to find, difficult tumour locations were excluded, and several figures including the local-recurrence denominators and the ablation success definition changed between this report and the 2022 one.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About 90 percent of patients had a solitary tumour and more than half a largest diameter of 2 cm or less, so the authors state the result may best apply to a single tumour of 2 cm or less and that applying it to three nodules up to 3 cm would overestimate the findings</w:t>
            </w:r>
          </w:p>
          <w:p>
            <w:pPr>
              <w:pStyle w:val="ListParagraph"/>
              <w:numPr>
                <w:ilvl w:val="0"/>
                <w:numId w:val="2"/>
              </w:numPr>
              <w:spacing w:after="45"/>
            </w:pPr>
            <w:r>
              <w:rPr>
                <w:sz w:val="15"/>
                <w:szCs w:val="15"/>
              </w:rPr>
              <w:t xml:space="preserve">Patients whose tumour lay close to vasculature, the biliary tree or adjacent organs, or was poorly seen on ultrasound, were excluded if judged unfeasible for ablation, so the authors advise that ablation in difficult locations and above 2 cm needs careful indication</w:t>
            </w:r>
          </w:p>
          <w:p>
            <w:pPr>
              <w:pStyle w:val="ListParagraph"/>
              <w:numPr>
                <w:ilvl w:val="0"/>
                <w:numId w:val="2"/>
              </w:numPr>
              <w:spacing w:after="45"/>
            </w:pPr>
            <w:r>
              <w:rPr>
                <w:sz w:val="15"/>
                <w:szCs w:val="15"/>
              </w:rPr>
              <w:t xml:space="preserve">Because enrolment was discontinued, the analysis does not account for multiplicity across the two co-primary endpoints</w:t>
            </w:r>
          </w:p>
          <w:p>
            <w:pPr>
              <w:pStyle w:val="ListParagraph"/>
              <w:numPr>
                <w:ilvl w:val="0"/>
                <w:numId w:val="2"/>
              </w:numPr>
              <w:spacing w:after="45"/>
            </w:pPr>
            <w:r>
              <w:rPr>
                <w:sz w:val="15"/>
                <w:szCs w:val="15"/>
              </w:rPr>
              <w:t xml:space="preserve">Radiofrequency rather than microwave ablation was tested and open surgery was still common early in accrual, although the authors argue meta-analyses show no difference for either substitution</w:t>
            </w:r>
          </w:p>
          <w:p>
            <w:pPr>
              <w:pStyle w:val="ListParagraph"/>
              <w:numPr>
                <w:ilvl w:val="0"/>
                <w:numId w:val="2"/>
              </w:numPr>
              <w:spacing w:after="45"/>
            </w:pPr>
            <w:r>
              <w:rPr>
                <w:sz w:val="15"/>
                <w:szCs w:val="15"/>
              </w:rPr>
              <w:t xml:space="preserve">The number of patients who had a pretreatment biopsy is unclear, because biopsy was not routine in Japanese practice during the study period</w:t>
            </w:r>
          </w:p>
          <w:p>
            <w:pPr>
              <w:pStyle w:val="ListParagraph"/>
              <w:numPr>
                <w:ilvl w:val="0"/>
                <w:numId w:val="2"/>
              </w:numPr>
              <w:spacing w:after="45"/>
            </w:pPr>
            <w:r>
              <w:rPr>
                <w:sz w:val="15"/>
                <w:szCs w:val="15"/>
              </w:rPr>
              <w:t xml:space="preserve">LI-RADS criteria were not used; the authors state that by their own dynamic CT definition about 90 to 95 percent of the surgical patients were correctly diagnosed as HCC</w:t>
            </w:r>
          </w:p>
          <w:p>
            <w:pPr>
              <w:pStyle w:val="ListParagraph"/>
              <w:numPr>
                <w:ilvl w:val="0"/>
                <w:numId w:val="2"/>
              </w:numPr>
              <w:spacing w:after="45"/>
            </w:pPr>
            <w:r>
              <w:rPr>
                <w:sz w:val="15"/>
                <w:szCs w:val="15"/>
              </w:rPr>
              <w:t xml:space="preserve">In the observational cohort the groups were imbalanced at baseline, with a largest diameter of 2 cm or less in 50 percent of surgical against 72 percent of ablation patients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designed to show the superiority of surgery and did not, with 67.2 percent power for a 10-point difference and 80 percent power only for 11.6 points, so this is a failed superiority trial; the Discussion nonetheless closes by asserting the equivalent effectiveness of both treatments</w:t>
            </w:r>
          </w:p>
          <w:p>
            <w:pPr>
              <w:pStyle w:val="ListParagraph"/>
              <w:numPr>
                <w:ilvl w:val="0"/>
                <w:numId w:val="2"/>
              </w:numPr>
              <w:spacing w:after="45"/>
            </w:pPr>
            <w:r>
              <w:rPr>
                <w:sz w:val="15"/>
                <w:szCs w:val="15"/>
              </w:rPr>
              <w:t xml:space="preserve">The local recurrence comparison was converted between reports: the same 12 and 24 events were 15.0 and 28.0 percent of patients with recurrence in 2022 (p = 0.07) and are 8.0 and 15.8 percent of all randomised patients here (p = 0.03), so a change of denominator turns a non-significant finding into the significant one the Discussion relies on</w:t>
            </w:r>
          </w:p>
          <w:p>
            <w:pPr>
              <w:pStyle w:val="ListParagraph"/>
              <w:numPr>
                <w:ilvl w:val="0"/>
                <w:numId w:val="2"/>
              </w:numPr>
              <w:spacing w:after="45"/>
            </w:pPr>
            <w:r>
              <w:rPr>
                <w:sz w:val="15"/>
                <w:szCs w:val="15"/>
              </w:rPr>
              <w:t xml:space="preserve">The definition of a successful ablation also changed: the 2022 report accepted RECICL TE4a or TE4b, explicitly including complete response without an adequate margin, while this report states success required TE4a with an adequate margin, so the two papers describe the same procedures by different standards</w:t>
            </w:r>
          </w:p>
          <w:p>
            <w:pPr>
              <w:pStyle w:val="ListParagraph"/>
              <w:numPr>
                <w:ilvl w:val="0"/>
                <w:numId w:val="2"/>
              </w:numPr>
              <w:spacing w:after="45"/>
            </w:pPr>
            <w:r>
              <w:rPr>
                <w:sz w:val="15"/>
                <w:szCs w:val="15"/>
              </w:rPr>
              <w:t xml:space="preserve">Several counts differ between the two reports of the same trial without explanation: 1,090 against 1,094 assessed, 778 against 782 declining randomisation, 7 against 6 patients excluded after registration, 151 against 152 eligible for ablation, and 25 against 35 patients lost to follow-up per arm</w:t>
            </w:r>
          </w:p>
          <w:p>
            <w:pPr>
              <w:pStyle w:val="ListParagraph"/>
              <w:numPr>
                <w:ilvl w:val="0"/>
                <w:numId w:val="2"/>
              </w:numPr>
              <w:spacing w:after="45"/>
            </w:pPr>
            <w:r>
              <w:rPr>
                <w:sz w:val="15"/>
                <w:szCs w:val="15"/>
              </w:rPr>
              <w:t xml:space="preserve">The paper reports Hochberg-adjusted p values of .84 for both co-primary endpoints while the limitations state that multiplicity was not accounted for; the adjustment simply assigns the recurrence endpoint the larger of the pair (unadjusted .50 becoming .84), and the paper contradicts itself about whether any adjustment was made</w:t>
            </w:r>
          </w:p>
          <w:p>
            <w:pPr>
              <w:pStyle w:val="ListParagraph"/>
              <w:numPr>
                <w:ilvl w:val="0"/>
                <w:numId w:val="2"/>
              </w:numPr>
              <w:spacing w:after="45"/>
            </w:pPr>
            <w:r>
              <w:rPr>
                <w:sz w:val="15"/>
                <w:szCs w:val="15"/>
              </w:rPr>
              <w:t xml:space="preserve">In the observational cohort the unadjusted recurrence-free survival favoured surgery (HR 0.80, p = .02) and after weighting became HR 0.84 with p = .08, so the headline of no difference rests on a p value crossing 0.05 rather than on the estimate changing, and the weighted curves in Figure 4 are footnoted as carrying unadjusted at-risk numbers</w:t>
            </w:r>
          </w:p>
          <w:p>
            <w:pPr>
              <w:pStyle w:val="ListParagraph"/>
              <w:numPr>
                <w:ilvl w:val="0"/>
                <w:numId w:val="2"/>
              </w:numPr>
              <w:spacing w:after="45"/>
            </w:pPr>
            <w:r>
              <w:rPr>
                <w:sz w:val="15"/>
                <w:szCs w:val="15"/>
              </w:rPr>
              <w:t xml:space="preserve">Recurrence was detected by MRI in 17.5 percent of surgical against 31.9 percent of ablation recurrences in the trial, so the arm with more local recurrence was also imaged more sensitively, and this asymmetry (p = .08) is tabulated without comment</w:t>
            </w:r>
          </w:p>
          <w:p>
            <w:pPr>
              <w:pStyle w:val="ListParagraph"/>
              <w:numPr>
                <w:ilvl w:val="0"/>
                <w:numId w:val="2"/>
              </w:numPr>
              <w:spacing w:after="45"/>
            </w:pPr>
            <w:r>
              <w:rPr>
                <w:sz w:val="15"/>
                <w:szCs w:val="15"/>
              </w:rPr>
              <w:t xml:space="preserve">Serious adverse effects were collected but post-treatment complications were not, giving 3.3 percent in the surgery arm and zero in 152 ablations, a figure the Discussion does not use but the abstract reports</w:t>
            </w:r>
          </w:p>
          <w:p>
            <w:pPr>
              <w:pStyle w:val="ListParagraph"/>
              <w:numPr>
                <w:ilvl w:val="0"/>
                <w:numId w:val="2"/>
              </w:numPr>
              <w:spacing w:after="45"/>
            </w:pPr>
            <w:r>
              <w:rPr>
                <w:sz w:val="15"/>
                <w:szCs w:val="15"/>
              </w:rPr>
              <w:t xml:space="preserve">Equal survival despite doubled local recurrence is achieved by an intensive salvage system: in the cohort, 26.3 percent of surgical recurrences were resected again against 5.2 percent of ablation recurrences, while 68.3 percent of ablation recurrences were re-ablated (p &lt; .01), so the result describes Japanese retreatment capacity as much as the index procedure</w:t>
            </w:r>
          </w:p>
          <w:p>
            <w:pPr>
              <w:pStyle w:val="ListParagraph"/>
              <w:numPr>
                <w:ilvl w:val="0"/>
                <w:numId w:val="2"/>
              </w:numPr>
              <w:spacing w:after="45"/>
            </w:pPr>
            <w:r>
              <w:rPr>
                <w:sz w:val="15"/>
                <w:szCs w:val="15"/>
              </w:rPr>
              <w:t xml:space="preserve">The authors use the surgical arm's pathology to claim that 90 to 95 percent of patients were correctly diagnosed, which concedes that 5 to 10 percent of resected patients did not have HCC and leaves no corresponding check available for the ablation arm, where biopsy was rare</w:t>
            </w:r>
          </w:p>
          <w:p>
            <w:pPr>
              <w:pStyle w:val="ListParagraph"/>
              <w:numPr>
                <w:ilvl w:val="0"/>
                <w:numId w:val="2"/>
              </w:numPr>
              <w:spacing w:after="45"/>
            </w:pPr>
            <w:r>
              <w:rPr>
                <w:sz w:val="15"/>
                <w:szCs w:val="15"/>
              </w:rPr>
              <w:t xml:space="preserve">The SURF-Cohort consists of the 753 patients who refused randomisation and were treated by clinician preference, and is offered as a way to interpret and extrapolate the trial, when it embodies exactly the selection the trial was meant to remove: the paper's own forest plot shows surgery was chosen for tumours above 2 cm (OR 2.76) and ablation for low platelets and prior chemoembolisation</w:t>
            </w:r>
          </w:p>
          <w:p>
            <w:pPr>
              <w:pStyle w:val="ListParagraph"/>
              <w:numPr>
                <w:ilvl w:val="0"/>
                <w:numId w:val="2"/>
              </w:numPr>
              <w:spacing w:after="45"/>
            </w:pPr>
            <w:r>
              <w:rPr>
                <w:sz w:val="15"/>
                <w:szCs w:val="15"/>
              </w:rPr>
              <w:t xml:space="preserve">The Methods give 49 institutions and the Study Design 118, the same unreconciled discrepancy as in the 2022 report</w:t>
            </w:r>
          </w:p>
          <w:p>
            <w:pPr>
              <w:pStyle w:val="ListParagraph"/>
              <w:numPr>
                <w:ilvl w:val="0"/>
                <w:numId w:val="2"/>
              </w:numPr>
              <w:spacing w:after="45"/>
            </w:pPr>
            <w:r>
              <w:rPr>
                <w:sz w:val="15"/>
                <w:szCs w:val="15"/>
              </w:rPr>
              <w:t xml:space="preserve">Patients who died of other diseases without recurrence were censored rather than counted, in a cirrhotic population in which non-cancer death is a competing risk, and no competing-risk analysis of recurrence is presented</w:t>
            </w:r>
          </w:p>
        </w:tc>
      </w:tr>
    </w:tbl>
    <w:p>
      <w:pPr>
        <w:spacing w:after="0" w:line="276"/>
      </w:pPr>
      <w:r>
        <w:rPr>
          <w:color w:val="5A6069"/>
          <w:sz w:val="14"/>
          <w:szCs w:val="14"/>
        </w:rPr>
        <w:t xml:space="preserve">Funding: Supported by the Japanese Foundation for Multidisciplinary Treatment of Cancer and Health and Labour Sciences Research Grant for Clinical Cancer Research H21-015; most authors report honoraria, research funding or advisory roles with industry, including Wako Diagnostics, Chugai, Eisai, AstraZeneca, Medtronic and Terumo</w:t>
      </w:r>
    </w:p>
    <w:p>
      <w:pPr>
        <w:keepNext/>
        <w:spacing w:after="50" w:before="260"/>
      </w:pPr>
      <w:r>
        <w:rPr>
          <w:rFonts w:ascii="Cambria" w:cs="Cambria" w:eastAsia="Cambria" w:hAnsi="Cambria"/>
          <w:b/>
          <w:bCs/>
          <w:color w:val="17365D"/>
          <w:sz w:val="20"/>
          <w:szCs w:val="20"/>
        </w:rPr>
        <w:t xml:space="preserve">SURF trial</w:t>
      </w:r>
      <w:r>
        <w:rPr>
          <w:b/>
          <w:bCs/>
          <w:color w:val="176A87"/>
          <w:sz w:val="15"/>
          <w:szCs w:val="15"/>
        </w:rPr>
        <w:t xml:space="preserve">   Randomised trial</w:t>
      </w:r>
      <w:r>
        <w:rPr>
          <w:color w:val="5A6069"/>
          <w:sz w:val="15"/>
          <w:szCs w:val="15"/>
        </w:rPr>
        <w:t xml:space="preserve">   PMID 35949295</w:t>
      </w:r>
    </w:p>
    <w:p>
      <w:pPr>
        <w:spacing w:after="50" w:line="276"/>
      </w:pPr>
      <w:r>
        <w:rPr>
          <w:color w:val="5A6069"/>
          <w:sz w:val="17"/>
          <w:szCs w:val="17"/>
        </w:rPr>
        <w:t xml:space="preserve">Surgery versus Radiofrequency Ablation for Small Hepatocellular Carcinoma: A Randomized Controlled Trial (SURF Trial)</w:t>
      </w:r>
    </w:p>
    <w:p>
      <w:pPr>
        <w:spacing w:after="50"/>
      </w:pPr>
      <w:r>
        <w:rPr>
          <w:b/>
          <w:bCs/>
          <w:color w:val="176A87"/>
          <w:sz w:val="16"/>
          <w:szCs w:val="16"/>
        </w:rPr>
        <w:t xml:space="preserve">Population. </w:t>
      </w:r>
      <w:r>
        <w:rPr>
          <w:sz w:val="16"/>
          <w:szCs w:val="16"/>
        </w:rPr>
        <w:t xml:space="preserve">308 of 1,090 eligible patients (28.3 percent) randomised at 49 of 118 participating Japanese institutions between April 2009 and August 2015, 197 of them from just 9 centres; 150 analysed in the surgery arm and 151 in the radiofrequency ablation arm, 90 percent with a solitary tumour and a median largest diameter of 1.8 cm</w:t>
      </w:r>
    </w:p>
    <w:p>
      <w:pPr>
        <w:spacing w:after="70"/>
      </w:pPr>
      <w:r>
        <w:rPr>
          <w:b/>
          <w:bCs/>
          <w:color w:val="17365D"/>
          <w:sz w:val="16"/>
          <w:szCs w:val="16"/>
        </w:rPr>
        <w:t xml:space="preserve">Bottom line. </w:t>
      </w:r>
      <w:r>
        <w:rPr>
          <w:sz w:val="16"/>
          <w:szCs w:val="16"/>
        </w:rPr>
        <w:t xml:space="preserve">The recurrence report of SURF, the largest randomised comparison of resection with radiofrequency ablation for HCC of 3 cm or less: recurrence-free survival did not differ (median 3.46 versus 3.04 years, HR 0.92, 95% CI 0.67 to 1.25, p = 0.58). Accrual stopped at 301 analysable patients of a planned 600, leaving a conditional power under 8 percent, the tumours were overwhelmingly solitary and under 2 cm with difficult locations excluded, and the protocol counted an ablation without an adequate margin as a technical success.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target of 600 patients was not reached because accrual was slow, and the authors calculate that the conditional power of showing a difference had 570 patients been enrolled with a hazard ratio of 0.90 was under 8 percent</w:t>
            </w:r>
          </w:p>
          <w:p>
            <w:pPr>
              <w:pStyle w:val="ListParagraph"/>
              <w:numPr>
                <w:ilvl w:val="0"/>
                <w:numId w:val="2"/>
              </w:numPr>
              <w:spacing w:after="45"/>
            </w:pPr>
            <w:r>
              <w:rPr>
                <w:sz w:val="15"/>
                <w:szCs w:val="15"/>
              </w:rPr>
              <w:t xml:space="preserve">More than 90 percent of patients had a solitary tumour and about 65 percent a largest diameter under 2.0 cm, which the authors say may have influenced the result and means any advantage of surgery would be minimal</w:t>
            </w:r>
          </w:p>
          <w:p>
            <w:pPr>
              <w:pStyle w:val="ListParagraph"/>
              <w:numPr>
                <w:ilvl w:val="0"/>
                <w:numId w:val="2"/>
              </w:numPr>
              <w:spacing w:after="45"/>
            </w:pPr>
            <w:r>
              <w:rPr>
                <w:sz w:val="15"/>
                <w:szCs w:val="15"/>
              </w:rPr>
              <w:t xml:space="preserve">Successful ablation was not defined as the International Working Group's 5 to 10 mm ablative margin, which the authors list as a limitation</w:t>
            </w:r>
          </w:p>
          <w:p>
            <w:pPr>
              <w:pStyle w:val="ListParagraph"/>
              <w:numPr>
                <w:ilvl w:val="0"/>
                <w:numId w:val="2"/>
              </w:numPr>
              <w:spacing w:after="45"/>
            </w:pPr>
            <w:r>
              <w:rPr>
                <w:sz w:val="15"/>
                <w:szCs w:val="15"/>
              </w:rPr>
              <w:t xml:space="preserve">The primary endpoint was recurrence-free survival rather than the time to recurrence that EASL recommends, although the authors argue this did not affect the result</w:t>
            </w:r>
          </w:p>
          <w:p>
            <w:pPr>
              <w:pStyle w:val="ListParagraph"/>
              <w:numPr>
                <w:ilvl w:val="0"/>
                <w:numId w:val="2"/>
              </w:numPr>
              <w:spacing w:after="45"/>
            </w:pPr>
            <w:r>
              <w:rPr>
                <w:sz w:val="15"/>
                <w:szCs w:val="15"/>
              </w:rPr>
              <w:t xml:space="preserve">The authors warn against extending the result to tumours in difficult locations, which were excluded, and to tumours larger than 2 cm, where diameter above 2 to 2.5 cm is a known risk factor for local recurrence</w:t>
            </w:r>
          </w:p>
          <w:p>
            <w:pPr>
              <w:pStyle w:val="ListParagraph"/>
              <w:numPr>
                <w:ilvl w:val="0"/>
                <w:numId w:val="2"/>
              </w:numPr>
              <w:spacing w:after="45"/>
            </w:pPr>
            <w:r>
              <w:rPr>
                <w:sz w:val="15"/>
                <w:szCs w:val="15"/>
              </w:rPr>
              <w:t xml:space="preserve">The sample size was estimated from the University of Tokyo's own retrospective cohort, in which the ablation patients had larger and more numerous tumours than the trial's, which the authors offer as the explanation for the better-than-expected control arm</w:t>
            </w:r>
          </w:p>
          <w:p>
            <w:pPr>
              <w:pStyle w:val="ListParagraph"/>
              <w:numPr>
                <w:ilvl w:val="0"/>
                <w:numId w:val="2"/>
              </w:numPr>
              <w:spacing w:after="45"/>
            </w:pPr>
            <w:r>
              <w:rPr>
                <w:sz w:val="15"/>
                <w:szCs w:val="15"/>
              </w:rPr>
              <w:t xml:space="preserve">Technical details of both surgery and ablation were left unspecified in the protocol and curability by surgery therefore varied across the 49 institutions, which the authors state</w:t>
            </w:r>
          </w:p>
          <w:p>
            <w:pPr>
              <w:pStyle w:val="ListParagraph"/>
              <w:numPr>
                <w:ilvl w:val="0"/>
                <w:numId w:val="2"/>
              </w:numPr>
              <w:spacing w:after="45"/>
            </w:pPr>
            <w:r>
              <w:rPr>
                <w:sz w:val="15"/>
                <w:szCs w:val="15"/>
              </w:rPr>
              <w:t xml:space="preserve">About 15 percent of patients in each arm were lost to follow-up after moving hospital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Only 308 of 1,090 eligible patients were randomised because 778 declined, so the trial population is the 28 percent of patients genuinely indifferent between an operation and a needle, and two thirds of the accrual (197 of 308) came from 9 of the 49 centres with no centre-level analysis reported</w:t>
            </w:r>
          </w:p>
          <w:p>
            <w:pPr>
              <w:pStyle w:val="ListParagraph"/>
              <w:numPr>
                <w:ilvl w:val="0"/>
                <w:numId w:val="2"/>
              </w:numPr>
              <w:spacing w:after="45"/>
            </w:pPr>
            <w:r>
              <w:rPr>
                <w:sz w:val="15"/>
                <w:szCs w:val="15"/>
              </w:rPr>
              <w:t xml:space="preserve">The protocol explicitly accepted RECICL grade TE4b, complete response without an adequate ablative margin, as a successful ablation, which licenses the under-treatment that then shows up as doubled local recurrence; the paper lists the absence of a margin standard as a limitation without connecting it to its own success criterion</w:t>
            </w:r>
          </w:p>
          <w:p>
            <w:pPr>
              <w:pStyle w:val="ListParagraph"/>
              <w:numPr>
                <w:ilvl w:val="0"/>
                <w:numId w:val="2"/>
              </w:numPr>
              <w:spacing w:after="45"/>
            </w:pPr>
            <w:r>
              <w:rPr>
                <w:sz w:val="15"/>
                <w:szCs w:val="15"/>
              </w:rPr>
              <w:t xml:space="preserve">The Methods state that post-treatment complications were not collected, and the trial accordingly reports zero adverse events in 151 ablations and five in 150 resections with a median 17-day stay and 285 mL blood loss, so the safety comparison is uninformative in both directions rather than favourable to ablation</w:t>
            </w:r>
          </w:p>
          <w:p>
            <w:pPr>
              <w:pStyle w:val="ListParagraph"/>
              <w:numPr>
                <w:ilvl w:val="0"/>
                <w:numId w:val="2"/>
              </w:numPr>
              <w:spacing w:after="45"/>
            </w:pPr>
            <w:r>
              <w:rPr>
                <w:sz w:val="15"/>
                <w:szCs w:val="15"/>
              </w:rPr>
              <w:t xml:space="preserve">Histological confirmation was available in 131 of 150 surgical patients but only 30 of 151 ablation patients, with tumour differentiation unknown in 121 of 151 (80 percent) of the ablation arm, so one arm's diagnosis and grade were verified and the other's were not</w:t>
            </w:r>
          </w:p>
          <w:p>
            <w:pPr>
              <w:pStyle w:val="ListParagraph"/>
              <w:numPr>
                <w:ilvl w:val="0"/>
                <w:numId w:val="2"/>
              </w:numPr>
              <w:spacing w:after="45"/>
            </w:pPr>
            <w:r>
              <w:rPr>
                <w:sz w:val="15"/>
                <w:szCs w:val="15"/>
              </w:rPr>
              <w:t xml:space="preserve">The local recurrence comparison, 12 of 82 (15 percent) against 24 of 86 (28 percent), p = 0.07, is computed with ascertainment missing in 4 surgical and 1 ablation patient (and liver or extrahepatic recurrence missing in several more), with the greater missingness in the arm that looks better, and the counts in Table 3 do not sum to their stated denominators</w:t>
            </w:r>
          </w:p>
          <w:p>
            <w:pPr>
              <w:pStyle w:val="ListParagraph"/>
              <w:numPr>
                <w:ilvl w:val="0"/>
                <w:numId w:val="2"/>
              </w:numPr>
              <w:spacing w:after="45"/>
            </w:pPr>
            <w:r>
              <w:rPr>
                <w:sz w:val="15"/>
                <w:szCs w:val="15"/>
              </w:rPr>
              <w:t xml:space="preserve">The paper reports three different sample sizes for three different assumed effects (285 per group for 10 points, 123 per group for 15 points, then a plan to enrol 300 per group for a minimum 10-point difference) against a registered target of 600, so the design's own power target is not internally consistent</w:t>
            </w:r>
          </w:p>
          <w:p>
            <w:pPr>
              <w:pStyle w:val="ListParagraph"/>
              <w:numPr>
                <w:ilvl w:val="0"/>
                <w:numId w:val="2"/>
              </w:numPr>
              <w:spacing w:after="45"/>
            </w:pPr>
            <w:r>
              <w:rPr>
                <w:sz w:val="15"/>
                <w:szCs w:val="15"/>
              </w:rPr>
              <w:t xml:space="preserve">The conditional power of under 8 percent is computed assuming the observed hazard ratio and so, like the trial's conclusion, presupposes the null; the authors also justify the early stop by asserting the result would have been the same with the full sample because the curves already overlapped</w:t>
            </w:r>
          </w:p>
          <w:p>
            <w:pPr>
              <w:pStyle w:val="ListParagraph"/>
              <w:numPr>
                <w:ilvl w:val="0"/>
                <w:numId w:val="2"/>
              </w:numPr>
              <w:spacing w:after="45"/>
            </w:pPr>
            <w:r>
              <w:rPr>
                <w:sz w:val="15"/>
                <w:szCs w:val="15"/>
              </w:rPr>
              <w:t xml:space="preserve">The two co-primary endpoints are reported separately, recurrence-free survival here and overall survival years later, with no multiplicity adjustment described in this report</w:t>
            </w:r>
          </w:p>
          <w:p>
            <w:pPr>
              <w:pStyle w:val="ListParagraph"/>
              <w:numPr>
                <w:ilvl w:val="0"/>
                <w:numId w:val="2"/>
              </w:numPr>
              <w:spacing w:after="45"/>
            </w:pPr>
            <w:r>
              <w:rPr>
                <w:sz w:val="15"/>
                <w:szCs w:val="15"/>
              </w:rPr>
              <w:t xml:space="preserve">The surgical arm had better 3-year recurrence-free survival (54.6 versus 50.5 percent) but worse 5-year (42.7 versus 43.8 percent), so the curves cross; proportional hazards are described as confirmed but no test or diagnostic is reported</w:t>
            </w:r>
          </w:p>
          <w:p>
            <w:pPr>
              <w:pStyle w:val="ListParagraph"/>
              <w:numPr>
                <w:ilvl w:val="0"/>
                <w:numId w:val="2"/>
              </w:numPr>
              <w:spacing w:after="45"/>
            </w:pPr>
            <w:r>
              <w:rPr>
                <w:sz w:val="15"/>
                <w:szCs w:val="15"/>
              </w:rPr>
              <w:t xml:space="preserve">Fifteen percent of patients per arm were lost to follow-up after transferring hospital, yet the authors state outcomes were obtained with the support of the receiving hospitals, which is both unverifiable and inconsistent with counting those patients as lost</w:t>
            </w:r>
          </w:p>
          <w:p>
            <w:pPr>
              <w:pStyle w:val="ListParagraph"/>
              <w:numPr>
                <w:ilvl w:val="0"/>
                <w:numId w:val="2"/>
              </w:numPr>
              <w:spacing w:after="45"/>
            </w:pPr>
            <w:r>
              <w:rPr>
                <w:sz w:val="15"/>
                <w:szCs w:val="15"/>
              </w:rPr>
              <w:t xml:space="preserve">Seven patients were excluded after registration and eight never received their allocated treatment, yet the analysis of 150 and 151 is described as intention to treat without a sensitivity analysis that keeps them in</w:t>
            </w:r>
          </w:p>
          <w:p>
            <w:pPr>
              <w:pStyle w:val="ListParagraph"/>
              <w:numPr>
                <w:ilvl w:val="0"/>
                <w:numId w:val="2"/>
              </w:numPr>
              <w:spacing w:after="45"/>
            </w:pPr>
            <w:r>
              <w:rPr>
                <w:sz w:val="15"/>
                <w:szCs w:val="15"/>
              </w:rPr>
              <w:t xml:space="preserve">The protocol did not require indocyanine green clearance, MELD or the presence of portal hypertension, so in a trial whose entire premise is the cost of removing parenchyma, liver function beyond a Child-Pugh score of 7 or less is unrecorded</w:t>
            </w:r>
          </w:p>
          <w:p>
            <w:pPr>
              <w:pStyle w:val="ListParagraph"/>
              <w:numPr>
                <w:ilvl w:val="0"/>
                <w:numId w:val="2"/>
              </w:numPr>
              <w:spacing w:after="45"/>
            </w:pPr>
            <w:r>
              <w:rPr>
                <w:sz w:val="15"/>
                <w:szCs w:val="15"/>
              </w:rPr>
              <w:t xml:space="preserve">The Study Design section states the trial ran in 118 institutions while the abstract and Results give 49, a discrepancy the paper never reconciles</w:t>
            </w:r>
          </w:p>
          <w:p>
            <w:pPr>
              <w:pStyle w:val="ListParagraph"/>
              <w:numPr>
                <w:ilvl w:val="0"/>
                <w:numId w:val="2"/>
              </w:numPr>
              <w:spacing w:after="45"/>
            </w:pPr>
            <w:r>
              <w:rPr>
                <w:sz w:val="15"/>
                <w:szCs w:val="15"/>
              </w:rPr>
              <w:t xml:space="preserve">The trial was published in Liver Cancer, whose editor-in-chief, two associate editors and an editorial board member are among its authors, and the individual patient data are not available because data sharing was not in the protocol</w:t>
            </w:r>
          </w:p>
        </w:tc>
      </w:tr>
    </w:tbl>
    <w:p>
      <w:pPr>
        <w:spacing w:after="0" w:line="276"/>
      </w:pPr>
      <w:r>
        <w:rPr>
          <w:color w:val="5A6069"/>
          <w:sz w:val="14"/>
          <w:szCs w:val="14"/>
        </w:rPr>
        <w:t xml:space="preserve">Funding: Supported by the Japanese Foundation for Multidisciplinary Treatment of Cancer and Health and Labour Sciences Research Grant for Clinical Cancer Research H21-015; numerous authors report lecture fees, research funding and advisory roles with Eisai, Bayer, MSD, Chugai and others, and four authors are the editor-in-chief, two associate editors and an editorial board member of the journal that published the trial</w:t>
      </w:r>
    </w:p>
    <w:p>
      <w:pPr>
        <w:keepNext/>
        <w:spacing w:after="50" w:before="260"/>
      </w:pPr>
      <w:r>
        <w:rPr>
          <w:rFonts w:ascii="Cambria" w:cs="Cambria" w:eastAsia="Cambria" w:hAnsi="Cambria"/>
          <w:b/>
          <w:bCs/>
          <w:color w:val="17365D"/>
          <w:sz w:val="20"/>
          <w:szCs w:val="20"/>
        </w:rPr>
        <w:t xml:space="preserve">Surveillance RCT</w:t>
      </w:r>
      <w:r>
        <w:rPr>
          <w:b/>
          <w:bCs/>
          <w:color w:val="176A87"/>
          <w:sz w:val="15"/>
          <w:szCs w:val="15"/>
        </w:rPr>
        <w:t xml:space="preserve">   Randomised trial</w:t>
      </w:r>
      <w:r>
        <w:rPr>
          <w:color w:val="5A6069"/>
          <w:sz w:val="15"/>
          <w:szCs w:val="15"/>
        </w:rPr>
        <w:t xml:space="preserve">   PMID 15042359</w:t>
      </w:r>
    </w:p>
    <w:p>
      <w:pPr>
        <w:spacing w:after="50" w:line="276"/>
      </w:pPr>
      <w:r>
        <w:rPr>
          <w:color w:val="5A6069"/>
          <w:sz w:val="17"/>
          <w:szCs w:val="17"/>
        </w:rPr>
        <w:t xml:space="preserve">Randomized controlled trial of screening for hepatocellular carcinoma</w:t>
      </w:r>
    </w:p>
    <w:p>
      <w:pPr>
        <w:spacing w:after="50"/>
      </w:pPr>
      <w:r>
        <w:rPr>
          <w:b/>
          <w:bCs/>
          <w:color w:val="176A87"/>
          <w:sz w:val="16"/>
          <w:szCs w:val="16"/>
        </w:rPr>
        <w:t xml:space="preserve">Population. </w:t>
      </w:r>
      <w:r>
        <w:rPr>
          <w:sz w:val="16"/>
          <w:szCs w:val="16"/>
        </w:rPr>
        <w:t xml:space="preserve">18,816 people aged 35 to 59 with serological evidence of hepatitis B infection or a history of chronic hepatitis, recruited from more than 300 factories, enterprises and schools in urban Shanghai between January 1993 and December 1995 and cluster-allocated to 6-monthly alpha-fetoprotein and ultrasound screening (9,757 allocated, 9,373 analysed) or no screening (9,443); cirrhosis was neither required nor excluded</w:t>
      </w:r>
    </w:p>
    <w:p>
      <w:pPr>
        <w:spacing w:after="70"/>
      </w:pPr>
      <w:r>
        <w:rPr>
          <w:b/>
          <w:bCs/>
          <w:color w:val="17365D"/>
          <w:sz w:val="16"/>
          <w:szCs w:val="16"/>
        </w:rPr>
        <w:t xml:space="preserve">Bottom line. </w:t>
      </w:r>
      <w:r>
        <w:rPr>
          <w:sz w:val="16"/>
          <w:szCs w:val="16"/>
        </w:rPr>
        <w:t xml:space="preserve">The single randomised trial behind the recommendation for 6-monthly HCC surveillance, reporting a 37 percent reduction in HCC mortality with screening (83.2 against 131.5 per 100,000). Allocation was by cluster but the analysis treated individuals as independent, 384 people who refused were removed from the screening arm after allocation, and all-cause mortality was never reported.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Compliance with screening was only 58.2 percent</w:t>
            </w:r>
          </w:p>
          <w:p>
            <w:pPr>
              <w:pStyle w:val="ListParagraph"/>
              <w:numPr>
                <w:ilvl w:val="0"/>
                <w:numId w:val="2"/>
              </w:numPr>
              <w:spacing w:after="45"/>
            </w:pPr>
            <w:r>
              <w:rPr>
                <w:sz w:val="15"/>
                <w:szCs w:val="15"/>
              </w:rPr>
              <w:t xml:space="preserve">The higher crude incidence in the screened arm points to over-diagnosis, which the authors acknowledge</w:t>
            </w:r>
          </w:p>
          <w:p>
            <w:pPr>
              <w:pStyle w:val="ListParagraph"/>
              <w:numPr>
                <w:ilvl w:val="0"/>
                <w:numId w:val="2"/>
              </w:numPr>
              <w:spacing w:after="45"/>
            </w:pPr>
            <w:r>
              <w:rPr>
                <w:sz w:val="15"/>
                <w:szCs w:val="15"/>
              </w:rPr>
              <w:t xml:space="preserve">The authors estimate a lead time of about 0.5 years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Allocation was by cluster, with whole factories, schools and enterprises assigned together, but the analysis treated individuals as independent observations; an independent reanalysis calculated that the mortality difference would almost certainly have been non-significant had the clustering been accounted for</w:t>
            </w:r>
          </w:p>
          <w:p>
            <w:pPr>
              <w:pStyle w:val="ListParagraph"/>
              <w:numPr>
                <w:ilvl w:val="0"/>
                <w:numId w:val="2"/>
              </w:numPr>
              <w:spacing w:after="45"/>
            </w:pPr>
            <w:r>
              <w:rPr>
                <w:sz w:val="15"/>
                <w:szCs w:val="15"/>
              </w:rPr>
              <w:t xml:space="preserve">384 of the 9,757 people allocated to screening were removed after randomisation because they refused, so the analysis is not intention to treat despite the paper's claim, and every exclusion is on the intervention side</w:t>
            </w:r>
          </w:p>
          <w:p>
            <w:pPr>
              <w:pStyle w:val="ListParagraph"/>
              <w:numPr>
                <w:ilvl w:val="0"/>
                <w:numId w:val="2"/>
              </w:numPr>
              <w:spacing w:after="45"/>
            </w:pPr>
            <w:r>
              <w:rPr>
                <w:sz w:val="15"/>
                <w:szCs w:val="15"/>
              </w:rPr>
              <w:t xml:space="preserve">Only HCC deaths were counted and all-cause mortality was never reported, so neither harm from screening and the surgery it leads to nor misattribution of cause of death can be excluded, and the standard safeguard against disease-specific mortality bias is absent</w:t>
            </w:r>
          </w:p>
          <w:p>
            <w:pPr>
              <w:pStyle w:val="ListParagraph"/>
              <w:numPr>
                <w:ilvl w:val="0"/>
                <w:numId w:val="2"/>
              </w:numPr>
              <w:spacing w:after="45"/>
            </w:pPr>
            <w:r>
              <w:rPr>
                <w:sz w:val="15"/>
                <w:szCs w:val="15"/>
              </w:rPr>
              <w:t xml:space="preserve">The screened arm's crude incidence was 37 percent higher than the control arm's, which is the signature of over-diagnosis, and the paper offers no analysis of how much of the mortality difference that could generate</w:t>
            </w:r>
          </w:p>
          <w:p>
            <w:pPr>
              <w:pStyle w:val="ListParagraph"/>
              <w:numPr>
                <w:ilvl w:val="0"/>
                <w:numId w:val="2"/>
              </w:numPr>
              <w:spacing w:after="45"/>
            </w:pPr>
            <w:r>
              <w:rPr>
                <w:sz w:val="15"/>
                <w:szCs w:val="15"/>
              </w:rPr>
              <w:t xml:space="preserve">Survival comparisons between the arms are timed from diagnosis, which is lead-time biased by construction, and the authors' own estimated lead time of about half a year is of the same order as the survival differences reported</w:t>
            </w:r>
          </w:p>
          <w:p>
            <w:pPr>
              <w:pStyle w:val="ListParagraph"/>
              <w:numPr>
                <w:ilvl w:val="0"/>
                <w:numId w:val="2"/>
              </w:numPr>
              <w:spacing w:after="45"/>
            </w:pPr>
            <w:r>
              <w:rPr>
                <w:sz w:val="15"/>
                <w:szCs w:val="15"/>
              </w:rPr>
              <w:t xml:space="preserve">The population is hepatitis B carriers and people with past hepatitis aged 35 to 59 in Shanghai, mostly without documented cirrhosis and screened with alpha-fetoprotein as a co-test, so it maps poorly onto a Western cirrhotic ultrasound surveillance cohort in whom alpha-fetoprotein is no longer recommended as a screening test</w:t>
            </w:r>
          </w:p>
          <w:p>
            <w:pPr>
              <w:pStyle w:val="ListParagraph"/>
              <w:numPr>
                <w:ilvl w:val="0"/>
                <w:numId w:val="2"/>
              </w:numPr>
              <w:spacing w:after="45"/>
            </w:pPr>
            <w:r>
              <w:rPr>
                <w:sz w:val="15"/>
                <w:szCs w:val="15"/>
              </w:rPr>
              <w:t xml:space="preserve">Treatment of screen-detected cancers was resection in a pre-BCLC era with no transplantation or ablation pathway, so the mortality benefit depends on a treatment algorithm that no longer exists</w:t>
            </w:r>
          </w:p>
          <w:p>
            <w:pPr>
              <w:pStyle w:val="ListParagraph"/>
              <w:numPr>
                <w:ilvl w:val="0"/>
                <w:numId w:val="2"/>
              </w:numPr>
              <w:spacing w:after="45"/>
            </w:pPr>
            <w:r>
              <w:rPr>
                <w:sz w:val="15"/>
                <w:szCs w:val="15"/>
              </w:rPr>
              <w:t xml:space="preserve">The paper's own figures disagree: the narrative gives the stage III split as 22 (25.6 percent) against 45 (62.9 percent) while the table gives 22 against 42 (62.7 percent), and resection in controls is 5 (7.5 percent) in the table against 7.8 percent in the text</w:t>
            </w:r>
          </w:p>
          <w:p>
            <w:pPr>
              <w:pStyle w:val="ListParagraph"/>
              <w:numPr>
                <w:ilvl w:val="0"/>
                <w:numId w:val="2"/>
              </w:numPr>
              <w:spacing w:after="45"/>
            </w:pPr>
            <w:r>
              <w:rPr>
                <w:sz w:val="15"/>
                <w:szCs w:val="15"/>
              </w:rPr>
              <w:t xml:space="preserve">Compliance of 58.2 percent means that the measured effect is that of offering screening to a workplace population, and the paper presents no per-protocol or compliance-adjusted estimate alongside it</w:t>
            </w:r>
          </w:p>
        </w:tc>
      </w:tr>
    </w:tbl>
    <w:p>
      <w:pPr>
        <w:spacing w:after="0" w:line="276"/>
      </w:pPr>
      <w:r>
        <w:rPr>
          <w:color w:val="5A6069"/>
          <w:sz w:val="14"/>
          <w:szCs w:val="14"/>
        </w:rPr>
        <w:t xml:space="preserve">Funding: No funding statement; the trial predates registries and has no registration number</w:t>
      </w:r>
    </w:p>
    <w:p>
      <w:pPr>
        <w:keepNext/>
        <w:spacing w:after="50" w:before="260"/>
      </w:pPr>
      <w:r>
        <w:rPr>
          <w:rFonts w:ascii="Cambria" w:cs="Cambria" w:eastAsia="Cambria" w:hAnsi="Cambria"/>
          <w:b/>
          <w:bCs/>
          <w:color w:val="17365D"/>
          <w:sz w:val="20"/>
          <w:szCs w:val="20"/>
        </w:rPr>
        <w:t xml:space="preserve">TACE + EBRT</w:t>
      </w:r>
      <w:r>
        <w:rPr>
          <w:b/>
          <w:bCs/>
          <w:color w:val="176A87"/>
          <w:sz w:val="15"/>
          <w:szCs w:val="15"/>
        </w:rPr>
        <w:t xml:space="preserve">   Randomised trial</w:t>
      </w:r>
      <w:r>
        <w:rPr>
          <w:color w:val="5A6069"/>
          <w:sz w:val="15"/>
          <w:szCs w:val="15"/>
        </w:rPr>
        <w:t xml:space="preserve">   PMID 29543938</w:t>
      </w:r>
    </w:p>
    <w:p>
      <w:pPr>
        <w:spacing w:after="50" w:line="276"/>
      </w:pPr>
      <w:r>
        <w:rPr>
          <w:color w:val="5A6069"/>
          <w:sz w:val="17"/>
          <w:szCs w:val="17"/>
        </w:rPr>
        <w:t xml:space="preserve">Efficacy and Safety of Transarterial Chemoembolization Plus External Beam Radiotherapy vs Sorafenib in Hepatocellular Carcinoma With Macroscopic Vascular Invasion: A Randomized Clinical Trial</w:t>
      </w:r>
    </w:p>
    <w:p>
      <w:pPr>
        <w:spacing w:after="50"/>
      </w:pPr>
      <w:r>
        <w:rPr>
          <w:b/>
          <w:bCs/>
          <w:color w:val="176A87"/>
          <w:sz w:val="16"/>
          <w:szCs w:val="16"/>
        </w:rPr>
        <w:t xml:space="preserve">Population. </w:t>
      </w:r>
      <w:r>
        <w:rPr>
          <w:sz w:val="16"/>
          <w:szCs w:val="16"/>
        </w:rPr>
        <w:t xml:space="preserve">90 treatment-naive patients with liver-confined HCC invading at least the first- or second-branch portal vein with preserved unilateral portal flow, Child-Pugh A and ECOG 0 to 1, randomised 1:1 at Asan Medical Center, Seoul between July 2013 and October 2016 to sorafenib (45) or chemoembolisation every 6 weeks plus 3D-conformal radiotherapy to the vascular invasion (45); median maximal tumour diameter was 9.7 cm, 78.9 percent had multiple lesions and 84.4 percent had hepatitis B</w:t>
      </w:r>
    </w:p>
    <w:p>
      <w:pPr>
        <w:spacing w:after="70"/>
      </w:pPr>
      <w:r>
        <w:rPr>
          <w:b/>
          <w:bCs/>
          <w:color w:val="17365D"/>
          <w:sz w:val="16"/>
          <w:szCs w:val="16"/>
        </w:rPr>
        <w:t xml:space="preserve">Bottom line. </w:t>
      </w:r>
      <w:r>
        <w:rPr>
          <w:sz w:val="16"/>
          <w:szCs w:val="16"/>
        </w:rPr>
        <w:t xml:space="preserve">A single-centre randomised trial showing that chemoembolisation plus conformal radiotherapy to the portal invasion beats sorafenib on 12-week progression-free survival (86.7 against 34.3 percent) and on median overall survival (55.0 against 43.0 weeks). The primary endpoint is a 12-week surrogate judged without blinding, 90.7 percent of the sorafenib arm crossed over within 24 weeks so the survival comparison is of two sequences, and the sorafenib arm underperformed its own historical benchmarks.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Open-label design without blinded response assessment, which the authors state was not feasible because imaging appearances differ after the two treatments</w:t>
            </w:r>
          </w:p>
          <w:p>
            <w:pPr>
              <w:pStyle w:val="ListParagraph"/>
              <w:numPr>
                <w:ilvl w:val="0"/>
                <w:numId w:val="2"/>
              </w:numPr>
              <w:spacing w:after="45"/>
            </w:pPr>
            <w:r>
              <w:rPr>
                <w:sz w:val="15"/>
                <w:szCs w:val="15"/>
              </w:rPr>
              <w:t xml:space="preserve">A hepatitis B-predominant population, which the authors acknowledge limits generalisability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Median time to progression on sorafenib was only 11.7 weeks, shorter than in either pivotal sorafenib trial, so the control arm may have underperformed; 84.4 percent of patients had hepatitis B, a group in which sorafenib outcomes are less favourable</w:t>
            </w:r>
          </w:p>
          <w:p>
            <w:pPr>
              <w:pStyle w:val="ListParagraph"/>
              <w:numPr>
                <w:ilvl w:val="0"/>
                <w:numId w:val="2"/>
              </w:numPr>
              <w:spacing w:after="45"/>
            </w:pPr>
            <w:r>
              <w:rPr>
                <w:sz w:val="15"/>
                <w:szCs w:val="15"/>
              </w:rPr>
              <w:t xml:space="preserve">Overall survival is a secondary endpoint whose upper confidence limit reaches 0.98, and 90.7 percent of the sorafenib arm crossed over to chemoembolisation plus radiotherapy within 24 weeks, so the survival comparison contrasts immediate with deferred locoregional therapy rather than two treatments</w:t>
            </w:r>
          </w:p>
          <w:p>
            <w:pPr>
              <w:pStyle w:val="ListParagraph"/>
              <w:numPr>
                <w:ilvl w:val="0"/>
                <w:numId w:val="2"/>
              </w:numPr>
              <w:spacing w:after="45"/>
            </w:pPr>
            <w:r>
              <w:rPr>
                <w:sz w:val="15"/>
                <w:szCs w:val="15"/>
              </w:rPr>
              <w:t xml:space="preserve">The primary endpoint is a 12-week progression-free survival rate, a short-term surrogate, assessed open-label by the treating centre in a comparison where the post-treatment appearances differ systematically between arms</w:t>
            </w:r>
          </w:p>
          <w:p>
            <w:pPr>
              <w:pStyle w:val="ListParagraph"/>
              <w:numPr>
                <w:ilvl w:val="0"/>
                <w:numId w:val="2"/>
              </w:numPr>
              <w:spacing w:after="45"/>
            </w:pPr>
            <w:r>
              <w:rPr>
                <w:sz w:val="15"/>
                <w:szCs w:val="15"/>
              </w:rPr>
              <w:t xml:space="preserve">The proportion of patients with cirrhosis is never reported, which is the variable that determines whether repeated chemoembolisation plus 45 Gy is safe in another unit's hands, as the accompanying commentary points out</w:t>
            </w:r>
          </w:p>
          <w:p>
            <w:pPr>
              <w:pStyle w:val="ListParagraph"/>
              <w:numPr>
                <w:ilvl w:val="0"/>
                <w:numId w:val="2"/>
              </w:numPr>
              <w:spacing w:after="45"/>
            </w:pPr>
            <w:r>
              <w:rPr>
                <w:sz w:val="15"/>
                <w:szCs w:val="15"/>
              </w:rPr>
              <w:t xml:space="preserve">The protocol is hard to export: cisplatin-based chemoembolisation on a fixed 6-week schedule with gelatin sponge omitted at operator discretion, a median of four sessions in 24 weeks, and a median of 40 Gy in 2.5 to 3.0 Gy fractions by 3D-conformal technique rather than contemporary stereotactic radiotherapy</w:t>
            </w:r>
          </w:p>
          <w:p>
            <w:pPr>
              <w:pStyle w:val="ListParagraph"/>
              <w:numPr>
                <w:ilvl w:val="0"/>
                <w:numId w:val="2"/>
              </w:numPr>
              <w:spacing w:after="45"/>
            </w:pPr>
            <w:r>
              <w:rPr>
                <w:sz w:val="15"/>
                <w:szCs w:val="15"/>
              </w:rPr>
              <w:t xml:space="preserve">The intervention is a two-component regimen and the trial cannot say what each contributes, so the result cannot be read as evidence for radiotherapy or for chemoembolisation separately in portal vein invasion</w:t>
            </w:r>
          </w:p>
          <w:p>
            <w:pPr>
              <w:pStyle w:val="ListParagraph"/>
              <w:numPr>
                <w:ilvl w:val="0"/>
                <w:numId w:val="2"/>
              </w:numPr>
              <w:spacing w:after="45"/>
            </w:pPr>
            <w:r>
              <w:rPr>
                <w:sz w:val="15"/>
                <w:szCs w:val="15"/>
              </w:rPr>
              <w:t xml:space="preserve">Ninety patients at one centre in a population with a median tumour of 9.7 cm and multifocal disease in 79 percent is too small to support the aggressive strategy the trial advocates for patients whose liver is already heavily burdened</w:t>
            </w:r>
          </w:p>
          <w:p>
            <w:pPr>
              <w:pStyle w:val="ListParagraph"/>
              <w:numPr>
                <w:ilvl w:val="0"/>
                <w:numId w:val="2"/>
              </w:numPr>
              <w:spacing w:after="45"/>
            </w:pPr>
            <w:r>
              <w:rPr>
                <w:sz w:val="15"/>
                <w:szCs w:val="15"/>
              </w:rPr>
              <w:t xml:space="preserve">The comparator is no longer first-line, so the trial cannot address whether this regimen should be added to or substituted for an immunotherapy combination in macrovascular invasion</w:t>
            </w:r>
          </w:p>
          <w:p>
            <w:pPr>
              <w:pStyle w:val="ListParagraph"/>
              <w:numPr>
                <w:ilvl w:val="0"/>
                <w:numId w:val="2"/>
              </w:numPr>
              <w:spacing w:after="45"/>
            </w:pPr>
            <w:r>
              <w:rPr>
                <w:sz w:val="15"/>
                <w:szCs w:val="15"/>
              </w:rPr>
              <w:t xml:space="preserve">Patients with main portal vein invasion and preserved flow only on one side were eligible, so the irradiated volume and the embolised territory varied with anatomy in ways the paper does not relate to outcome</w:t>
            </w:r>
          </w:p>
        </w:tc>
      </w:tr>
    </w:tbl>
    <w:p>
      <w:pPr>
        <w:spacing w:after="0" w:line="276"/>
      </w:pPr>
      <w:r>
        <w:rPr>
          <w:color w:val="5A6069"/>
          <w:sz w:val="14"/>
          <w:szCs w:val="14"/>
        </w:rPr>
        <w:t xml:space="preserve">Funding: Publicly and institutionally funded; one author declares advisory and research funding from Bayer, the manufacturer of the comparator drug, and from Gilead</w:t>
      </w:r>
    </w:p>
    <w:p>
      <w:pPr>
        <w:keepNext/>
        <w:spacing w:after="50" w:before="260"/>
      </w:pPr>
      <w:r>
        <w:rPr>
          <w:rFonts w:ascii="Cambria" w:cs="Cambria" w:eastAsia="Cambria" w:hAnsi="Cambria"/>
          <w:b/>
          <w:bCs/>
          <w:color w:val="17365D"/>
          <w:sz w:val="20"/>
          <w:szCs w:val="20"/>
        </w:rPr>
        <w:t xml:space="preserve">TRACE</w:t>
      </w:r>
      <w:r>
        <w:rPr>
          <w:b/>
          <w:bCs/>
          <w:color w:val="176A87"/>
          <w:sz w:val="15"/>
          <w:szCs w:val="15"/>
        </w:rPr>
        <w:t xml:space="preserve">   Randomised trial</w:t>
      </w:r>
      <w:r>
        <w:rPr>
          <w:color w:val="5A6069"/>
          <w:sz w:val="15"/>
          <w:szCs w:val="15"/>
        </w:rPr>
        <w:t xml:space="preserve">   PMID 35258371</w:t>
      </w:r>
    </w:p>
    <w:p>
      <w:pPr>
        <w:spacing w:after="50" w:line="276"/>
      </w:pPr>
      <w:r>
        <w:rPr>
          <w:color w:val="5A6069"/>
          <w:sz w:val="17"/>
          <w:szCs w:val="17"/>
        </w:rPr>
        <w:t xml:space="preserve">90Y Radioembolization versus Drug-eluting Bead Chemoembolization for Unresectable Hepatocellular Carcinoma: Results from the TRACE Phase II Randomized Controlled Trial</w:t>
      </w:r>
    </w:p>
    <w:p>
      <w:pPr>
        <w:spacing w:after="50"/>
      </w:pPr>
      <w:r>
        <w:rPr>
          <w:b/>
          <w:bCs/>
          <w:color w:val="176A87"/>
          <w:sz w:val="16"/>
          <w:szCs w:val="16"/>
        </w:rPr>
        <w:t xml:space="preserve">Population. </w:t>
      </w:r>
      <w:r>
        <w:rPr>
          <w:sz w:val="16"/>
          <w:szCs w:val="16"/>
        </w:rPr>
        <w:t xml:space="preserve">72 of 487 screened patients with BCLC B HCC, extended during the trial to non-surgical BCLC A disease and to ECOG 1 or Child-Pugh 7, allocated by minimisation at Ghent University Hospital between September 2011 and March 2018 to Y-90 glass microsphere radioembolisation (38) or doxorubicin drug-eluting bead chemoembolisation (34); 61 of 72 were BCLC B, 65 of 72 Child-Pugh A and about 70 percent had alcohol-related liver disease</w:t>
      </w:r>
    </w:p>
    <w:p>
      <w:pPr>
        <w:spacing w:after="70"/>
      </w:pPr>
      <w:r>
        <w:rPr>
          <w:b/>
          <w:bCs/>
          <w:color w:val="17365D"/>
          <w:sz w:val="16"/>
          <w:szCs w:val="16"/>
        </w:rPr>
        <w:t xml:space="preserve">Bottom line. </w:t>
      </w:r>
      <w:r>
        <w:rPr>
          <w:sz w:val="16"/>
          <w:szCs w:val="16"/>
        </w:rPr>
        <w:t xml:space="preserve">TRACE found a much longer time to progression (17.1 against 9.5 months) and a doubling of median overall survival (30.2 against 15.6 months) with radioembolisation compared with drug-eluting bead chemoembolisation. It was stopped at a planned interim analysis with 72 of 136 planned patients at a single centre with local unblinded imaging assessment, the control arm was pushed to five sessions of up to 150 mg doxorubicin and suffered three septic deaths, and the two arms treated quite different volumes of liver.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Slow participant accrual required the eligibility criteria to be widened to non-surgical BCLC A disease, which the authors state</w:t>
            </w:r>
          </w:p>
          <w:p>
            <w:pPr>
              <w:pStyle w:val="ListParagraph"/>
              <w:numPr>
                <w:ilvl w:val="0"/>
                <w:numId w:val="2"/>
              </w:numPr>
              <w:spacing w:after="45"/>
            </w:pPr>
            <w:r>
              <w:rPr>
                <w:sz w:val="15"/>
                <w:szCs w:val="15"/>
              </w:rPr>
              <w:t xml:space="preserve">The trial did not apply the personalised dosimetry recommended by expert guidelines released in 2020, which the authors say may have limited the result</w:t>
            </w:r>
          </w:p>
          <w:p>
            <w:pPr>
              <w:pStyle w:val="ListParagraph"/>
              <w:numPr>
                <w:ilvl w:val="0"/>
                <w:numId w:val="2"/>
              </w:numPr>
              <w:spacing w:after="45"/>
            </w:pPr>
            <w:r>
              <w:rPr>
                <w:sz w:val="15"/>
                <w:szCs w:val="15"/>
              </w:rPr>
              <w:t xml:space="preserve">The authors call for a phase 3 trial to confirm the finding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stopped at a planned interim analysis with 72 of the 136 patients needed, and trials stopped early for benefit systematically overstate effect size, so both the time-to-progression and the survival hazard ratios are likely exaggerated; the observed doubling of median survival is larger than any other randomised comparison of these two modalities has produced</w:t>
            </w:r>
          </w:p>
          <w:p>
            <w:pPr>
              <w:pStyle w:val="ListParagraph"/>
              <w:numPr>
                <w:ilvl w:val="0"/>
                <w:numId w:val="2"/>
              </w:numPr>
              <w:spacing w:after="45"/>
            </w:pPr>
            <w:r>
              <w:rPr>
                <w:sz w:val="15"/>
                <w:szCs w:val="15"/>
              </w:rPr>
              <w:t xml:space="preserve">The control arm may have been harmed rather than the experimental arm helped: the protocol pushed drug-eluting bead chemoembolisation to five sessions with up to 150 mg of doxorubicin each, and the chemoembolisation arm had five grade 5 events including three septic deaths judged definitely treatment-related against one death after radioembolisation</w:t>
            </w:r>
          </w:p>
          <w:p>
            <w:pPr>
              <w:pStyle w:val="ListParagraph"/>
              <w:numPr>
                <w:ilvl w:val="0"/>
                <w:numId w:val="2"/>
              </w:numPr>
              <w:spacing w:after="45"/>
            </w:pPr>
            <w:r>
              <w:rPr>
                <w:sz w:val="15"/>
                <w:szCs w:val="15"/>
              </w:rPr>
              <w:t xml:space="preserve">The two arms treated different volumes of liver: radioembolisation was lobar or whole-liver in 26 of 33 patients (79 percent) while chemoembolisation was superselective in 29 of 36, so the comparison includes a difference in treated peritumoral parenchyma that the authors themselves identify as the probable mechanism of the local-control difference</w:t>
            </w:r>
          </w:p>
          <w:p>
            <w:pPr>
              <w:pStyle w:val="ListParagraph"/>
              <w:numPr>
                <w:ilvl w:val="0"/>
                <w:numId w:val="2"/>
              </w:numPr>
              <w:spacing w:after="45"/>
            </w:pPr>
            <w:r>
              <w:rPr>
                <w:sz w:val="15"/>
                <w:szCs w:val="15"/>
              </w:rPr>
              <w:t xml:space="preserve">Follow-up was unbalanced at a median of 28 months after radioembolisation against 15.6 months after chemoembolisation, and transplantation after downstaging was also unbalanced at 10 against 4 patients; censoring for transplant narrowed but did not remove the survival gap</w:t>
            </w:r>
          </w:p>
          <w:p>
            <w:pPr>
              <w:pStyle w:val="ListParagraph"/>
              <w:numPr>
                <w:ilvl w:val="0"/>
                <w:numId w:val="2"/>
              </w:numPr>
              <w:spacing w:after="45"/>
            </w:pPr>
            <w:r>
              <w:rPr>
                <w:sz w:val="15"/>
                <w:szCs w:val="15"/>
              </w:rPr>
              <w:t xml:space="preserve">Progression was judged locally by the treating team under mRECIST with no blinded central review, in an open-label single-centre trial conducted by one operator group</w:t>
            </w:r>
          </w:p>
          <w:p>
            <w:pPr>
              <w:pStyle w:val="ListParagraph"/>
              <w:numPr>
                <w:ilvl w:val="0"/>
                <w:numId w:val="2"/>
              </w:numPr>
              <w:spacing w:after="45"/>
            </w:pPr>
            <w:r>
              <w:rPr>
                <w:sz w:val="15"/>
                <w:szCs w:val="15"/>
              </w:rPr>
              <w:t xml:space="preserve">The safety population matches neither randomised arm, counting 33 radioembolisation patients (including one treated outside the trial) and 36 chemoembolisation patients (including two who crossed over after incompatible scintigraphy), so the safety and efficacy denominators differ and the crossovers move events between arms</w:t>
            </w:r>
          </w:p>
          <w:p>
            <w:pPr>
              <w:pStyle w:val="ListParagraph"/>
              <w:numPr>
                <w:ilvl w:val="0"/>
                <w:numId w:val="2"/>
              </w:numPr>
              <w:spacing w:after="45"/>
            </w:pPr>
            <w:r>
              <w:rPr>
                <w:sz w:val="15"/>
                <w:szCs w:val="15"/>
              </w:rPr>
              <w:t xml:space="preserve">Entry criteria were widened mid-trial to recruit, producing a mixed early and intermediate population with alcohol-related disease in about 70 percent, so the result does not map onto the BCLC B population for which chemoembolisation is the guideline standard</w:t>
            </w:r>
          </w:p>
          <w:p>
            <w:pPr>
              <w:pStyle w:val="ListParagraph"/>
              <w:numPr>
                <w:ilvl w:val="0"/>
                <w:numId w:val="2"/>
              </w:numPr>
              <w:spacing w:after="45"/>
            </w:pPr>
            <w:r>
              <w:rPr>
                <w:sz w:val="15"/>
                <w:szCs w:val="15"/>
              </w:rPr>
              <w:t xml:space="preserve">The title describes the trial as phase 2 while the text describes a superiority trial with a formal interim stopping rule, and the paper is nonetheless presented as evidence that radioembolisation should replace chemoembolisation</w:t>
            </w:r>
          </w:p>
          <w:p>
            <w:pPr>
              <w:pStyle w:val="ListParagraph"/>
              <w:numPr>
                <w:ilvl w:val="0"/>
                <w:numId w:val="2"/>
              </w:numPr>
              <w:spacing w:after="45"/>
            </w:pPr>
            <w:r>
              <w:rPr>
                <w:sz w:val="15"/>
                <w:szCs w:val="15"/>
              </w:rPr>
              <w:t xml:space="preserve">Standard rather than personalised dosimetry was used at 120 Gy to the treated volume, so a trial whose conclusion favours radioembolisation also undersells it by the standard its own authors invoke</w:t>
            </w:r>
          </w:p>
          <w:p>
            <w:pPr>
              <w:pStyle w:val="ListParagraph"/>
              <w:numPr>
                <w:ilvl w:val="0"/>
                <w:numId w:val="2"/>
              </w:numPr>
              <w:spacing w:after="45"/>
            </w:pPr>
            <w:r>
              <w:rPr>
                <w:sz w:val="15"/>
                <w:szCs w:val="15"/>
              </w:rPr>
              <w:t xml:space="preserve">Unit symbols and inequality signs are corrupted throughout the published text, with micrometres printed as millimoles and bilirubin thresholds in the exclusion criteria printed in different units from the same variable in the baseline table</w:t>
            </w:r>
          </w:p>
        </w:tc>
      </w:tr>
    </w:tbl>
    <w:p>
      <w:pPr>
        <w:spacing w:after="0" w:line="276"/>
      </w:pPr>
      <w:r>
        <w:rPr>
          <w:color w:val="5A6069"/>
          <w:sz w:val="14"/>
          <w:szCs w:val="14"/>
        </w:rPr>
        <w:t xml:space="preserve">Funding: No funding source is identified and no author declared any relevant relationship</w:t>
      </w:r>
    </w:p>
    <w:p>
      <w:pPr>
        <w:keepNext/>
        <w:spacing w:after="50" w:before="260"/>
      </w:pPr>
      <w:r>
        <w:rPr>
          <w:rFonts w:ascii="Cambria" w:cs="Cambria" w:eastAsia="Cambria" w:hAnsi="Cambria"/>
          <w:b/>
          <w:bCs/>
          <w:color w:val="17365D"/>
          <w:sz w:val="20"/>
          <w:szCs w:val="20"/>
        </w:rPr>
        <w:t xml:space="preserve">Xia RCT</w:t>
      </w:r>
      <w:r>
        <w:rPr>
          <w:b/>
          <w:bCs/>
          <w:color w:val="176A87"/>
          <w:sz w:val="15"/>
          <w:szCs w:val="15"/>
        </w:rPr>
        <w:t xml:space="preserve">   Randomised trial</w:t>
      </w:r>
      <w:r>
        <w:rPr>
          <w:color w:val="5A6069"/>
          <w:sz w:val="15"/>
          <w:szCs w:val="15"/>
        </w:rPr>
        <w:t xml:space="preserve">   PMID 31774468</w:t>
      </w:r>
    </w:p>
    <w:p>
      <w:pPr>
        <w:spacing w:after="50" w:line="276"/>
      </w:pPr>
      <w:r>
        <w:rPr>
          <w:color w:val="5A6069"/>
          <w:sz w:val="17"/>
          <w:szCs w:val="17"/>
        </w:rPr>
        <w:t xml:space="preserve">Long-term Effects of Repeat Hepatectomy vs Percutaneous Radiofrequency Ablation Among Patients With Recurrent Hepatocellular Carcinoma: A Randomized Clinical Trial</w:t>
      </w:r>
    </w:p>
    <w:p>
      <w:pPr>
        <w:spacing w:after="50"/>
      </w:pPr>
      <w:r>
        <w:rPr>
          <w:b/>
          <w:bCs/>
          <w:color w:val="176A87"/>
          <w:sz w:val="16"/>
          <w:szCs w:val="16"/>
        </w:rPr>
        <w:t xml:space="preserve">Population. </w:t>
      </w:r>
      <w:r>
        <w:rPr>
          <w:sz w:val="16"/>
          <w:szCs w:val="16"/>
        </w:rPr>
        <w:t xml:space="preserve">240 of 518 screened patients aged 20 to 60 with early-stage recurrent HCC after a previous R0 resection (solitary nodule 5 cm or less, or up to 3 nodules each 3 cm or less), randomised 1:1 at the Eastern Hepatobiliary Surgery Hospital in Shanghai between June 2010 and January 2013; 216 of 240 (90 percent) were men and 217 completed the trial</w:t>
      </w:r>
    </w:p>
    <w:p>
      <w:pPr>
        <w:spacing w:after="70"/>
      </w:pPr>
      <w:r>
        <w:rPr>
          <w:b/>
          <w:bCs/>
          <w:color w:val="17365D"/>
          <w:sz w:val="16"/>
          <w:szCs w:val="16"/>
        </w:rPr>
        <w:t xml:space="preserve">Bottom line. </w:t>
      </w:r>
      <w:r>
        <w:rPr>
          <w:sz w:val="16"/>
          <w:szCs w:val="16"/>
        </w:rPr>
        <w:t xml:space="preserve">The only randomised comparison of repeat hepatectomy with percutaneous ablation for recurrent HCC: 5-year overall survival was 43.6 versus 38.5 percent (HR 1.26, 95% CI 0.91 to 1.76, p = 0.17) with no significant difference, but local repeat recurrence was 21.7 versus 37.8 percent and complications 22.4 versus 7.3 percent. The confidence interval admits a 76 percent higher mortality with ablation, the two subgroup findings the paper is cited for are unadjusted and rest on 50 patients with a nodule above 3 cm, and the eligibility rules excluded every anatomical site where ablation fails.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 institution with an open-label design, which the authors acknowledge leaves residual bias</w:t>
            </w:r>
          </w:p>
          <w:p>
            <w:pPr>
              <w:pStyle w:val="ListParagraph"/>
              <w:numPr>
                <w:ilvl w:val="0"/>
                <w:numId w:val="2"/>
              </w:numPr>
              <w:spacing w:after="45"/>
            </w:pPr>
            <w:r>
              <w:rPr>
                <w:sz w:val="15"/>
                <w:szCs w:val="15"/>
              </w:rPr>
              <w:t xml:space="preserve">The subgroup analyses were not adjusted for multiple testing and may be false-positive, as the authors state</w:t>
            </w:r>
          </w:p>
          <w:p>
            <w:pPr>
              <w:pStyle w:val="ListParagraph"/>
              <w:numPr>
                <w:ilvl w:val="0"/>
                <w:numId w:val="2"/>
              </w:numPr>
              <w:spacing w:after="45"/>
            </w:pPr>
            <w:r>
              <w:rPr>
                <w:sz w:val="15"/>
                <w:szCs w:val="15"/>
              </w:rPr>
              <w:t xml:space="preserve">Nearly all patients had hepatitis B-related disease, which the authors note limits generalisability</w:t>
            </w:r>
          </w:p>
          <w:p>
            <w:pPr>
              <w:pStyle w:val="ListParagraph"/>
              <w:numPr>
                <w:ilvl w:val="0"/>
                <w:numId w:val="2"/>
              </w:numPr>
              <w:spacing w:after="45"/>
            </w:pPr>
            <w:r>
              <w:rPr>
                <w:sz w:val="15"/>
                <w:szCs w:val="15"/>
              </w:rPr>
              <w:t xml:space="preserve">Repeat hepatectomy was open, and the authors call for a comparison against laparoscopic repeat hepatectomy, which has not been studied</w:t>
            </w:r>
          </w:p>
          <w:p>
            <w:pPr>
              <w:pStyle w:val="ListParagraph"/>
              <w:numPr>
                <w:ilvl w:val="0"/>
                <w:numId w:val="2"/>
              </w:numPr>
              <w:spacing w:after="45"/>
            </w:pPr>
            <w:r>
              <w:rPr>
                <w:sz w:val="15"/>
                <w:szCs w:val="15"/>
              </w:rPr>
              <w:t xml:space="preserve">The authors note that a short time to recurrence is associated with recurrence arising from the original tumour rather than de novo, which they could not separate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powered against a surgical result that did not exist: the calculation assumed 5-year survival of 56 percent after repeat hepatectomy and 39 percent after ablation, and the observed figures were 43.6 and 38.5 percent, so the ablation assumption was accurate and the surgical one was 12 points too optimistic</w:t>
            </w:r>
          </w:p>
          <w:p>
            <w:pPr>
              <w:pStyle w:val="ListParagraph"/>
              <w:numPr>
                <w:ilvl w:val="0"/>
                <w:numId w:val="2"/>
              </w:numPr>
              <w:spacing w:after="45"/>
            </w:pPr>
            <w:r>
              <w:rPr>
                <w:sz w:val="15"/>
                <w:szCs w:val="15"/>
              </w:rPr>
              <w:t xml:space="preserve">A hazard ratio of 1.26 with a confidence interval from 0.91 to 1.76 in 240 patients and 140 deaths excludes neither equivalence nor a substantial surgical advantage, yet the title, Key Points and conclusion present the result as no difference in survival</w:t>
            </w:r>
          </w:p>
          <w:p>
            <w:pPr>
              <w:pStyle w:val="ListParagraph"/>
              <w:numPr>
                <w:ilvl w:val="0"/>
                <w:numId w:val="2"/>
              </w:numPr>
              <w:spacing w:after="45"/>
            </w:pPr>
            <w:r>
              <w:rPr>
                <w:sz w:val="15"/>
                <w:szCs w:val="15"/>
              </w:rPr>
              <w:t xml:space="preserve">The primary endpoint is analysed six times in different populations (intention to treat p = 0.17, excluding additional anticancer treatment p = 0.24, minor hepatectomy only p = 0.20, per protocol p = 0.10, and z tests on the 5-year rates p = 0.291 and p = 0.25) with no hierarchy or multiplicity control stated</w:t>
            </w:r>
          </w:p>
          <w:p>
            <w:pPr>
              <w:pStyle w:val="ListParagraph"/>
              <w:numPr>
                <w:ilvl w:val="0"/>
                <w:numId w:val="2"/>
              </w:numPr>
              <w:spacing w:after="45"/>
            </w:pPr>
            <w:r>
              <w:rPr>
                <w:sz w:val="15"/>
                <w:szCs w:val="15"/>
              </w:rPr>
              <w:t xml:space="preserve">The only significant efficacy result in the paper, per-protocol 5-year repeat recurrence-free survival of 36.4 against 28.2 percent (p = 0.04), appears in a supplementary figure and is obtained by removing the crossovers and the patients lost to follow-up from an intention-to-treat comparison that gave p = 0.09</w:t>
            </w:r>
          </w:p>
          <w:p>
            <w:pPr>
              <w:pStyle w:val="ListParagraph"/>
              <w:numPr>
                <w:ilvl w:val="0"/>
                <w:numId w:val="2"/>
              </w:numPr>
              <w:spacing w:after="45"/>
            </w:pPr>
            <w:r>
              <w:rPr>
                <w:sz w:val="15"/>
                <w:szCs w:val="15"/>
              </w:rPr>
              <w:t xml:space="preserve">The subgroup variables were chosen from the independent risk factors identified in the trial's own multivariable model, so the variables were selected after seeing which predicted outcome in these data; no interaction test is reported, only 50 of 240 patients had a nodule above 3 cm, and a published correction was required in January 2020 to fix errors in the subgroup forest plot that carries the paper's practical message</w:t>
            </w:r>
          </w:p>
          <w:p>
            <w:pPr>
              <w:pStyle w:val="ListParagraph"/>
              <w:numPr>
                <w:ilvl w:val="0"/>
                <w:numId w:val="2"/>
              </w:numPr>
              <w:spacing w:after="45"/>
            </w:pPr>
            <w:r>
              <w:rPr>
                <w:sz w:val="15"/>
                <w:szCs w:val="15"/>
              </w:rPr>
              <w:t xml:space="preserve">Eligibility excluded any nodule within 1.0 cm of the gastrointestinal tract, hilum, cava, main hepatic veins, gallbladder or diaphragm, which removes every location in which ablation is known to fail, and ablation still produced nearly twice the local recurrence in that favourable anatomy</w:t>
            </w:r>
          </w:p>
          <w:p>
            <w:pPr>
              <w:pStyle w:val="ListParagraph"/>
              <w:numPr>
                <w:ilvl w:val="0"/>
                <w:numId w:val="2"/>
              </w:numPr>
              <w:spacing w:after="45"/>
            </w:pPr>
            <w:r>
              <w:rPr>
                <w:sz w:val="15"/>
                <w:szCs w:val="15"/>
              </w:rPr>
              <w:t xml:space="preserve">Both arms worked to a 0.5 cm margin standard, below the margin usually recommended for either technique, and 99 of 120 surgical patients had less than a bisegmentectomy, so the surgical arm is mostly limited open resection rather than anatomical re-resection</w:t>
            </w:r>
          </w:p>
          <w:p>
            <w:pPr>
              <w:pStyle w:val="ListParagraph"/>
              <w:numPr>
                <w:ilvl w:val="0"/>
                <w:numId w:val="2"/>
              </w:numPr>
              <w:spacing w:after="45"/>
            </w:pPr>
            <w:r>
              <w:rPr>
                <w:sz w:val="15"/>
                <w:szCs w:val="15"/>
              </w:rPr>
              <w:t xml:space="preserve">Safety is analysed as treated on 116 surgical and 124 ablation patients, different denominators from the efficacy analysis, and the surgical safety group contains one patient who received only intraoperative ablation and two who had resection plus intratumoral ethanol</w:t>
            </w:r>
          </w:p>
          <w:p>
            <w:pPr>
              <w:pStyle w:val="ListParagraph"/>
              <w:numPr>
                <w:ilvl w:val="0"/>
                <w:numId w:val="2"/>
              </w:numPr>
              <w:spacing w:after="45"/>
            </w:pPr>
            <w:r>
              <w:rPr>
                <w:sz w:val="15"/>
                <w:szCs w:val="15"/>
              </w:rPr>
              <w:t xml:space="preserve">Grade 3 or 4 complications were 6.0 against 1.6 percent with p = 0.09, so the severe-complication difference is not significant and the headline 22.4 against 7.3 percent is driven by Clavien-Dindo grade 1 and 2 events that the abstract reports only as a composite</w:t>
            </w:r>
          </w:p>
          <w:p>
            <w:pPr>
              <w:pStyle w:val="ListParagraph"/>
              <w:numPr>
                <w:ilvl w:val="0"/>
                <w:numId w:val="2"/>
              </w:numPr>
              <w:spacing w:after="45"/>
            </w:pPr>
            <w:r>
              <w:rPr>
                <w:sz w:val="15"/>
                <w:szCs w:val="15"/>
              </w:rPr>
              <w:t xml:space="preserve">The cohort is narrow in ways that remove the patients for whom the question is hardest: age capped at 60 with a median of 53, Child-Pugh A with no varices or ascites, platelets above 50 and prothrombin prolongation under 5 seconds, 90 percent male and almost entirely hepatitis B</w:t>
            </w:r>
          </w:p>
          <w:p>
            <w:pPr>
              <w:pStyle w:val="ListParagraph"/>
              <w:numPr>
                <w:ilvl w:val="0"/>
                <w:numId w:val="2"/>
              </w:numPr>
              <w:spacing w:after="45"/>
            </w:pPr>
            <w:r>
              <w:rPr>
                <w:sz w:val="15"/>
                <w:szCs w:val="15"/>
              </w:rPr>
              <w:t xml:space="preserve">Local repeat recurrence, the key secondary endpoint, is defined as disease within 1 cm of the ablation zone or the re-resection margin and was adjudicated by an unmasked treating team on imaging performed only every 4 to 6 months, which is also too coarse for the 12-month early-versus-late recurrence cut-point used as another secondary endpoint</w:t>
            </w:r>
          </w:p>
          <w:p>
            <w:pPr>
              <w:pStyle w:val="ListParagraph"/>
              <w:numPr>
                <w:ilvl w:val="0"/>
                <w:numId w:val="2"/>
              </w:numPr>
              <w:spacing w:after="45"/>
            </w:pPr>
            <w:r>
              <w:rPr>
                <w:sz w:val="15"/>
                <w:szCs w:val="15"/>
              </w:rPr>
              <w:t xml:space="preserve">Recurrence after treatment was managed at clinician discretion and 38 of 73 surgical and 51 of 77 ablation patients received multidisciplinary salvage, so overall survival reflects an unrandomised salvage pathway that was used more often in the ablation arm</w:t>
            </w:r>
          </w:p>
          <w:p>
            <w:pPr>
              <w:pStyle w:val="ListParagraph"/>
              <w:numPr>
                <w:ilvl w:val="0"/>
                <w:numId w:val="2"/>
              </w:numPr>
              <w:spacing w:after="45"/>
            </w:pPr>
            <w:r>
              <w:rPr>
                <w:sz w:val="15"/>
                <w:szCs w:val="15"/>
              </w:rPr>
              <w:t xml:space="preserve">Every patient had already undergone an R0 resection with no residual disease at 2 months, so the trial compares second treatments among patients already proven fit for surgery, and salvage transplantation is not considered anywhere</w:t>
            </w:r>
          </w:p>
          <w:p>
            <w:pPr>
              <w:pStyle w:val="ListParagraph"/>
              <w:numPr>
                <w:ilvl w:val="0"/>
                <w:numId w:val="2"/>
              </w:numPr>
              <w:spacing w:after="45"/>
            </w:pPr>
            <w:r>
              <w:rPr>
                <w:sz w:val="15"/>
                <w:szCs w:val="15"/>
              </w:rPr>
              <w:t xml:space="preserve">The trial was run at the highest-volume liver surgery unit in China with its own national liver cancer centre, so the 22.4 percent complication rate, the absence of perioperative death and the 8-day stay represent the best case for reoperation rather than a transferable estimate</w:t>
            </w:r>
          </w:p>
        </w:tc>
      </w:tr>
    </w:tbl>
    <w:p>
      <w:pPr>
        <w:spacing w:after="0" w:line="276"/>
      </w:pPr>
      <w:r>
        <w:rPr>
          <w:color w:val="5A6069"/>
          <w:sz w:val="14"/>
          <w:szCs w:val="14"/>
        </w:rPr>
        <w:t xml:space="preserve">Funding: Government-funded; the authors declare no conflicts of interest</w:t>
      </w:r>
    </w:p>
    <w:p>
      <w:pPr>
        <w:keepNext/>
        <w:spacing w:after="50" w:before="260"/>
      </w:pPr>
      <w:r>
        <w:rPr>
          <w:rFonts w:ascii="Cambria" w:cs="Cambria" w:eastAsia="Cambria" w:hAnsi="Cambria"/>
          <w:b/>
          <w:bCs/>
          <w:color w:val="17365D"/>
          <w:sz w:val="20"/>
          <w:szCs w:val="20"/>
        </w:rPr>
        <w:t xml:space="preserve">XXL trial</w:t>
      </w:r>
      <w:r>
        <w:rPr>
          <w:b/>
          <w:bCs/>
          <w:color w:val="176A87"/>
          <w:sz w:val="15"/>
          <w:szCs w:val="15"/>
        </w:rPr>
        <w:t xml:space="preserve">   Randomised trial</w:t>
      </w:r>
      <w:r>
        <w:rPr>
          <w:color w:val="5A6069"/>
          <w:sz w:val="15"/>
          <w:szCs w:val="15"/>
        </w:rPr>
        <w:t xml:space="preserve">   PMID 32615109</w:t>
      </w:r>
    </w:p>
    <w:p>
      <w:pPr>
        <w:spacing w:after="50" w:line="276"/>
      </w:pPr>
      <w:r>
        <w:rPr>
          <w:color w:val="5A6069"/>
          <w:sz w:val="17"/>
          <w:szCs w:val="17"/>
        </w:rPr>
        <w:t xml:space="preserve">Liver transplantation in hepatocellular carcinoma after tumour downstaging (XXL): a randomised, controlled, phase 2b/3 trial</w:t>
      </w:r>
    </w:p>
    <w:p>
      <w:pPr>
        <w:spacing w:after="50"/>
      </w:pPr>
      <w:r>
        <w:rPr>
          <w:b/>
          <w:bCs/>
          <w:color w:val="176A87"/>
          <w:sz w:val="16"/>
          <w:szCs w:val="16"/>
        </w:rPr>
        <w:t xml:space="preserve">Population. </w:t>
      </w:r>
      <w:r>
        <w:rPr>
          <w:sz w:val="16"/>
          <w:szCs w:val="16"/>
        </w:rPr>
        <w:t xml:space="preserve">74 patients with HCC beyond Milan criteria and at least 50 percent predicted 5-year post-transplant survival on the Metroticket calculator enrolled at 9 Italian centres between March 2011 and March 2015; 54 (73 percent) were successfully downstaged and 45 randomised, 23 to transplantation (21 actually transplanted) and 22 to non-transplant therapy</w:t>
      </w:r>
    </w:p>
    <w:p>
      <w:pPr>
        <w:spacing w:after="70"/>
      </w:pPr>
      <w:r>
        <w:rPr>
          <w:b/>
          <w:bCs/>
          <w:color w:val="17365D"/>
          <w:sz w:val="16"/>
          <w:szCs w:val="16"/>
        </w:rPr>
        <w:t xml:space="preserve">Bottom line. </w:t>
      </w:r>
      <w:r>
        <w:rPr>
          <w:sz w:val="16"/>
          <w:szCs w:val="16"/>
        </w:rPr>
        <w:t xml:space="preserve">The only randomised trial of transplantation after downstaging: among 45 patients with a sustained mRECIST response, 5-year overall survival was 77.5 percent with transplantation versus 31.2 percent with continued non-transplant therapy (HR 0.22, 95% CI 0.08 to 0.61), a mean survival gain of 14.5 months. It was stopped at 45 of 260 planned patients with 21 of 87 planned deaths, the control arm received only sorafenib-era therapy and was treated only on progression, and explant pathology showed tumour burden back near baseline, so it shows that a graft beats 2011-2015 palliation in a highly selected 61 percent of enrolled patients rather than that downstaging identifies favourable biology.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 national change in graft allocation policy and HCC priorities during accrual forced the trial to close at 45 of the planned 260 patients, which the authors state limits the strength of the conclusion</w:t>
            </w:r>
          </w:p>
          <w:p>
            <w:pPr>
              <w:pStyle w:val="ListParagraph"/>
              <w:numPr>
                <w:ilvl w:val="0"/>
                <w:numId w:val="2"/>
              </w:numPr>
              <w:spacing w:after="45"/>
            </w:pPr>
            <w:r>
              <w:rPr>
                <w:sz w:val="15"/>
                <w:szCs w:val="15"/>
              </w:rPr>
              <w:t xml:space="preserve">The authors acknowledge heterogeneity of the applied downstaging protocols, since therapy and schedule were centre-based and unrestricted</w:t>
            </w:r>
          </w:p>
          <w:p>
            <w:pPr>
              <w:pStyle w:val="ListParagraph"/>
              <w:numPr>
                <w:ilvl w:val="0"/>
                <w:numId w:val="2"/>
              </w:numPr>
              <w:spacing w:after="45"/>
            </w:pPr>
            <w:r>
              <w:rPr>
                <w:sz w:val="15"/>
                <w:szCs w:val="15"/>
              </w:rPr>
              <w:t xml:space="preserve">The authors state that predictability of downstaging success was beyond the scope of the study and would need specific protocols, particularly in hepatitis C</w:t>
            </w:r>
          </w:p>
          <w:p>
            <w:pPr>
              <w:pStyle w:val="ListParagraph"/>
              <w:numPr>
                <w:ilvl w:val="0"/>
                <w:numId w:val="2"/>
              </w:numPr>
              <w:spacing w:after="45"/>
            </w:pPr>
            <w:r>
              <w:rPr>
                <w:sz w:val="15"/>
                <w:szCs w:val="15"/>
              </w:rPr>
              <w:t xml:space="preserve">Explant pathology showed a tendency to tumour re-growth even after radiological complete response, which the authors report and attribute to the time to transplantation</w:t>
            </w:r>
          </w:p>
          <w:p>
            <w:pPr>
              <w:pStyle w:val="ListParagraph"/>
              <w:numPr>
                <w:ilvl w:val="0"/>
                <w:numId w:val="2"/>
              </w:numPr>
              <w:spacing w:after="45"/>
            </w:pPr>
            <w:r>
              <w:rPr>
                <w:sz w:val="15"/>
                <w:szCs w:val="15"/>
              </w:rPr>
              <w:t xml:space="preserve">The authors note that transarterial chemoembolisation rarely achieves cure despite radiological complete response, since only 2 of the 4 non-recurring controls were cured and both had ablation or resection</w:t>
            </w:r>
          </w:p>
          <w:p>
            <w:pPr>
              <w:pStyle w:val="ListParagraph"/>
              <w:numPr>
                <w:ilvl w:val="0"/>
                <w:numId w:val="2"/>
              </w:numPr>
              <w:spacing w:after="45"/>
            </w:pPr>
            <w:r>
              <w:rPr>
                <w:sz w:val="15"/>
                <w:szCs w:val="15"/>
              </w:rPr>
              <w:t xml:space="preserve">The subgroup difference in survival benefit between partial and complete responders is reported by the authors as not significant at the 5 percent level (p for interaction 0.105)</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conditional power of 98.6 percent is a projection, not evidence: it is the probability that significance would persist if the observed HR of 0.22 attenuated only to the planned 0.50 across a hypothetical further 215 patients, so it assumes the answer and cannot substitute for the 65 deaths that were never observed</w:t>
            </w:r>
          </w:p>
          <w:p>
            <w:pPr>
              <w:pStyle w:val="ListParagraph"/>
              <w:numPr>
                <w:ilvl w:val="0"/>
                <w:numId w:val="2"/>
              </w:numPr>
              <w:spacing w:after="45"/>
            </w:pPr>
            <w:r>
              <w:rPr>
                <w:sz w:val="15"/>
                <w:szCs w:val="15"/>
              </w:rPr>
              <w:t xml:space="preserve">The 2 patients randomised to transplantation who refused it are described as censored in the intervention group according to the intention-to-treat principle, but censoring is not intention to treat: both progressed and died at 17 and 20 months, and removing those deaths from the transplant arm inflates the only outcome the trial reports</w:t>
            </w:r>
          </w:p>
          <w:p>
            <w:pPr>
              <w:pStyle w:val="ListParagraph"/>
              <w:numPr>
                <w:ilvl w:val="0"/>
                <w:numId w:val="2"/>
              </w:numPr>
              <w:spacing w:after="45"/>
            </w:pPr>
            <w:r>
              <w:rPr>
                <w:sz w:val="15"/>
                <w:szCs w:val="15"/>
              </w:rPr>
              <w:t xml:space="preserve">Survival is counted from randomisation, so the 29 of 74 enrolled patients (39 percent) who never reached randomisation, including 22 progressions and 2 deaths during downstaging, appear in no survival analysis; the trial reports no outcome for the downstaging strategy as a whole, which is the question a clinician faces at presentation</w:t>
            </w:r>
          </w:p>
          <w:p>
            <w:pPr>
              <w:pStyle w:val="ListParagraph"/>
              <w:numPr>
                <w:ilvl w:val="0"/>
                <w:numId w:val="2"/>
              </w:numPr>
              <w:spacing w:after="45"/>
            </w:pPr>
            <w:r>
              <w:rPr>
                <w:sz w:val="15"/>
                <w:szCs w:val="15"/>
              </w:rPr>
              <w:t xml:space="preserve">The control arm was treated only at the time of progression, while standard care for intermediate-stage HCC is continued locoregional therapy; the comparison is therefore transplantation versus deferred salvage rather than transplantation versus best available therapy, and best available therapy in 2011 to 2015 meant sorafenib</w:t>
            </w:r>
          </w:p>
          <w:p>
            <w:pPr>
              <w:pStyle w:val="ListParagraph"/>
              <w:numPr>
                <w:ilvl w:val="0"/>
                <w:numId w:val="2"/>
              </w:numPr>
              <w:spacing w:after="45"/>
            </w:pPr>
            <w:r>
              <w:rPr>
                <w:sz w:val="15"/>
                <w:szCs w:val="15"/>
              </w:rPr>
              <w:t xml:space="preserve">Randomisation did not balance the key prognostic variable: residual tumour burden was significantly higher in the transplant arm (p = 0.03) and 9 percent of the transplant arm versus none of the controls were beyond Milan criteria at randomisation, in 45 patients with no adjustment for either</w:t>
            </w:r>
          </w:p>
          <w:p>
            <w:pPr>
              <w:pStyle w:val="ListParagraph"/>
              <w:numPr>
                <w:ilvl w:val="0"/>
                <w:numId w:val="2"/>
              </w:numPr>
              <w:spacing w:after="45"/>
            </w:pPr>
            <w:r>
              <w:rPr>
                <w:sz w:val="15"/>
                <w:szCs w:val="15"/>
              </w:rPr>
              <w:t xml:space="preserve">Explant pathology in the 23 transplant-arm patients showed tumour burden returning from a median of 0 at randomisation to a median of 4.8 (range 0 to 9.6), close to the enrolment median of 7.3, so most grafts went to tumours that were no longer within the criteria the randomisation was based on; the paper reports this as a non-significant trend (p = 0.158)</w:t>
            </w:r>
          </w:p>
          <w:p>
            <w:pPr>
              <w:pStyle w:val="ListParagraph"/>
              <w:numPr>
                <w:ilvl w:val="0"/>
                <w:numId w:val="2"/>
              </w:numPr>
              <w:spacing w:after="45"/>
            </w:pPr>
            <w:r>
              <w:rPr>
                <w:sz w:val="15"/>
                <w:szCs w:val="15"/>
              </w:rPr>
              <w:t xml:space="preserve">Two of the 5 deaths in the transplant arm occurred within 30 days (myocardial infarction on day 10, multiorgan failure on day 20), a 30-day mortality of 2 of 21 transplanted patients, which is never stated as an operative mortality figure in a trial whose purpose is to justify consuming grafts</w:t>
            </w:r>
          </w:p>
          <w:p>
            <w:pPr>
              <w:pStyle w:val="ListParagraph"/>
              <w:numPr>
                <w:ilvl w:val="0"/>
                <w:numId w:val="2"/>
              </w:numPr>
              <w:spacing w:after="45"/>
            </w:pPr>
            <w:r>
              <w:rPr>
                <w:sz w:val="15"/>
                <w:szCs w:val="15"/>
              </w:rPr>
              <w:t xml:space="preserve">The eligibility ceiling was a Metroticket prediction of at least 50 percent 5-year survival, a calculator derived by the senior author from a retrospective series and never validated for prospective patient selection, so the entry criterion is the investigators' own model</w:t>
            </w:r>
          </w:p>
          <w:p>
            <w:pPr>
              <w:pStyle w:val="ListParagraph"/>
              <w:numPr>
                <w:ilvl w:val="0"/>
                <w:numId w:val="2"/>
              </w:numPr>
              <w:spacing w:after="45"/>
            </w:pPr>
            <w:r>
              <w:rPr>
                <w:sz w:val="15"/>
                <w:szCs w:val="15"/>
              </w:rPr>
              <w:t xml:space="preserve">Randomisation was stratified by compliance with sorafenib during downstaging, but sorafenib was non-mandatory and 24 of 54 patients (44 percent) stopped it for intolerance or worsening liver function, so the stratification variable was unstable and the trial has no way to separate the contribution of sorafenib from that of the locoregional treatments</w:t>
            </w:r>
          </w:p>
          <w:p>
            <w:pPr>
              <w:pStyle w:val="ListParagraph"/>
              <w:numPr>
                <w:ilvl w:val="0"/>
                <w:numId w:val="2"/>
              </w:numPr>
              <w:spacing w:after="45"/>
            </w:pPr>
            <w:r>
              <w:rPr>
                <w:sz w:val="15"/>
                <w:szCs w:val="15"/>
              </w:rPr>
              <w:t xml:space="preserve">The co-primary tumour endpoint composites two different events measured differently in the two arms, recurrence after transplantation against progression of residual disease in controls, in an open-label trial with no blinded central imaging review</w:t>
            </w:r>
          </w:p>
          <w:p>
            <w:pPr>
              <w:pStyle w:val="ListParagraph"/>
              <w:numPr>
                <w:ilvl w:val="0"/>
                <w:numId w:val="2"/>
              </w:numPr>
              <w:spacing w:after="45"/>
            </w:pPr>
            <w:r>
              <w:rPr>
                <w:sz w:val="15"/>
                <w:szCs w:val="15"/>
              </w:rPr>
              <w:t xml:space="preserve">The policy proposal in the Discussion, that partially responding tumours be prioritised on the waiting list, rests on a subgroup contrast of 26.5 versus 9.9 months in mean survival benefit whose confidence interval for complete responders crosses zero (-5.5 to 25.3) and whose interaction p value is 0.105</w:t>
            </w:r>
          </w:p>
          <w:p>
            <w:pPr>
              <w:pStyle w:val="ListParagraph"/>
              <w:numPr>
                <w:ilvl w:val="0"/>
                <w:numId w:val="2"/>
              </w:numPr>
              <w:spacing w:after="45"/>
            </w:pPr>
            <w:r>
              <w:rPr>
                <w:sz w:val="15"/>
                <w:szCs w:val="15"/>
              </w:rPr>
              <w:t xml:space="preserve">Two different p values are printed for the same primary comparison, p = 0.004 for the Cox hazard ratio in the abstract and log-rank p = 0.002 in the Discussion, and the Discussion restates the effect inverted as HR 4.50 without saying so</w:t>
            </w:r>
          </w:p>
          <w:p>
            <w:pPr>
              <w:pStyle w:val="ListParagraph"/>
              <w:numPr>
                <w:ilvl w:val="0"/>
                <w:numId w:val="2"/>
              </w:numPr>
              <w:spacing w:after="45"/>
            </w:pPr>
            <w:r>
              <w:rPr>
                <w:sz w:val="15"/>
                <w:szCs w:val="15"/>
              </w:rPr>
              <w:t xml:space="preserve">There was no provision for a formal interim analysis, yet the trial was closed early on the monitoring committee's recommendation and then analysed after four further years of follow-up with the data already in hand, and no alpha adjustment is made for either the data-dependent stopping or the data-dependent analysis time</w:t>
            </w:r>
          </w:p>
          <w:p>
            <w:pPr>
              <w:pStyle w:val="ListParagraph"/>
              <w:numPr>
                <w:ilvl w:val="0"/>
                <w:numId w:val="2"/>
              </w:numPr>
              <w:spacing w:after="45"/>
            </w:pPr>
            <w:r>
              <w:rPr>
                <w:sz w:val="15"/>
                <w:szCs w:val="15"/>
              </w:rPr>
              <w:t xml:space="preserve">The grafts used were not of high quality (median donor age 69 years, range 18 to 84; median D-MELD 594; macrosteatosis of 10 percent or more in 8 of 22 livers) and the trial's own framing is the optimal use of a scarce resource, yet no analysis of what the 21 grafts cost non-cancer candidates is presented</w:t>
            </w:r>
          </w:p>
          <w:p>
            <w:pPr>
              <w:pStyle w:val="ListParagraph"/>
              <w:numPr>
                <w:ilvl w:val="0"/>
                <w:numId w:val="2"/>
              </w:numPr>
              <w:spacing w:after="45"/>
            </w:pPr>
            <w:r>
              <w:rPr>
                <w:sz w:val="15"/>
                <w:szCs w:val="15"/>
              </w:rPr>
              <w:t xml:space="preserve">The authors declare no competing interests, but the senior author wrote the Italian allocation consensus the trial cites, both Metroticket models used for eligibility and prognostication, and the adaptive-allocation proposal the conclusions advance; no intellectual conflict is disclosed</w:t>
            </w:r>
          </w:p>
        </w:tc>
      </w:tr>
    </w:tbl>
    <w:p>
      <w:pPr>
        <w:spacing w:after="0" w:line="276"/>
      </w:pPr>
      <w:r>
        <w:rPr>
          <w:color w:val="5A6069"/>
          <w:sz w:val="14"/>
          <w:szCs w:val="14"/>
        </w:rPr>
        <w:t xml:space="preserve">Funding: Investigator-initiated, funded by the Italian Ministry of Health (Finalized Research Program in Oncology RF-INT-2006-394471) and endorsed by AISF, the North Italian Transplant programme and the Italian National Transplant Centre; no industry support was requested; the authors declare no competing interests</w:t>
      </w:r>
    </w:p>
    <w:p>
      <w:pPr>
        <w:keepNext/>
        <w:spacing w:after="50" w:before="260"/>
      </w:pPr>
      <w:r>
        <w:rPr>
          <w:rFonts w:ascii="Cambria" w:cs="Cambria" w:eastAsia="Cambria" w:hAnsi="Cambria"/>
          <w:b/>
          <w:bCs/>
          <w:color w:val="17365D"/>
          <w:sz w:val="20"/>
          <w:szCs w:val="20"/>
        </w:rPr>
        <w:t xml:space="preserve">Yuan 2024 RCT</w:t>
      </w:r>
      <w:r>
        <w:rPr>
          <w:b/>
          <w:bCs/>
          <w:color w:val="176A87"/>
          <w:sz w:val="15"/>
          <w:szCs w:val="15"/>
        </w:rPr>
        <w:t xml:space="preserve">   Randomised trial</w:t>
      </w:r>
      <w:r>
        <w:rPr>
          <w:color w:val="5A6069"/>
          <w:sz w:val="15"/>
          <w:szCs w:val="15"/>
        </w:rPr>
        <w:t xml:space="preserve">   PMID 39322951</w:t>
      </w:r>
    </w:p>
    <w:p>
      <w:pPr>
        <w:spacing w:after="50" w:line="276"/>
      </w:pPr>
      <w:r>
        <w:rPr>
          <w:color w:val="5A6069"/>
          <w:sz w:val="17"/>
          <w:szCs w:val="17"/>
        </w:rPr>
        <w:t xml:space="preserve">Partial hepatectomy versus interventional treatment in patients with hepatitis B virus-related hepatocellular carcinoma and clinically significant portal hypertension: a randomized comparative clinical trial</w:t>
      </w:r>
    </w:p>
    <w:p>
      <w:pPr>
        <w:spacing w:after="50"/>
      </w:pPr>
      <w:r>
        <w:rPr>
          <w:b/>
          <w:bCs/>
          <w:color w:val="176A87"/>
          <w:sz w:val="16"/>
          <w:szCs w:val="16"/>
        </w:rPr>
        <w:t xml:space="preserve">Population. </w:t>
      </w:r>
      <w:r>
        <w:rPr>
          <w:sz w:val="16"/>
          <w:szCs w:val="16"/>
        </w:rPr>
        <w:t xml:space="preserve">160 of 2,077 screened patients with hepatitis B-related HCC within the Milan criteria, Child-Pugh A or B and clinically significant portal hypertension diagnosed by surrogate criteria, randomised 1:1 at two Guangzhou centres between December 2012 and June 2018 to partial hepatectomy (80) or interventional treatment with microwave or radiofrequency ablation with or without pre-ablation chemoembolisation (80); 98.7 and 96.2 percent were Child-Pugh A and the mean tumour diameter was 2.6 cm</w:t>
      </w:r>
    </w:p>
    <w:p>
      <w:pPr>
        <w:spacing w:after="70"/>
      </w:pPr>
      <w:r>
        <w:rPr>
          <w:b/>
          <w:bCs/>
          <w:color w:val="17365D"/>
          <w:sz w:val="16"/>
          <w:szCs w:val="16"/>
        </w:rPr>
        <w:t xml:space="preserve">Bottom line. </w:t>
      </w:r>
      <w:r>
        <w:rPr>
          <w:sz w:val="16"/>
          <w:szCs w:val="16"/>
        </w:rPr>
        <w:t xml:space="preserve">The only randomised trial to test whether portal hypertension should bar resection, finding no significant difference in overall survival between hepatectomy and ablation-based treatment (5-year 69.3 against 64.9 percent, HR 1.28). It was powered for a superiority difference that did not exist, portal pressure was never measured, nearly all patients were Child-Pugh A with a mean tumour of 2.6 cm, and the authors state that patients at risk of postoperative failure were deliberately excluded.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Portal hypertension was diagnosed by surrogate criteria rather than by hepatic venous pressure gradient, which the authors concede</w:t>
            </w:r>
          </w:p>
          <w:p>
            <w:pPr>
              <w:pStyle w:val="ListParagraph"/>
              <w:numPr>
                <w:ilvl w:val="0"/>
                <w:numId w:val="2"/>
              </w:numPr>
              <w:spacing w:after="45"/>
            </w:pPr>
            <w:r>
              <w:rPr>
                <w:sz w:val="15"/>
                <w:szCs w:val="15"/>
              </w:rPr>
              <w:t xml:space="preserve">A hepatitis B-only population at two Chinese centres limits generalisability, and the authors note that postoperative mortality is higher in other aetiologies</w:t>
            </w:r>
          </w:p>
          <w:p>
            <w:pPr>
              <w:pStyle w:val="ListParagraph"/>
              <w:numPr>
                <w:ilvl w:val="0"/>
                <w:numId w:val="2"/>
              </w:numPr>
              <w:spacing w:after="45"/>
            </w:pPr>
            <w:r>
              <w:rPr>
                <w:sz w:val="15"/>
                <w:szCs w:val="15"/>
              </w:rPr>
              <w:t xml:space="preserve">The superiority design was not met</w:t>
            </w:r>
          </w:p>
          <w:p>
            <w:pPr>
              <w:pStyle w:val="ListParagraph"/>
              <w:numPr>
                <w:ilvl w:val="0"/>
                <w:numId w:val="2"/>
              </w:numPr>
              <w:spacing w:after="45"/>
            </w:pPr>
            <w:r>
              <w:rPr>
                <w:sz w:val="15"/>
                <w:szCs w:val="15"/>
              </w:rPr>
              <w:t xml:space="preserve">The authors state that stringent exclusions were applied deliberately to keep patients at risk of postoperative liver failure and bleeding out of the trial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powered for superiority against the authors' own retrospective 5-year survival figures of 63.9 against 42.6 percent, and the control arm actually reached 64.9 percent, so with 80 patients per arm the confidence interval of 0.78 to 2.12 cannot exclude a twofold difference in either direction and the equivalence reading is an underpowered null</w:t>
            </w:r>
          </w:p>
          <w:p>
            <w:pPr>
              <w:pStyle w:val="ListParagraph"/>
              <w:numPr>
                <w:ilvl w:val="0"/>
                <w:numId w:val="2"/>
              </w:numPr>
              <w:spacing w:after="45"/>
            </w:pPr>
            <w:r>
              <w:rPr>
                <w:sz w:val="15"/>
                <w:szCs w:val="15"/>
              </w:rPr>
              <w:t xml:space="preserve">No portal pressure was measured anywhere in the trial, so a result offered against the 10 mmHg threshold that the BCLC rule rests on is anchored to a different variable entirely: platelet counts, splenomegaly, vessel calibre and varices</w:t>
            </w:r>
          </w:p>
          <w:p>
            <w:pPr>
              <w:pStyle w:val="ListParagraph"/>
              <w:numPr>
                <w:ilvl w:val="0"/>
                <w:numId w:val="2"/>
              </w:numPr>
              <w:spacing w:after="45"/>
            </w:pPr>
            <w:r>
              <w:rPr>
                <w:sz w:val="15"/>
                <w:szCs w:val="15"/>
              </w:rPr>
              <w:t xml:space="preserve">The cohort is far milder than the patients the rule is meant to protect: 98.7 and 96.2 percent Child-Pugh A, mean tumour diameter 2.6 cm, and only 20 percent with a dilated portal or splenic vein, from 2,077 patients screened to find 160</w:t>
            </w:r>
          </w:p>
          <w:p>
            <w:pPr>
              <w:pStyle w:val="ListParagraph"/>
              <w:numPr>
                <w:ilvl w:val="0"/>
                <w:numId w:val="2"/>
              </w:numPr>
              <w:spacing w:after="45"/>
            </w:pPr>
            <w:r>
              <w:rPr>
                <w:sz w:val="15"/>
                <w:szCs w:val="15"/>
              </w:rPr>
              <w:t xml:space="preserve">The authors state that exclusions were applied specifically to keep patients at risk of postoperative liver failure and bleeding out of the trial, which selects for operability and so weakens the inference that portal hypertension is not a contraindication to operating</w:t>
            </w:r>
          </w:p>
          <w:p>
            <w:pPr>
              <w:pStyle w:val="ListParagraph"/>
              <w:numPr>
                <w:ilvl w:val="0"/>
                <w:numId w:val="2"/>
              </w:numPr>
              <w:spacing w:after="45"/>
            </w:pPr>
            <w:r>
              <w:rPr>
                <w:sz w:val="15"/>
                <w:szCs w:val="15"/>
              </w:rPr>
              <w:t xml:space="preserve">The control arm is a composite of ablation alone and chemoembolisation plus ablation, so the trial compares resection with a strategy rather than with a procedure and cannot say which component matters</w:t>
            </w:r>
          </w:p>
          <w:p>
            <w:pPr>
              <w:pStyle w:val="ListParagraph"/>
              <w:numPr>
                <w:ilvl w:val="0"/>
                <w:numId w:val="2"/>
              </w:numPr>
              <w:spacing w:after="45"/>
            </w:pPr>
            <w:r>
              <w:rPr>
                <w:sz w:val="15"/>
                <w:szCs w:val="15"/>
              </w:rPr>
              <w:t xml:space="preserve">Table 2 reports the overall survival hazard ratio as 1.28 (0.77 to 2.12) while the Kaplan-Meier figure gives 1.29 (0.78 to 2.12), both with p = 0.325, so the paper's primary effect estimate appears in two versions</w:t>
            </w:r>
          </w:p>
          <w:p>
            <w:pPr>
              <w:pStyle w:val="ListParagraph"/>
              <w:numPr>
                <w:ilvl w:val="0"/>
                <w:numId w:val="2"/>
              </w:numPr>
              <w:spacing w:after="45"/>
            </w:pPr>
            <w:r>
              <w:rPr>
                <w:sz w:val="15"/>
                <w:szCs w:val="15"/>
              </w:rPr>
              <w:t xml:space="preserve">Every patient had hepatitis B at two Chinese centres with a 2012 to 2018 accrual window, so the result does not address hepatitis C, alcohol-related or metabolic cirrhosis, where the decompensation risk after resection is higher</w:t>
            </w:r>
          </w:p>
          <w:p>
            <w:pPr>
              <w:pStyle w:val="ListParagraph"/>
              <w:numPr>
                <w:ilvl w:val="0"/>
                <w:numId w:val="2"/>
              </w:numPr>
              <w:spacing w:after="45"/>
            </w:pPr>
            <w:r>
              <w:rPr>
                <w:sz w:val="15"/>
                <w:szCs w:val="15"/>
              </w:rPr>
              <w:t xml:space="preserve">The trial is open-label with survival as the primary endpoint, which protects it from assessment bias, but recurrence-free survival and the decompensation outcomes were judged by the unblinded treating teams</w:t>
            </w:r>
          </w:p>
        </w:tc>
      </w:tr>
    </w:tbl>
    <w:p>
      <w:pPr>
        <w:spacing w:after="0" w:line="276"/>
      </w:pPr>
      <w:r>
        <w:rPr>
          <w:color w:val="5A6069"/>
          <w:sz w:val="14"/>
          <w:szCs w:val="14"/>
        </w:rPr>
        <w:t xml:space="preserve">Funding: Funded by the Sun Yat-sen University Clinical Research 5010 Programme and the National Natural Science Foundation of China, with no declared competing interests</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EMERALD-1 registry — ClinicalTrials.gov NCT03778957 (EMERALD-1). Final overall-survival analysis did not demonstrate a benefit. Registry or sponsor disclosure; confirm against the peer-reviewed report before use.</w:t>
      </w:r>
    </w:p>
    <w:p>
      <w:pPr>
        <w:pStyle w:val="ListParagraph"/>
        <w:numPr>
          <w:ilvl w:val="0"/>
          <w:numId w:val="2"/>
        </w:numPr>
        <w:spacing w:after="60" w:line="268"/>
      </w:pPr>
      <w:r>
        <w:rPr>
          <w:color w:val="15181F"/>
          <w:sz w:val="16"/>
          <w:szCs w:val="16"/>
        </w:rPr>
        <w:t xml:space="preserve">LEAP-012 registry — ClinicalTrials.gov NCT04246177 (LEAP-012). Final overall-survival results posted to the registry; no overall-survival benefit demonstrated. Registry posting, not peer reviewed at the time of writing.</w:t>
      </w:r>
    </w:p>
    <w:p>
      <w:pPr>
        <w:pStyle w:val="ListParagraph"/>
        <w:numPr>
          <w:ilvl w:val="0"/>
          <w:numId w:val="2"/>
        </w:numPr>
        <w:spacing w:after="60" w:line="268"/>
      </w:pPr>
      <w:r>
        <w:rPr>
          <w:color w:val="15181F"/>
          <w:sz w:val="16"/>
          <w:szCs w:val="16"/>
        </w:rPr>
        <w:t xml:space="preserve">LI-RADS — American College of Radiology. CT/MRI LI-RADS v2018 core, CT/MRI Treatment Response Assessment v2024 (separate nonradiation and radiation algorithms), US LI-RADS Surveillance v2024.</w:t>
      </w:r>
    </w:p>
    <w:p>
      <w:pPr>
        <w:pStyle w:val="ListParagraph"/>
        <w:numPr>
          <w:ilvl w:val="0"/>
          <w:numId w:val="2"/>
        </w:numPr>
        <w:spacing w:after="60" w:line="268"/>
      </w:pPr>
      <w:r>
        <w:rPr>
          <w:color w:val="15181F"/>
          <w:sz w:val="16"/>
          <w:szCs w:val="16"/>
        </w:rPr>
        <w:t xml:space="preserve">NCCN v2.2026 — National Comprehensive Cancer Network. NCCN Clinical Practice Guidelines in Oncology: Hepatocellular Carcinoma. Version 2.2026, 14 August 2026.</w:t>
      </w:r>
    </w:p>
    <w:p>
      <w:pPr>
        <w:pStyle w:val="ListParagraph"/>
        <w:numPr>
          <w:ilvl w:val="0"/>
          <w:numId w:val="2"/>
        </w:numPr>
        <w:spacing w:after="60" w:line="268"/>
      </w:pPr>
      <w:r>
        <w:rPr>
          <w:color w:val="15181F"/>
          <w:sz w:val="16"/>
          <w:szCs w:val="16"/>
        </w:rPr>
        <w:t xml:space="preserve">Ng RCT — Ng KKC, Chok KSH, Chan ACY, et al. Randomized clinical trial of hepatic resection versus radiofrequency ablation for early-stage hepatocellular carcinoma. Br J Surg. 2017.</w:t>
      </w:r>
    </w:p>
    <w:p>
      <w:pPr>
        <w:pStyle w:val="ListParagraph"/>
        <w:numPr>
          <w:ilvl w:val="0"/>
          <w:numId w:val="2"/>
        </w:numPr>
        <w:spacing w:after="60" w:line="268"/>
      </w:pPr>
      <w:r>
        <w:rPr>
          <w:color w:val="15181F"/>
          <w:sz w:val="16"/>
          <w:szCs w:val="16"/>
        </w:rPr>
        <w:t xml:space="preserve">OPTN Policy 9 — Organ Procurement and Transplantation Network. Policy 9: allocation of livers and liver-intestines, including Policy 9.5 MELD or PELD score exceptions. HRSA. Verify the current effective version before applying any crite</w:t>
      </w:r>
    </w:p>
    <w:p>
      <w:pPr>
        <w:pStyle w:val="Heading1"/>
        <w:widowControl/>
        <w:keepNext/>
      </w:pPr>
      <w:r>
        <w:t xml:space="preserve">Treatment matrix references</w:t>
      </w:r>
    </w:p>
    <w:p>
      <w:pPr>
        <w:pStyle w:val="Heading2"/>
        <w:widowControl/>
        <w:keepNext/>
      </w:pPr>
      <w:r>
        <w:t xml:space="preserve">Revision note — balanced treatment content</w:t>
      </w:r>
    </w:p>
    <w:p>
      <w:pPr>
        <w:pStyle w:val="Normal"/>
        <w:widowControl/>
        <w:spacing w:after="120"/>
        <w:keepLines/>
      </w:pPr>
      <w:r>
        <w:t xml:space="preserve">2026-10-24 18:49 CDT. Problem: treatment detail was unevenly distributed and repeated in transplant protocols. Correction: matched, cited local and systemic matrices; retained original study critiques without extra emphasis on individual studies; harmonized systemic caveats. Rationale: compare options consistently and keep transplant eligibility separate.</w:t>
      </w:r>
    </w:p>
    <w:p>
      <w:pPr>
        <w:pStyle w:val="Heading1"/>
        <w:widowControl/>
        <w:keepNext/>
      </w:pPr>
      <w:r>
        <w:t xml:space="preserve">Revision history</w:t>
      </w:r>
    </w:p>
    <w:p>
      <w:pPr>
        <w:pStyle w:val="Normal"/>
        <w:widowControl/>
        <w:spacing w:after="120"/>
      </w:pPr>
      <w:r>
        <w:t xml:space="preserve">2026-10-25 04:38 CDT. Problem and correction: Add/update the tumor-specific systemic matrix and full-text appraisals with point-of-use source/PDF links. Preserve ordinary balanced LRT treatment of RASER/LEGACY and existing surgical context. AFP level, AFP trajectory and radiographic viability answer different questions. Repeat an unexplained result, assess liver inflammation and obtain expert review of adequate multiphasic imaging; do not label AFP-only rise radiographic progression. No empiric LRT without a target. B1.1 proposals are OPEN, not automatic delisting rules.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Sangro, Bruno; Argemi, Josepmaria; Ronot, Maxime; et al. EASL Clinical Practice Guidelines on the management of hepatocellular carcinoma. Journal of Hepatology. 2025; 82(2):315-374. </w:t>
      </w:r>
      <w:hyperlink r:id="rId424">
        <w:r>
          <w:rPr>
            <w:color w:val="0563C1"/>
            <w:u w:val="single"/>
          </w:rPr>
          <w:t>Source</w:t>
        </w:r>
      </w:hyperlink>
      <w:r>
        <w:t xml:space="preserve"> | </w:t>
      </w:r>
      <w:hyperlink r:id="rId425">
        <w:r>
          <w:rPr>
            <w:color w:val="0563C1"/>
            <w:u w:val="single"/>
          </w:rPr>
          <w:t>Full-text access</w:t>
        </w:r>
      </w:hyperlink>
    </w:p>
    <w:p>
      <w:pPr>
        <w:pStyle w:val="Normal"/>
        <w:widowControl/>
        <w:spacing w:after="120"/>
      </w:pPr>
      <w:r>
        <w:t xml:space="preserve"/>
      </w:r>
      <w:r>
        <w:t xml:space="preserve">[V16-2] Cheng, Ann-Lii; Qin, Shukui; Ikeda, Masafumi; et al. Updated efficacy and safety data from IMbrave150: Atezolizumab plus bevacizumab vs. sorafenib for unresectable hepatocellular carcinoma. Journal of Hepatology. 2022; 76(4):862-873. </w:t>
      </w:r>
      <w:hyperlink r:id="rId426">
        <w:r>
          <w:rPr>
            <w:color w:val="0563C1"/>
            <w:u w:val="single"/>
          </w:rPr>
          <w:t>Source</w:t>
        </w:r>
      </w:hyperlink>
      <w:r>
        <w:t xml:space="preserve"> | </w:t>
      </w:r>
      <w:hyperlink r:id="rId427">
        <w:r>
          <w:rPr>
            <w:color w:val="0563C1"/>
            <w:u w:val="single"/>
          </w:rPr>
          <w:t>Full-text access</w:t>
        </w:r>
      </w:hyperlink>
    </w:p>
    <w:p>
      <w:pPr>
        <w:pStyle w:val="Normal"/>
        <w:widowControl/>
        <w:spacing w:after="120"/>
      </w:pPr>
      <w:r>
        <w:t xml:space="preserve"/>
      </w:r>
      <w:r>
        <w:t xml:space="preserve">[V16-3] Genentech. Avastin bevacizumab US prescribing information. US prescribing information. 2022. </w:t>
      </w:r>
      <w:hyperlink r:id="rId428">
        <w:r>
          <w:rPr>
            <w:color w:val="0563C1"/>
            <w:u w:val="single"/>
          </w:rPr>
          <w:t>Source</w:t>
        </w:r>
      </w:hyperlink>
      <w:r>
        <w:t xml:space="preserve"> | </w:t>
      </w:r>
      <w:hyperlink r:id="rId429">
        <w:r>
          <w:rPr>
            <w:color w:val="0563C1"/>
            <w:u w:val="single"/>
          </w:rPr>
          <w:t>Full-text access</w:t>
        </w:r>
      </w:hyperlink>
    </w:p>
    <w:p>
      <w:pPr>
        <w:pStyle w:val="Normal"/>
        <w:widowControl/>
        <w:spacing w:after="120"/>
      </w:pPr>
      <w:r>
        <w:t xml:space="preserve"/>
      </w:r>
      <w:r>
        <w:t xml:space="preserve">[V16-4] Yau, Thomas; Galle, Peter R; Decaens, Thomas; et al. Nivolumab plus ipilimumab versus lenvatinib or sorafenib as first-line treatment for unresectable hepatocellular carcinoma (CheckMate 9DW): an open-label, randomised, phase 3 trial. The Lancet. 2025; 405(10492):1851-1864. </w:t>
      </w:r>
      <w:hyperlink r:id="rId430">
        <w:r>
          <w:rPr>
            <w:color w:val="0563C1"/>
            <w:u w:val="single"/>
          </w:rPr>
          <w:t>Source</w:t>
        </w:r>
      </w:hyperlink>
      <w:r>
        <w:t xml:space="preserve"> | </w:t>
      </w:r>
      <w:hyperlink r:id="rId431">
        <w:r>
          <w:rPr>
            <w:color w:val="0563C1"/>
            <w:u w:val="single"/>
          </w:rPr>
          <w:t>Full-text access</w:t>
        </w:r>
      </w:hyperlink>
    </w:p>
    <w:p>
      <w:pPr>
        <w:pStyle w:val="Normal"/>
        <w:widowControl/>
        <w:spacing w:after="120"/>
      </w:pPr>
      <w:r>
        <w:t xml:space="preserve"/>
      </w:r>
      <w:r>
        <w:t xml:space="preserve">[V16-5] Finn, Richard S.; Qin, Shukui; Ikeda, Masafumi; et al. Atezolizumab plus Bevacizumab in Unresectable Hepatocellular Carcinoma. New England Journal of Medicine. 2020; 382(20):1894-1905. </w:t>
      </w:r>
      <w:hyperlink r:id="rId432">
        <w:r>
          <w:rPr>
            <w:color w:val="0563C1"/>
            <w:u w:val="single"/>
          </w:rPr>
          <w:t>Source</w:t>
        </w:r>
      </w:hyperlink>
      <w:r>
        <w:t xml:space="preserve"> | </w:t>
      </w:r>
      <w:hyperlink r:id="rId433">
        <w:r>
          <w:rPr>
            <w:color w:val="0563C1"/>
            <w:u w:val="single"/>
          </w:rPr>
          <w:t>Full-text access</w:t>
        </w:r>
      </w:hyperlink>
    </w:p>
    <w:p>
      <w:pPr>
        <w:pStyle w:val="Normal"/>
        <w:widowControl/>
        <w:spacing w:after="120"/>
      </w:pPr>
      <w:r>
        <w:t xml:space="preserve"/>
      </w:r>
      <w:r>
        <w:t xml:space="preserve">[V16-6] Abou-Alfa, Ghassan K.; Lau, George; Kudo, Masatoshi; et al. Tremelimumab plus Durvalumab in Unresectable Hepatocellular Carcinoma. NEJM Evidence. 2022; 1(8). </w:t>
      </w:r>
      <w:hyperlink r:id="rId434">
        <w:r>
          <w:rPr>
            <w:color w:val="0563C1"/>
            <w:u w:val="single"/>
          </w:rPr>
          <w:t>Source</w:t>
        </w:r>
      </w:hyperlink>
      <w:r>
        <w:t xml:space="preserve"> | </w:t>
      </w:r>
      <w:hyperlink r:id="rId435">
        <w:r>
          <w:rPr>
            <w:color w:val="0563C1"/>
            <w:u w:val="single"/>
          </w:rPr>
          <w:t>Full-text access</w:t>
        </w:r>
      </w:hyperlink>
    </w:p>
    <w:p>
      <w:pPr>
        <w:pStyle w:val="Normal"/>
        <w:widowControl/>
        <w:spacing w:after="120"/>
      </w:pPr>
      <w:r>
        <w:t xml:space="preserve"/>
      </w:r>
      <w:r>
        <w:t xml:space="preserve">[V16-7] National Comprehensive Cancer Network. NCCN Clinical Practice Guidelines in Oncology: Hepatocellular Carcinoma, Version 2.2026 (14 August 2026). . 2026. </w:t>
      </w:r>
      <w:hyperlink r:id="rId436">
        <w:r>
          <w:rPr>
            <w:color w:val="0563C1"/>
            <w:u w:val="single"/>
          </w:rPr>
          <w:t>Source</w:t>
        </w:r>
      </w:hyperlink>
      <w:r>
        <w:t xml:space="preserve"> | </w:t>
      </w:r>
      <w:hyperlink r:id="rId437">
        <w:r>
          <w:rPr>
            <w:color w:val="0563C1"/>
            <w:u w:val="single"/>
          </w:rPr>
          <w:t>Full-text access</w:t>
        </w:r>
      </w:hyperlink>
    </w:p>
    <w:p>
      <w:pPr>
        <w:pStyle w:val="Normal"/>
        <w:widowControl/>
        <w:spacing w:after="120"/>
      </w:pPr>
      <w:r>
        <w:t xml:space="preserve"/>
      </w:r>
      <w:r>
        <w:t xml:space="preserve">[V16-8] Merck. Keytruda pembrolizumab US prescribing information. US prescribing information. 2025. </w:t>
      </w:r>
      <w:hyperlink r:id="rId438">
        <w:r>
          <w:rPr>
            <w:color w:val="0563C1"/>
            <w:u w:val="single"/>
          </w:rPr>
          <w:t>Source</w:t>
        </w:r>
      </w:hyperlink>
      <w:r>
        <w:t xml:space="preserve"> | </w:t>
      </w:r>
      <w:hyperlink r:id="rId439">
        <w:r>
          <w:rPr>
            <w:color w:val="0563C1"/>
            <w:u w:val="single"/>
          </w:rPr>
          <w:t>Full-text access</w:t>
        </w:r>
      </w:hyperlink>
    </w:p>
    <w:p>
      <w:pPr>
        <w:pStyle w:val="Normal"/>
        <w:widowControl/>
        <w:spacing w:after="120"/>
      </w:pPr>
      <w:r>
        <w:t xml:space="preserve"/>
      </w:r>
      <w:r>
        <w:t xml:space="preserve">[V16-9] Qin, Shukui; Chen, Zhendong; Fang, Weijia; et al. Pembrolizumab Versus Placebo as Second-Line Therapy in Patients From Asia With Advanced Hepatocellular Carcinoma: A Randomized, Double-Blind, Phase III Trial. Journal of Clinical Oncology. 2023; 41(7):1434-1443. </w:t>
      </w:r>
      <w:hyperlink r:id="rId440">
        <w:r>
          <w:rPr>
            <w:color w:val="0563C1"/>
            <w:u w:val="single"/>
          </w:rPr>
          <w:t>Source</w:t>
        </w:r>
      </w:hyperlink>
      <w:r>
        <w:t xml:space="preserve"> | </w:t>
      </w:r>
      <w:hyperlink r:id="rId441">
        <w:r>
          <w:rPr>
            <w:color w:val="0563C1"/>
            <w:u w:val="single"/>
          </w:rPr>
          <w:t>Full-text access</w:t>
        </w:r>
      </w:hyperlink>
    </w:p>
    <w:p>
      <w:pPr>
        <w:pStyle w:val="Normal"/>
        <w:widowControl/>
        <w:spacing w:after="120"/>
      </w:pPr>
      <w:r>
        <w:t xml:space="preserve"/>
      </w:r>
      <w:r>
        <w:t xml:space="preserve">[V16-10] Moeckli, Beat; Wassmer, Charles-Henri; El Hajji, Sofia; et al. Determining safe washout period for immune checkpoint inhibitors prior to liver transplantation: An international retrospective cohort study. Hepatology. 2025; 82(5):1122-1137. </w:t>
      </w:r>
      <w:hyperlink r:id="rId442">
        <w:r>
          <w:rPr>
            <w:color w:val="0563C1"/>
            <w:u w:val="single"/>
          </w:rPr>
          <w:t>Source</w:t>
        </w:r>
      </w:hyperlink>
      <w:r>
        <w:t xml:space="preserve"> | </w:t>
      </w:r>
      <w:hyperlink r:id="rId443">
        <w:r>
          <w:rPr>
            <w:color w:val="0563C1"/>
            <w:u w:val="single"/>
          </w:rPr>
          <w:t>Full-text access</w:t>
        </w:r>
      </w:hyperlink>
    </w:p>
    <w:p>
      <w:pPr>
        <w:pStyle w:val="Normal"/>
        <w:widowControl/>
        <w:spacing w:after="120"/>
      </w:pPr>
      <w:r>
        <w:t xml:space="preserve"/>
      </w:r>
      <w:r>
        <w:t xml:space="preserve">[V16-11] Tabrizian, Parissa; Holzner, Matthew L.; Ajmera, Veeral; et al. Intention-to-treat outcomes of patients with hepatocellular carcinoma receiving immunotherapy before liver transplant: The multicenter VITALITY study. Journal of Hepatology. 2025; 82(3):512-522. </w:t>
      </w:r>
      <w:hyperlink r:id="rId444">
        <w:r>
          <w:rPr>
            <w:color w:val="0563C1"/>
            <w:u w:val="single"/>
          </w:rPr>
          <w:t>Source</w:t>
        </w:r>
      </w:hyperlink>
      <w:r>
        <w:t xml:space="preserve"> | </w:t>
      </w:r>
      <w:hyperlink r:id="rId445">
        <w:r>
          <w:rPr>
            <w:color w:val="0563C1"/>
            <w:u w:val="single"/>
          </w:rPr>
          <w:t>Full-text access</w:t>
        </w:r>
      </w:hyperlink>
    </w:p>
    <w:p>
      <w:pPr>
        <w:pStyle w:val="Normal"/>
        <w:widowControl/>
        <w:spacing w:after="120"/>
      </w:pPr>
      <w:r>
        <w:t xml:space="preserve"/>
      </w:r>
      <w:r>
        <w:t xml:space="preserve">[V16-12] Singal, Amit G; Llovet, Josep M; Yarchoan, Mark; et al. AASLD Practice Guidance on prevention, diagnosis, and treatment of hepatocellular carcinoma. Hepatology (Baltimore, Md.). 2023; 78(6):1922-1965. </w:t>
      </w:r>
      <w:hyperlink r:id="rId446">
        <w:r>
          <w:rPr>
            <w:color w:val="0563C1"/>
            <w:u w:val="single"/>
          </w:rPr>
          <w:t>Source</w:t>
        </w:r>
      </w:hyperlink>
      <w:r>
        <w:t xml:space="preserve"> | </w:t>
      </w:r>
      <w:hyperlink r:id="rId447">
        <w:r>
          <w:rPr>
            <w:color w:val="0563C1"/>
            <w:u w:val="single"/>
          </w:rPr>
          <w:t>Full-text access</w:t>
        </w:r>
      </w:hyperlink>
    </w:p>
    <w:p>
      <w:pPr>
        <w:pStyle w:val="Normal"/>
        <w:widowControl/>
        <w:spacing w:after="120"/>
      </w:pPr>
      <w:r>
        <w:t xml:space="preserve"/>
      </w:r>
      <w:r>
        <w:t xml:space="preserve">[V16-13] Kim, Edward; Sher, Alex; Abboud, Ghadi; et al. Radiation segmentectomy for curative intent of unresectable very early to early stage hepatocellular carcinoma (RASER): a single-centre, single-arm study. The Lancet Gastroenterology &amp; Hepatology. 2022; 7(9):843-850. </w:t>
      </w:r>
      <w:hyperlink r:id="rId448">
        <w:r>
          <w:rPr>
            <w:color w:val="0563C1"/>
            <w:u w:val="single"/>
          </w:rPr>
          <w:t>Source</w:t>
        </w:r>
      </w:hyperlink>
      <w:r>
        <w:t xml:space="preserve"> | </w:t>
      </w:r>
      <w:hyperlink r:id="rId449">
        <w:r>
          <w:rPr>
            <w:color w:val="0563C1"/>
            <w:u w:val="single"/>
          </w:rPr>
          <w:t>Full-text access</w:t>
        </w:r>
      </w:hyperlink>
    </w:p>
    <w:p>
      <w:pPr>
        <w:pStyle w:val="Normal"/>
        <w:widowControl/>
        <w:spacing w:after="120"/>
      </w:pPr>
      <w:r>
        <w:t xml:space="preserve"/>
      </w:r>
      <w:r>
        <w:t xml:space="preserve">[V16-14] Salem, Riad; Johnson, Guy E.; Kim, Edward; et al. Yttrium‐90 Radioembolization for the Treatment of Solitary, Unresectable HCC: The LEGACY Study. Hepatology. 2021; 74(5):2342-2352. </w:t>
      </w:r>
      <w:hyperlink r:id="rId450">
        <w:r>
          <w:rPr>
            <w:color w:val="0563C1"/>
            <w:u w:val="single"/>
          </w:rPr>
          <w:t>Source</w:t>
        </w:r>
      </w:hyperlink>
      <w:r>
        <w:t xml:space="preserve"> | </w:t>
      </w:r>
      <w:hyperlink r:id="rId451">
        <w:r>
          <w:rPr>
            <w:color w:val="0563C1"/>
            <w:u w:val="single"/>
          </w:rPr>
          <w:t>Full-text access</w:t>
        </w:r>
      </w:hyperlink>
    </w:p>
    <w:p>
      <w:pPr>
        <w:pStyle w:val="Normal"/>
        <w:widowControl/>
        <w:spacing w:after="120"/>
      </w:pPr>
      <w:r>
        <w:t xml:space="preserve"/>
      </w:r>
      <w:r>
        <w:t xml:space="preserve">[V16-15] Apisarnthanarax, Smith; Barry, Aisling; Cao, Minsong; et al. External Beam Radiation Therapy for Primary Liver Cancers: An ASTRO Clinical Practice Guideline. Practical Radiation Oncology. 2022; 12(1):28-51. </w:t>
      </w:r>
      <w:hyperlink r:id="rId452">
        <w:r>
          <w:rPr>
            <w:color w:val="0563C1"/>
            <w:u w:val="single"/>
          </w:rPr>
          <w:t>Source</w:t>
        </w:r>
      </w:hyperlink>
      <w:r>
        <w:t xml:space="preserve"> | </w:t>
      </w:r>
      <w:hyperlink r:id="rId453">
        <w:r>
          <w:rPr>
            <w:color w:val="0563C1"/>
            <w:u w:val="single"/>
          </w:rPr>
          <w:t>Full-text access</w:t>
        </w:r>
      </w:hyperlink>
    </w:p>
    <w:p>
      <w:pPr>
        <w:pStyle w:val="Normal"/>
        <w:widowControl/>
        <w:spacing w:after="120"/>
      </w:pPr>
      <w:r>
        <w:t xml:space="preserve"/>
      </w:r>
      <w:r>
        <w:t xml:space="preserve">[V16-16] Lyu, Ning; Wang, Xun; Li, Ji-Bin; et al. Arterial Chemotherapy of Oxaliplatin Plus Fluorouracil Versus Sorafenib in Advanced Hepatocellular Carcinoma: A Biomolecular Exploratory, Randomized, Phase III Trial (FOHAIC-1). Journal of Clinical Oncology. 2022; 40(5):468-480. </w:t>
      </w:r>
      <w:hyperlink r:id="rId454">
        <w:r>
          <w:rPr>
            <w:color w:val="0563C1"/>
            <w:u w:val="single"/>
          </w:rPr>
          <w:t>Source</w:t>
        </w:r>
      </w:hyperlink>
      <w:r>
        <w:t xml:space="preserve"> | </w:t>
      </w:r>
      <w:hyperlink r:id="rId455">
        <w:r>
          <w:rPr>
            <w:color w:val="0563C1"/>
            <w:u w:val="single"/>
          </w:rPr>
          <w:t>Full-text access</w:t>
        </w:r>
      </w:hyperlink>
    </w:p>
    <w:p>
      <w:pPr>
        <w:pStyle w:val="Normal"/>
        <w:widowControl/>
        <w:spacing w:after="120"/>
      </w:pPr>
      <w:r>
        <w:t xml:space="preserve"/>
      </w:r>
      <w:r>
        <w:t xml:space="preserve">[V16-17] Mendiratta-Lala, Mishal; Wiggermann, Philipp; Pech, Maciej; et al. The #HOPE4LIVER Single-Arm Pivotal Trial for Histotripsy of Primary                     and Metastatic Liver Tumors. Radiology. 2024; 312(3):e233051. </w:t>
      </w:r>
      <w:hyperlink r:id="rId456">
        <w:r>
          <w:rPr>
            <w:color w:val="0563C1"/>
            <w:u w:val="single"/>
          </w:rPr>
          <w:t>Source</w:t>
        </w:r>
      </w:hyperlink>
      <w:r>
        <w:t xml:space="preserve"> | </w:t>
      </w:r>
      <w:hyperlink r:id="rId457">
        <w:r>
          <w:rPr>
            <w:color w:val="0563C1"/>
            <w:u w:val="single"/>
          </w:rPr>
          <w:t>Full-text access</w:t>
        </w:r>
      </w:hyperlink>
    </w:p>
    <w:p>
      <w:pPr>
        <w:pStyle w:val="Normal"/>
        <w:widowControl/>
        <w:spacing w:after="120"/>
      </w:pPr>
      <w:r>
        <w:t xml:space="preserve"/>
      </w:r>
      <w:r>
        <w:t xml:space="preserve">[V16-18] AstraZeneca Pharmaceuticals. Imfinzi durvalumab US prescribing information. US prescribing information. 2026. </w:t>
      </w:r>
      <w:hyperlink r:id="rId458">
        <w:r>
          <w:rPr>
            <w:color w:val="0563C1"/>
            <w:u w:val="single"/>
          </w:rPr>
          <w:t>Source</w:t>
        </w:r>
      </w:hyperlink>
      <w:r>
        <w:t xml:space="preserve"> | </w:t>
      </w:r>
      <w:hyperlink r:id="rId459">
        <w:r>
          <w:rPr>
            <w:color w:val="0563C1"/>
            <w:u w:val="single"/>
          </w:rPr>
          <w:t>Full-text access</w:t>
        </w:r>
      </w:hyperlink>
    </w:p>
    <w:p>
      <w:pPr>
        <w:pStyle w:val="Normal"/>
        <w:widowControl/>
        <w:spacing w:after="120"/>
      </w:pPr>
      <w:r>
        <w:t xml:space="preserve"/>
      </w:r>
      <w:r>
        <w:t xml:space="preserve">[V16-19] Bristol Myers Squibb. Opdivo nivolumab US prescribing information. US prescribing information. 2025. </w:t>
      </w:r>
      <w:hyperlink r:id="rId460">
        <w:r>
          <w:rPr>
            <w:color w:val="0563C1"/>
            <w:u w:val="single"/>
          </w:rPr>
          <w:t>Source</w:t>
        </w:r>
      </w:hyperlink>
      <w:r>
        <w:t xml:space="preserve"> | </w:t>
      </w:r>
      <w:hyperlink r:id="rId461">
        <w:r>
          <w:rPr>
            <w:color w:val="0563C1"/>
            <w:u w:val="single"/>
          </w:rPr>
          <w:t>Full-text access</w:t>
        </w:r>
      </w:hyperlink>
    </w:p>
    <w:p>
      <w:pPr>
        <w:pStyle w:val="Normal"/>
        <w:widowControl/>
        <w:spacing w:after="120"/>
      </w:pPr>
      <w:r>
        <w:t xml:space="preserve"/>
      </w:r>
      <w:r>
        <w:t xml:space="preserve">[V16-20] Kudo, Masatoshi; Finn, Richard S; Qin, Shukui; et al. Lenvatinib versus sorafenib in first-line treatment of patients with unresectable hepatocellular carcinoma: a randomised phase 3 non-inferiority trial. The Lancet. 2018; 391(10126):1163-1173. </w:t>
      </w:r>
      <w:hyperlink r:id="rId462">
        <w:r>
          <w:rPr>
            <w:color w:val="0563C1"/>
            <w:u w:val="single"/>
          </w:rPr>
          <w:t>Source</w:t>
        </w:r>
      </w:hyperlink>
      <w:r>
        <w:t xml:space="preserve"> | </w:t>
      </w:r>
      <w:hyperlink r:id="rId463">
        <w:r>
          <w:rPr>
            <w:color w:val="0563C1"/>
            <w:u w:val="single"/>
          </w:rPr>
          <w:t>Full-text access</w:t>
        </w:r>
      </w:hyperlink>
    </w:p>
    <w:p>
      <w:pPr>
        <w:pStyle w:val="Normal"/>
        <w:widowControl/>
        <w:spacing w:after="120"/>
      </w:pPr>
      <w:r>
        <w:t xml:space="preserve"/>
      </w:r>
      <w:r>
        <w:t xml:space="preserve">[V16-21] Llovet, Josep M.; Ricci, Sergio; Mazzaferro, Vincenzo; et al. Sorafenib in Advanced Hepatocellular Carcinoma. New England Journal of Medicine. 2008; 359(4):378-390. </w:t>
      </w:r>
      <w:hyperlink r:id="rId464">
        <w:r>
          <w:rPr>
            <w:color w:val="0563C1"/>
            <w:u w:val="single"/>
          </w:rPr>
          <w:t>Source</w:t>
        </w:r>
      </w:hyperlink>
      <w:r>
        <w:t xml:space="preserve"> | </w:t>
      </w:r>
      <w:hyperlink r:id="rId465">
        <w:r>
          <w:rPr>
            <w:color w:val="0563C1"/>
            <w:u w:val="single"/>
          </w:rPr>
          <w:t>Full-text access</w:t>
        </w:r>
      </w:hyperlink>
    </w:p>
    <w:p>
      <w:pPr>
        <w:pStyle w:val="Normal"/>
        <w:widowControl/>
        <w:spacing w:after="120"/>
      </w:pPr>
      <w:r>
        <w:t xml:space="preserve"/>
      </w:r>
      <w:r>
        <w:t xml:space="preserve">[V16-22] Qin, Shukui; Kudo, Masatoshi; Meyer, Tim; et al. Tislelizumab vs Sorafenib as First-Line Treatment for Unresectable Hepatocellular Carcinoma. JAMA Oncology. 2023; 9(12):1651. </w:t>
      </w:r>
      <w:hyperlink r:id="rId466">
        <w:r>
          <w:rPr>
            <w:color w:val="0563C1"/>
            <w:u w:val="single"/>
          </w:rPr>
          <w:t>Source</w:t>
        </w:r>
      </w:hyperlink>
      <w:r>
        <w:t xml:space="preserve"> | </w:t>
      </w:r>
      <w:hyperlink r:id="rId467">
        <w:r>
          <w:rPr>
            <w:color w:val="0563C1"/>
            <w:u w:val="single"/>
          </w:rPr>
          <w:t>Full-text access</w:t>
        </w:r>
      </w:hyperlink>
    </w:p>
    <w:p>
      <w:pPr>
        <w:pStyle w:val="Normal"/>
        <w:widowControl/>
        <w:spacing w:after="120"/>
      </w:pPr>
      <w:r>
        <w:t xml:space="preserve"/>
      </w:r>
      <w:r>
        <w:t xml:space="preserve">[V16-23] BeOne Medicines. Tevimbra tislelizumab jsgr US prescribing information. US prescribing information. 2026. </w:t>
      </w:r>
      <w:hyperlink r:id="rId468">
        <w:r>
          <w:rPr>
            <w:color w:val="0563C1"/>
            <w:u w:val="single"/>
          </w:rPr>
          <w:t>Source</w:t>
        </w:r>
      </w:hyperlink>
      <w:r>
        <w:t xml:space="preserve"> | </w:t>
      </w:r>
      <w:hyperlink r:id="rId469">
        <w:r>
          <w:rPr>
            <w:color w:val="0563C1"/>
            <w:u w:val="single"/>
          </w:rPr>
          <w:t>Full-text access</w:t>
        </w:r>
      </w:hyperlink>
    </w:p>
    <w:p>
      <w:pPr>
        <w:pStyle w:val="Normal"/>
        <w:widowControl/>
        <w:spacing w:after="120"/>
      </w:pPr>
      <w:r>
        <w:t xml:space="preserve"/>
      </w:r>
      <w:r>
        <w:t xml:space="preserve">[V16-24] Abou-Alfa, Ghassan K.; Meyer, Tim; Cheng, Ann-Lii; et al. Cabozantinib in Patients with Advanced and Progressing Hepatocellular Carcinoma. New England Journal of Medicine. 2018; 379(1):54-63. </w:t>
      </w:r>
      <w:hyperlink r:id="rId470">
        <w:r>
          <w:rPr>
            <w:color w:val="0563C1"/>
            <w:u w:val="single"/>
          </w:rPr>
          <w:t>Source</w:t>
        </w:r>
      </w:hyperlink>
      <w:r>
        <w:t xml:space="preserve"> | </w:t>
      </w:r>
      <w:hyperlink r:id="rId471">
        <w:r>
          <w:rPr>
            <w:color w:val="0563C1"/>
            <w:u w:val="single"/>
          </w:rPr>
          <w:t>Full-text access</w:t>
        </w:r>
      </w:hyperlink>
    </w:p>
    <w:p>
      <w:pPr>
        <w:pStyle w:val="Normal"/>
        <w:widowControl/>
        <w:spacing w:after="120"/>
      </w:pPr>
      <w:r>
        <w:t xml:space="preserve"/>
      </w:r>
      <w:r>
        <w:t xml:space="preserve">[V16-25] Bruix, Jordi; Qin, Shukui; Merle, Philippe; et al. Regorafenib for patients with hepatocellular carcinoma who progressed on sorafenib treatment (RESORCE): a randomised, double-blind, placebo-controlled, phase 3 trial. The Lancet. 2017; 389(10064):56-66. </w:t>
      </w:r>
      <w:hyperlink r:id="rId472">
        <w:r>
          <w:rPr>
            <w:color w:val="0563C1"/>
            <w:u w:val="single"/>
          </w:rPr>
          <w:t>Source</w:t>
        </w:r>
      </w:hyperlink>
      <w:r>
        <w:t xml:space="preserve"> | </w:t>
      </w:r>
      <w:hyperlink r:id="rId473">
        <w:r>
          <w:rPr>
            <w:color w:val="0563C1"/>
            <w:u w:val="single"/>
          </w:rPr>
          <w:t>Full-text access</w:t>
        </w:r>
      </w:hyperlink>
    </w:p>
    <w:p>
      <w:pPr>
        <w:pStyle w:val="Normal"/>
        <w:widowControl/>
        <w:spacing w:after="120"/>
      </w:pPr>
      <w:r>
        <w:t xml:space="preserve"/>
      </w:r>
      <w:r>
        <w:t xml:space="preserve">[V16-26] Zhu, Andrew X; Kang, Yoon-Koo; Yen, Chia-Jui; et al. Ramucirumab after sorafenib in patients with advanced hepatocellular carcinoma and increased α-fetoprotein concentrations (REACH-2): a randomised, double-blind, placebo-controlled, phase 3 trial. The Lancet Oncology. 2019; 20(2):282-296. </w:t>
      </w:r>
      <w:hyperlink r:id="rId474">
        <w:r>
          <w:rPr>
            <w:color w:val="0563C1"/>
            <w:u w:val="single"/>
          </w:rPr>
          <w:t>Source</w:t>
        </w:r>
      </w:hyperlink>
      <w:r>
        <w:t xml:space="preserve"> | </w:t>
      </w:r>
      <w:hyperlink r:id="rId475">
        <w:r>
          <w:rPr>
            <w:color w:val="0563C1"/>
            <w:u w:val="single"/>
          </w:rPr>
          <w:t>Full-text access</w:t>
        </w:r>
      </w:hyperlink>
    </w:p>
    <w:p>
      <w:pPr>
        <w:pStyle w:val="Normal"/>
        <w:widowControl/>
        <w:spacing w:after="120"/>
      </w:pPr>
      <w:r>
        <w:t xml:space="preserve"/>
      </w:r>
      <w:r>
        <w:t xml:space="preserve">[V16-27] Kudo, Masatoshi; Ren, Zhenggang; Guo, Yabing; et al. Transarterial chemoembolisation combined with lenvatinib plus pembrolizumab versus dual placebo for unresectable, non-metastatic hepatocellular carcinoma (LEAP-012): a multicentre, randomised, double-blind, phase 3 study. The Lancet. 2025; 405(10474):203-215. </w:t>
      </w:r>
      <w:hyperlink r:id="rId476">
        <w:r>
          <w:rPr>
            <w:color w:val="0563C1"/>
            <w:u w:val="single"/>
          </w:rPr>
          <w:t>Source</w:t>
        </w:r>
      </w:hyperlink>
      <w:r>
        <w:t xml:space="preserve"> | </w:t>
      </w:r>
      <w:hyperlink r:id="rId477">
        <w:r>
          <w:rPr>
            <w:color w:val="0563C1"/>
            <w:u w:val="single"/>
          </w:rPr>
          <w:t>Full-text access</w:t>
        </w:r>
      </w:hyperlink>
    </w:p>
    <w:p>
      <w:pPr>
        <w:pStyle w:val="Normal"/>
        <w:widowControl/>
        <w:spacing w:after="120"/>
      </w:pPr>
      <w:r>
        <w:t xml:space="preserve"/>
      </w:r>
      <w:r>
        <w:t xml:space="preserve">[V16-28] Sangro, Bruno; Kudo, Masatoshi; Erinjeri, Joseph P; et al. Durvalumab with or without bevacizumab with transarterial chemoembolisation in hepatocellular carcinoma (EMERALD-1): a multiregional, randomised, double-blind, placebo-controlled, phase 3 study. The Lancet. 2025; 405(10474):216-232. </w:t>
      </w:r>
      <w:hyperlink r:id="rId478">
        <w:r>
          <w:rPr>
            <w:color w:val="0563C1"/>
            <w:u w:val="single"/>
          </w:rPr>
          <w:t>Source</w:t>
        </w:r>
      </w:hyperlink>
      <w:r>
        <w:t xml:space="preserve"> | </w:t>
      </w:r>
      <w:hyperlink r:id="rId479">
        <w:r>
          <w:rPr>
            <w:color w:val="0563C1"/>
            <w:u w:val="single"/>
          </w:rPr>
          <w:t>Full-text access</w:t>
        </w:r>
      </w:hyperlink>
    </w:p>
    <w:p>
      <w:pPr>
        <w:pStyle w:val="Normal"/>
        <w:widowControl/>
        <w:spacing w:after="120"/>
      </w:pPr>
      <w:r>
        <w:t xml:space="preserve"/>
      </w:r>
      <w:r>
        <w:t xml:space="preserve">[V16-29] Kudo, Masatoshi; Abou-Alfa, Ghassan K; Ren, Zhenggang; et al. Durvalumab and tremelimumab, with or without lenvatinib, combined with transarterial chemoembolisation in participants with embolisation-eligible hepatocellular carcinoma (EMERALD-3): a global, randomised, open-label, sponsor-blinded, phase 3 study. The Lancet Oncology. 2026; 27(9):1077-1093. </w:t>
      </w:r>
      <w:hyperlink r:id="rId480">
        <w:r>
          <w:rPr>
            <w:color w:val="0563C1"/>
            <w:u w:val="single"/>
          </w:rPr>
          <w:t>Source</w:t>
        </w:r>
      </w:hyperlink>
      <w:r>
        <w:t xml:space="preserve"> | </w:t>
      </w:r>
      <w:hyperlink r:id="rId481">
        <w:r>
          <w:rPr>
            <w:color w:val="0563C1"/>
            <w:u w:val="single"/>
          </w:rPr>
          <w:t>Full-text access</w:t>
        </w:r>
      </w:hyperlink>
    </w:p>
    <w:p>
      <w:pPr>
        <w:pStyle w:val="Normal"/>
        <w:widowControl/>
        <w:spacing w:after="120"/>
      </w:pPr>
      <w:r>
        <w:t xml:space="preserve"/>
      </w:r>
      <w:r>
        <w:t xml:space="preserve">[V16-30] Mehta N; Dodge JL; Roberts JP; et al. Alpha-Fetoprotein Decrease from &gt; 1,000 to &lt; 500 ng/mL in Patients with Hepatocellular Carcinoma Leads to Improved Posttransplant Outcomes.. Hepatology (Baltimore, Md.). 2019; 69(3):1193-1205. </w:t>
      </w:r>
      <w:hyperlink r:id="rId482">
        <w:r>
          <w:rPr>
            <w:color w:val="0563C1"/>
            <w:u w:val="single"/>
          </w:rPr>
          <w:t>Source</w:t>
        </w:r>
      </w:hyperlink>
      <w:r>
        <w:t xml:space="preserve"> | </w:t>
      </w:r>
      <w:hyperlink r:id="rId483">
        <w:r>
          <w:rPr>
            <w:color w:val="0563C1"/>
            <w:u w:val="single"/>
          </w:rPr>
          <w:t>Full-text access</w:t>
        </w:r>
      </w:hyperlink>
    </w:p>
    <w:p>
      <w:pPr>
        <w:pStyle w:val="Normal"/>
        <w:widowControl/>
        <w:spacing w:after="120"/>
      </w:pPr>
      <w:r>
        <w:t xml:space="preserve"/>
      </w:r>
      <w:r>
        <w:t xml:space="preserve">[V16-31] Goldman ML; Zhou K; Dodge JL; et al. Lower Alpha-Fetoprotein Threshold of 500 ng/mL for Liver Transplantation May Improve Posttransplant Outcomes in Patients With Hepatocellular Carcinoma.. Liver transplantation : official publication of the American Association for the Study of Liver Diseases and the International Liver Transplantation Society. 2022; 28(5):763-773. </w:t>
      </w:r>
      <w:hyperlink r:id="rId484">
        <w:r>
          <w:rPr>
            <w:color w:val="0563C1"/>
            <w:u w:val="single"/>
          </w:rPr>
          <w:t>Source</w:t>
        </w:r>
      </w:hyperlink>
      <w:r>
        <w:t xml:space="preserve"> | </w:t>
      </w:r>
      <w:hyperlink r:id="rId485">
        <w:r>
          <w:rPr>
            <w:color w:val="0563C1"/>
            <w:u w:val="single"/>
          </w:rPr>
          <w:t>Full-text access</w:t>
        </w:r>
      </w:hyperlink>
    </w:p>
    <w:p>
      <w:pPr>
        <w:pStyle w:val="Normal"/>
        <w:widowControl/>
        <w:spacing w:after="120"/>
      </w:pPr>
      <w:r>
        <w:t xml:space="preserve"/>
      </w:r>
      <w:r>
        <w:t xml:space="preserve">[V16-32] Giard JM; Mehta N; Dodge JL; et al. Alpha-Fetoprotein Slope &gt;7.5 ng/mL per Month Predicts Microvascular Invasion and Tumor Recurrence After Liver Transplantation for Hepatocellular Carcinoma.. Transplantation. 2018; 102(5):816-822. </w:t>
      </w:r>
      <w:hyperlink r:id="rId486">
        <w:r>
          <w:rPr>
            <w:color w:val="0563C1"/>
            <w:u w:val="single"/>
          </w:rPr>
          <w:t>Source</w:t>
        </w:r>
      </w:hyperlink>
      <w:r>
        <w:t xml:space="preserve"> | </w:t>
      </w:r>
      <w:hyperlink r:id="rId487">
        <w:r>
          <w:rPr>
            <w:color w:val="0563C1"/>
            <w:u w:val="single"/>
          </w:rPr>
          <w:t>Full-text access</w:t>
        </w:r>
      </w:hyperlink>
    </w:p>
    <w:p>
      <w:pPr>
        <w:pStyle w:val="Normal"/>
        <w:widowControl/>
        <w:spacing w:after="120"/>
      </w:pPr>
      <w:r>
        <w:t xml:space="preserve"/>
      </w:r>
      <w:r>
        <w:t xml:space="preserve">[V16-33] Halazun KJ; Rosenblatt RE; Mehta N; et al. Dynamic α-Fetoprotein Response and Outcomes After Liver Transplant for Hepatocellular Carcinoma.. JAMA surgery. 2021; 156(6):559-567. </w:t>
      </w:r>
      <w:hyperlink r:id="rId488">
        <w:r>
          <w:rPr>
            <w:color w:val="0563C1"/>
            <w:u w:val="single"/>
          </w:rPr>
          <w:t>Source</w:t>
        </w:r>
      </w:hyperlink>
      <w:r>
        <w:t xml:space="preserve"> | </w:t>
      </w:r>
      <w:hyperlink r:id="rId489">
        <w:r>
          <w:rPr>
            <w:color w:val="0563C1"/>
            <w:u w:val="single"/>
          </w:rPr>
          <w:t>Full-text access</w:t>
        </w:r>
      </w:hyperlink>
    </w:p>
    <w:p>
      <w:pPr>
        <w:pStyle w:val="Normal"/>
        <w:widowControl/>
        <w:spacing w:after="120"/>
      </w:pPr>
      <w:r>
        <w:t xml:space="preserve"/>
      </w:r>
      <w:r>
        <w:t xml:space="preserve">[V16-34] Moriyama M; Tateishi R; Matsushita Y; et al. Management and Prognosis of HCC Patients With Elevated Tumor Markers but no Imaging Recurrence After Radiofrequency Ablation.. Cancer medicine. 2026; 15(4):e71812. </w:t>
      </w:r>
      <w:hyperlink r:id="rId490">
        <w:r>
          <w:rPr>
            <w:color w:val="0563C1"/>
            <w:u w:val="single"/>
          </w:rPr>
          <w:t>Source</w:t>
        </w:r>
      </w:hyperlink>
      <w:r>
        <w:t xml:space="preserve"> | </w:t>
      </w:r>
      <w:hyperlink r:id="rId491">
        <w:r>
          <w:rPr>
            <w:color w:val="0563C1"/>
            <w:u w:val="single"/>
          </w:rPr>
          <w:t>Full-text access</w:t>
        </w:r>
      </w:hyperlink>
    </w:p>
    <w:p>
      <w:pPr>
        <w:pStyle w:val="Normal"/>
        <w:widowControl/>
        <w:spacing w:after="120"/>
      </w:pPr>
      <w:r>
        <w:t xml:space="preserve"/>
      </w:r>
      <w:r>
        <w:t xml:space="preserve">[V16-35] Yopp, Adam; Chen, Minshan; Cheng, Ann-Lii; et al. Updated data from IMbrave050: Adjuvant atezolizumab plus bevacizumab for high-risk hepatocellular carcinoma. Journal of Hepatology. 2026; 84(6):1102-1111. </w:t>
      </w:r>
      <w:hyperlink r:id="rId492">
        <w:r>
          <w:rPr>
            <w:color w:val="0563C1"/>
            <w:u w:val="single"/>
          </w:rPr>
          <w:t>Source</w:t>
        </w:r>
      </w:hyperlink>
      <w:r>
        <w:t xml:space="preserve"> | </w:t>
      </w:r>
      <w:hyperlink r:id="rId493">
        <w:r>
          <w:rPr>
            <w:color w:val="0563C1"/>
            <w:u w:val="single"/>
          </w:rPr>
          <w:t>Full-text access</w:t>
        </w:r>
      </w:hyperlink>
    </w:p>
    <w:p>
      <w:pPr>
        <w:pStyle w:val="Normal"/>
        <w:widowControl/>
        <w:spacing w:after="120"/>
      </w:pPr>
      <w:r>
        <w:t xml:space="preserve"/>
      </w:r>
      <w:r>
        <w:t xml:space="preserve">[V16-36] Taddei, Tamar H.; Brown, Daniel B.; Yarchoan, Mark; et al. Critical Update: AASLD Practice Guidance on prevention, diagnosis, and treatment of hepatocellular carcinoma. Hepatology. 2025; 82(1):272-274. </w:t>
      </w:r>
      <w:hyperlink r:id="rId494">
        <w:r>
          <w:rPr>
            <w:color w:val="0563C1"/>
            <w:u w:val="single"/>
          </w:rPr>
          <w:t>Source</w:t>
        </w:r>
      </w:hyperlink>
      <w:r>
        <w:t xml:space="preserve"> | </w:t>
      </w:r>
      <w:hyperlink r:id="rId495">
        <w:r>
          <w:rPr>
            <w:color w:val="0563C1"/>
            <w:u w:val="single"/>
          </w:rPr>
          <w:t>Full-text access</w:t>
        </w:r>
      </w:hyperlink>
    </w:p>
    <w:p>
      <w:pPr>
        <w:pStyle w:val="Normal"/>
        <w:widowControl/>
        <w:spacing w:after="120"/>
      </w:pPr>
      <w:r>
        <w:t xml:space="preserve"/>
      </w:r>
      <w:r>
        <w:t xml:space="preserve">[V16-37] Wassmer, Charles-Henri; El Hajji, Sofia; Papazarkadas, Xenofon; et al. Immunotherapy and Liver Transplantation: A Narrative Review of Basic and Clinical Data. Cancers. 2023; 15(18):4574. </w:t>
      </w:r>
      <w:hyperlink r:id="rId496">
        <w:r>
          <w:rPr>
            <w:color w:val="0563C1"/>
            <w:u w:val="single"/>
          </w:rPr>
          <w:t>Source</w:t>
        </w:r>
      </w:hyperlink>
      <w:r>
        <w:t xml:space="preserve"> | </w:t>
      </w:r>
      <w:hyperlink r:id="rId497">
        <w:r>
          <w:rPr>
            <w:color w:val="0563C1"/>
            <w:u w:val="single"/>
          </w:rPr>
          <w:t>Full-text access</w:t>
        </w:r>
      </w:hyperlink>
    </w:p>
    <w:p>
      <w:pPr>
        <w:pStyle w:val="Normal"/>
        <w:widowControl/>
        <w:spacing w:after="120"/>
      </w:pPr>
      <w:r>
        <w:t xml:space="preserve"/>
      </w:r>
      <w:r>
        <w:t xml:space="preserve">[V16-38] American College of Radiology. LI RADS CT MRI Radiation Treatment Response Assessment version 2024 Core. ACR. 2024. </w:t>
      </w:r>
      <w:hyperlink r:id="rId498">
        <w:r>
          <w:rPr>
            <w:color w:val="0563C1"/>
            <w:u w:val="single"/>
          </w:rPr>
          <w:t>Source</w:t>
        </w:r>
      </w:hyperlink>
      <w:r>
        <w:t xml:space="preserve"> | </w:t>
      </w:r>
      <w:hyperlink r:id="rId499">
        <w:r>
          <w:rPr>
            <w:color w:val="0563C1"/>
            <w:u w:val="single"/>
          </w:rPr>
          <w:t>Full-text access</w:t>
        </w:r>
      </w:hyperlink>
    </w:p>
    <w:p>
      <w:pPr>
        <w:pStyle w:val="Normal"/>
        <w:widowControl/>
        <w:spacing w:after="120"/>
      </w:pPr>
      <w:r>
        <w:t xml:space="preserve"/>
      </w:r>
      <w:r>
        <w:t xml:space="preserve">[V16-39] Akahoshi, Keiichi; Shindoh, Junichi; Tanabe, Minoru; et al. Oncological Resectability Criteria for Hepatocellular Carcinoma in the Era of Novel Systemic Therapies: The Japan Liver Cancer Association and Japanese Society of Hepato-Biliary-Pancreatic Surgery Expert Consensus Statement 2023. Liver cancer. 2024; 13(6):0-10. </w:t>
      </w:r>
      <w:hyperlink r:id="rId500">
        <w:r>
          <w:rPr>
            <w:color w:val="0563C1"/>
            <w:u w:val="single"/>
          </w:rPr>
          <w:t>Source</w:t>
        </w:r>
      </w:hyperlink>
      <w:r>
        <w:t xml:space="preserve"> | Local PDF not available in this update</w:t>
      </w:r>
    </w:p>
    <w:p>
      <w:pPr>
        <w:pStyle w:val="Normal"/>
        <w:widowControl/>
        <w:spacing w:after="120"/>
      </w:pPr>
      <w:r>
        <w:t xml:space="preserve"/>
      </w:r>
      <w:r>
        <w:t xml:space="preserve">[V16-40] Zhang, Xiaoshi; Zhu, Xiaodong; Zhong, Jianhong; et al. Surgical treatment improves overall survival of hepatocellular carcinoma with extrahepatic metastases after conversion therapy: a multicenter retrospective study. Scientific reports. 2024; 14(1):9745. </w:t>
      </w:r>
      <w:hyperlink r:id="rId501">
        <w:r>
          <w:rPr>
            <w:color w:val="0563C1"/>
            <w:u w:val="single"/>
          </w:rPr>
          <w:t>Source</w:t>
        </w:r>
      </w:hyperlink>
      <w:r>
        <w:t xml:space="preserve"> | Local PDF not available in this update</w:t>
      </w:r>
    </w:p>
    <w:p>
      <w:pPr>
        <w:pStyle w:val="Normal"/>
        <w:widowControl/>
        <w:spacing w:after="120"/>
      </w:pPr>
      <w:r>
        <w:t xml:space="preserve"/>
      </w:r>
      <w:r>
        <w:t xml:space="preserve">[V16-41] Choi, Gwang Hyeon; Kim, Hyun-Seok; Luu, Michael; et al. Curative Treatment after Immunotherapy Leads to Excellent Outcomes in Patients with Hepatocellular Carcinoma. Liver cancer. 2025; 15(2):193-204. </w:t>
      </w:r>
      <w:hyperlink r:id="rId502">
        <w:r>
          <w:rPr>
            <w:color w:val="0563C1"/>
            <w:u w:val="single"/>
          </w:rPr>
          <w:t>Source</w:t>
        </w:r>
      </w:hyperlink>
      <w:r>
        <w:t xml:space="preserve"> | Local PDF not available in this update</w:t>
      </w:r>
    </w:p>
    <w:p>
      <w:pPr>
        <w:pStyle w:val="Normal"/>
        <w:widowControl/>
        <w:spacing w:after="120"/>
      </w:pPr>
      <w:r>
        <w:t xml:space="preserve"/>
      </w:r>
      <w:r>
        <w:t xml:space="preserve">[V16-42] Hasegawa, Kiyoshi; Makuuchi, Masatoshi; Kokudo, Norihiro; et al. Impact of histologically confirmed lymph node metastases on patient survival after surgical resection for hepatocellular carcinoma: report of a Japanese nationwide survey. Annals of surgery. 2014; 259(1):166-70. </w:t>
      </w:r>
      <w:hyperlink r:id="rId503">
        <w:r>
          <w:rPr>
            <w:color w:val="0563C1"/>
            <w:u w:val="single"/>
          </w:rPr>
          <w:t>Source</w:t>
        </w:r>
      </w:hyperlink>
      <w:r>
        <w:t xml:space="preserve"> | Local PDF not available in this update</w:t>
      </w:r>
    </w:p>
    <w:p>
      <w:pPr>
        <w:pStyle w:val="Normal"/>
        <w:widowControl/>
        <w:spacing w:after="120"/>
      </w:pPr>
      <w:r>
        <w:t xml:space="preserve"/>
      </w:r>
      <w:r>
        <w:t xml:space="preserve">[V16-43] Midorikawa, Yutaka; Takayama, Tadatoshi; Nakayama, Hisashi; et al. Favorable outcomes of surgical resection for extrahepatic recurrent hepatocellular carcinoma. Hepatology research : the official journal of the Japan Society of Hepatology. 2020; 50(8):978-984. </w:t>
      </w:r>
      <w:hyperlink r:id="rId504">
        <w:r>
          <w:rPr>
            <w:color w:val="0563C1"/>
            <w:u w:val="single"/>
          </w:rPr>
          <w:t>Source</w:t>
        </w:r>
      </w:hyperlink>
      <w:r>
        <w:t xml:space="preserve"> | Local PDF not available in this update</w:t>
      </w:r>
    </w:p>
    <w:p>
      <w:pPr>
        <w:pStyle w:val="Normal"/>
        <w:widowControl/>
        <w:spacing w:after="120"/>
      </w:pPr>
      <w:r>
        <w:t xml:space="preserve"/>
      </w:r>
      <w:r>
        <w:t xml:space="preserve">[V16-44] Choi, Seo Hee; Lee, Byung Min; Kim, Jina; et al. Efficacy of stereotactic ablative radiotherapy in patients with oligometastatic hepatocellular carcinoma: A phase II study. Journal of hepatology. 2024; 81(1):84-92. </w:t>
      </w:r>
      <w:hyperlink r:id="rId505">
        <w:r>
          <w:rPr>
            <w:color w:val="0563C1"/>
            <w:u w:val="single"/>
          </w:rPr>
          <w:t>Source</w:t>
        </w:r>
      </w:hyperlink>
      <w:r>
        <w:t xml:space="preserve"> | Local PDF not available in this update</w:t>
      </w:r>
    </w:p>
    <w:p>
      <w:pPr>
        <w:pStyle w:val="Normal"/>
        <w:widowControl/>
        <w:spacing w:after="120"/>
      </w:pPr>
      <w:r>
        <w:t xml:space="preserve"/>
      </w:r>
      <w:r>
        <w:t xml:space="preserve">[V16-45] Shin, Young Seob; Yun, Jae Kwang; Jung, Jinhong; et al. Comparison of Metastasectomy and Stereotactic Body Radiation Therapy for Pulmonary Oligometastasis From Hepatocellular Carcinoma: A Propensity Score-Weighted Analysis. International journal of radiation oncology, biology, physics. 2024; 121(2):432-441. </w:t>
      </w:r>
      <w:hyperlink r:id="rId506">
        <w:r>
          <w:rPr>
            <w:color w:val="0563C1"/>
            <w:u w:val="single"/>
          </w:rPr>
          <w:t>Source</w:t>
        </w:r>
      </w:hyperlink>
      <w:r>
        <w:t xml:space="preserve"> | Local PDF not available in this update</w:t>
      </w:r>
    </w:p>
    <w:p>
      <w:pPr>
        <w:pStyle w:val="Normal"/>
        <w:widowControl/>
        <w:spacing w:after="120"/>
      </w:pPr>
      <w:r>
        <w:t xml:space="preserve"/>
      </w:r>
      <w:r>
        <w:t xml:space="preserve">[V16-46] Shindoh, Junichi; Matsumura, Masaru; Komatsu, Shohei; et al. Prognostic factors and clinical significance of preoperative systemic therapy in patients with borderline resectable hepatocellular carcinoma: A JSHBPS project study 2023, Part 2. Journal of hepato-biliary-pancreatic sciences. 2025; 32(5):374-384. </w:t>
      </w:r>
      <w:hyperlink r:id="rId507">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HCC-R1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4 cited study lines rest on full-text reading (complete main text; relevant complete sections of long guidelines) and 5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HCC system roadmap V16 · Balanced treatment matrices, 24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abstractNum w:abstractNumId="7">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6">
    <w:abstractNumId w:val="7"/>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016/j.jhep.2024.08.028" TargetMode="External"/><Relationship Id="rId10" Type="http://schemas.openxmlformats.org/officeDocument/2006/relationships/hyperlink" Target="https://drliuhao.github.io/mh-liver-pathways/evidence-libraries/" TargetMode="External"/><Relationship Id="rId11" Type="http://schemas.openxmlformats.org/officeDocument/2006/relationships/hyperlink" Target="https://doi.org/10.1056/NEJMoa1915745" TargetMode="External"/><Relationship Id="rId12" Type="http://schemas.openxmlformats.org/officeDocument/2006/relationships/hyperlink" Target="https://drliuhao.github.io/mh-liver-pathways/evidence-libraries/" TargetMode="External"/><Relationship Id="rId13" Type="http://schemas.openxmlformats.org/officeDocument/2006/relationships/hyperlink" Target="https://doi.org/10.1056/EVIDoa2100070" TargetMode="External"/><Relationship Id="rId14" Type="http://schemas.openxmlformats.org/officeDocument/2006/relationships/hyperlink" Target="https://drliuhao.github.io/mh-liver-pathways/evidence-libraries/" TargetMode="External"/><Relationship Id="rId15" Type="http://schemas.openxmlformats.org/officeDocument/2006/relationships/hyperlink" Target="https://www.nccn.org/professionals/physician_gls/pdf/hcc.pdf#page=10" TargetMode="External"/><Relationship Id="rId16" Type="http://schemas.openxmlformats.org/officeDocument/2006/relationships/hyperlink" Target="https://drliuhao.github.io/mh-liver-pathways/evidence-libraries/" TargetMode="External"/><Relationship Id="rId17" Type="http://schemas.openxmlformats.org/officeDocument/2006/relationships/hyperlink" Target="https://www.accessdata.fda.gov/drugsatfda_docs/label/2025/125514s178lbl.pdf" TargetMode="External"/><Relationship Id="rId18" Type="http://schemas.openxmlformats.org/officeDocument/2006/relationships/hyperlink" Target="https://drliuhao.github.io/mh-liver-pathways/evidence-libraries/" TargetMode="External"/><Relationship Id="rId19" Type="http://schemas.openxmlformats.org/officeDocument/2006/relationships/hyperlink" Target="https://doi.org/10.1200/JCO.22.00620" TargetMode="External"/><Relationship Id="rId20" Type="http://schemas.openxmlformats.org/officeDocument/2006/relationships/hyperlink" Target="https://drliuhao.github.io/mh-liver-pathways/evidence-libraries/" TargetMode="External"/><Relationship Id="rId21" Type="http://schemas.openxmlformats.org/officeDocument/2006/relationships/hyperlink" Target="https://edge.sitecorecloud.io/americancoldf5f-acrorgf92a-productioncb02-3650/media/ACR/Files/RADS/LI-RADS/LI-RADS-CTMR-Radiation-TRA-v2024-Core.pdf" TargetMode="External"/><Relationship Id="rId22" Type="http://schemas.openxmlformats.org/officeDocument/2006/relationships/hyperlink" Target="https://drliuhao.github.io/mh-liver-pathways/evidence-libraries/" TargetMode="External"/><Relationship Id="rId23" Type="http://schemas.openxmlformats.org/officeDocument/2006/relationships/hyperlink" Target="https://doi.org/10.1097/HEP.0000000000000466"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oi.org/10.1016/S2468-1253(22)00091-7"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doi.org/10.1002/hep.31819"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doi.org/10.1016/j.prro.2021.09.004"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200/JCO.21.01963" TargetMode="External"/><Relationship Id="rId32" Type="http://schemas.openxmlformats.org/officeDocument/2006/relationships/hyperlink" Target="https://drliuhao.github.io/mh-liver-pathways/evidence-libraries/" TargetMode="External"/><Relationship Id="rId33" Type="http://schemas.openxmlformats.org/officeDocument/2006/relationships/hyperlink" Target="https://doi.org/10.1148/radiol.233051"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www.hrsa.gov/sites/default/files/hrsa/optn/adult-meld-exception-transplant-oncology-review-guidance.pdf" TargetMode="External"/><Relationship Id="rId36" Type="http://schemas.openxmlformats.org/officeDocument/2006/relationships/hyperlink" Target="https://drliuhao.github.io/mh-liver-pathways/evidence-libraries/" TargetMode="External"/><Relationship Id="rId37" Type="http://schemas.openxmlformats.org/officeDocument/2006/relationships/hyperlink" Target="https://www.gene.com/download/pdf/avastin_prescribing.pdf" TargetMode="External"/><Relationship Id="rId38" Type="http://schemas.openxmlformats.org/officeDocument/2006/relationships/hyperlink" Target="https://drliuhao.github.io/mh-liver-pathways/evidence-libraries/" TargetMode="External"/><Relationship Id="rId39" Type="http://schemas.openxmlformats.org/officeDocument/2006/relationships/hyperlink" Target="https://www.accessdata.fda.gov/drugsatfda_docs/label/2025/125554s129lbl.pdf" TargetMode="External"/><Relationship Id="rId40" Type="http://schemas.openxmlformats.org/officeDocument/2006/relationships/hyperlink" Target="https://drliuhao.github.io/mh-liver-pathways/evidence-libraries/" TargetMode="External"/><Relationship Id="rId41" Type="http://schemas.openxmlformats.org/officeDocument/2006/relationships/hyperlink" Target="https://doi.org/10.1016/j.jhep.2021.11.030" TargetMode="External"/><Relationship Id="rId42" Type="http://schemas.openxmlformats.org/officeDocument/2006/relationships/hyperlink" Target="https://drliuhao.github.io/mh-liver-pathways/evidence-libraries/" TargetMode="External"/><Relationship Id="rId43" Type="http://schemas.openxmlformats.org/officeDocument/2006/relationships/hyperlink" Target="https://doi.org/10.1016/S0140-6736(25)00403-9" TargetMode="External"/><Relationship Id="rId44" Type="http://schemas.openxmlformats.org/officeDocument/2006/relationships/hyperlink" Target="https://drliuhao.github.io/mh-liver-pathways/evidence-libraries/" TargetMode="External"/><Relationship Id="rId45" Type="http://schemas.openxmlformats.org/officeDocument/2006/relationships/hyperlink" Target="https://www.accessdata.fda.gov/drugsatfda_docs/label/2026/761232s018lbl.pdf" TargetMode="External"/><Relationship Id="rId46" Type="http://schemas.openxmlformats.org/officeDocument/2006/relationships/hyperlink" Target="https://drliuhao.github.io/mh-liver-pathways/evidence-libraries/" TargetMode="External"/><Relationship Id="rId47" Type="http://schemas.openxmlformats.org/officeDocument/2006/relationships/hyperlink" Target="https://doi.org/10.1056/NEJMoa1717002" TargetMode="External"/><Relationship Id="rId48" Type="http://schemas.openxmlformats.org/officeDocument/2006/relationships/hyperlink" Target="https://drliuhao.github.io/mh-liver-pathways/evidence-libraries/" TargetMode="External"/><Relationship Id="rId49" Type="http://schemas.openxmlformats.org/officeDocument/2006/relationships/hyperlink" Target="https://doi.org/10.1016/S0140-6736(16)32453-9" TargetMode="External"/><Relationship Id="rId50" Type="http://schemas.openxmlformats.org/officeDocument/2006/relationships/hyperlink" Target="https://drliuhao.github.io/mh-liver-pathways/evidence-libraries/" TargetMode="External"/><Relationship Id="rId51" Type="http://schemas.openxmlformats.org/officeDocument/2006/relationships/hyperlink" Target="https://doi.org/10.1016/S1470-2045(18)30937-9" TargetMode="External"/><Relationship Id="rId52" Type="http://schemas.openxmlformats.org/officeDocument/2006/relationships/hyperlink" Target="https://drliuhao.github.io/mh-liver-pathways/evidence-libraries/" TargetMode="External"/><Relationship Id="rId53" Type="http://schemas.openxmlformats.org/officeDocument/2006/relationships/hyperlink" Target="https://doi.org/10.1016/S0140-6736(24)02575-3" TargetMode="External"/><Relationship Id="rId54" Type="http://schemas.openxmlformats.org/officeDocument/2006/relationships/hyperlink" Target="https://drliuhao.github.io/mh-liver-pathways/evidence-libraries/" TargetMode="External"/><Relationship Id="rId55" Type="http://schemas.openxmlformats.org/officeDocument/2006/relationships/hyperlink" Target="https://doi.org/10.1016/S0140-6736(24)02551-0" TargetMode="External"/><Relationship Id="rId56" Type="http://schemas.openxmlformats.org/officeDocument/2006/relationships/hyperlink" Target="https://drliuhao.github.io/mh-liver-pathways/evidence-libraries/" TargetMode="External"/><Relationship Id="rId57" Type="http://schemas.openxmlformats.org/officeDocument/2006/relationships/hyperlink" Target="https://doi.org/10.1016/S1470-2045(26)00278-0" TargetMode="External"/><Relationship Id="rId58" Type="http://schemas.openxmlformats.org/officeDocument/2006/relationships/hyperlink" Target="https://drliuhao.github.io/mh-liver-pathways/evidence-libraries/" TargetMode="External"/><Relationship Id="rId59" Type="http://schemas.openxmlformats.org/officeDocument/2006/relationships/hyperlink" Target="https://doi.org/10.1097/HEP.0000000000001269" TargetMode="External"/><Relationship Id="rId60" Type="http://schemas.openxmlformats.org/officeDocument/2006/relationships/hyperlink" Target="https://drliuhao.github.io/mh-liver-pathways/evidence-libraries/" TargetMode="External"/><Relationship Id="rId61" Type="http://schemas.openxmlformats.org/officeDocument/2006/relationships/hyperlink" Target="https://doi.org/10.1016/j.jhep.2026.01.006" TargetMode="External"/><Relationship Id="rId62" Type="http://schemas.openxmlformats.org/officeDocument/2006/relationships/hyperlink" Target="https://drliuhao.github.io/mh-liver-pathways/evidence-libraries/" TargetMode="External"/><Relationship Id="rId63" Type="http://schemas.openxmlformats.org/officeDocument/2006/relationships/hyperlink" Target="https://doi.org/10.1016/j.jhep.2024.06.042" TargetMode="External"/><Relationship Id="rId64" Type="http://schemas.openxmlformats.org/officeDocument/2006/relationships/hyperlink" Target="https://drliuhao.github.io/mh-liver-pathways/evidence-libraries/" TargetMode="External"/><Relationship Id="rId65" Type="http://schemas.openxmlformats.org/officeDocument/2006/relationships/hyperlink" Target="https://doi.org/10.1097/HEP.0000000000001289" TargetMode="External"/><Relationship Id="rId66" Type="http://schemas.openxmlformats.org/officeDocument/2006/relationships/hyperlink" Target="https://drliuhao.github.io/mh-liver-pathways/evidence-libraries/" TargetMode="External"/><Relationship Id="rId67" Type="http://schemas.openxmlformats.org/officeDocument/2006/relationships/hyperlink" Target="https://doi.org/10.1016/j.jhep.2024.09.003" TargetMode="External"/><Relationship Id="rId68" Type="http://schemas.openxmlformats.org/officeDocument/2006/relationships/hyperlink" Target="https://drliuhao.github.io/mh-liver-pathways/evidence-libraries/" TargetMode="External"/><Relationship Id="rId69" Type="http://schemas.openxmlformats.org/officeDocument/2006/relationships/hyperlink" Target="https://doi.org/10.1097/HEP.0000000000000466" TargetMode="External"/><Relationship Id="rId70" Type="http://schemas.openxmlformats.org/officeDocument/2006/relationships/hyperlink" Target="https://drliuhao.github.io/mh-liver-pathways/evidence-libraries/" TargetMode="External"/><Relationship Id="rId71" Type="http://schemas.openxmlformats.org/officeDocument/2006/relationships/hyperlink" Target="https://www.nccn.org/professionals/physician_gls/pdf/hcc.pdf#page=10" TargetMode="External"/><Relationship Id="rId72" Type="http://schemas.openxmlformats.org/officeDocument/2006/relationships/hyperlink" Target="https://drliuhao.github.io/mh-liver-pathways/evidence-libraries/" TargetMode="External"/><Relationship Id="rId73" Type="http://schemas.openxmlformats.org/officeDocument/2006/relationships/hyperlink" Target="https://www.nccn.org/professionals/physician_gls/pdf/hcc.pdf#page=10" TargetMode="External"/><Relationship Id="rId74" Type="http://schemas.openxmlformats.org/officeDocument/2006/relationships/hyperlink" Target="https://drliuhao.github.io/mh-liver-pathways/evidence-libraries/" TargetMode="External"/><Relationship Id="rId75" Type="http://schemas.openxmlformats.org/officeDocument/2006/relationships/hyperlink" Target="https://doi.org/10.1097/HEP.0000000000000466" TargetMode="External"/><Relationship Id="rId76" Type="http://schemas.openxmlformats.org/officeDocument/2006/relationships/hyperlink" Target="https://drliuhao.github.io/mh-liver-pathways/evidence-libraries/" TargetMode="External"/><Relationship Id="rId77" Type="http://schemas.openxmlformats.org/officeDocument/2006/relationships/hyperlink" Target="https://www.nccn.org/professionals/physician_gls/pdf/hcc.pdf#page=10" TargetMode="External"/><Relationship Id="rId78" Type="http://schemas.openxmlformats.org/officeDocument/2006/relationships/hyperlink" Target="https://drliuhao.github.io/mh-liver-pathways/evidence-libraries/" TargetMode="External"/><Relationship Id="rId79" Type="http://schemas.openxmlformats.org/officeDocument/2006/relationships/hyperlink" Target="https://doi.org/10.1016/S2468-1253(22)00091-7" TargetMode="External"/><Relationship Id="rId80" Type="http://schemas.openxmlformats.org/officeDocument/2006/relationships/hyperlink" Target="https://drliuhao.github.io/mh-liver-pathways/evidence-libraries/" TargetMode="External"/><Relationship Id="rId81" Type="http://schemas.openxmlformats.org/officeDocument/2006/relationships/hyperlink" Target="https://doi.org/10.1002/hep.31819" TargetMode="External"/><Relationship Id="rId82" Type="http://schemas.openxmlformats.org/officeDocument/2006/relationships/hyperlink" Target="https://drliuhao.github.io/mh-liver-pathways/evidence-libraries/" TargetMode="External"/><Relationship Id="rId83" Type="http://schemas.openxmlformats.org/officeDocument/2006/relationships/hyperlink" Target="https://www.nccn.org/professionals/physician_gls/pdf/hcc.pdf#page=10" TargetMode="External"/><Relationship Id="rId84" Type="http://schemas.openxmlformats.org/officeDocument/2006/relationships/hyperlink" Target="https://drliuhao.github.io/mh-liver-pathways/evidence-libraries/" TargetMode="External"/><Relationship Id="rId85" Type="http://schemas.openxmlformats.org/officeDocument/2006/relationships/hyperlink" Target="https://doi.org/10.1016/j.prro.2021.09.004" TargetMode="External"/><Relationship Id="rId86" Type="http://schemas.openxmlformats.org/officeDocument/2006/relationships/hyperlink" Target="https://drliuhao.github.io/mh-liver-pathways/evidence-libraries/" TargetMode="External"/><Relationship Id="rId87" Type="http://schemas.openxmlformats.org/officeDocument/2006/relationships/hyperlink" Target="https://www.nccn.org/professionals/physician_gls/pdf/hcc.pdf#page=10" TargetMode="External"/><Relationship Id="rId88" Type="http://schemas.openxmlformats.org/officeDocument/2006/relationships/hyperlink" Target="https://drliuhao.github.io/mh-liver-pathways/evidence-libraries/" TargetMode="External"/><Relationship Id="rId89" Type="http://schemas.openxmlformats.org/officeDocument/2006/relationships/hyperlink" Target="https://doi.org/10.1097/HEP.0000000000000466" TargetMode="External"/><Relationship Id="rId90" Type="http://schemas.openxmlformats.org/officeDocument/2006/relationships/hyperlink" Target="https://drliuhao.github.io/mh-liver-pathways/evidence-libraries/" TargetMode="External"/><Relationship Id="rId91" Type="http://schemas.openxmlformats.org/officeDocument/2006/relationships/hyperlink" Target="https://www.nccn.org/professionals/physician_gls/pdf/hcc.pdf#page=10" TargetMode="External"/><Relationship Id="rId92" Type="http://schemas.openxmlformats.org/officeDocument/2006/relationships/hyperlink" Target="https://drliuhao.github.io/mh-liver-pathways/evidence-libraries/" TargetMode="External"/><Relationship Id="rId93" Type="http://schemas.openxmlformats.org/officeDocument/2006/relationships/hyperlink" Target="https://doi.org/10.1200/JCO.21.01963" TargetMode="External"/><Relationship Id="rId94" Type="http://schemas.openxmlformats.org/officeDocument/2006/relationships/hyperlink" Target="https://drliuhao.github.io/mh-liver-pathways/evidence-libraries/" TargetMode="External"/><Relationship Id="rId95" Type="http://schemas.openxmlformats.org/officeDocument/2006/relationships/hyperlink" Target="https://www.nccn.org/professionals/physician_gls/pdf/hcc.pdf#page=10" TargetMode="External"/><Relationship Id="rId96" Type="http://schemas.openxmlformats.org/officeDocument/2006/relationships/hyperlink" Target="https://drliuhao.github.io/mh-liver-pathways/evidence-libraries/" TargetMode="External"/><Relationship Id="rId97" Type="http://schemas.openxmlformats.org/officeDocument/2006/relationships/hyperlink" Target="https://doi.org/10.1148/radiol.233051" TargetMode="External"/><Relationship Id="rId98" Type="http://schemas.openxmlformats.org/officeDocument/2006/relationships/hyperlink" Target="https://drliuhao.github.io/mh-liver-pathways/evidence-libraries/" TargetMode="External"/><Relationship Id="rId99" Type="http://schemas.openxmlformats.org/officeDocument/2006/relationships/hyperlink" Target="https://doi.org/10.1016/j.jhep.2021.11.030" TargetMode="External"/><Relationship Id="rId100" Type="http://schemas.openxmlformats.org/officeDocument/2006/relationships/hyperlink" Target="https://drliuhao.github.io/mh-liver-pathways/evidence-libraries/" TargetMode="External"/><Relationship Id="rId101" Type="http://schemas.openxmlformats.org/officeDocument/2006/relationships/hyperlink" Target="https://doi.org/10.1016/j.jhep.2024.08.028" TargetMode="External"/><Relationship Id="rId102" Type="http://schemas.openxmlformats.org/officeDocument/2006/relationships/hyperlink" Target="https://drliuhao.github.io/mh-liver-pathways/evidence-libraries/" TargetMode="External"/><Relationship Id="rId103" Type="http://schemas.openxmlformats.org/officeDocument/2006/relationships/hyperlink" Target="https://www.gene.com/download/pdf/avastin_prescribing.pdf" TargetMode="External"/><Relationship Id="rId104" Type="http://schemas.openxmlformats.org/officeDocument/2006/relationships/hyperlink" Target="https://drliuhao.github.io/mh-liver-pathways/evidence-libraries/" TargetMode="External"/><Relationship Id="rId105" Type="http://schemas.openxmlformats.org/officeDocument/2006/relationships/hyperlink" Target="https://doi.org/10.1056/EVIDoa2100070" TargetMode="External"/><Relationship Id="rId106" Type="http://schemas.openxmlformats.org/officeDocument/2006/relationships/hyperlink" Target="https://drliuhao.github.io/mh-liver-pathways/evidence-libraries/" TargetMode="External"/><Relationship Id="rId107" Type="http://schemas.openxmlformats.org/officeDocument/2006/relationships/hyperlink" Target="https://dailymed.nlm.nih.gov/dailymed/drugInfo.cfm?setid=8baba4ea-2855-42fa-9bd9-5a7548d4cec3" TargetMode="External"/><Relationship Id="rId108" Type="http://schemas.openxmlformats.org/officeDocument/2006/relationships/hyperlink" Target="https://drliuhao.github.io/mh-liver-pathways/evidence-libraries/" TargetMode="External"/><Relationship Id="rId109" Type="http://schemas.openxmlformats.org/officeDocument/2006/relationships/hyperlink" Target="https://doi.org/10.1016/S0140-6736(25)00403-9" TargetMode="External"/><Relationship Id="rId110" Type="http://schemas.openxmlformats.org/officeDocument/2006/relationships/hyperlink" Target="https://drliuhao.github.io/mh-liver-pathways/evidence-libraries/" TargetMode="External"/><Relationship Id="rId111" Type="http://schemas.openxmlformats.org/officeDocument/2006/relationships/hyperlink" Target="https://www.accessdata.fda.gov/drugsatfda_docs/label/2025/125554s129lbl.pdf" TargetMode="External"/><Relationship Id="rId112" Type="http://schemas.openxmlformats.org/officeDocument/2006/relationships/hyperlink" Target="https://drliuhao.github.io/mh-liver-pathways/evidence-libraries/" TargetMode="External"/><Relationship Id="rId113" Type="http://schemas.openxmlformats.org/officeDocument/2006/relationships/hyperlink" Target="https://doi.org/10.1016/S0140-6736(18)30207-1" TargetMode="External"/><Relationship Id="rId114" Type="http://schemas.openxmlformats.org/officeDocument/2006/relationships/hyperlink" Target="https://drliuhao.github.io/mh-liver-pathways/evidence-libraries/" TargetMode="External"/><Relationship Id="rId115" Type="http://schemas.openxmlformats.org/officeDocument/2006/relationships/hyperlink" Target="https://www.nccn.org/professionals/physician_gls/pdf/hcc.pdf#page=10" TargetMode="External"/><Relationship Id="rId116" Type="http://schemas.openxmlformats.org/officeDocument/2006/relationships/hyperlink" Target="https://drliuhao.github.io/mh-liver-pathways/evidence-libraries/" TargetMode="External"/><Relationship Id="rId117" Type="http://schemas.openxmlformats.org/officeDocument/2006/relationships/hyperlink" Target="https://doi.org/10.1056/NEJMoa0708857" TargetMode="External"/><Relationship Id="rId118" Type="http://schemas.openxmlformats.org/officeDocument/2006/relationships/hyperlink" Target="https://doi.org/10.1097/HEP.0000000000000466" TargetMode="External"/><Relationship Id="rId119" Type="http://schemas.openxmlformats.org/officeDocument/2006/relationships/hyperlink" Target="https://drliuhao.github.io/mh-liver-pathways/evidence-libraries/" TargetMode="External"/><Relationship Id="rId120" Type="http://schemas.openxmlformats.org/officeDocument/2006/relationships/hyperlink" Target="https://doi.org/10.1056/EVIDoa2100070" TargetMode="External"/><Relationship Id="rId121" Type="http://schemas.openxmlformats.org/officeDocument/2006/relationships/hyperlink" Target="https://drliuhao.github.io/mh-liver-pathways/evidence-libraries/" TargetMode="External"/><Relationship Id="rId122" Type="http://schemas.openxmlformats.org/officeDocument/2006/relationships/hyperlink" Target="https://www.nccn.org/professionals/physician_gls/pdf/hcc.pdf#page=10" TargetMode="External"/><Relationship Id="rId123" Type="http://schemas.openxmlformats.org/officeDocument/2006/relationships/hyperlink" Target="https://drliuhao.github.io/mh-liver-pathways/evidence-libraries/" TargetMode="External"/><Relationship Id="rId124" Type="http://schemas.openxmlformats.org/officeDocument/2006/relationships/hyperlink" Target="https://dailymed.nlm.nih.gov/dailymed/drugInfo.cfm?setid=8baba4ea-2855-42fa-9bd9-5a7548d4cec3" TargetMode="External"/><Relationship Id="rId125" Type="http://schemas.openxmlformats.org/officeDocument/2006/relationships/hyperlink" Target="https://drliuhao.github.io/mh-liver-pathways/evidence-libraries/" TargetMode="External"/><Relationship Id="rId126" Type="http://schemas.openxmlformats.org/officeDocument/2006/relationships/hyperlink" Target="https://doi.org/10.1001/jamaoncol.2023.4003" TargetMode="External"/><Relationship Id="rId127" Type="http://schemas.openxmlformats.org/officeDocument/2006/relationships/hyperlink" Target="https://drliuhao.github.io/mh-liver-pathways/evidence-libraries/" TargetMode="External"/><Relationship Id="rId128" Type="http://schemas.openxmlformats.org/officeDocument/2006/relationships/hyperlink" Target="https://www.nccn.org/professionals/physician_gls/pdf/hcc.pdf#page=10" TargetMode="External"/><Relationship Id="rId129" Type="http://schemas.openxmlformats.org/officeDocument/2006/relationships/hyperlink" Target="https://drliuhao.github.io/mh-liver-pathways/evidence-libraries/" TargetMode="External"/><Relationship Id="rId130" Type="http://schemas.openxmlformats.org/officeDocument/2006/relationships/hyperlink" Target="https://www.accessdata.fda.gov/drugsatfda_docs/label/2026/761232s018lbl.pdf" TargetMode="External"/><Relationship Id="rId131" Type="http://schemas.openxmlformats.org/officeDocument/2006/relationships/hyperlink" Target="https://drliuhao.github.io/mh-liver-pathways/evidence-libraries/" TargetMode="External"/><Relationship Id="rId132" Type="http://schemas.openxmlformats.org/officeDocument/2006/relationships/hyperlink" Target="https://www.nccn.org/professionals/physician_gls/pdf/hcc.pdf#page=10" TargetMode="External"/><Relationship Id="rId133" Type="http://schemas.openxmlformats.org/officeDocument/2006/relationships/hyperlink" Target="https://drliuhao.github.io/mh-liver-pathways/evidence-libraries/" TargetMode="External"/><Relationship Id="rId134" Type="http://schemas.openxmlformats.org/officeDocument/2006/relationships/hyperlink" Target="https://www.accessdata.fda.gov/drugsatfda_docs/label/2025/125514s178lbl.pdf" TargetMode="External"/><Relationship Id="rId135" Type="http://schemas.openxmlformats.org/officeDocument/2006/relationships/hyperlink" Target="https://drliuhao.github.io/mh-liver-pathways/evidence-libraries/" TargetMode="External"/><Relationship Id="rId136" Type="http://schemas.openxmlformats.org/officeDocument/2006/relationships/hyperlink" Target="https://doi.org/10.1056/NEJMoa1717002" TargetMode="External"/><Relationship Id="rId137" Type="http://schemas.openxmlformats.org/officeDocument/2006/relationships/hyperlink" Target="https://drliuhao.github.io/mh-liver-pathways/evidence-libraries/" TargetMode="External"/><Relationship Id="rId138" Type="http://schemas.openxmlformats.org/officeDocument/2006/relationships/hyperlink" Target="https://www.nccn.org/professionals/physician_gls/pdf/hcc.pdf#page=10" TargetMode="External"/><Relationship Id="rId139" Type="http://schemas.openxmlformats.org/officeDocument/2006/relationships/hyperlink" Target="https://drliuhao.github.io/mh-liver-pathways/evidence-libraries/" TargetMode="External"/><Relationship Id="rId140" Type="http://schemas.openxmlformats.org/officeDocument/2006/relationships/hyperlink" Target="https://doi.org/10.1016/S0140-6736(16)32453-9" TargetMode="External"/><Relationship Id="rId141" Type="http://schemas.openxmlformats.org/officeDocument/2006/relationships/hyperlink" Target="https://drliuhao.github.io/mh-liver-pathways/evidence-libraries/" TargetMode="External"/><Relationship Id="rId142" Type="http://schemas.openxmlformats.org/officeDocument/2006/relationships/hyperlink" Target="https://www.nccn.org/professionals/physician_gls/pdf/hcc.pdf#page=10" TargetMode="External"/><Relationship Id="rId143" Type="http://schemas.openxmlformats.org/officeDocument/2006/relationships/hyperlink" Target="https://drliuhao.github.io/mh-liver-pathways/evidence-libraries/" TargetMode="External"/><Relationship Id="rId144" Type="http://schemas.openxmlformats.org/officeDocument/2006/relationships/hyperlink" Target="https://doi.org/10.1016/S1470-2045(18)30937-9" TargetMode="External"/><Relationship Id="rId145" Type="http://schemas.openxmlformats.org/officeDocument/2006/relationships/hyperlink" Target="https://drliuhao.github.io/mh-liver-pathways/evidence-libraries/" TargetMode="External"/><Relationship Id="rId146" Type="http://schemas.openxmlformats.org/officeDocument/2006/relationships/hyperlink" Target="https://www.nccn.org/professionals/physician_gls/pdf/hcc.pdf#page=10" TargetMode="External"/><Relationship Id="rId147" Type="http://schemas.openxmlformats.org/officeDocument/2006/relationships/hyperlink" Target="https://drliuhao.github.io/mh-liver-pathways/evidence-libraries/" TargetMode="External"/><Relationship Id="rId148" Type="http://schemas.openxmlformats.org/officeDocument/2006/relationships/hyperlink" Target="https://doi.org/10.1200/JCO.22.00620" TargetMode="External"/><Relationship Id="rId149" Type="http://schemas.openxmlformats.org/officeDocument/2006/relationships/hyperlink" Target="https://drliuhao.github.io/mh-liver-pathways/evidence-libraries/" TargetMode="External"/><Relationship Id="rId150" Type="http://schemas.openxmlformats.org/officeDocument/2006/relationships/hyperlink" Target="https://www.accessdata.fda.gov/drugsatfda_docs/label/2025/125514s178lbl.pdf" TargetMode="External"/><Relationship Id="rId151" Type="http://schemas.openxmlformats.org/officeDocument/2006/relationships/hyperlink" Target="https://drliuhao.github.io/mh-liver-pathways/evidence-libraries/" TargetMode="External"/><Relationship Id="rId152" Type="http://schemas.openxmlformats.org/officeDocument/2006/relationships/hyperlink" Target="https://www.nccn.org/professionals/physician_gls/pdf/hcc.pdf#page=10" TargetMode="External"/><Relationship Id="rId153" Type="http://schemas.openxmlformats.org/officeDocument/2006/relationships/hyperlink" Target="https://drliuhao.github.io/mh-liver-pathways/evidence-libraries/" TargetMode="External"/><Relationship Id="rId154" Type="http://schemas.openxmlformats.org/officeDocument/2006/relationships/hyperlink" Target="https://doi.org/10.1016/j.jhep.2024.08.028" TargetMode="External"/><Relationship Id="rId155" Type="http://schemas.openxmlformats.org/officeDocument/2006/relationships/hyperlink" Target="https://drliuhao.github.io/mh-liver-pathways/evidence-libraries/" TargetMode="External"/><Relationship Id="rId156" Type="http://schemas.openxmlformats.org/officeDocument/2006/relationships/hyperlink" Target="https://www.nccn.org/professionals/physician_gls/pdf/hcc.pdf#page=10" TargetMode="External"/><Relationship Id="rId157" Type="http://schemas.openxmlformats.org/officeDocument/2006/relationships/hyperlink" Target="https://drliuhao.github.io/mh-liver-pathways/evidence-libraries/" TargetMode="External"/><Relationship Id="rId158" Type="http://schemas.openxmlformats.org/officeDocument/2006/relationships/hyperlink" Target="https://www.accessdata.fda.gov/drugsatfda_docs/label/2025/125554s129lbl.pdf" TargetMode="External"/><Relationship Id="rId159" Type="http://schemas.openxmlformats.org/officeDocument/2006/relationships/hyperlink" Target="https://drliuhao.github.io/mh-liver-pathways/evidence-libraries/" TargetMode="External"/><Relationship Id="rId160" Type="http://schemas.openxmlformats.org/officeDocument/2006/relationships/hyperlink" Target="https://www.nccn.org/professionals/physician_gls/pdf/hcc.pdf#page=10" TargetMode="External"/><Relationship Id="rId161" Type="http://schemas.openxmlformats.org/officeDocument/2006/relationships/hyperlink" Target="https://drliuhao.github.io/mh-liver-pathways/evidence-libraries/" TargetMode="External"/><Relationship Id="rId162" Type="http://schemas.openxmlformats.org/officeDocument/2006/relationships/hyperlink" Target="https://www.accessdata.fda.gov/drugsatfda_docs/label/2025/125514s178lbl.pdf" TargetMode="External"/><Relationship Id="rId163" Type="http://schemas.openxmlformats.org/officeDocument/2006/relationships/hyperlink" Target="https://drliuhao.github.io/mh-liver-pathways/evidence-libraries/" TargetMode="External"/><Relationship Id="rId164" Type="http://schemas.openxmlformats.org/officeDocument/2006/relationships/hyperlink" Target="https://www.nccn.org/professionals/physician_gls/pdf/hcc.pdf#page=10" TargetMode="External"/><Relationship Id="rId165" Type="http://schemas.openxmlformats.org/officeDocument/2006/relationships/hyperlink" Target="https://drliuhao.github.io/mh-liver-pathways/evidence-libraries/" TargetMode="External"/><Relationship Id="rId166" Type="http://schemas.openxmlformats.org/officeDocument/2006/relationships/hyperlink" Target="https://www.nccn.org/professionals/physician_gls/pdf/hcc.pdf#page=10" TargetMode="External"/><Relationship Id="rId167" Type="http://schemas.openxmlformats.org/officeDocument/2006/relationships/hyperlink" Target="https://drliuhao.github.io/mh-liver-pathways/evidence-libraries/" TargetMode="External"/><Relationship Id="rId168" Type="http://schemas.openxmlformats.org/officeDocument/2006/relationships/hyperlink" Target="https://doi.org/10.1016/S0140-6736(24)02575-3" TargetMode="External"/><Relationship Id="rId169" Type="http://schemas.openxmlformats.org/officeDocument/2006/relationships/hyperlink" Target="https://drliuhao.github.io/mh-liver-pathways/evidence-libraries/" TargetMode="External"/><Relationship Id="rId170" Type="http://schemas.openxmlformats.org/officeDocument/2006/relationships/hyperlink" Target="https://doi.org/10.1016/S0140-6736(24)02551-0" TargetMode="External"/><Relationship Id="rId171" Type="http://schemas.openxmlformats.org/officeDocument/2006/relationships/hyperlink" Target="https://drliuhao.github.io/mh-liver-pathways/evidence-libraries/" TargetMode="External"/><Relationship Id="rId172" Type="http://schemas.openxmlformats.org/officeDocument/2006/relationships/hyperlink" Target="https://doi.org/10.1016/S1470-2045(26)00278-0" TargetMode="External"/><Relationship Id="rId173" Type="http://schemas.openxmlformats.org/officeDocument/2006/relationships/hyperlink" Target="https://drliuhao.github.io/mh-liver-pathways/evidence-libraries/" TargetMode="External"/><Relationship Id="rId174" Type="http://schemas.openxmlformats.org/officeDocument/2006/relationships/hyperlink" Target="https://doi.org/10.1016/j.jhep.2024.08.028" TargetMode="External"/><Relationship Id="rId175" Type="http://schemas.openxmlformats.org/officeDocument/2006/relationships/hyperlink" Target="https://drliuhao.github.io/mh-liver-pathways/evidence-libraries/" TargetMode="External"/><Relationship Id="rId176" Type="http://schemas.openxmlformats.org/officeDocument/2006/relationships/hyperlink" Target="https://doi.org/10.1016/j.jhep.2021.11.030" TargetMode="External"/><Relationship Id="rId177" Type="http://schemas.openxmlformats.org/officeDocument/2006/relationships/hyperlink" Target="https://drliuhao.github.io/mh-liver-pathways/evidence-libraries/" TargetMode="External"/><Relationship Id="rId178" Type="http://schemas.openxmlformats.org/officeDocument/2006/relationships/hyperlink" Target="https://www.gene.com/download/pdf/avastin_prescribing.pdf" TargetMode="External"/><Relationship Id="rId179" Type="http://schemas.openxmlformats.org/officeDocument/2006/relationships/hyperlink" Target="https://drliuhao.github.io/mh-liver-pathways/evidence-libraries/" TargetMode="External"/><Relationship Id="rId180" Type="http://schemas.openxmlformats.org/officeDocument/2006/relationships/hyperlink" Target="https://doi.org/10.1016/S0140-6736(25)00403-9" TargetMode="External"/><Relationship Id="rId181" Type="http://schemas.openxmlformats.org/officeDocument/2006/relationships/hyperlink" Target="https://drliuhao.github.io/mh-liver-pathways/evidence-libraries/" TargetMode="External"/><Relationship Id="rId182" Type="http://schemas.openxmlformats.org/officeDocument/2006/relationships/hyperlink" Target="https://doi.org/10.1056/NEJMoa1915745" TargetMode="External"/><Relationship Id="rId183" Type="http://schemas.openxmlformats.org/officeDocument/2006/relationships/hyperlink" Target="https://drliuhao.github.io/mh-liver-pathways/evidence-libraries/" TargetMode="External"/><Relationship Id="rId184" Type="http://schemas.openxmlformats.org/officeDocument/2006/relationships/hyperlink" Target="https://doi.org/10.1056/EVIDoa2100070" TargetMode="External"/><Relationship Id="rId185" Type="http://schemas.openxmlformats.org/officeDocument/2006/relationships/hyperlink" Target="https://drliuhao.github.io/mh-liver-pathways/evidence-libraries/" TargetMode="External"/><Relationship Id="rId186" Type="http://schemas.openxmlformats.org/officeDocument/2006/relationships/hyperlink" Target="https://www.nccn.org/professionals/physician_gls/pdf/hcc.pdf#page=10" TargetMode="External"/><Relationship Id="rId187" Type="http://schemas.openxmlformats.org/officeDocument/2006/relationships/hyperlink" Target="https://drliuhao.github.io/mh-liver-pathways/evidence-libraries/" TargetMode="External"/><Relationship Id="rId188" Type="http://schemas.openxmlformats.org/officeDocument/2006/relationships/hyperlink" Target="https://www.accessdata.fda.gov/drugsatfda_docs/label/2025/125514s178lbl.pdf" TargetMode="External"/><Relationship Id="rId189" Type="http://schemas.openxmlformats.org/officeDocument/2006/relationships/hyperlink" Target="https://drliuhao.github.io/mh-liver-pathways/evidence-libraries/" TargetMode="External"/><Relationship Id="rId190" Type="http://schemas.openxmlformats.org/officeDocument/2006/relationships/hyperlink" Target="https://doi.org/10.1200/JCO.22.00620" TargetMode="External"/><Relationship Id="rId191" Type="http://schemas.openxmlformats.org/officeDocument/2006/relationships/hyperlink" Target="https://drliuhao.github.io/mh-liver-pathways/evidence-libraries/" TargetMode="External"/><Relationship Id="rId192" Type="http://schemas.openxmlformats.org/officeDocument/2006/relationships/hyperlink" Target="https://doi.org/10.1097/HEP.0000000000001289" TargetMode="External"/><Relationship Id="rId193" Type="http://schemas.openxmlformats.org/officeDocument/2006/relationships/hyperlink" Target="https://drliuhao.github.io/mh-liver-pathways/evidence-libraries/" TargetMode="External"/><Relationship Id="rId194" Type="http://schemas.openxmlformats.org/officeDocument/2006/relationships/hyperlink" Target="https://doi.org/10.1016/j.jhep.2024.09.003" TargetMode="External"/><Relationship Id="rId195" Type="http://schemas.openxmlformats.org/officeDocument/2006/relationships/hyperlink" Target="https://drliuhao.github.io/mh-liver-pathways/evidence-libraries/" TargetMode="External"/><Relationship Id="rId196" Type="http://schemas.openxmlformats.org/officeDocument/2006/relationships/hyperlink" Target="https://doi.org/10.1097/HEP.0000000000000466" TargetMode="External"/><Relationship Id="rId197" Type="http://schemas.openxmlformats.org/officeDocument/2006/relationships/hyperlink" Target="https://drliuhao.github.io/mh-liver-pathways/evidence-libraries/" TargetMode="External"/><Relationship Id="rId198" Type="http://schemas.openxmlformats.org/officeDocument/2006/relationships/hyperlink" Target="https://doi.org/10.1016/S2468-1253(22)00091-7" TargetMode="External"/><Relationship Id="rId199" Type="http://schemas.openxmlformats.org/officeDocument/2006/relationships/hyperlink" Target="https://drliuhao.github.io/mh-liver-pathways/evidence-libraries/" TargetMode="External"/><Relationship Id="rId200" Type="http://schemas.openxmlformats.org/officeDocument/2006/relationships/hyperlink" Target="https://doi.org/10.1002/hep.31819" TargetMode="External"/><Relationship Id="rId201" Type="http://schemas.openxmlformats.org/officeDocument/2006/relationships/hyperlink" Target="https://drliuhao.github.io/mh-liver-pathways/evidence-libraries/" TargetMode="External"/><Relationship Id="rId202" Type="http://schemas.openxmlformats.org/officeDocument/2006/relationships/hyperlink" Target="https://doi.org/10.1016/j.prro.2021.09.004" TargetMode="External"/><Relationship Id="rId203" Type="http://schemas.openxmlformats.org/officeDocument/2006/relationships/hyperlink" Target="https://drliuhao.github.io/mh-liver-pathways/evidence-libraries/" TargetMode="External"/><Relationship Id="rId204" Type="http://schemas.openxmlformats.org/officeDocument/2006/relationships/hyperlink" Target="https://doi.org/10.1200/JCO.21.01963" TargetMode="External"/><Relationship Id="rId205" Type="http://schemas.openxmlformats.org/officeDocument/2006/relationships/hyperlink" Target="https://drliuhao.github.io/mh-liver-pathways/evidence-libraries/" TargetMode="External"/><Relationship Id="rId206" Type="http://schemas.openxmlformats.org/officeDocument/2006/relationships/hyperlink" Target="https://doi.org/10.1148/radiol.233051" TargetMode="External"/><Relationship Id="rId207" Type="http://schemas.openxmlformats.org/officeDocument/2006/relationships/hyperlink" Target="https://drliuhao.github.io/mh-liver-pathways/evidence-libraries/" TargetMode="External"/><Relationship Id="rId208" Type="http://schemas.openxmlformats.org/officeDocument/2006/relationships/hyperlink" Target="https://dailymed.nlm.nih.gov/dailymed/drugInfo.cfm?setid=8baba4ea-2855-42fa-9bd9-5a7548d4cec3" TargetMode="External"/><Relationship Id="rId209" Type="http://schemas.openxmlformats.org/officeDocument/2006/relationships/hyperlink" Target="https://drliuhao.github.io/mh-liver-pathways/evidence-libraries/" TargetMode="External"/><Relationship Id="rId210" Type="http://schemas.openxmlformats.org/officeDocument/2006/relationships/hyperlink" Target="https://www.accessdata.fda.gov/drugsatfda_docs/label/2025/125554s129lbl.pdf" TargetMode="External"/><Relationship Id="rId211" Type="http://schemas.openxmlformats.org/officeDocument/2006/relationships/hyperlink" Target="https://drliuhao.github.io/mh-liver-pathways/evidence-libraries/" TargetMode="External"/><Relationship Id="rId212" Type="http://schemas.openxmlformats.org/officeDocument/2006/relationships/hyperlink" Target="https://doi.org/10.1016/S0140-6736(18)30207-1" TargetMode="External"/><Relationship Id="rId213" Type="http://schemas.openxmlformats.org/officeDocument/2006/relationships/hyperlink" Target="https://drliuhao.github.io/mh-liver-pathways/evidence-libraries/" TargetMode="External"/><Relationship Id="rId214" Type="http://schemas.openxmlformats.org/officeDocument/2006/relationships/hyperlink" Target="https://doi.org/10.1056/NEJMoa0708857" TargetMode="External"/><Relationship Id="rId215" Type="http://schemas.openxmlformats.org/officeDocument/2006/relationships/hyperlink" Target="https://doi.org/10.1001/jamaoncol.2023.4003" TargetMode="External"/><Relationship Id="rId216" Type="http://schemas.openxmlformats.org/officeDocument/2006/relationships/hyperlink" Target="https://drliuhao.github.io/mh-liver-pathways/evidence-libraries/" TargetMode="External"/><Relationship Id="rId217" Type="http://schemas.openxmlformats.org/officeDocument/2006/relationships/hyperlink" Target="https://www.accessdata.fda.gov/drugsatfda_docs/label/2026/761232s018lbl.pdf" TargetMode="External"/><Relationship Id="rId218" Type="http://schemas.openxmlformats.org/officeDocument/2006/relationships/hyperlink" Target="https://drliuhao.github.io/mh-liver-pathways/evidence-libraries/" TargetMode="External"/><Relationship Id="rId219" Type="http://schemas.openxmlformats.org/officeDocument/2006/relationships/hyperlink" Target="https://doi.org/10.1056/NEJMoa1717002" TargetMode="External"/><Relationship Id="rId220" Type="http://schemas.openxmlformats.org/officeDocument/2006/relationships/hyperlink" Target="https://drliuhao.github.io/mh-liver-pathways/evidence-libraries/" TargetMode="External"/><Relationship Id="rId221" Type="http://schemas.openxmlformats.org/officeDocument/2006/relationships/hyperlink" Target="https://doi.org/10.1016/S0140-6736(16)32453-9" TargetMode="External"/><Relationship Id="rId222" Type="http://schemas.openxmlformats.org/officeDocument/2006/relationships/hyperlink" Target="https://drliuhao.github.io/mh-liver-pathways/evidence-libraries/" TargetMode="External"/><Relationship Id="rId223" Type="http://schemas.openxmlformats.org/officeDocument/2006/relationships/hyperlink" Target="https://doi.org/10.1016/S1470-2045(18)30937-9" TargetMode="External"/><Relationship Id="rId224" Type="http://schemas.openxmlformats.org/officeDocument/2006/relationships/hyperlink" Target="https://drliuhao.github.io/mh-liver-pathways/evidence-libraries/" TargetMode="External"/><Relationship Id="rId225" Type="http://schemas.openxmlformats.org/officeDocument/2006/relationships/hyperlink" Target="https://doi.org/10.1016/S0140-6736(24)02575-3" TargetMode="External"/><Relationship Id="rId226" Type="http://schemas.openxmlformats.org/officeDocument/2006/relationships/hyperlink" Target="https://drliuhao.github.io/mh-liver-pathways/evidence-libraries/" TargetMode="External"/><Relationship Id="rId227" Type="http://schemas.openxmlformats.org/officeDocument/2006/relationships/hyperlink" Target="https://doi.org/10.1016/S0140-6736(24)02551-0" TargetMode="External"/><Relationship Id="rId228" Type="http://schemas.openxmlformats.org/officeDocument/2006/relationships/hyperlink" Target="https://drliuhao.github.io/mh-liver-pathways/evidence-libraries/" TargetMode="External"/><Relationship Id="rId229" Type="http://schemas.openxmlformats.org/officeDocument/2006/relationships/hyperlink" Target="https://doi.org/10.1016/S1470-2045(26)00278-0" TargetMode="External"/><Relationship Id="rId230" Type="http://schemas.openxmlformats.org/officeDocument/2006/relationships/hyperlink" Target="https://drliuhao.github.io/mh-liver-pathways/evidence-libraries/" TargetMode="External"/><Relationship Id="rId231" Type="http://schemas.openxmlformats.org/officeDocument/2006/relationships/hyperlink" Target="https://doi.org/10.1016/j.jhep.2026.01.006" TargetMode="External"/><Relationship Id="rId232" Type="http://schemas.openxmlformats.org/officeDocument/2006/relationships/hyperlink" Target="https://drliuhao.github.io/mh-liver-pathways/evidence-libraries/" TargetMode="External"/><Relationship Id="rId233" Type="http://schemas.openxmlformats.org/officeDocument/2006/relationships/hyperlink" Target="https://doi.org/10.1097/HEP.0000000000001269" TargetMode="External"/><Relationship Id="rId234" Type="http://schemas.openxmlformats.org/officeDocument/2006/relationships/hyperlink" Target="https://drliuhao.github.io/mh-liver-pathways/evidence-libraries/" TargetMode="External"/><Relationship Id="rId235" Type="http://schemas.openxmlformats.org/officeDocument/2006/relationships/hyperlink" Target="https://pubmed.ncbi.nlm.nih.gov/37760542" TargetMode="External"/><Relationship Id="rId236" Type="http://schemas.openxmlformats.org/officeDocument/2006/relationships/hyperlink" Target="https://drliuhao.github.io/mh-liver-pathways/evidence-libraries/" TargetMode="External"/><Relationship Id="rId237" Type="http://schemas.openxmlformats.org/officeDocument/2006/relationships/hyperlink" Target="https://edge.sitecorecloud.io/americancoldf5f-acrorgf92a-productioncb02-3650/media/ACR/Files/RADS/LI-RADS/LI-RADS-CTMR-Radiation-TRA-v2024-Core.pdf" TargetMode="External"/><Relationship Id="rId238" Type="http://schemas.openxmlformats.org/officeDocument/2006/relationships/hyperlink" Target="https://drliuhao.github.io/mh-liver-pathways/evidence-libraries/" TargetMode="External"/><Relationship Id="rId239" Type="http://schemas.openxmlformats.org/officeDocument/2006/relationships/hyperlink" Target="https://drliuhao.github.io/mh-liver-pathways/evidence-libraries/" TargetMode="External"/><Relationship Id="rId240" Type="http://schemas.openxmlformats.org/officeDocument/2006/relationships/hyperlink" Target="https://doi.org/10.1016/j.jhep.2021.11.030" TargetMode="External"/><Relationship Id="rId241" Type="http://schemas.openxmlformats.org/officeDocument/2006/relationships/hyperlink" Target="https://drliuhao.github.io/mh-liver-pathways/evidence-libraries/" TargetMode="External"/><Relationship Id="rId242" Type="http://schemas.openxmlformats.org/officeDocument/2006/relationships/hyperlink" Target="https://doi.org/10.1016/j.jhep.2024.08.028" TargetMode="External"/><Relationship Id="rId243" Type="http://schemas.openxmlformats.org/officeDocument/2006/relationships/hyperlink" Target="https://drliuhao.github.io/mh-liver-pathways/evidence-libraries/" TargetMode="External"/><Relationship Id="rId244" Type="http://schemas.openxmlformats.org/officeDocument/2006/relationships/hyperlink" Target="https://www.gene.com/download/pdf/avastin_prescribing.pdf" TargetMode="External"/><Relationship Id="rId245" Type="http://schemas.openxmlformats.org/officeDocument/2006/relationships/hyperlink" Target="https://drliuhao.github.io/mh-liver-pathways/evidence-libraries/" TargetMode="External"/><Relationship Id="rId246" Type="http://schemas.openxmlformats.org/officeDocument/2006/relationships/hyperlink" Target="https://doi.org/10.1056/EVIDoa2100070" TargetMode="External"/><Relationship Id="rId247" Type="http://schemas.openxmlformats.org/officeDocument/2006/relationships/hyperlink" Target="https://drliuhao.github.io/mh-liver-pathways/evidence-libraries/" TargetMode="External"/><Relationship Id="rId248" Type="http://schemas.openxmlformats.org/officeDocument/2006/relationships/hyperlink" Target="https://dailymed.nlm.nih.gov/dailymed/drugInfo.cfm?setid=8baba4ea-2855-42fa-9bd9-5a7548d4cec3" TargetMode="External"/><Relationship Id="rId249" Type="http://schemas.openxmlformats.org/officeDocument/2006/relationships/hyperlink" Target="https://drliuhao.github.io/mh-liver-pathways/evidence-libraries/" TargetMode="External"/><Relationship Id="rId250" Type="http://schemas.openxmlformats.org/officeDocument/2006/relationships/hyperlink" Target="https://doi.org/10.1016/S0140-6736(25)00403-9" TargetMode="External"/><Relationship Id="rId251" Type="http://schemas.openxmlformats.org/officeDocument/2006/relationships/hyperlink" Target="https://drliuhao.github.io/mh-liver-pathways/evidence-libraries/" TargetMode="External"/><Relationship Id="rId252" Type="http://schemas.openxmlformats.org/officeDocument/2006/relationships/hyperlink" Target="https://www.accessdata.fda.gov/drugsatfda_docs/label/2025/125554s129lbl.pdf" TargetMode="External"/><Relationship Id="rId253" Type="http://schemas.openxmlformats.org/officeDocument/2006/relationships/hyperlink" Target="https://drliuhao.github.io/mh-liver-pathways/evidence-libraries/" TargetMode="External"/><Relationship Id="rId254" Type="http://schemas.openxmlformats.org/officeDocument/2006/relationships/hyperlink" Target="https://doi.org/10.1016/S0140-6736(18)30207-1" TargetMode="External"/><Relationship Id="rId255" Type="http://schemas.openxmlformats.org/officeDocument/2006/relationships/hyperlink" Target="https://drliuhao.github.io/mh-liver-pathways/evidence-libraries/" TargetMode="External"/><Relationship Id="rId256" Type="http://schemas.openxmlformats.org/officeDocument/2006/relationships/hyperlink" Target="https://www.nccn.org/professionals/physician_gls/pdf/hcc.pdf#page=10" TargetMode="External"/><Relationship Id="rId257" Type="http://schemas.openxmlformats.org/officeDocument/2006/relationships/hyperlink" Target="https://drliuhao.github.io/mh-liver-pathways/evidence-libraries/" TargetMode="External"/><Relationship Id="rId258" Type="http://schemas.openxmlformats.org/officeDocument/2006/relationships/hyperlink" Target="https://doi.org/10.1056/NEJMoa0708857" TargetMode="External"/><Relationship Id="rId259" Type="http://schemas.openxmlformats.org/officeDocument/2006/relationships/hyperlink" Target="https://drliuhao.github.io/mh-liver-pathways/evidence-libraries/" TargetMode="External"/><Relationship Id="rId260" Type="http://schemas.openxmlformats.org/officeDocument/2006/relationships/hyperlink" Target="https://doi.org/10.1097/HEP.0000000000000466" TargetMode="External"/><Relationship Id="rId261" Type="http://schemas.openxmlformats.org/officeDocument/2006/relationships/hyperlink" Target="https://drliuhao.github.io/mh-liver-pathways/evidence-libraries/" TargetMode="External"/><Relationship Id="rId262" Type="http://schemas.openxmlformats.org/officeDocument/2006/relationships/hyperlink" Target="https://doi.org/10.1056/EVIDoa2100070" TargetMode="External"/><Relationship Id="rId263" Type="http://schemas.openxmlformats.org/officeDocument/2006/relationships/hyperlink" Target="https://drliuhao.github.io/mh-liver-pathways/evidence-libraries/" TargetMode="External"/><Relationship Id="rId264" Type="http://schemas.openxmlformats.org/officeDocument/2006/relationships/hyperlink" Target="https://www.nccn.org/professionals/physician_gls/pdf/hcc.pdf#page=10" TargetMode="External"/><Relationship Id="rId265" Type="http://schemas.openxmlformats.org/officeDocument/2006/relationships/hyperlink" Target="https://drliuhao.github.io/mh-liver-pathways/evidence-libraries/" TargetMode="External"/><Relationship Id="rId266" Type="http://schemas.openxmlformats.org/officeDocument/2006/relationships/hyperlink" Target="https://dailymed.nlm.nih.gov/dailymed/drugInfo.cfm?setid=8baba4ea-2855-42fa-9bd9-5a7548d4cec3" TargetMode="External"/><Relationship Id="rId267" Type="http://schemas.openxmlformats.org/officeDocument/2006/relationships/hyperlink" Target="https://drliuhao.github.io/mh-liver-pathways/evidence-libraries/" TargetMode="External"/><Relationship Id="rId268" Type="http://schemas.openxmlformats.org/officeDocument/2006/relationships/hyperlink" Target="https://doi.org/10.1001/jamaoncol.2023.4003" TargetMode="External"/><Relationship Id="rId269" Type="http://schemas.openxmlformats.org/officeDocument/2006/relationships/hyperlink" Target="https://drliuhao.github.io/mh-liver-pathways/evidence-libraries/" TargetMode="External"/><Relationship Id="rId270" Type="http://schemas.openxmlformats.org/officeDocument/2006/relationships/hyperlink" Target="https://www.nccn.org/professionals/physician_gls/pdf/hcc.pdf#page=10" TargetMode="External"/><Relationship Id="rId271" Type="http://schemas.openxmlformats.org/officeDocument/2006/relationships/hyperlink" Target="https://drliuhao.github.io/mh-liver-pathways/evidence-libraries/" TargetMode="External"/><Relationship Id="rId272" Type="http://schemas.openxmlformats.org/officeDocument/2006/relationships/hyperlink" Target="https://www.accessdata.fda.gov/drugsatfda_docs/label/2026/761232s018lbl.pdf" TargetMode="External"/><Relationship Id="rId273" Type="http://schemas.openxmlformats.org/officeDocument/2006/relationships/hyperlink" Target="https://drliuhao.github.io/mh-liver-pathways/evidence-libraries/" TargetMode="External"/><Relationship Id="rId274" Type="http://schemas.openxmlformats.org/officeDocument/2006/relationships/hyperlink" Target="https://www.nccn.org/professionals/physician_gls/pdf/hcc.pdf#page=10" TargetMode="External"/><Relationship Id="rId275" Type="http://schemas.openxmlformats.org/officeDocument/2006/relationships/hyperlink" Target="https://drliuhao.github.io/mh-liver-pathways/evidence-libraries/" TargetMode="External"/><Relationship Id="rId276" Type="http://schemas.openxmlformats.org/officeDocument/2006/relationships/hyperlink" Target="https://www.accessdata.fda.gov/drugsatfda_docs/label/2025/125514s178lbl.pdf" TargetMode="External"/><Relationship Id="rId277" Type="http://schemas.openxmlformats.org/officeDocument/2006/relationships/hyperlink" Target="https://drliuhao.github.io/mh-liver-pathways/evidence-libraries/" TargetMode="External"/><Relationship Id="rId278" Type="http://schemas.openxmlformats.org/officeDocument/2006/relationships/hyperlink" Target="https://doi.org/10.1056/NEJMoa1717002" TargetMode="External"/><Relationship Id="rId279" Type="http://schemas.openxmlformats.org/officeDocument/2006/relationships/hyperlink" Target="https://drliuhao.github.io/mh-liver-pathways/evidence-libraries/" TargetMode="External"/><Relationship Id="rId280" Type="http://schemas.openxmlformats.org/officeDocument/2006/relationships/hyperlink" Target="https://www.nccn.org/professionals/physician_gls/pdf/hcc.pdf#page=10" TargetMode="External"/><Relationship Id="rId281" Type="http://schemas.openxmlformats.org/officeDocument/2006/relationships/hyperlink" Target="https://drliuhao.github.io/mh-liver-pathways/evidence-libraries/" TargetMode="External"/><Relationship Id="rId282" Type="http://schemas.openxmlformats.org/officeDocument/2006/relationships/hyperlink" Target="https://doi.org/10.1016/S0140-6736(16)32453-9" TargetMode="External"/><Relationship Id="rId283" Type="http://schemas.openxmlformats.org/officeDocument/2006/relationships/hyperlink" Target="https://drliuhao.github.io/mh-liver-pathways/evidence-libraries/" TargetMode="External"/><Relationship Id="rId284" Type="http://schemas.openxmlformats.org/officeDocument/2006/relationships/hyperlink" Target="https://www.nccn.org/professionals/physician_gls/pdf/hcc.pdf#page=10" TargetMode="External"/><Relationship Id="rId285" Type="http://schemas.openxmlformats.org/officeDocument/2006/relationships/hyperlink" Target="https://drliuhao.github.io/mh-liver-pathways/evidence-libraries/" TargetMode="External"/><Relationship Id="rId286" Type="http://schemas.openxmlformats.org/officeDocument/2006/relationships/hyperlink" Target="https://doi.org/10.1016/S1470-2045(18)30937-9" TargetMode="External"/><Relationship Id="rId287" Type="http://schemas.openxmlformats.org/officeDocument/2006/relationships/hyperlink" Target="https://drliuhao.github.io/mh-liver-pathways/evidence-libraries/" TargetMode="External"/><Relationship Id="rId288" Type="http://schemas.openxmlformats.org/officeDocument/2006/relationships/hyperlink" Target="https://www.nccn.org/professionals/physician_gls/pdf/hcc.pdf#page=10" TargetMode="External"/><Relationship Id="rId289" Type="http://schemas.openxmlformats.org/officeDocument/2006/relationships/hyperlink" Target="https://drliuhao.github.io/mh-liver-pathways/evidence-libraries/" TargetMode="External"/><Relationship Id="rId290" Type="http://schemas.openxmlformats.org/officeDocument/2006/relationships/hyperlink" Target="https://doi.org/10.1200/JCO.22.00620" TargetMode="External"/><Relationship Id="rId291" Type="http://schemas.openxmlformats.org/officeDocument/2006/relationships/hyperlink" Target="https://drliuhao.github.io/mh-liver-pathways/evidence-libraries/" TargetMode="External"/><Relationship Id="rId292" Type="http://schemas.openxmlformats.org/officeDocument/2006/relationships/hyperlink" Target="https://www.accessdata.fda.gov/drugsatfda_docs/label/2025/125514s178lbl.pdf" TargetMode="External"/><Relationship Id="rId293" Type="http://schemas.openxmlformats.org/officeDocument/2006/relationships/hyperlink" Target="https://drliuhao.github.io/mh-liver-pathways/evidence-libraries/" TargetMode="External"/><Relationship Id="rId294" Type="http://schemas.openxmlformats.org/officeDocument/2006/relationships/hyperlink" Target="https://www.nccn.org/professionals/physician_gls/pdf/hcc.pdf#page=10" TargetMode="External"/><Relationship Id="rId295" Type="http://schemas.openxmlformats.org/officeDocument/2006/relationships/hyperlink" Target="https://drliuhao.github.io/mh-liver-pathways/evidence-libraries/" TargetMode="External"/><Relationship Id="rId296" Type="http://schemas.openxmlformats.org/officeDocument/2006/relationships/hyperlink" Target="https://doi.org/10.1016/j.jhep.2024.08.028" TargetMode="External"/><Relationship Id="rId297" Type="http://schemas.openxmlformats.org/officeDocument/2006/relationships/hyperlink" Target="https://drliuhao.github.io/mh-liver-pathways/evidence-libraries/" TargetMode="External"/><Relationship Id="rId298" Type="http://schemas.openxmlformats.org/officeDocument/2006/relationships/hyperlink" Target="https://www.nccn.org/professionals/physician_gls/pdf/hcc.pdf#page=10" TargetMode="External"/><Relationship Id="rId299" Type="http://schemas.openxmlformats.org/officeDocument/2006/relationships/hyperlink" Target="https://drliuhao.github.io/mh-liver-pathways/evidence-libraries/" TargetMode="External"/><Relationship Id="rId300" Type="http://schemas.openxmlformats.org/officeDocument/2006/relationships/hyperlink" Target="https://www.accessdata.fda.gov/drugsatfda_docs/label/2025/125554s129lbl.pdf" TargetMode="External"/><Relationship Id="rId301" Type="http://schemas.openxmlformats.org/officeDocument/2006/relationships/hyperlink" Target="https://drliuhao.github.io/mh-liver-pathways/evidence-libraries/" TargetMode="External"/><Relationship Id="rId302" Type="http://schemas.openxmlformats.org/officeDocument/2006/relationships/hyperlink" Target="https://www.nccn.org/professionals/physician_gls/pdf/hcc.pdf#page=10" TargetMode="External"/><Relationship Id="rId303" Type="http://schemas.openxmlformats.org/officeDocument/2006/relationships/hyperlink" Target="https://drliuhao.github.io/mh-liver-pathways/evidence-libraries/" TargetMode="External"/><Relationship Id="rId304" Type="http://schemas.openxmlformats.org/officeDocument/2006/relationships/hyperlink" Target="https://www.accessdata.fda.gov/drugsatfda_docs/label/2025/125514s178lbl.pdf" TargetMode="External"/><Relationship Id="rId305" Type="http://schemas.openxmlformats.org/officeDocument/2006/relationships/hyperlink" Target="https://drliuhao.github.io/mh-liver-pathways/evidence-libraries/" TargetMode="External"/><Relationship Id="rId306" Type="http://schemas.openxmlformats.org/officeDocument/2006/relationships/hyperlink" Target="https://www.nccn.org/professionals/physician_gls/pdf/hcc.pdf#page=10" TargetMode="External"/><Relationship Id="rId307" Type="http://schemas.openxmlformats.org/officeDocument/2006/relationships/hyperlink" Target="https://drliuhao.github.io/mh-liver-pathways/evidence-libraries/" TargetMode="External"/><Relationship Id="rId308" Type="http://schemas.openxmlformats.org/officeDocument/2006/relationships/hyperlink" Target="https://www.nccn.org/professionals/physician_gls/pdf/hcc.pdf#page=10" TargetMode="External"/><Relationship Id="rId309" Type="http://schemas.openxmlformats.org/officeDocument/2006/relationships/hyperlink" Target="https://drliuhao.github.io/mh-liver-pathways/evidence-libraries/" TargetMode="External"/><Relationship Id="rId310" Type="http://schemas.openxmlformats.org/officeDocument/2006/relationships/hyperlink" Target="https://doi.org/10.1016/S0140-6736(24)02575-3" TargetMode="External"/><Relationship Id="rId311" Type="http://schemas.openxmlformats.org/officeDocument/2006/relationships/hyperlink" Target="https://drliuhao.github.io/mh-liver-pathways/evidence-libraries/" TargetMode="External"/><Relationship Id="rId312" Type="http://schemas.openxmlformats.org/officeDocument/2006/relationships/hyperlink" Target="https://doi.org/10.1016/S0140-6736(24)02551-0" TargetMode="External"/><Relationship Id="rId313" Type="http://schemas.openxmlformats.org/officeDocument/2006/relationships/hyperlink" Target="https://drliuhao.github.io/mh-liver-pathways/evidence-libraries/" TargetMode="External"/><Relationship Id="rId314" Type="http://schemas.openxmlformats.org/officeDocument/2006/relationships/hyperlink" Target="https://doi.org/10.1016/S1470-2045(26)00278-0" TargetMode="External"/><Relationship Id="rId315" Type="http://schemas.openxmlformats.org/officeDocument/2006/relationships/hyperlink" Target="https://drliuhao.github.io/mh-liver-pathways/evidence-libraries/" TargetMode="External"/><Relationship Id="rId316" Type="http://schemas.openxmlformats.org/officeDocument/2006/relationships/hyperlink" Target="https://doi.org/10.1002/hep.30413" TargetMode="External"/><Relationship Id="rId317" Type="http://schemas.openxmlformats.org/officeDocument/2006/relationships/hyperlink" Target="https://drliuhao.github.io/mh-liver-pathways/evidence-libraries/" TargetMode="External"/><Relationship Id="rId318" Type="http://schemas.openxmlformats.org/officeDocument/2006/relationships/hyperlink" Target="https://doi.org/10.1002/lt.26392" TargetMode="External"/><Relationship Id="rId319" Type="http://schemas.openxmlformats.org/officeDocument/2006/relationships/hyperlink" Target="https://drliuhao.github.io/mh-liver-pathways/evidence-libraries/" TargetMode="External"/><Relationship Id="rId320" Type="http://schemas.openxmlformats.org/officeDocument/2006/relationships/hyperlink" Target="https://doi.org/10.1097/TP.0000000000002094" TargetMode="External"/><Relationship Id="rId321" Type="http://schemas.openxmlformats.org/officeDocument/2006/relationships/hyperlink" Target="https://drliuhao.github.io/mh-liver-pathways/evidence-libraries/" TargetMode="External"/><Relationship Id="rId322" Type="http://schemas.openxmlformats.org/officeDocument/2006/relationships/hyperlink" Target="https://doi.org/10.1001/jamasurg.2021.0954" TargetMode="External"/><Relationship Id="rId323" Type="http://schemas.openxmlformats.org/officeDocument/2006/relationships/hyperlink" Target="https://drliuhao.github.io/mh-liver-pathways/evidence-libraries/" TargetMode="External"/><Relationship Id="rId324" Type="http://schemas.openxmlformats.org/officeDocument/2006/relationships/hyperlink" Target="https://doi.org/10.1002/cam4.71812" TargetMode="External"/><Relationship Id="rId325" Type="http://schemas.openxmlformats.org/officeDocument/2006/relationships/hyperlink" Target="https://drliuhao.github.io/mh-liver-pathways/evidence-libraries/" TargetMode="External"/><Relationship Id="rId326" Type="http://schemas.openxmlformats.org/officeDocument/2006/relationships/hyperlink" Target="https://doi.org/10.1056/NEJMoa0708857" TargetMode="External"/><Relationship Id="rId327" Type="http://schemas.openxmlformats.org/officeDocument/2006/relationships/hyperlink" Target="https://drliuhao.github.io/mh-liver-pathways/evidence-libraries/" TargetMode="External"/><Relationship Id="rId328" Type="http://schemas.openxmlformats.org/officeDocument/2006/relationships/hyperlink" Target="https://doi.org/10.1002/hep.30413" TargetMode="External"/><Relationship Id="rId329" Type="http://schemas.openxmlformats.org/officeDocument/2006/relationships/hyperlink" Target="https://drliuhao.github.io/mh-liver-pathways/evidence-libraries/" TargetMode="External"/><Relationship Id="rId330" Type="http://schemas.openxmlformats.org/officeDocument/2006/relationships/hyperlink" Target="https://doi.org/10.1002/lt.26392" TargetMode="External"/><Relationship Id="rId331" Type="http://schemas.openxmlformats.org/officeDocument/2006/relationships/hyperlink" Target="https://drliuhao.github.io/mh-liver-pathways/evidence-libraries/" TargetMode="External"/><Relationship Id="rId332" Type="http://schemas.openxmlformats.org/officeDocument/2006/relationships/hyperlink" Target="https://doi.org/10.1097/TP.0000000000002094" TargetMode="External"/><Relationship Id="rId333" Type="http://schemas.openxmlformats.org/officeDocument/2006/relationships/hyperlink" Target="https://drliuhao.github.io/mh-liver-pathways/evidence-libraries/" TargetMode="External"/><Relationship Id="rId334" Type="http://schemas.openxmlformats.org/officeDocument/2006/relationships/hyperlink" Target="https://doi.org/10.1001/jamasurg.2021.0954" TargetMode="External"/><Relationship Id="rId335" Type="http://schemas.openxmlformats.org/officeDocument/2006/relationships/hyperlink" Target="https://drliuhao.github.io/mh-liver-pathways/evidence-libraries/" TargetMode="External"/><Relationship Id="rId336" Type="http://schemas.openxmlformats.org/officeDocument/2006/relationships/hyperlink" Target="https://doi.org/10.1002/cam4.71812" TargetMode="External"/><Relationship Id="rId337" Type="http://schemas.openxmlformats.org/officeDocument/2006/relationships/hyperlink" Target="https://drliuhao.github.io/mh-liver-pathways/evidence-libraries/" TargetMode="External"/><Relationship Id="rId338" Type="http://schemas.openxmlformats.org/officeDocument/2006/relationships/hyperlink" Target="https://doi.org/10.1016/j.jhep.2024.08.028" TargetMode="External"/><Relationship Id="rId339" Type="http://schemas.openxmlformats.org/officeDocument/2006/relationships/hyperlink" Target="https://drliuhao.github.io/mh-liver-pathways/evidence-libraries/" TargetMode="External"/><Relationship Id="rId340" Type="http://schemas.openxmlformats.org/officeDocument/2006/relationships/hyperlink" Target="https://doi.org/10.1016/j.jhep.2021.11.030" TargetMode="External"/><Relationship Id="rId341" Type="http://schemas.openxmlformats.org/officeDocument/2006/relationships/hyperlink" Target="https://drliuhao.github.io/mh-liver-pathways/evidence-libraries/" TargetMode="External"/><Relationship Id="rId342" Type="http://schemas.openxmlformats.org/officeDocument/2006/relationships/hyperlink" Target="https://www.gene.com/download/pdf/avastin_prescribing.pdf" TargetMode="External"/><Relationship Id="rId343" Type="http://schemas.openxmlformats.org/officeDocument/2006/relationships/hyperlink" Target="https://drliuhao.github.io/mh-liver-pathways/evidence-libraries/" TargetMode="External"/><Relationship Id="rId344" Type="http://schemas.openxmlformats.org/officeDocument/2006/relationships/hyperlink" Target="https://doi.org/10.1016/S0140-6736(25)00403-9" TargetMode="External"/><Relationship Id="rId345" Type="http://schemas.openxmlformats.org/officeDocument/2006/relationships/hyperlink" Target="https://drliuhao.github.io/mh-liver-pathways/evidence-libraries/" TargetMode="External"/><Relationship Id="rId346" Type="http://schemas.openxmlformats.org/officeDocument/2006/relationships/hyperlink" Target="https://doi.org/10.1056/NEJMoa1915745" TargetMode="External"/><Relationship Id="rId347" Type="http://schemas.openxmlformats.org/officeDocument/2006/relationships/hyperlink" Target="https://drliuhao.github.io/mh-liver-pathways/evidence-libraries/" TargetMode="External"/><Relationship Id="rId348" Type="http://schemas.openxmlformats.org/officeDocument/2006/relationships/hyperlink" Target="https://doi.org/10.1056/EVIDoa2100070" TargetMode="External"/><Relationship Id="rId349" Type="http://schemas.openxmlformats.org/officeDocument/2006/relationships/hyperlink" Target="https://drliuhao.github.io/mh-liver-pathways/evidence-libraries/" TargetMode="External"/><Relationship Id="rId350" Type="http://schemas.openxmlformats.org/officeDocument/2006/relationships/hyperlink" Target="https://www.nccn.org/professionals/physician_gls/pdf/hcc.pdf#page=10" TargetMode="External"/><Relationship Id="rId351" Type="http://schemas.openxmlformats.org/officeDocument/2006/relationships/hyperlink" Target="https://drliuhao.github.io/mh-liver-pathways/evidence-libraries/" TargetMode="External"/><Relationship Id="rId352" Type="http://schemas.openxmlformats.org/officeDocument/2006/relationships/hyperlink" Target="https://www.accessdata.fda.gov/drugsatfda_docs/label/2025/125514s178lbl.pdf" TargetMode="External"/><Relationship Id="rId353" Type="http://schemas.openxmlformats.org/officeDocument/2006/relationships/hyperlink" Target="https://drliuhao.github.io/mh-liver-pathways/evidence-libraries/" TargetMode="External"/><Relationship Id="rId354" Type="http://schemas.openxmlformats.org/officeDocument/2006/relationships/hyperlink" Target="https://doi.org/10.1200/JCO.22.00620" TargetMode="External"/><Relationship Id="rId355" Type="http://schemas.openxmlformats.org/officeDocument/2006/relationships/hyperlink" Target="https://drliuhao.github.io/mh-liver-pathways/evidence-libraries/" TargetMode="External"/><Relationship Id="rId356" Type="http://schemas.openxmlformats.org/officeDocument/2006/relationships/hyperlink" Target="https://doi.org/10.1097/HEP.0000000000001289" TargetMode="External"/><Relationship Id="rId357" Type="http://schemas.openxmlformats.org/officeDocument/2006/relationships/hyperlink" Target="https://drliuhao.github.io/mh-liver-pathways/evidence-libraries/" TargetMode="External"/><Relationship Id="rId358" Type="http://schemas.openxmlformats.org/officeDocument/2006/relationships/hyperlink" Target="https://doi.org/10.1016/j.jhep.2024.09.003" TargetMode="External"/><Relationship Id="rId359" Type="http://schemas.openxmlformats.org/officeDocument/2006/relationships/hyperlink" Target="https://drliuhao.github.io/mh-liver-pathways/evidence-libraries/" TargetMode="External"/><Relationship Id="rId360" Type="http://schemas.openxmlformats.org/officeDocument/2006/relationships/hyperlink" Target="https://doi.org/10.1097/HEP.0000000000000466" TargetMode="External"/><Relationship Id="rId361" Type="http://schemas.openxmlformats.org/officeDocument/2006/relationships/hyperlink" Target="https://drliuhao.github.io/mh-liver-pathways/evidence-libraries/" TargetMode="External"/><Relationship Id="rId362" Type="http://schemas.openxmlformats.org/officeDocument/2006/relationships/hyperlink" Target="https://doi.org/10.1016/S2468-1253(22)00091-7" TargetMode="External"/><Relationship Id="rId363" Type="http://schemas.openxmlformats.org/officeDocument/2006/relationships/hyperlink" Target="https://drliuhao.github.io/mh-liver-pathways/evidence-libraries/" TargetMode="External"/><Relationship Id="rId364" Type="http://schemas.openxmlformats.org/officeDocument/2006/relationships/hyperlink" Target="https://doi.org/10.1002/hep.31819" TargetMode="External"/><Relationship Id="rId365" Type="http://schemas.openxmlformats.org/officeDocument/2006/relationships/hyperlink" Target="https://drliuhao.github.io/mh-liver-pathways/evidence-libraries/" TargetMode="External"/><Relationship Id="rId366" Type="http://schemas.openxmlformats.org/officeDocument/2006/relationships/hyperlink" Target="https://doi.org/10.1016/j.prro.2021.09.004" TargetMode="External"/><Relationship Id="rId367" Type="http://schemas.openxmlformats.org/officeDocument/2006/relationships/hyperlink" Target="https://drliuhao.github.io/mh-liver-pathways/evidence-libraries/" TargetMode="External"/><Relationship Id="rId368" Type="http://schemas.openxmlformats.org/officeDocument/2006/relationships/hyperlink" Target="https://doi.org/10.1200/JCO.21.01963" TargetMode="External"/><Relationship Id="rId369" Type="http://schemas.openxmlformats.org/officeDocument/2006/relationships/hyperlink" Target="https://drliuhao.github.io/mh-liver-pathways/evidence-libraries/" TargetMode="External"/><Relationship Id="rId370" Type="http://schemas.openxmlformats.org/officeDocument/2006/relationships/hyperlink" Target="https://doi.org/10.1148/radiol.233051" TargetMode="External"/><Relationship Id="rId371" Type="http://schemas.openxmlformats.org/officeDocument/2006/relationships/hyperlink" Target="https://drliuhao.github.io/mh-liver-pathways/evidence-libraries/" TargetMode="External"/><Relationship Id="rId372" Type="http://schemas.openxmlformats.org/officeDocument/2006/relationships/hyperlink" Target="https://dailymed.nlm.nih.gov/dailymed/drugInfo.cfm?setid=8baba4ea-2855-42fa-9bd9-5a7548d4cec3" TargetMode="External"/><Relationship Id="rId373" Type="http://schemas.openxmlformats.org/officeDocument/2006/relationships/hyperlink" Target="https://drliuhao.github.io/mh-liver-pathways/evidence-libraries/" TargetMode="External"/><Relationship Id="rId374" Type="http://schemas.openxmlformats.org/officeDocument/2006/relationships/hyperlink" Target="https://www.accessdata.fda.gov/drugsatfda_docs/label/2025/125554s129lbl.pdf" TargetMode="External"/><Relationship Id="rId375" Type="http://schemas.openxmlformats.org/officeDocument/2006/relationships/hyperlink" Target="https://drliuhao.github.io/mh-liver-pathways/evidence-libraries/" TargetMode="External"/><Relationship Id="rId376" Type="http://schemas.openxmlformats.org/officeDocument/2006/relationships/hyperlink" Target="https://doi.org/10.1016/S0140-6736(18)30207-1" TargetMode="External"/><Relationship Id="rId377" Type="http://schemas.openxmlformats.org/officeDocument/2006/relationships/hyperlink" Target="https://drliuhao.github.io/mh-liver-pathways/evidence-libraries/" TargetMode="External"/><Relationship Id="rId378" Type="http://schemas.openxmlformats.org/officeDocument/2006/relationships/hyperlink" Target="https://doi.org/10.1056/NEJMoa0708857" TargetMode="External"/><Relationship Id="rId379" Type="http://schemas.openxmlformats.org/officeDocument/2006/relationships/hyperlink" Target="https://drliuhao.github.io/mh-liver-pathways/evidence-libraries/" TargetMode="External"/><Relationship Id="rId380" Type="http://schemas.openxmlformats.org/officeDocument/2006/relationships/hyperlink" Target="https://doi.org/10.1001/jamaoncol.2023.4003" TargetMode="External"/><Relationship Id="rId381" Type="http://schemas.openxmlformats.org/officeDocument/2006/relationships/hyperlink" Target="https://drliuhao.github.io/mh-liver-pathways/evidence-libraries/" TargetMode="External"/><Relationship Id="rId382" Type="http://schemas.openxmlformats.org/officeDocument/2006/relationships/hyperlink" Target="https://www.accessdata.fda.gov/drugsatfda_docs/label/2026/761232s018lbl.pdf" TargetMode="External"/><Relationship Id="rId383" Type="http://schemas.openxmlformats.org/officeDocument/2006/relationships/hyperlink" Target="https://drliuhao.github.io/mh-liver-pathways/evidence-libraries/" TargetMode="External"/><Relationship Id="rId384" Type="http://schemas.openxmlformats.org/officeDocument/2006/relationships/hyperlink" Target="https://doi.org/10.1056/NEJMoa1717002" TargetMode="External"/><Relationship Id="rId385" Type="http://schemas.openxmlformats.org/officeDocument/2006/relationships/hyperlink" Target="https://drliuhao.github.io/mh-liver-pathways/evidence-libraries/" TargetMode="External"/><Relationship Id="rId386" Type="http://schemas.openxmlformats.org/officeDocument/2006/relationships/hyperlink" Target="https://doi.org/10.1016/S0140-6736(16)32453-9" TargetMode="External"/><Relationship Id="rId387" Type="http://schemas.openxmlformats.org/officeDocument/2006/relationships/hyperlink" Target="https://drliuhao.github.io/mh-liver-pathways/evidence-libraries/" TargetMode="External"/><Relationship Id="rId388" Type="http://schemas.openxmlformats.org/officeDocument/2006/relationships/hyperlink" Target="https://doi.org/10.1016/S1470-2045(18)30937-9" TargetMode="External"/><Relationship Id="rId389" Type="http://schemas.openxmlformats.org/officeDocument/2006/relationships/hyperlink" Target="https://drliuhao.github.io/mh-liver-pathways/evidence-libraries/" TargetMode="External"/><Relationship Id="rId390" Type="http://schemas.openxmlformats.org/officeDocument/2006/relationships/hyperlink" Target="https://doi.org/10.1016/S0140-6736(24)02575-3" TargetMode="External"/><Relationship Id="rId391" Type="http://schemas.openxmlformats.org/officeDocument/2006/relationships/hyperlink" Target="https://drliuhao.github.io/mh-liver-pathways/evidence-libraries/" TargetMode="External"/><Relationship Id="rId392" Type="http://schemas.openxmlformats.org/officeDocument/2006/relationships/hyperlink" Target="https://doi.org/10.1016/S0140-6736(24)02551-0" TargetMode="External"/><Relationship Id="rId393" Type="http://schemas.openxmlformats.org/officeDocument/2006/relationships/hyperlink" Target="https://drliuhao.github.io/mh-liver-pathways/evidence-libraries/" TargetMode="External"/><Relationship Id="rId394" Type="http://schemas.openxmlformats.org/officeDocument/2006/relationships/hyperlink" Target="https://doi.org/10.1016/S1470-2045(26)00278-0" TargetMode="External"/><Relationship Id="rId395" Type="http://schemas.openxmlformats.org/officeDocument/2006/relationships/hyperlink" Target="https://drliuhao.github.io/mh-liver-pathways/evidence-libraries/" TargetMode="External"/><Relationship Id="rId396" Type="http://schemas.openxmlformats.org/officeDocument/2006/relationships/hyperlink" Target="https://doi.org/10.1002/hep.30413" TargetMode="External"/><Relationship Id="rId397" Type="http://schemas.openxmlformats.org/officeDocument/2006/relationships/hyperlink" Target="https://drliuhao.github.io/mh-liver-pathways/evidence-libraries/" TargetMode="External"/><Relationship Id="rId398" Type="http://schemas.openxmlformats.org/officeDocument/2006/relationships/hyperlink" Target="https://doi.org/10.1002/lt.26392" TargetMode="External"/><Relationship Id="rId399" Type="http://schemas.openxmlformats.org/officeDocument/2006/relationships/hyperlink" Target="https://drliuhao.github.io/mh-liver-pathways/evidence-libraries/" TargetMode="External"/><Relationship Id="rId400" Type="http://schemas.openxmlformats.org/officeDocument/2006/relationships/hyperlink" Target="https://doi.org/10.1097/TP.0000000000002094" TargetMode="External"/><Relationship Id="rId401" Type="http://schemas.openxmlformats.org/officeDocument/2006/relationships/hyperlink" Target="https://drliuhao.github.io/mh-liver-pathways/evidence-libraries/" TargetMode="External"/><Relationship Id="rId402" Type="http://schemas.openxmlformats.org/officeDocument/2006/relationships/hyperlink" Target="https://doi.org/10.1001/jamasurg.2021.0954" TargetMode="External"/><Relationship Id="rId403" Type="http://schemas.openxmlformats.org/officeDocument/2006/relationships/hyperlink" Target="https://drliuhao.github.io/mh-liver-pathways/evidence-libraries/" TargetMode="External"/><Relationship Id="rId404" Type="http://schemas.openxmlformats.org/officeDocument/2006/relationships/hyperlink" Target="https://doi.org/10.1002/cam4.71812" TargetMode="External"/><Relationship Id="rId405" Type="http://schemas.openxmlformats.org/officeDocument/2006/relationships/hyperlink" Target="https://drliuhao.github.io/mh-liver-pathways/evidence-libraries/" TargetMode="External"/><Relationship Id="rId406" Type="http://schemas.openxmlformats.org/officeDocument/2006/relationships/hyperlink" Target="https://doi.org/10.1016/j.jhep.2026.01.006" TargetMode="External"/><Relationship Id="rId407" Type="http://schemas.openxmlformats.org/officeDocument/2006/relationships/hyperlink" Target="https://drliuhao.github.io/mh-liver-pathways/evidence-libraries/" TargetMode="External"/><Relationship Id="rId408" Type="http://schemas.openxmlformats.org/officeDocument/2006/relationships/hyperlink" Target="https://doi.org/10.1097/HEP.0000000000001269" TargetMode="External"/><Relationship Id="rId409" Type="http://schemas.openxmlformats.org/officeDocument/2006/relationships/hyperlink" Target="https://drliuhao.github.io/mh-liver-pathways/evidence-libraries/" TargetMode="External"/><Relationship Id="rId410" Type="http://schemas.openxmlformats.org/officeDocument/2006/relationships/hyperlink" Target="https://pubmed.ncbi.nlm.nih.gov/37760542" TargetMode="External"/><Relationship Id="rId411" Type="http://schemas.openxmlformats.org/officeDocument/2006/relationships/hyperlink" Target="https://drliuhao.github.io/mh-liver-pathways/evidence-libraries/" TargetMode="External"/><Relationship Id="rId412" Type="http://schemas.openxmlformats.org/officeDocument/2006/relationships/hyperlink" Target="https://edge.sitecorecloud.io/americancoldf5f-acrorgf92a-productioncb02-3650/media/ACR/Files/RADS/LI-RADS/LI-RADS-CTMR-Radiation-TRA-v2024-Core.pdf" TargetMode="External"/><Relationship Id="rId413" Type="http://schemas.openxmlformats.org/officeDocument/2006/relationships/hyperlink" Target="https://drliuhao.github.io/mh-liver-pathways/evidence-libraries/" TargetMode="External"/><Relationship Id="rId414" Type="http://schemas.openxmlformats.org/officeDocument/2006/relationships/hyperlink" Target="https://doi.org/10.1159/000538627" TargetMode="External"/><Relationship Id="rId415" Type="http://schemas.openxmlformats.org/officeDocument/2006/relationships/hyperlink" Target="https://doi.org/10.1038/s41598-024-60379-x" TargetMode="External"/><Relationship Id="rId416" Type="http://schemas.openxmlformats.org/officeDocument/2006/relationships/hyperlink" Target="https://doi.org/10.1159/000547230" TargetMode="External"/><Relationship Id="rId417" Type="http://schemas.openxmlformats.org/officeDocument/2006/relationships/hyperlink" Target="https://doi.org/10.1097/SLA.0b013e31828d4960" TargetMode="External"/><Relationship Id="rId418" Type="http://schemas.openxmlformats.org/officeDocument/2006/relationships/hyperlink" Target="https://doi.org/10.1111/hepr.13526" TargetMode="External"/><Relationship Id="rId419" Type="http://schemas.openxmlformats.org/officeDocument/2006/relationships/hyperlink" Target="https://doi.org/10.1016/j.jhep.2024.03.003" TargetMode="External"/><Relationship Id="rId420" Type="http://schemas.openxmlformats.org/officeDocument/2006/relationships/hyperlink" Target="https://doi.org/10.1016/j.ijrobp.2024.09.022" TargetMode="External"/><Relationship Id="rId421" Type="http://schemas.openxmlformats.org/officeDocument/2006/relationships/hyperlink" Target="https://doi.org/10.1002/jhbp.12138" TargetMode="External"/><Relationship Id="rId422" Type="http://schemas.openxmlformats.org/officeDocument/2006/relationships/hyperlink" Target="https://doi.org/10.1097/HEP.0000000000000466" TargetMode="External"/><Relationship Id="rId423" Type="http://schemas.openxmlformats.org/officeDocument/2006/relationships/hyperlink" Target="https://drliuhao.github.io/mh-liver-pathways/evidence-libraries/" TargetMode="External"/><Relationship Id="rId424" Type="http://schemas.openxmlformats.org/officeDocument/2006/relationships/hyperlink" Target="https://doi.org/10.1016/j.jhep.2024.08.028" TargetMode="External"/><Relationship Id="rId425" Type="http://schemas.openxmlformats.org/officeDocument/2006/relationships/hyperlink" Target="https://drliuhao.github.io/mh-liver-pathways/evidence-libraries/" TargetMode="External"/><Relationship Id="rId426" Type="http://schemas.openxmlformats.org/officeDocument/2006/relationships/hyperlink" Target="https://doi.org/10.1016/j.jhep.2021.11.030" TargetMode="External"/><Relationship Id="rId427" Type="http://schemas.openxmlformats.org/officeDocument/2006/relationships/hyperlink" Target="https://drliuhao.github.io/mh-liver-pathways/evidence-libraries/" TargetMode="External"/><Relationship Id="rId428" Type="http://schemas.openxmlformats.org/officeDocument/2006/relationships/hyperlink" Target="https://www.gene.com/download/pdf/avastin_prescribing.pdf" TargetMode="External"/><Relationship Id="rId429" Type="http://schemas.openxmlformats.org/officeDocument/2006/relationships/hyperlink" Target="https://drliuhao.github.io/mh-liver-pathways/evidence-libraries/" TargetMode="External"/><Relationship Id="rId430" Type="http://schemas.openxmlformats.org/officeDocument/2006/relationships/hyperlink" Target="https://doi.org/10.1016/S0140-6736(25)00403-9" TargetMode="External"/><Relationship Id="rId431" Type="http://schemas.openxmlformats.org/officeDocument/2006/relationships/hyperlink" Target="https://drliuhao.github.io/mh-liver-pathways/evidence-libraries/" TargetMode="External"/><Relationship Id="rId432" Type="http://schemas.openxmlformats.org/officeDocument/2006/relationships/hyperlink" Target="https://doi.org/10.1056/NEJMoa1915745" TargetMode="External"/><Relationship Id="rId433" Type="http://schemas.openxmlformats.org/officeDocument/2006/relationships/hyperlink" Target="https://drliuhao.github.io/mh-liver-pathways/evidence-libraries/" TargetMode="External"/><Relationship Id="rId434" Type="http://schemas.openxmlformats.org/officeDocument/2006/relationships/hyperlink" Target="https://doi.org/10.1056/EVIDoa2100070" TargetMode="External"/><Relationship Id="rId435" Type="http://schemas.openxmlformats.org/officeDocument/2006/relationships/hyperlink" Target="https://drliuhao.github.io/mh-liver-pathways/evidence-libraries/" TargetMode="External"/><Relationship Id="rId436" Type="http://schemas.openxmlformats.org/officeDocument/2006/relationships/hyperlink" Target="https://www.nccn.org/professionals/physician_gls/pdf/hcc.pdf#page=10" TargetMode="External"/><Relationship Id="rId437" Type="http://schemas.openxmlformats.org/officeDocument/2006/relationships/hyperlink" Target="https://drliuhao.github.io/mh-liver-pathways/evidence-libraries/" TargetMode="External"/><Relationship Id="rId438" Type="http://schemas.openxmlformats.org/officeDocument/2006/relationships/hyperlink" Target="https://www.accessdata.fda.gov/drugsatfda_docs/label/2025/125514s178lbl.pdf" TargetMode="External"/><Relationship Id="rId439" Type="http://schemas.openxmlformats.org/officeDocument/2006/relationships/hyperlink" Target="https://drliuhao.github.io/mh-liver-pathways/evidence-libraries/" TargetMode="External"/><Relationship Id="rId440" Type="http://schemas.openxmlformats.org/officeDocument/2006/relationships/hyperlink" Target="https://doi.org/10.1200/JCO.22.00620" TargetMode="External"/><Relationship Id="rId441" Type="http://schemas.openxmlformats.org/officeDocument/2006/relationships/hyperlink" Target="https://drliuhao.github.io/mh-liver-pathways/evidence-libraries/" TargetMode="External"/><Relationship Id="rId442" Type="http://schemas.openxmlformats.org/officeDocument/2006/relationships/hyperlink" Target="https://doi.org/10.1097/HEP.0000000000001289" TargetMode="External"/><Relationship Id="rId443" Type="http://schemas.openxmlformats.org/officeDocument/2006/relationships/hyperlink" Target="https://drliuhao.github.io/mh-liver-pathways/evidence-libraries/" TargetMode="External"/><Relationship Id="rId444" Type="http://schemas.openxmlformats.org/officeDocument/2006/relationships/hyperlink" Target="https://doi.org/10.1016/j.jhep.2024.09.003" TargetMode="External"/><Relationship Id="rId445" Type="http://schemas.openxmlformats.org/officeDocument/2006/relationships/hyperlink" Target="https://drliuhao.github.io/mh-liver-pathways/evidence-libraries/" TargetMode="External"/><Relationship Id="rId446" Type="http://schemas.openxmlformats.org/officeDocument/2006/relationships/hyperlink" Target="https://doi.org/10.1097/HEP.0000000000000466" TargetMode="External"/><Relationship Id="rId447" Type="http://schemas.openxmlformats.org/officeDocument/2006/relationships/hyperlink" Target="https://drliuhao.github.io/mh-liver-pathways/evidence-libraries/" TargetMode="External"/><Relationship Id="rId448" Type="http://schemas.openxmlformats.org/officeDocument/2006/relationships/hyperlink" Target="https://doi.org/10.1016/S2468-1253(22)00091-7" TargetMode="External"/><Relationship Id="rId449" Type="http://schemas.openxmlformats.org/officeDocument/2006/relationships/hyperlink" Target="https://drliuhao.github.io/mh-liver-pathways/evidence-libraries/" TargetMode="External"/><Relationship Id="rId450" Type="http://schemas.openxmlformats.org/officeDocument/2006/relationships/hyperlink" Target="https://doi.org/10.1002/hep.31819" TargetMode="External"/><Relationship Id="rId451" Type="http://schemas.openxmlformats.org/officeDocument/2006/relationships/hyperlink" Target="https://drliuhao.github.io/mh-liver-pathways/evidence-libraries/" TargetMode="External"/><Relationship Id="rId452" Type="http://schemas.openxmlformats.org/officeDocument/2006/relationships/hyperlink" Target="https://doi.org/10.1016/j.prro.2021.09.004" TargetMode="External"/><Relationship Id="rId453" Type="http://schemas.openxmlformats.org/officeDocument/2006/relationships/hyperlink" Target="https://drliuhao.github.io/mh-liver-pathways/evidence-libraries/" TargetMode="External"/><Relationship Id="rId454" Type="http://schemas.openxmlformats.org/officeDocument/2006/relationships/hyperlink" Target="https://doi.org/10.1200/JCO.21.01963" TargetMode="External"/><Relationship Id="rId455" Type="http://schemas.openxmlformats.org/officeDocument/2006/relationships/hyperlink" Target="https://drliuhao.github.io/mh-liver-pathways/evidence-libraries/" TargetMode="External"/><Relationship Id="rId456" Type="http://schemas.openxmlformats.org/officeDocument/2006/relationships/hyperlink" Target="https://doi.org/10.1148/radiol.233051" TargetMode="External"/><Relationship Id="rId457" Type="http://schemas.openxmlformats.org/officeDocument/2006/relationships/hyperlink" Target="https://drliuhao.github.io/mh-liver-pathways/evidence-libraries/" TargetMode="External"/><Relationship Id="rId458" Type="http://schemas.openxmlformats.org/officeDocument/2006/relationships/hyperlink" Target="https://dailymed.nlm.nih.gov/dailymed/drugInfo.cfm?setid=8baba4ea-2855-42fa-9bd9-5a7548d4cec3" TargetMode="External"/><Relationship Id="rId459" Type="http://schemas.openxmlformats.org/officeDocument/2006/relationships/hyperlink" Target="https://drliuhao.github.io/mh-liver-pathways/evidence-libraries/" TargetMode="External"/><Relationship Id="rId460" Type="http://schemas.openxmlformats.org/officeDocument/2006/relationships/hyperlink" Target="https://www.accessdata.fda.gov/drugsatfda_docs/label/2025/125554s129lbl.pdf" TargetMode="External"/><Relationship Id="rId461" Type="http://schemas.openxmlformats.org/officeDocument/2006/relationships/hyperlink" Target="https://drliuhao.github.io/mh-liver-pathways/evidence-libraries/" TargetMode="External"/><Relationship Id="rId462" Type="http://schemas.openxmlformats.org/officeDocument/2006/relationships/hyperlink" Target="https://doi.org/10.1016/S0140-6736(18)30207-1" TargetMode="External"/><Relationship Id="rId463" Type="http://schemas.openxmlformats.org/officeDocument/2006/relationships/hyperlink" Target="https://drliuhao.github.io/mh-liver-pathways/evidence-libraries/" TargetMode="External"/><Relationship Id="rId464" Type="http://schemas.openxmlformats.org/officeDocument/2006/relationships/hyperlink" Target="https://doi.org/10.1056/NEJMoa0708857" TargetMode="External"/><Relationship Id="rId465" Type="http://schemas.openxmlformats.org/officeDocument/2006/relationships/hyperlink" Target="https://drliuhao.github.io/mh-liver-pathways/evidence-libraries/" TargetMode="External"/><Relationship Id="rId466" Type="http://schemas.openxmlformats.org/officeDocument/2006/relationships/hyperlink" Target="https://doi.org/10.1001/jamaoncol.2023.4003" TargetMode="External"/><Relationship Id="rId467" Type="http://schemas.openxmlformats.org/officeDocument/2006/relationships/hyperlink" Target="https://drliuhao.github.io/mh-liver-pathways/evidence-libraries/" TargetMode="External"/><Relationship Id="rId468" Type="http://schemas.openxmlformats.org/officeDocument/2006/relationships/hyperlink" Target="https://www.accessdata.fda.gov/drugsatfda_docs/label/2026/761232s018lbl.pdf" TargetMode="External"/><Relationship Id="rId469" Type="http://schemas.openxmlformats.org/officeDocument/2006/relationships/hyperlink" Target="https://drliuhao.github.io/mh-liver-pathways/evidence-libraries/" TargetMode="External"/><Relationship Id="rId470" Type="http://schemas.openxmlformats.org/officeDocument/2006/relationships/hyperlink" Target="https://doi.org/10.1056/NEJMoa1717002" TargetMode="External"/><Relationship Id="rId471" Type="http://schemas.openxmlformats.org/officeDocument/2006/relationships/hyperlink" Target="https://drliuhao.github.io/mh-liver-pathways/evidence-libraries/" TargetMode="External"/><Relationship Id="rId472" Type="http://schemas.openxmlformats.org/officeDocument/2006/relationships/hyperlink" Target="https://doi.org/10.1016/S0140-6736(16)32453-9" TargetMode="External"/><Relationship Id="rId473" Type="http://schemas.openxmlformats.org/officeDocument/2006/relationships/hyperlink" Target="https://drliuhao.github.io/mh-liver-pathways/evidence-libraries/" TargetMode="External"/><Relationship Id="rId474" Type="http://schemas.openxmlformats.org/officeDocument/2006/relationships/hyperlink" Target="https://doi.org/10.1016/S1470-2045(18)30937-9" TargetMode="External"/><Relationship Id="rId475" Type="http://schemas.openxmlformats.org/officeDocument/2006/relationships/hyperlink" Target="https://drliuhao.github.io/mh-liver-pathways/evidence-libraries/" TargetMode="External"/><Relationship Id="rId476" Type="http://schemas.openxmlformats.org/officeDocument/2006/relationships/hyperlink" Target="https://doi.org/10.1016/S0140-6736(24)02575-3" TargetMode="External"/><Relationship Id="rId477" Type="http://schemas.openxmlformats.org/officeDocument/2006/relationships/hyperlink" Target="https://drliuhao.github.io/mh-liver-pathways/evidence-libraries/" TargetMode="External"/><Relationship Id="rId478" Type="http://schemas.openxmlformats.org/officeDocument/2006/relationships/hyperlink" Target="https://doi.org/10.1016/S0140-6736(24)02551-0" TargetMode="External"/><Relationship Id="rId479" Type="http://schemas.openxmlformats.org/officeDocument/2006/relationships/hyperlink" Target="https://drliuhao.github.io/mh-liver-pathways/evidence-libraries/" TargetMode="External"/><Relationship Id="rId480" Type="http://schemas.openxmlformats.org/officeDocument/2006/relationships/hyperlink" Target="https://doi.org/10.1016/S1470-2045(26)00278-0" TargetMode="External"/><Relationship Id="rId481" Type="http://schemas.openxmlformats.org/officeDocument/2006/relationships/hyperlink" Target="https://drliuhao.github.io/mh-liver-pathways/evidence-libraries/" TargetMode="External"/><Relationship Id="rId482" Type="http://schemas.openxmlformats.org/officeDocument/2006/relationships/hyperlink" Target="https://doi.org/10.1002/hep.30413" TargetMode="External"/><Relationship Id="rId483" Type="http://schemas.openxmlformats.org/officeDocument/2006/relationships/hyperlink" Target="https://drliuhao.github.io/mh-liver-pathways/evidence-libraries/" TargetMode="External"/><Relationship Id="rId484" Type="http://schemas.openxmlformats.org/officeDocument/2006/relationships/hyperlink" Target="https://doi.org/10.1002/lt.26392" TargetMode="External"/><Relationship Id="rId485" Type="http://schemas.openxmlformats.org/officeDocument/2006/relationships/hyperlink" Target="https://drliuhao.github.io/mh-liver-pathways/evidence-libraries/" TargetMode="External"/><Relationship Id="rId486" Type="http://schemas.openxmlformats.org/officeDocument/2006/relationships/hyperlink" Target="https://doi.org/10.1097/TP.0000000000002094" TargetMode="External"/><Relationship Id="rId487" Type="http://schemas.openxmlformats.org/officeDocument/2006/relationships/hyperlink" Target="https://drliuhao.github.io/mh-liver-pathways/evidence-libraries/" TargetMode="External"/><Relationship Id="rId488" Type="http://schemas.openxmlformats.org/officeDocument/2006/relationships/hyperlink" Target="https://doi.org/10.1001/jamasurg.2021.0954" TargetMode="External"/><Relationship Id="rId489" Type="http://schemas.openxmlformats.org/officeDocument/2006/relationships/hyperlink" Target="https://drliuhao.github.io/mh-liver-pathways/evidence-libraries/" TargetMode="External"/><Relationship Id="rId490" Type="http://schemas.openxmlformats.org/officeDocument/2006/relationships/hyperlink" Target="https://doi.org/10.1002/cam4.71812" TargetMode="External"/><Relationship Id="rId491" Type="http://schemas.openxmlformats.org/officeDocument/2006/relationships/hyperlink" Target="https://drliuhao.github.io/mh-liver-pathways/evidence-libraries/" TargetMode="External"/><Relationship Id="rId492" Type="http://schemas.openxmlformats.org/officeDocument/2006/relationships/hyperlink" Target="https://doi.org/10.1016/j.jhep.2026.01.006" TargetMode="External"/><Relationship Id="rId493" Type="http://schemas.openxmlformats.org/officeDocument/2006/relationships/hyperlink" Target="https://drliuhao.github.io/mh-liver-pathways/evidence-libraries/" TargetMode="External"/><Relationship Id="rId494" Type="http://schemas.openxmlformats.org/officeDocument/2006/relationships/hyperlink" Target="https://doi.org/10.1097/HEP.0000000000001269" TargetMode="External"/><Relationship Id="rId495" Type="http://schemas.openxmlformats.org/officeDocument/2006/relationships/hyperlink" Target="https://drliuhao.github.io/mh-liver-pathways/evidence-libraries/" TargetMode="External"/><Relationship Id="rId496" Type="http://schemas.openxmlformats.org/officeDocument/2006/relationships/hyperlink" Target="https://pubmed.ncbi.nlm.nih.gov/37760542" TargetMode="External"/><Relationship Id="rId497" Type="http://schemas.openxmlformats.org/officeDocument/2006/relationships/hyperlink" Target="https://drliuhao.github.io/mh-liver-pathways/evidence-libraries/" TargetMode="External"/><Relationship Id="rId498" Type="http://schemas.openxmlformats.org/officeDocument/2006/relationships/hyperlink" Target="https://edge.sitecorecloud.io/americancoldf5f-acrorgf92a-productioncb02-3650/media/ACR/Files/RADS/LI-RADS/LI-RADS-CTMR-Radiation-TRA-v2024-Core.pdf" TargetMode="External"/><Relationship Id="rId499" Type="http://schemas.openxmlformats.org/officeDocument/2006/relationships/hyperlink" Target="https://drliuhao.github.io/mh-liver-pathways/evidence-libraries/" TargetMode="External"/><Relationship Id="rId500" Type="http://schemas.openxmlformats.org/officeDocument/2006/relationships/hyperlink" Target="https://doi.org/10.1159/000538627" TargetMode="External"/><Relationship Id="rId501" Type="http://schemas.openxmlformats.org/officeDocument/2006/relationships/hyperlink" Target="https://doi.org/10.1038/s41598-024-60379-x" TargetMode="External"/><Relationship Id="rId502" Type="http://schemas.openxmlformats.org/officeDocument/2006/relationships/hyperlink" Target="https://doi.org/10.1159/000547230" TargetMode="External"/><Relationship Id="rId503" Type="http://schemas.openxmlformats.org/officeDocument/2006/relationships/hyperlink" Target="https://doi.org/10.1097/SLA.0b013e31828d4960" TargetMode="External"/><Relationship Id="rId504" Type="http://schemas.openxmlformats.org/officeDocument/2006/relationships/hyperlink" Target="https://doi.org/10.1111/hepr.13526" TargetMode="External"/><Relationship Id="rId505" Type="http://schemas.openxmlformats.org/officeDocument/2006/relationships/hyperlink" Target="https://doi.org/10.1016/j.jhep.2024.03.003" TargetMode="External"/><Relationship Id="rId506" Type="http://schemas.openxmlformats.org/officeDocument/2006/relationships/hyperlink" Target="https://doi.org/10.1016/j.ijrobp.2024.09.022" TargetMode="External"/><Relationship Id="rId507" Type="http://schemas.openxmlformats.org/officeDocument/2006/relationships/hyperlink" Target="https://doi.org/10.1002/jhbp.12138"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2026-10-29T14:21:30Z</dcterms:modified>
</cp:coreProperties>
</file>

<file path=docProps/custom.xml><?xml version="1.0" encoding="utf-8"?>
<Properties xmlns="http://schemas.openxmlformats.org/officeDocument/2006/custom-properties" xmlns:vt="http://schemas.openxmlformats.org/officeDocument/2006/docPropsVTypes"/>
</file>