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line="252" w:lineRule="auto" w:after="120"/>
      </w:pPr>
      <w:r>
        <w:rPr>
          <w:b w:val="0"/>
          <w:i w:val="0"/>
          <w:sz w:val="44"/>
        </w:rPr>
        <w:t>Hepatocellular carcinoma — Standard pathway: questions for consensus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UTHealth Houston and Memorial Hermann · HPB oncology · 29 October 2026 · V17 standardized documents</w:t>
      </w:r>
    </w:p>
    <w:p>
      <w:pPr>
        <w:spacing w:after="80"/>
      </w:pPr>
      <w:r>
        <w:rPr>
          <w:b w:val="0"/>
          <w:i w:val="0"/>
        </w:rPr>
        <w:t>Every question in the standard pathway that still needs a consensus answer. Each one shows what guidelines, trials and papers say, our proposed selection, and space for the group decision. All proposals are OPEN; nothing in this document is activated or approved.</w:t>
      </w:r>
    </w:p>
    <w:p>
      <w:pPr>
        <w:spacing w:after="80"/>
      </w:pPr>
      <w:r>
        <w:rPr>
          <w:b w:val="0"/>
          <w:i w:val="0"/>
        </w:rPr>
        <w:t>Web page: https://drliuhao.github.io/mh-liver-pathways/transplant/hcc/#meeting</w:t>
      </w:r>
    </w:p>
    <w:p>
      <w:pPr>
        <w:spacing w:after="160"/>
      </w:pPr>
      <w:r>
        <w:rPr>
          <w:b/>
          <w:i w:val="0"/>
        </w:rPr>
        <w:t xml:space="preserve">Companion files: </w:t>
      </w:r>
      <w:r>
        <w:rPr>
          <w:b w:val="0"/>
          <w:i w:val="0"/>
          <w:sz w:val="20"/>
        </w:rPr>
        <w:t xml:space="preserve">Full content: </w:t>
      </w:r>
      <w:r>
        <w:rPr>
          <w:b w:val="0"/>
          <w:i/>
        </w:rPr>
        <w:t>HCC_3_Standard_Pathway.docx</w:t>
      </w:r>
      <w:r>
        <w:rPr>
          <w:b w:val="0"/>
          <w:i w:val="0"/>
          <w:sz w:val="20"/>
        </w:rPr>
        <w:t xml:space="preserve"> · Decision discussion for all settings: </w:t>
      </w:r>
      <w:r>
        <w:rPr>
          <w:b w:val="0"/>
          <w:i/>
        </w:rPr>
        <w:t>HCC_7_Decision_Discussion.docx</w:t>
      </w:r>
    </w:p>
    <w:p>
      <w:pPr>
        <w:pStyle w:val="Heading1"/>
        <w:keepNext/>
        <w:spacing w:before="280" w:after="80"/>
      </w:pPr>
      <w:r>
        <w:rPr>
          <w:b w:val="0"/>
          <w:i w:val="0"/>
        </w:rPr>
        <w:t>Summary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300"/>
        <w:gridCol w:w="3500"/>
        <w:gridCol w:w="3780"/>
        <w:gridCol w:w="1500"/>
      </w:tblGrid>
      <w:tr>
        <w:trPr>
          <w:tblHeader/>
        </w:trPr>
        <w:tc>
          <w:tcPr>
            <w:tcW w:type="dxa" w:w="2520"/>
            <w:tcW w:w="13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2520"/>
            <w:tcW w:w="35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2520"/>
            <w:tcW w:w="37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Proposed selection (summary)</w:t>
            </w:r>
          </w:p>
        </w:tc>
        <w:tc>
          <w:tcPr>
            <w:tcW w:type="dxa" w:w="2520"/>
            <w:tcW w:w="15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HCC G1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Which observations count, and when should LR-4 be biopsied?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Do not count unresolved LR-4/indeterminate lesions as Class 5. If immediate diagnosis changes treatment or allocation, discuss biopsy rather than waiting by default.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HCC G2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When should uncertain portal hypertension change resection versus transplant?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Use liver reserve, portal-hypertension evidence and technical remnant assessment first. Obtain invasive hemodynamics only when the result could change the operation.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HCC G3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What requires nonstandard review: burden, prior rupture or portal-branch invasion?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Request individual NLRB review when standardized HCC MELD-exception criteria are not met. Document pretreatment tumor burden, rupture or vascular invasion, treatment response, AFP and the observation period.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HCC G4 / G6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How should modality and an equivocal response guide the next treatment?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Record the treatment goal, anatomical and liver-function considerations, and response-imaging date. Ask transplant radiology to resolve uncertain residual tumor before changing treatment.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HCC G4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What transplant-safety approach applies after checkpoint inhibitors?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Explicitly discuss the AASLD 3-month recommendation, agent/last dose, rejection risk and urgency. Any departure needs a documented multidisciplinary rationale; no washout guarantees safety.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HCC G5 / G6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Who confirms fitness for transplantation, verifies the MELD-exception request and arranges surveillance?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Name the physician responsible for transplant suitability, the coordinator responsible for the MELD-exception request, and the team responsible for post-transplant surveillance.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HCC G6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How should equivocal post-treatment enhancement or borderline AFP be handled?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Request transplant-radiology review and a follow-up plan with a reassessment date. State whether the finding changes treatment, HCC MELD-exception renewal, or both.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HCC B1.1a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Should AFP-only failure have a distinct high-risk review entry even when tumor burden is within Milan?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Propose yes; cross-reference the standard AFP gate. Do not require beyond-UNOS burden or inherit its AFP below 100 rule. OPEN; not activated.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OPEN — not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HCC B1.1b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Should confirmed AFP at least 500 trigger a clinical hold even without a prior AFP above 1000?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Propose yes for the high-risk LT review, with documented MDT reassessment. State clearly that this is stricter than the automatic exception rule for some patients. OPEN; not activated.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OPEN — not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HCC B1.1c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How should rising AFP below 500 with controlled imaging be handled?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Propose repeat in 2–4 weeks and expedited restaging. AFP at least 200 plus serial rise or confirmed doubling triggers a temporary hold; slope alone is an alert, not a permanent…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OPEN — not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HCC B1.1d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What permits release from a biochemical hold?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Propose two stable/falling AFP measurements at least 4 weeks apart below the applicable threshold, reviewed imaging and documented allocation plan. Preserve every longer route-specific observation interval. OPEN; not activated.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OPEN — not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HCC B1.1e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Can persistent AFP failure ever proceed to LT or LDLT?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No routine bypass. Require individual oncology/transplant review, expected-benefit justification, donor-risk review for LDLT and the appropriate allocation route. Whether to establish a prospective AFP-only study remains OPEN. OPEN; not activated.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OPEN — not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HCC B1.1f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What must be audited?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Peak and serial AFP with dates; liver inflammation; imaging viability; treatment exposure; reason and duration of hold; exception decision; waitlist dropout; explant viability/MVI; recurrence and post-LT survival. Include all evaluated…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OPEN — not approved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80"/>
      </w:pPr>
      <w:r>
        <w:rPr>
          <w:b w:val="0"/>
          <w:i w:val="0"/>
        </w:rPr>
        <w:t>Questions</w:t>
      </w:r>
    </w:p>
    <w:p>
      <w:pPr>
        <w:pStyle w:val="Heading2"/>
        <w:keepNext/>
        <w:spacing w:before="200" w:after="80"/>
      </w:pPr>
      <w:r>
        <w:rPr>
          <w:b w:val="0"/>
          <w:i w:val="0"/>
        </w:rPr>
        <w:t>HCC G1 — Which observations count, and when should LR-4 be biopsied?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6">
        <w:r>
          <w:rPr>
            <w:color w:val="0563C1"/>
            <w:u w:val="single"/>
          </w:rPr>
          <w:t xml:space="preserve">Confirm HCC</w:t>
        </w:r>
      </w:hyperlink>
      <w:r>
        <w:rPr>
          <w:b w:val="0"/>
          <w:i w:val="0"/>
        </w:rPr>
        <w:t xml:space="preserve"> · </w:t>
      </w:r>
      <w:hyperlink r:id="rId9">
        <w:r>
          <w:rPr>
            <w:color w:val="0563C1"/>
            <w:u w:val="single"/>
          </w:rPr>
          <w:t xml:space="preserve">Check MELD-exception criteria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0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9.5.I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“LI-RADS 5 classification on CT, MRI, or CEUS”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Table 9-9, p.198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AASLD · HCC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“repeat imaging with contrast-enhanced MRI or multiphasic CT within 3 months or immediate biopsy”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Guidance statement 20, PDF p.13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Do not count unresolved LR-4/indeterminate lesions as Class 5. If immediate diagnosis changes treatment or allocation, discuss biopsy rather than waiting by default.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A diagnostic probability is not the same as an allocation-qualifying lesion.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Radiology · hepatology · transplant surgery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HCC G1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HCC G2 — When should uncertain portal hypertension change resection versus transplant?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1">
        <w:r>
          <w:rPr>
            <w:color w:val="0563C1"/>
            <w:u w:val="single"/>
          </w:rPr>
          <w:t xml:space="preserve">Choose treatment with curative intent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2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AASLD · HCC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“without clinically significant portal hypertension, and an adequate FLR”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Resection recommendation, PDF p.18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9.5.I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“An indication that the candidate is not eligible for resection”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§9.5.I.i, p.196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Use liver reserve, portal-hypertension evidence and technical remnant assessment first. Obtain invasive hemodynamics only when the result could change the operation.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Allocation documentation does not substitute for a surgical risk-benefit decision.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HPB surgery · hepatology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HCC G2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HCC G3 — What requires nonstandard review: burden, prior rupture or portal-branch invasion?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1">
        <w:r>
          <w:rPr>
            <w:color w:val="0563C1"/>
            <w:u w:val="single"/>
          </w:rPr>
          <w:t xml:space="preserve">Choose treatment with curative intent</w:t>
        </w:r>
      </w:hyperlink>
      <w:r>
        <w:rPr>
          <w:b w:val="0"/>
          <w:i w:val="0"/>
        </w:rPr>
        <w:t xml:space="preserve"> · </w:t>
      </w:r>
      <w:hyperlink r:id="rId9">
        <w:r>
          <w:rPr>
            <w:color w:val="0563C1"/>
            <w:u w:val="single"/>
          </w:rPr>
          <w:t xml:space="preserve">Check MELD-exception criteria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3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9.5.I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“not automatically eligible for a standardized MELD or PELD exception”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§9.5.I.iii, p.197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HCC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Guidance permits selected review after downstaging beyond standardized criteria. For previously treated rupture or primary portal-vein branch invasion, it describes a prolonged stable interval of at least 12 months before some cases may be considered.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December 2025 · HCC section · pp.2–4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Request individual NLRB review when standardized HCC MELD-exception criteria are not met. Document pretreatment tumor burden, rupture or vascular invasion, treatment response, AFP and the observation period.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Pretreatment tumor burden and prior rupture or vascular invasion still determine whether an HCC MELD-exception request needs individual review.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Transplant hepatology · coordinator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HCC G3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HCC G4 / G6 — How should modality and an equivocal response guide the next treatment?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4">
        <w:r>
          <w:rPr>
            <w:color w:val="0563C1"/>
            <w:u w:val="single"/>
          </w:rPr>
          <w:t xml:space="preserve">Plan bridging or downstaging treatment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5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AASLD · HCC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“AASLD does not advise one LRT over another for bridging therapy.”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Transplant recommendation 34, PDF p.22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HCC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“Imaging should be performed at least 4 weeks after last down-staging treatment.”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HCC guidance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Record the treatment goal, anatomical and liver-function considerations, and response-imaging date. Ask transplant radiology to resolve uncertain residual tumor before changing treatment.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Choice and sequencing require a clinical decision; the timing guidance is not a modality algorithm.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IR · radiation oncology · radiology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HCC G4 / G6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HCC G4 — What transplant-safety approach applies after checkpoint inhibitors?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4">
        <w:r>
          <w:rPr>
            <w:color w:val="0563C1"/>
            <w:u w:val="single"/>
          </w:rPr>
          <w:t xml:space="preserve">Plan bridging or downstaging treatment</w:t>
        </w:r>
      </w:hyperlink>
      <w:r>
        <w:rPr>
          <w:b w:val="0"/>
          <w:i w:val="0"/>
        </w:rPr>
        <w:t xml:space="preserve"> · </w:t>
      </w:r>
      <w:hyperlink r:id="rId16">
        <w:r>
          <w:rPr>
            <w:color w:val="0563C1"/>
            <w:u w:val="single"/>
          </w:rPr>
          <w:t xml:space="preserve">Review listing and MELD-exception request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7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HCC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“Immunotherapy does not preclude consideration for an HCC exception.”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HCC guidance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AASLD · HCC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“discontinuation of these agents at least 3 months prior to LT”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ICI discussion, PDF p.20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Explicitly discuss the AASLD 3-month recommendation, agent/last dose, rejection risk and urgency. Any departure needs a documented multidisciplinary rationale; no washout guarantees safety.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Eligibility for HCC MELD-exception points and the risk of rejection after checkpoint-inhibitor exposure require separate assessments.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Transplant oncology · pharmacy · transplant surgery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HCC G4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HCC G5 / G6 — Who confirms fitness for transplantation, verifies the MELD-exception request and arranges surveillance?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6">
        <w:r>
          <w:rPr>
            <w:color w:val="0563C1"/>
            <w:u w:val="single"/>
          </w:rPr>
          <w:t xml:space="preserve">Review listing and MELD-exception request</w:t>
        </w:r>
      </w:hyperlink>
      <w:r>
        <w:rPr>
          <w:b w:val="0"/>
          <w:i w:val="0"/>
        </w:rPr>
        <w:t xml:space="preserve"> · </w:t>
      </w:r>
      <w:hyperlink r:id="rId18">
        <w:r>
          <w:rPr>
            <w:color w:val="0563C1"/>
            <w:u w:val="single"/>
          </w:rPr>
          <w:t xml:space="preserve">Post-transplant follow-up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9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9.5.I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Policy specifies the exception evidence and explant reporting. It does not assign our local team members.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Effective October 1, 2026 · §§9.5.I.i–vii · pp.196–200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AASLD · HCC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Clinical guidance supports post-transplant surveillance, but the optimal interval and duration remain uncertain.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2023 · diagnosis pp.11–13; resection pp.15–18; transplant pp.19–23 (PDF pages)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Name the physician responsible for transplant suitability, the coordinator responsible for the MELD-exception request, and the team responsible for post-transplant surveillance.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Complete MELD-exception documentation does not establish that the patient is medically suitable for transplantation.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Transplant leadership · coordinator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HCC G5 / G6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HCC G6 — How should equivocal post-treatment enhancement or borderline AFP be handled?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20">
        <w:r>
          <w:rPr>
            <w:color w:val="0563C1"/>
            <w:u w:val="single"/>
          </w:rPr>
          <w:t xml:space="preserve">Reassess while awaiting transplant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21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9.5.I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Extension rules use tumor stage, treatment and AFP; the prior &gt;1,000 AFP history changes the applicable threshold.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Effective October 1, 2026 · §§9.5.I.i–vii · pp.196–200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AASLD · HCC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Interpret viable tumor and treatment response with imaging and clinical context; no single equivocal appearance establishes progression.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2023 · diagnosis pp.11–13; resection pp.15–18; transplant pp.19–23 (PDF pages)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Request transplant-radiology review and a follow-up plan with a reassessment date. State whether the finding changes treatment, HCC MELD-exception renewal, or both.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Avoid both premature delisting and unsupported automatic continuation.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Radiology · hepatology · treating LRT service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HCC G6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HCC B1.1a — Should AFP-only failure have a distinct high-risk review entry even when tumor burden is within Milan?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OPEN — not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9">
        <w:r>
          <w:rPr>
            <w:color w:val="0563C1"/>
            <w:u w:val="single"/>
          </w:rPr>
          <w:t xml:space="preserve">Check MELD-exception criteria</w:t>
        </w:r>
      </w:hyperlink>
      <w:r>
        <w:rPr>
          <w:b w:val="0"/>
          <w:i w:val="0"/>
        </w:rPr>
        <w:t xml:space="preserve"> · </w:t>
      </w:r>
      <w:hyperlink r:id="rId14">
        <w:r>
          <w:rPr>
            <w:color w:val="0563C1"/>
            <w:u w:val="single"/>
          </w:rPr>
          <w:t xml:space="preserve">Plan bridging or downstaging treatment</w:t>
        </w:r>
      </w:hyperlink>
      <w:r>
        <w:rPr>
          <w:b w:val="0"/>
          <w:i w:val="0"/>
        </w:rPr>
        <w:t xml:space="preserve"> · </w:t>
      </w:r>
      <w:hyperlink r:id="rId16">
        <w:r>
          <w:rPr>
            <w:color w:val="0563C1"/>
            <w:u w:val="single"/>
          </w:rPr>
          <w:t xml:space="preserve">Review listing and MELD-exception request</w:t>
        </w:r>
      </w:hyperlink>
      <w:r>
        <w:rPr>
          <w:b w:val="0"/>
          <w:i w:val="0"/>
        </w:rPr>
        <w:t xml:space="preserve"> · </w:t>
      </w:r>
      <w:hyperlink r:id="rId20">
        <w:r>
          <w:rPr>
            <w:color w:val="0563C1"/>
            <w:u w:val="single"/>
          </w:rPr>
          <w:t xml:space="preserve">Reassess while awaiting transplant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22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9.5.I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“as long as the candidate’s AFP level remains below 500 ng/mL”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OPTN 9.5.I.iv; after prior AFP &gt;1000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Goldman 2022: final AFP ≥500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Five-year OS at final AFP &lt;100 / 100–499 / ≥500: 72.7% / 70.4% / 56.1%; recurrence: 13.1% / 18.7% / 24.2%. Final AFP ≥500: adjusted mortality HR 1.50 (95% CI 1.07–2.10), recurrence HR 1.88 (1.13–3.14).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Main PDF pp 4–9; Tables 1–3 and Figures 1–3.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Giard 2018: AFP slope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Small, data-selected cutoff group; no prospective hold/release validation. The long-term fitted slope cannot be inferred reliably from two closely spaced noisy results. Death was censored for recurrence-free probability.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Main PDF pp 2–6; Tables 1–4 and Figure 1.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Propose yes; cross-reference the standard AFP gate. Do not require beyond-UNOS burden or inherit its AFP below 100 rule. OPEN; not activated.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These data justify risk review but do not validate the proposed operational thresholds or AFP-only transplant benefit.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Transplant surgery · hepatology · oncology · radiology · allocation coordination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HCC B1.1a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HCC B1.1b — Should confirmed AFP at least 500 trigger a clinical hold even without a prior AFP above 1000?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OPEN — not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9">
        <w:r>
          <w:rPr>
            <w:color w:val="0563C1"/>
            <w:u w:val="single"/>
          </w:rPr>
          <w:t xml:space="preserve">Check MELD-exception criteria</w:t>
        </w:r>
      </w:hyperlink>
      <w:r>
        <w:rPr>
          <w:b w:val="0"/>
          <w:i w:val="0"/>
        </w:rPr>
        <w:t xml:space="preserve"> · </w:t>
      </w:r>
      <w:hyperlink r:id="rId14">
        <w:r>
          <w:rPr>
            <w:color w:val="0563C1"/>
            <w:u w:val="single"/>
          </w:rPr>
          <w:t xml:space="preserve">Plan bridging or downstaging treatment</w:t>
        </w:r>
      </w:hyperlink>
      <w:r>
        <w:rPr>
          <w:b w:val="0"/>
          <w:i w:val="0"/>
        </w:rPr>
        <w:t xml:space="preserve"> · </w:t>
      </w:r>
      <w:hyperlink r:id="rId16">
        <w:r>
          <w:rPr>
            <w:color w:val="0563C1"/>
            <w:u w:val="single"/>
          </w:rPr>
          <w:t xml:space="preserve">Review listing and MELD-exception request</w:t>
        </w:r>
      </w:hyperlink>
      <w:r>
        <w:rPr>
          <w:b w:val="0"/>
          <w:i w:val="0"/>
        </w:rPr>
        <w:t xml:space="preserve"> · </w:t>
      </w:r>
      <w:hyperlink r:id="rId20">
        <w:r>
          <w:rPr>
            <w:color w:val="0563C1"/>
            <w:u w:val="single"/>
          </w:rPr>
          <w:t xml:space="preserve">Reassess while awaiting transplant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23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9.5.I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“as long as the candidate’s AFP level remains below 500 ng/mL”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OPTN 9.5.I.iv; after prior AFP &gt;1000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Goldman 2022: final AFP ≥500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Five-year OS at final AFP &lt;100 / 100–499 / ≥500: 72.7% / 70.4% / 56.1%; recurrence: 13.1% / 18.7% / 24.2%. Final AFP ≥500: adjusted mortality HR 1.50 (95% CI 1.07–2.10), recurrence HR 1.88 (1.13–3.14).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Main PDF pp 4–9; Tables 1–3 and Figures 1–3.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Giard 2018: AFP slope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Small, data-selected cutoff group; no prospective hold/release validation. The long-term fitted slope cannot be inferred reliably from two closely spaced noisy results. Death was censored for recurrence-free probability.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Main PDF pp 2–6; Tables 1–4 and Figure 1.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Propose yes for the high-risk LT review, with documented MDT reassessment. State clearly that this is stricter than the automatic exception rule for some patients. OPEN; not activated.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These data justify risk review but do not validate the proposed operational thresholds or AFP-only transplant benefit.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Transplant surgery · hepatology · oncology · radiology · allocation coordination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HCC B1.1b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HCC B1.1c — How should rising AFP below 500 with controlled imaging be handled?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OPEN — not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9">
        <w:r>
          <w:rPr>
            <w:color w:val="0563C1"/>
            <w:u w:val="single"/>
          </w:rPr>
          <w:t xml:space="preserve">Check MELD-exception criteria</w:t>
        </w:r>
      </w:hyperlink>
      <w:r>
        <w:rPr>
          <w:b w:val="0"/>
          <w:i w:val="0"/>
        </w:rPr>
        <w:t xml:space="preserve"> · </w:t>
      </w:r>
      <w:hyperlink r:id="rId14">
        <w:r>
          <w:rPr>
            <w:color w:val="0563C1"/>
            <w:u w:val="single"/>
          </w:rPr>
          <w:t xml:space="preserve">Plan bridging or downstaging treatment</w:t>
        </w:r>
      </w:hyperlink>
      <w:r>
        <w:rPr>
          <w:b w:val="0"/>
          <w:i w:val="0"/>
        </w:rPr>
        <w:t xml:space="preserve"> · </w:t>
      </w:r>
      <w:hyperlink r:id="rId16">
        <w:r>
          <w:rPr>
            <w:color w:val="0563C1"/>
            <w:u w:val="single"/>
          </w:rPr>
          <w:t xml:space="preserve">Review listing and MELD-exception request</w:t>
        </w:r>
      </w:hyperlink>
      <w:r>
        <w:rPr>
          <w:b w:val="0"/>
          <w:i w:val="0"/>
        </w:rPr>
        <w:t xml:space="preserve"> · </w:t>
      </w:r>
      <w:hyperlink r:id="rId20">
        <w:r>
          <w:rPr>
            <w:color w:val="0563C1"/>
            <w:u w:val="single"/>
          </w:rPr>
          <w:t xml:space="preserve">Reassess while awaiting transplant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24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9.5.I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“as long as the candidate’s AFP level remains below 500 ng/mL”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OPTN 9.5.I.iv; after prior AFP &gt;1000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Goldman 2022: final AFP ≥500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Five-year OS at final AFP &lt;100 / 100–499 / ≥500: 72.7% / 70.4% / 56.1%; recurrence: 13.1% / 18.7% / 24.2%. Final AFP ≥500: adjusted mortality HR 1.50 (95% CI 1.07–2.10), recurrence HR 1.88 (1.13–3.14).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Main PDF pp 4–9; Tables 1–3 and Figures 1–3.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Giard 2018: AFP slope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Small, data-selected cutoff group; no prospective hold/release validation. The long-term fitted slope cannot be inferred reliably from two closely spaced noisy results. Death was censored for recurrence-free probability.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Main PDF pp 2–6; Tables 1–4 and Figure 1.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Propose repeat in 2–4 weeks and expedited restaging. AFP at least 200 plus serial rise or confirmed doubling triggers a temporary hold; slope alone is an alert, not a permanent exclusion. OPEN; not activated.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These data justify risk review but do not validate the proposed operational thresholds or AFP-only transplant benefit.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Transplant surgery · hepatology · oncology · radiology · allocation coordination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HCC B1.1c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HCC B1.1d — What permits release from a biochemical hold?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OPEN — not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9">
        <w:r>
          <w:rPr>
            <w:color w:val="0563C1"/>
            <w:u w:val="single"/>
          </w:rPr>
          <w:t xml:space="preserve">Check MELD-exception criteria</w:t>
        </w:r>
      </w:hyperlink>
      <w:r>
        <w:rPr>
          <w:b w:val="0"/>
          <w:i w:val="0"/>
        </w:rPr>
        <w:t xml:space="preserve"> · </w:t>
      </w:r>
      <w:hyperlink r:id="rId14">
        <w:r>
          <w:rPr>
            <w:color w:val="0563C1"/>
            <w:u w:val="single"/>
          </w:rPr>
          <w:t xml:space="preserve">Plan bridging or downstaging treatment</w:t>
        </w:r>
      </w:hyperlink>
      <w:r>
        <w:rPr>
          <w:b w:val="0"/>
          <w:i w:val="0"/>
        </w:rPr>
        <w:t xml:space="preserve"> · </w:t>
      </w:r>
      <w:hyperlink r:id="rId16">
        <w:r>
          <w:rPr>
            <w:color w:val="0563C1"/>
            <w:u w:val="single"/>
          </w:rPr>
          <w:t xml:space="preserve">Review listing and MELD-exception request</w:t>
        </w:r>
      </w:hyperlink>
      <w:r>
        <w:rPr>
          <w:b w:val="0"/>
          <w:i w:val="0"/>
        </w:rPr>
        <w:t xml:space="preserve"> · </w:t>
      </w:r>
      <w:hyperlink r:id="rId20">
        <w:r>
          <w:rPr>
            <w:color w:val="0563C1"/>
            <w:u w:val="single"/>
          </w:rPr>
          <w:t xml:space="preserve">Reassess while awaiting transplant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25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9.5.I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“as long as the candidate’s AFP level remains below 500 ng/mL”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OPTN 9.5.I.iv; after prior AFP &gt;1000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Goldman 2022: final AFP ≥500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Five-year OS at final AFP &lt;100 / 100–499 / ≥500: 72.7% / 70.4% / 56.1%; recurrence: 13.1% / 18.7% / 24.2%. Final AFP ≥500: adjusted mortality HR 1.50 (95% CI 1.07–2.10), recurrence HR 1.88 (1.13–3.14).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Main PDF pp 4–9; Tables 1–3 and Figures 1–3.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Giard 2018: AFP slope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Small, data-selected cutoff group; no prospective hold/release validation. The long-term fitted slope cannot be inferred reliably from two closely spaced noisy results. Death was censored for recurrence-free probability.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Main PDF pp 2–6; Tables 1–4 and Figure 1.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Propose two stable/falling AFP measurements at least 4 weeks apart below the applicable threshold, reviewed imaging and documented allocation plan. Preserve every longer route-specific observation interval. OPEN; not activated.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These data justify risk review but do not validate the proposed operational thresholds or AFP-only transplant benefit.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Transplant surgery · hepatology · oncology · radiology · allocation coordination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HCC B1.1d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HCC B1.1e — Can persistent AFP failure ever proceed to LT or LDLT?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OPEN — not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9">
        <w:r>
          <w:rPr>
            <w:color w:val="0563C1"/>
            <w:u w:val="single"/>
          </w:rPr>
          <w:t xml:space="preserve">Check MELD-exception criteria</w:t>
        </w:r>
      </w:hyperlink>
      <w:r>
        <w:rPr>
          <w:b w:val="0"/>
          <w:i w:val="0"/>
        </w:rPr>
        <w:t xml:space="preserve"> · </w:t>
      </w:r>
      <w:hyperlink r:id="rId14">
        <w:r>
          <w:rPr>
            <w:color w:val="0563C1"/>
            <w:u w:val="single"/>
          </w:rPr>
          <w:t xml:space="preserve">Plan bridging or downstaging treatment</w:t>
        </w:r>
      </w:hyperlink>
      <w:r>
        <w:rPr>
          <w:b w:val="0"/>
          <w:i w:val="0"/>
        </w:rPr>
        <w:t xml:space="preserve"> · </w:t>
      </w:r>
      <w:hyperlink r:id="rId16">
        <w:r>
          <w:rPr>
            <w:color w:val="0563C1"/>
            <w:u w:val="single"/>
          </w:rPr>
          <w:t xml:space="preserve">Review listing and MELD-exception request</w:t>
        </w:r>
      </w:hyperlink>
      <w:r>
        <w:rPr>
          <w:b w:val="0"/>
          <w:i w:val="0"/>
        </w:rPr>
        <w:t xml:space="preserve"> · </w:t>
      </w:r>
      <w:hyperlink r:id="rId20">
        <w:r>
          <w:rPr>
            <w:color w:val="0563C1"/>
            <w:u w:val="single"/>
          </w:rPr>
          <w:t xml:space="preserve">Reassess while awaiting transplant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26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9.5.I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“as long as the candidate’s AFP level remains below 500 ng/mL”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OPTN 9.5.I.iv; after prior AFP &gt;1000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Goldman 2022: final AFP ≥500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Five-year OS at final AFP &lt;100 / 100–499 / ≥500: 72.7% / 70.4% / 56.1%; recurrence: 13.1% / 18.7% / 24.2%. Final AFP ≥500: adjusted mortality HR 1.50 (95% CI 1.07–2.10), recurrence HR 1.88 (1.13–3.14).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Main PDF pp 4–9; Tables 1–3 and Figures 1–3.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Giard 2018: AFP slope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Small, data-selected cutoff group; no prospective hold/release validation. The long-term fitted slope cannot be inferred reliably from two closely spaced noisy results. Death was censored for recurrence-free probability.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Main PDF pp 2–6; Tables 1–4 and Figure 1.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No routine bypass. Require individual oncology/transplant review, expected-benefit justification, donor-risk review for LDLT and the appropriate allocation route. Whether to establish a prospective AFP-only study remains OPEN. OPEN; not activated.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These data justify risk review but do not validate the proposed operational thresholds or AFP-only transplant benefit.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Transplant surgery · hepatology · oncology · radiology · allocation coordination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HCC B1.1e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HCC B1.1f — What must be audited?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OPEN — not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9">
        <w:r>
          <w:rPr>
            <w:color w:val="0563C1"/>
            <w:u w:val="single"/>
          </w:rPr>
          <w:t xml:space="preserve">Check MELD-exception criteria</w:t>
        </w:r>
      </w:hyperlink>
      <w:r>
        <w:rPr>
          <w:b w:val="0"/>
          <w:i w:val="0"/>
        </w:rPr>
        <w:t xml:space="preserve"> · </w:t>
      </w:r>
      <w:hyperlink r:id="rId14">
        <w:r>
          <w:rPr>
            <w:color w:val="0563C1"/>
            <w:u w:val="single"/>
          </w:rPr>
          <w:t xml:space="preserve">Plan bridging or downstaging treatment</w:t>
        </w:r>
      </w:hyperlink>
      <w:r>
        <w:rPr>
          <w:b w:val="0"/>
          <w:i w:val="0"/>
        </w:rPr>
        <w:t xml:space="preserve"> · </w:t>
      </w:r>
      <w:hyperlink r:id="rId16">
        <w:r>
          <w:rPr>
            <w:color w:val="0563C1"/>
            <w:u w:val="single"/>
          </w:rPr>
          <w:t xml:space="preserve">Review listing and MELD-exception request</w:t>
        </w:r>
      </w:hyperlink>
      <w:r>
        <w:rPr>
          <w:b w:val="0"/>
          <w:i w:val="0"/>
        </w:rPr>
        <w:t xml:space="preserve"> · </w:t>
      </w:r>
      <w:hyperlink r:id="rId20">
        <w:r>
          <w:rPr>
            <w:color w:val="0563C1"/>
            <w:u w:val="single"/>
          </w:rPr>
          <w:t xml:space="preserve">Reassess while awaiting transplant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27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9.5.I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“as long as the candidate’s AFP level remains below 500 ng/mL”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OPTN 9.5.I.iv; after prior AFP &gt;1000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Goldman 2022: final AFP ≥500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Five-year OS at final AFP &lt;100 / 100–499 / ≥500: 72.7% / 70.4% / 56.1%; recurrence: 13.1% / 18.7% / 24.2%. Final AFP ≥500: adjusted mortality HR 1.50 (95% CI 1.07–2.10), recurrence HR 1.88 (1.13–3.14).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Main PDF pp 4–9; Tables 1–3 and Figures 1–3.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Giard 2018: AFP slope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Small, data-selected cutoff group; no prospective hold/release validation. The long-term fitted slope cannot be inferred reliably from two closely spaced noisy results. Death was censored for recurrence-free probability.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Main PDF pp 2–6; Tables 1–4 and Figure 1.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Peak and serial AFP with dates; liver inflammation; imaging viability; treatment exposure; reason and duration of hold; exception decision; waitlist dropout; explant viability/MVI; recurrence and post-LT survival. Include all evaluated patients, not only those transplanted. OPEN; not activated.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These data justify risk review but do not validate the proposed operational thresholds or AFP-only transplant benefit.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Transplant surgery · hepatology · oncology · radiology · allocation coordination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HCC B1.1f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1"/>
        <w:keepNext/>
        <w:spacing w:before="280" w:after="80"/>
      </w:pPr>
      <w:r>
        <w:rPr>
          <w:b w:val="0"/>
          <w:i w:val="0"/>
        </w:rPr>
        <w:t>Sources</w:t>
      </w:r>
    </w:p>
    <w:p>
      <w:pPr>
        <w:spacing w:after="60"/>
      </w:pPr>
      <w:r>
        <w:rPr>
          <w:b/>
          <w:i w:val="0"/>
          <w:sz w:val="19"/>
        </w:rPr>
        <w:t>AASLD · HCC</w:t>
      </w:r>
      <w:r>
        <w:rPr>
          <w:b w:val="0"/>
          <w:i w:val="0"/>
          <w:sz w:val="19"/>
        </w:rPr>
        <w:t xml:space="preserve"> — AASLD Practice Guidance: prevention, diagnosis, and treatment of HCC</w:t>
      </w:r>
      <w:r>
        <w:rPr>
          <w:b w:val="0"/>
          <w:i w:val="0"/>
          <w:sz w:val="19"/>
        </w:rPr>
        <w:t xml:space="preserve">  </w:t>
      </w:r>
      <w:hyperlink r:id="rId28">
        <w:r>
          <w:rPr>
            <w:color w:val="0563C1"/>
            <w:u w:val="single"/>
            <w:sz w:val="19"/>
          </w:rPr>
          <w:t xml:space="preserve">Source</w:t>
        </w:r>
      </w:hyperlink>
    </w:p>
    <w:p>
      <w:pPr>
        <w:spacing w:after="60"/>
      </w:pPr>
      <w:r>
        <w:rPr>
          <w:b/>
          <w:i w:val="0"/>
          <w:sz w:val="19"/>
        </w:rPr>
        <w:t>Giard 2018: AFP slope</w:t>
      </w:r>
      <w:r>
        <w:rPr>
          <w:b w:val="0"/>
          <w:i w:val="0"/>
          <w:sz w:val="19"/>
        </w:rPr>
        <w:t xml:space="preserve"> — Alpha-Fetoprotein Slope &gt;7.5 ng/mL per Month Predicts Microvascular Invasion and Tumor Recurrence After Liver Transplantation for Hepatocellular Carcinoma.</w:t>
      </w:r>
      <w:r>
        <w:rPr>
          <w:b w:val="0"/>
          <w:i w:val="0"/>
          <w:sz w:val="19"/>
        </w:rPr>
        <w:t xml:space="preserve">  </w:t>
      </w:r>
      <w:hyperlink r:id="rId29">
        <w:r>
          <w:rPr>
            <w:color w:val="0563C1"/>
            <w:u w:val="single"/>
            <w:sz w:val="19"/>
          </w:rPr>
          <w:t xml:space="preserve">Source</w:t>
        </w:r>
      </w:hyperlink>
    </w:p>
    <w:p>
      <w:pPr>
        <w:spacing w:after="60"/>
      </w:pPr>
      <w:r>
        <w:rPr>
          <w:b/>
          <w:i w:val="0"/>
          <w:sz w:val="19"/>
        </w:rPr>
        <w:t>Goldman 2022: final AFP ≥500</w:t>
      </w:r>
      <w:r>
        <w:rPr>
          <w:b w:val="0"/>
          <w:i w:val="0"/>
          <w:sz w:val="19"/>
        </w:rPr>
        <w:t xml:space="preserve"> — Lower Alpha-Fetoprotein Threshold of 500 ng/mL for Liver Transplantation May Improve Posttransplant Outcomes in Patients With Hepatocellular Carcinoma.</w:t>
      </w:r>
      <w:r>
        <w:rPr>
          <w:b w:val="0"/>
          <w:i w:val="0"/>
          <w:sz w:val="19"/>
        </w:rPr>
        <w:t xml:space="preserve">  </w:t>
      </w:r>
      <w:hyperlink r:id="rId30">
        <w:r>
          <w:rPr>
            <w:color w:val="0563C1"/>
            <w:u w:val="single"/>
            <w:sz w:val="19"/>
          </w:rPr>
          <w:t xml:space="preserve">Source</w:t>
        </w:r>
      </w:hyperlink>
    </w:p>
    <w:p>
      <w:pPr>
        <w:spacing w:after="60"/>
      </w:pPr>
      <w:r>
        <w:rPr>
          <w:b/>
          <w:i w:val="0"/>
          <w:sz w:val="19"/>
        </w:rPr>
        <w:t>NLRB · HCC</w:t>
      </w:r>
      <w:r>
        <w:rPr>
          <w:b w:val="0"/>
          <w:i w:val="0"/>
          <w:sz w:val="19"/>
        </w:rPr>
        <w:t xml:space="preserve"> — Adult MELD exception review guidance — HCC</w:t>
      </w:r>
      <w:r>
        <w:rPr>
          <w:b w:val="0"/>
          <w:i w:val="0"/>
          <w:sz w:val="19"/>
        </w:rPr>
        <w:t xml:space="preserve">  </w:t>
      </w:r>
      <w:hyperlink r:id="rId31">
        <w:r>
          <w:rPr>
            <w:color w:val="0563C1"/>
            <w:u w:val="single"/>
            <w:sz w:val="19"/>
          </w:rPr>
          <w:t xml:space="preserve">Source</w:t>
        </w:r>
      </w:hyperlink>
    </w:p>
    <w:p>
      <w:pPr>
        <w:spacing w:after="60"/>
      </w:pPr>
      <w:r>
        <w:rPr>
          <w:b/>
          <w:i w:val="0"/>
          <w:sz w:val="19"/>
        </w:rPr>
        <w:t>OPTN 9.5.I</w:t>
      </w:r>
      <w:r>
        <w:rPr>
          <w:b w:val="0"/>
          <w:i w:val="0"/>
          <w:sz w:val="19"/>
        </w:rPr>
        <w:t xml:space="preserve"> — OPTN Policies — HCC standardized exception</w:t>
      </w:r>
      <w:r>
        <w:rPr>
          <w:b w:val="0"/>
          <w:i w:val="0"/>
          <w:sz w:val="19"/>
        </w:rPr>
        <w:t xml:space="preserve">  </w:t>
      </w:r>
      <w:hyperlink r:id="rId32">
        <w:r>
          <w:rPr>
            <w:color w:val="0563C1"/>
            <w:u w:val="single"/>
            <w:sz w:val="19"/>
          </w:rPr>
          <w:t xml:space="preserve">Source</w:t>
        </w:r>
      </w:hyperlink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A6069"/>
        <w:sz w:val="15"/>
        <w:szCs w:val="15"/>
      </w:rPr>
      <w:t xml:space="preserve">HPB oncology working reference  |  </w:t>
    </w:r>
    <w:r>
      <w:rPr>
        <w:sz w:val="15"/>
        <w:szCs w:val="15"/>
      </w:rPr>
      <w:t xml:space="preserve"/>
    </w:r>
    <w:r>
      <w:rPr>
        <w:color w:val="5A606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abstractNum w:abstractNumId="4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3">
    <w:abstractNumId w:val="4"/>
  </w:num>
  <w:abstractNum w:abstractNumId="5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4">
    <w:abstractNumId w:val="5"/>
  </w:num>
  <w:abstractNum w:abstractNumId="6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5">
    <w:abstractNumId w:val="6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5181F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  <w:color w:val="000000"/>
      <w:u w:val="none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mbria" w:cs="Cambria" w:eastAsia="Cambria" w:hAnsi="Cambria"/>
      <w:b/>
      <w:bCs/>
      <w:color w:val="17365D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176A87"/>
      <w:sz w:val="20"/>
      <w:szCs w:val="20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6" Type="http://schemas.openxmlformats.org/officeDocument/2006/relationships/hyperlink" Target="https://drliuhao.github.io/mh-liver-pathways/transplant/hcc/#diagnosis" TargetMode="External"/><Relationship Id="rId9" Type="http://schemas.openxmlformats.org/officeDocument/2006/relationships/hyperlink" Target="https://drliuhao.github.io/mh-liver-pathways/transplant/hcc/#allocation" TargetMode="External"/><Relationship Id="rId10" Type="http://schemas.openxmlformats.org/officeDocument/2006/relationships/hyperlink" Target="https://drliuhao.github.io/mh-liver-pathways/transplant/hcc/#meeting-lesion-counting" TargetMode="External"/><Relationship Id="rId11" Type="http://schemas.openxmlformats.org/officeDocument/2006/relationships/hyperlink" Target="https://drliuhao.github.io/mh-liver-pathways/transplant/hcc/#curative-route" TargetMode="External"/><Relationship Id="rId12" Type="http://schemas.openxmlformats.org/officeDocument/2006/relationships/hyperlink" Target="https://drliuhao.github.io/mh-liver-pathways/transplant/hcc/#meeting-curative-route" TargetMode="External"/><Relationship Id="rId13" Type="http://schemas.openxmlformats.org/officeDocument/2006/relationships/hyperlink" Target="https://drliuhao.github.io/mh-liver-pathways/transplant/hcc/#meeting-beyond-downstaging" TargetMode="External"/><Relationship Id="rId14" Type="http://schemas.openxmlformats.org/officeDocument/2006/relationships/hyperlink" Target="https://drliuhao.github.io/mh-liver-pathways/transplant/hcc/#treatment" TargetMode="External"/><Relationship Id="rId15" Type="http://schemas.openxmlformats.org/officeDocument/2006/relationships/hyperlink" Target="https://drliuhao.github.io/mh-liver-pathways/transplant/hcc/#meeting-bridging" TargetMode="External"/><Relationship Id="rId16" Type="http://schemas.openxmlformats.org/officeDocument/2006/relationships/hyperlink" Target="https://drliuhao.github.io/mh-liver-pathways/transplant/hcc/#listing" TargetMode="External"/><Relationship Id="rId17" Type="http://schemas.openxmlformats.org/officeDocument/2006/relationships/hyperlink" Target="https://drliuhao.github.io/mh-liver-pathways/transplant/hcc/#meeting-checkpoint" TargetMode="External"/><Relationship Id="rId18" Type="http://schemas.openxmlformats.org/officeDocument/2006/relationships/hyperlink" Target="https://drliuhao.github.io/mh-liver-pathways/transplant/hcc/#after-transplant" TargetMode="External"/><Relationship Id="rId19" Type="http://schemas.openxmlformats.org/officeDocument/2006/relationships/hyperlink" Target="https://drliuhao.github.io/mh-liver-pathways/transplant/hcc/#meeting-ownership" TargetMode="External"/><Relationship Id="rId20" Type="http://schemas.openxmlformats.org/officeDocument/2006/relationships/hyperlink" Target="https://drliuhao.github.io/mh-liver-pathways/transplant/hcc/#waitlist" TargetMode="External"/><Relationship Id="rId21" Type="http://schemas.openxmlformats.org/officeDocument/2006/relationships/hyperlink" Target="https://drliuhao.github.io/mh-liver-pathways/transplant/hcc/#meeting-response-uncertainty" TargetMode="External"/><Relationship Id="rId22" Type="http://schemas.openxmlformats.org/officeDocument/2006/relationships/hyperlink" Target="https://drliuhao.github.io/mh-liver-pathways/transplant/hcc/#meeting-afp-b1-1a" TargetMode="External"/><Relationship Id="rId23" Type="http://schemas.openxmlformats.org/officeDocument/2006/relationships/hyperlink" Target="https://drliuhao.github.io/mh-liver-pathways/transplant/hcc/#meeting-afp-b1-1b" TargetMode="External"/><Relationship Id="rId24" Type="http://schemas.openxmlformats.org/officeDocument/2006/relationships/hyperlink" Target="https://drliuhao.github.io/mh-liver-pathways/transplant/hcc/#meeting-afp-b1-1c" TargetMode="External"/><Relationship Id="rId25" Type="http://schemas.openxmlformats.org/officeDocument/2006/relationships/hyperlink" Target="https://drliuhao.github.io/mh-liver-pathways/transplant/hcc/#meeting-afp-b1-1d" TargetMode="External"/><Relationship Id="rId26" Type="http://schemas.openxmlformats.org/officeDocument/2006/relationships/hyperlink" Target="https://drliuhao.github.io/mh-liver-pathways/transplant/hcc/#meeting-afp-b1-1e" TargetMode="External"/><Relationship Id="rId27" Type="http://schemas.openxmlformats.org/officeDocument/2006/relationships/hyperlink" Target="https://drliuhao.github.io/mh-liver-pathways/transplant/hcc/#meeting-afp-b1-1f" TargetMode="External"/><Relationship Id="rId28" Type="http://schemas.openxmlformats.org/officeDocument/2006/relationships/hyperlink" Target="https://doi.org/10.1097/HEP.0000000000000466" TargetMode="External"/><Relationship Id="rId29" Type="http://schemas.openxmlformats.org/officeDocument/2006/relationships/hyperlink" Target="https://doi.org/10.1097/TP.0000000000002094" TargetMode="External"/><Relationship Id="rId30" Type="http://schemas.openxmlformats.org/officeDocument/2006/relationships/hyperlink" Target="https://doi.org/10.1002/lt.26392" TargetMode="External"/><Relationship Id="rId31" Type="http://schemas.openxmlformats.org/officeDocument/2006/relationships/hyperlink" Target="https://www.hrsa.gov/sites/default/files/hrsa/optn/adult-meld-exception-transplant-oncology-review-guidance.pdf#page=2" TargetMode="External"/><Relationship Id="rId32" Type="http://schemas.openxmlformats.org/officeDocument/2006/relationships/hyperlink" Target="https://www.hrsa.gov/sites/default/files/hrsa/optn/optn_policies.pdf#page=196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Hermann HCC system roadmap v0.9</dc:title>
  <dc:subject>Hepatocellular carcinoma</dc:subject>
  <dc:creator>Memorial Hermann / UTHealth Houston tumour roadmap programme</dc:creator>
  <dc:description>Draft under development. Not ratified clinical policy.</dc:description>
  <cp:lastModifiedBy>Un-named</cp:lastModifiedBy>
  <cp:revision>1</cp:revision>
  <dcterms:created xsi:type="dcterms:W3CDTF">2026-10-10T04:29:15.270Z</dcterms:created>
  <dcterms:modified xsi:type="dcterms:W3CDTF">2026-10-29T14:21:32Z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