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and Memorial Hermann High Risk Liver Transplant Protocol for Hepatocellular Carcinoma</w:t>
      </w:r>
    </w:p>
    <w:p>
      <w:pPr>
        <w:pStyle w:val="Normal"/>
        <w:widowControl/>
      </w:pPr>
      <w:r>
        <w:t xml:space="preserve">Expanded tumor burden, treated vascular invasion and prior immune checkpoint exposure require different assessments. Use this protocol to classify the patient, direct treatment and reassessment, and determine whether the next action is standard-pathway care, further evaluation, a defined study or no transplant.</w:t>
      </w:r>
    </w:p>
    <w:p>
      <w:pPr>
        <w:spacing w:after="120"/>
      </w:pPr>
      <w:r>
        <w:rPr>
          <w:i/>
          <w:sz w:val="18"/>
        </w:rPr>
        <w:t xml:space="preserve">Standardized document set, 29 October 2026: this is the full-content document for the high-risk pathway. Questions for consensus: HCC_6_High_Risk_Pathway_Questions.docx. Decision discussion for all settings: HCC_7_Decision_Discussion.docx. Web page: https://drliuhao.github.io/mh-liver-pathways/transplant/hcc/#high-risk</w:t>
      </w:r>
    </w:p>
    <w:p>
      <w:pPr>
        <w:pStyle w:val="Normal"/>
        <w:widowControl/>
      </w:pPr>
      <w:r>
        <w:t xml:space="preserve">Version 16 | Focused treatment-to-transplant interface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1 Purpose and scope</w:t>
      </w:r>
    </w:p>
    <w:p>
      <w:pPr>
        <w:pStyle w:val="Normal"/>
        <w:widowControl/>
      </w:pPr>
      <w:r>
        <w:t xml:space="preserve">Patients who satisfy current standard HCC criteria should remain on the standard pathway. Prior immune checkpoint inhibitor (ICI) exposure does not by itself preclude an HCC exception. Planned investigational ICI downstaging, burden beyond standard downstaging limits and treated portal-vein tumor thrombus (PVTT) must not be merged into a single permissive expanded category.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pPr>
      <w:r>
        <w:t xml:space="preserve">A transplanting expansion requires a defined entry population and prospective oversight. Screening or tumor response is not permission to transplant. Preserve all pretreatment measurements after response; a favorable score predicts prognosis within its derivation population, not treatment benefit or allocation entitlement.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YtNF08L0Rpc3BsYXlUZXh0PjxyZWNvcmQ+PHJlYy1udW1iZXI+NDwvcmVjLW51bWJlcj48Zm9yZWlnbi1rZXlzPjxrZXkgYXBwPSJFTiIgZGItaWQ9IjdlNzhiMTViLTg2MzMtNWVjMC1hMGI0LWNlOGJkYTQ4YzI2NiIgdGltZXN0YW1wPSIxNzkzMjgzNj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Ni01XTwvRGlzcGxheVRleHQ+PHJlY29yZD48cmVjLW51bWJlcj41PC9yZWMtbnVtYmVyPjxmb3JlaWduLWtleXM+PGtleSBhcHA9IkVOIiBkYi1pZD0iN2U3OGIxNWItODYzMy01ZWMwLWEwYjQtY2U4YmRhNDhjMjY2IiB0aW1lc3RhbXA9IjE3OTMyODM2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UmV0YWluZWQgc291cmNlIGZyb20gZWFybGllciByZXZpZXc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Heading2"/>
        <w:keepNext/>
        <w:widowControl/>
      </w:pPr>
      <w:r>
        <w:t xml:space="preserve">2 Multidisciplinary team</w:t>
      </w:r>
    </w:p>
    <w:p>
      <w:pPr>
        <w:pStyle w:val="Normal"/>
        <w:widowControl/>
        <w:numPr>
          <w:ilvl w:val="0"/>
          <w:numId w:val="3"/>
        </w:numPr>
      </w:pPr>
      <w:r>
        <w:t xml:space="preserve">Transplant surgery and hepatology coordinate decisions with HPB surgery, medical oncology, interventional and diagnostic radiology, radiation oncology, pathology, transplant pharmacy, nutrition and psychosocial services.</w:t>
      </w:r>
    </w:p>
    <w:p>
      <w:pPr>
        <w:pStyle w:val="Normal"/>
        <w:widowControl/>
        <w:numPr>
          <w:ilvl w:val="0"/>
          <w:numId w:val="3"/>
        </w:numPr>
      </w:pPr>
      <w:r>
        <w:t xml:space="preserve">For a study, add the research coordinator, biostatistician and independent safety board. For prior ICI, document hepatology, oncology and pharmacy review of immune toxicity and graft risk. Donor assessment remains independent.</w:t>
      </w:r>
    </w:p>
    <w:p>
      <w:pPr>
        <w:pStyle w:val="Heading2"/>
        <w:keepNext/>
        <w:widowControl/>
      </w:pPr>
      <w:r>
        <w:t xml:space="preserve">3 Patient selection and baseline workup</w:t>
      </w:r>
    </w:p>
    <w:p>
      <w:pPr>
        <w:pStyle w:val="Heading3"/>
        <w:keepNext/>
        <w:widowControl/>
      </w:pPr>
      <w:r>
        <w:t xml:space="preserve">3.1 Confirm diagnosis and map the original disease</w:t>
      </w:r>
    </w:p>
    <w:p>
      <w:pPr>
        <w:pStyle w:val="Normal"/>
        <w:widowControl/>
        <w:numPr>
          <w:ilvl w:val="0"/>
          <w:numId w:val="3"/>
        </w:numPr>
      </w:pPr>
      <w:r>
        <w:t xml:space="preserve">Order or obtain high-quality multiphasic liver CT or MRI, chest CT, AFP, CBC, bilirubin, albumin, INR, creatinine and sodium. Document Child-Pugh class, calculated MELD, ECOG performance status, portal hypertension, frailty and surgical fitness.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Ni02XTwvRGlzcGxheVRleHQ+PHJlY29yZD48cmVjLW51bWJlcj42PC9yZWMtbnVtYmVyPjxmb3JlaWduLWtleXM+PGtleSBhcHA9IkVOIiBkYi1pZD0iN2U3OGIxNWItODYzMy01ZWMwLWEwYjQtY2U4YmRhNDhjMjY2IiB0aW1lc3RhbXA9IjE3OTMyODM2ODM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Radiology must list each lesion with baseline segment, diameter and diagnostic category; distinguish viable tumor from treated nonviable tissue. Resolve atypical or discordant lesions through repeat appropriate imaging or MDT-directed biopsy when the result will change management. Do not count an indeterminate or LR-4 lesion as definite HCC solely to meet a transplant threshold.</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Obtain a written resection/ablation assessment and classify vascular findings as bland thrombus, tumor thrombus or unresolved. PET is not a substitute for liver imaging or a mandatory negative test for all HCC candidates.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pPr>
      <w:r>
        <w:t xml:space="preserve">Advance only when the diagnosis, baseline burden, liver reserve, absence or presence of extrahepatic disease, and curative alternatives have been adjudicated. Hold for uncertain vascular invasion, discordant imaging or unexplained marker rise. Confirmed extrahepatic metastases or uncontrolled progression stops this proposed transplant route.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Heading3"/>
        <w:keepNext/>
        <w:widowControl/>
      </w:pPr>
      <w:r>
        <w:t xml:space="preserve">3.2 Expanded burden and biomarkers</w:t>
      </w:r>
    </w:p>
    <w:p>
      <w:pPr>
        <w:pStyle w:val="Normal"/>
        <w:widowControl/>
        <w:numPr>
          <w:ilvl w:val="0"/>
          <w:numId w:val="3"/>
        </w:numPr>
      </w:pPr>
      <w:r>
        <w:t xml:space="preserve">Record whether baseline disease met Policy 9.5.I downstaging entry criteria. Beyond-UNOS downstaging requires an individually justified nonstandard request if exception priority is sought; reaching T2 does not retrospectively confer standardized entry eligibility.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Track AFP as a dated series. For standardized eligibility, a history of AFP above 1000 ng/mL requires treatment response below 500 ng/mL and maintenance below that level. Do not substitute a percentage fall for the applicable threshold. A guidance-ineligible AFP course requires separate review, not automatic enrollment.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XXL enrolled 74 patients and randomized 45 after downstaging selection; five-year OS from randomization was 77.5% with LT versus 31.2% with control treatment. The main report excludes macrovascular invasion, but the protocol appendix allowed uncertain bland-versus-neoplastic segmental/type-I portal thrombosis under additional response conditions. No separately reported proven-PVTT subgroup establishes efficacy for that phenotype. In the prospective MERITS-LT cohort, 76/190 beyond-UNOS candidates and 155/326 UNOS-DS candidates reached LT. Five-year entry-pathway OS was 45.0% versus 58.8%, despite recipient OS of approximately 72% versus 74%; recipient recurrence was approximately 30% versus 14%. These are different denominators, and five-year estimates require their small late risk sets and 27-month median follow-up to be considered.</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Ni01XTwvRGlzcGxheVRleHQ+PHJlY29yZD48cmVjLW51bWJlcj41PC9yZWMtbnVtYmVyPjxmb3JlaWduLWtleXM+PGtleSBhcHA9IkVOIiBkYi1pZD0iN2U3OGIxNWItODYzMy01ZWMwLWEwYjQtY2U4YmRhNDhjMjY2IiB0aW1lc3RhbXA9IjE3OTMyODM2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UmV0YWluZWQgc291cmNlIGZyb20gZWFybGllciByZXZpZXc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YtNF08L0Rpc3BsYXlUZXh0PjxyZWNvcmQ+PHJlYy1udW1iZXI+NDwvcmVjLW51bWJlcj48Zm9yZWlnbi1rZXlzPjxrZXkgYXBwPSJFTiIgZGItaWQ9IjdlNzhiMTViLTg2MzMtNWVjMC1hMGI0LWNlOGJkYTQ4YzI2NiIgdGltZXN0YW1wPSIxNzkzMjgzNj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Heading3"/>
        <w:keepNext/>
        <w:widowControl/>
      </w:pPr>
      <w:bookmarkStart w:id="1" w:name="HCC_B1"/>
      <w:r>
        <w:t xml:space="preserve">HCC-B1 — How far beyond UNOS-DS should the program attempt downstaging?</w:t>
      </w:r>
      <w:bookmarkEnd w:id="1"/>
    </w:p>
    <w:p>
      <w:pPr>
        <w:pStyle w:val="Heading3"/>
        <w:keepNext/>
        <w:widowControl/>
      </w:pPr>
      <w:r>
        <w:t xml:space="preserve">Question and comparison</w:t>
      </w:r>
    </w:p>
    <w:p>
      <w:pPr>
        <w:pStyle w:val="Normal"/>
        <w:widowControl/>
        <w:spacing w:before="60" w:after="20"/>
      </w:pPr>
      <w:r>
        <w:t xml:space="preserve">Adults with initially unresectable HCC outside UNOS downstaging entry limits, without extrahepatic disease or viable macrovascular invasion; compare a bounded downstaging-to-transplant strategy with standard UNOS-DS and nontransplant management. Evaluate treatment-entry survival, dropout, probability of transplant, recipient survival and recurrence separately.</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Yao 2015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UCSF downstaging cohort: 122 entered; three LDLT cases and one with &lt;3-month follow-up excluded, leaving 118, compared with 488 patients listed within T2. Entry burden was bounded; major vascular invasion and extrahepatic spread excluded.</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Full-text PDF</w:t>
              </w:r>
            </w:hyperlink>
          </w:p>
          <w:p>
            <w:pPr>
              <w:pStyle w:val="Normal"/>
              <w:widowControl/>
              <w:spacing w:before="60" w:after="20"/>
            </w:pPr>
            <w:r>
              <w:t xml:space="preserve">Locator: PDF pp 2–3/j 1969–1970: imaging, DS criteria, observation. | PDF p 4/j 1971: 122 → 118 flow, time origins, 77 success/64 LT. | PDF pp 5–6/j 1972–1973: survival/recurrence. | PDF pp 7–9/j 1974–1976: dropout models, harms, limitations.</w:t>
            </w:r>
          </w:p>
          <w:p>
            <w:pPr>
              <w:pStyle w:val="Normal"/>
              <w:widowControl/>
              <w:spacing w:before="60" w:after="20"/>
            </w:pPr>
            <w:r>
              <w:t xml:space="preserve">Review depth: Complete 10-page publisher paper identity verified; all main methods/results/tables/discussion read; supporting figures not included.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ITT survival 56.1% for downstaging versus 63.3% for T2; two-year dropout 34.2% versus 25.6%. Five-year recipient OS 77.8% versus 81.0%; recurrence-free probability 90.8% versus 88.0%. Five recurrences among 64 downstaged recipients (7.8% calculated; article prints 7.5%). Safety: Three deaths from liver decompensation were reported during downstaging. Good recipient outcomes coexist with appreciable entry-cohort attrition.</w:t>
            </w:r>
          </w:p>
          <w:p>
            <w:pPr>
              <w:pStyle w:val="Normal"/>
              <w:widowControl/>
              <w:spacing w:before="60" w:after="20"/>
            </w:pPr>
            <w:r>
              <w:rPr>
                <w:b/>
              </w:rPr>
              <w:t xml:space="preserve">Do not infer: </w:t>
            </w:r>
            <w:r>
              <w:t xml:space="preserve">Nonrandom single-center comparison with different ITT origins and early exclusions; overlap with later UCSF series. Recurrence-free probability should not be treated as death-inclusive RFS. Three months was a protocol selection rule, not a randomized optimal duration.</w:t>
            </w:r>
          </w:p>
        </w:tc>
      </w:tr>
      <w:tr>
        <w:trPr/>
        <w:tc>
          <w:tcPr>
            <w:tcW w:w="3400" w:type="dxa"/>
            <w:tcMar>
              <w:top w:w="90" w:type="dxa"/>
              <w:left w:w="90" w:type="dxa"/>
              <w:bottom w:w="90" w:type="dxa"/>
              <w:right w:w="90" w:type="dxa"/>
            </w:tcMar>
          </w:tcPr>
          <w:p>
            <w:pPr>
              <w:pStyle w:val="Normal"/>
              <w:widowControl/>
              <w:spacing w:before="60" w:after="20"/>
            </w:pPr>
            <w:r>
              <w:rPr>
                <w:b/>
              </w:rPr>
              <w:t xml:space="preserve">Mehta 2021</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Prospective seven-center MERITS-LT UNOS-DS cohort: 324 screened, 115 excluded and 209 enrolled. Initial treatment was TACE in 132 and Y90 in 62; modalities were not randomized.</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Full-text PDF</w:t>
              </w:r>
            </w:hyperlink>
          </w:p>
          <w:p>
            <w:pPr>
              <w:pStyle w:val="Normal"/>
              <w:widowControl/>
              <w:spacing w:before="60" w:after="20"/>
            </w:pPr>
            <w:r>
              <w:t xml:space="preserve">Locator: PDF p 3/j 1504: protocol, viable measurement, observation. | PDF p 4/j 1505: 324 screened, 115 excluded, time zero. | PDF pp 5–7/j 1506–1508: Tables 3, flow, DS/dropout/transplant/explant/outcomes. | PDF pp 8–9/j 1509–1510: selection, biomarker limits, modality/extra LRT interpretation.</w:t>
            </w:r>
          </w:p>
          <w:p>
            <w:pPr>
              <w:pStyle w:val="Normal"/>
              <w:widowControl/>
              <w:spacing w:before="60" w:after="20"/>
            </w:pPr>
            <w:r>
              <w:t xml:space="preserve">Review depth: Complete 11-page publisher paper identity verified; all main methods/results/tables/discussion 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Successful downstaging 174/209 (83.3%); estimated two-year success 87.7%. Dropouts: 51 progression, nine liver-related deaths and 15 other reasons; primary two-year dropout estimate 37.3%. Estimated three-year LT probability 46.6% and ITT survival 73%. Recipient two-year OS 95%, three-year OS 83.1%, with five recurrences. Explants were beyond Milan in 42.8%, with microvascular invasion in 17.5%. Safety: Nine liver-related deaths among dropouts; substantial explant understaging despite imaging downstaging.</w:t>
            </w:r>
          </w:p>
          <w:p>
            <w:pPr>
              <w:pStyle w:val="Normal"/>
              <w:widowControl/>
              <w:spacing w:before="60" w:after="20"/>
            </w:pPr>
            <w:r>
              <w:rPr>
                <w:b/>
              </w:rPr>
              <w:t xml:space="preserve">Do not infer: </w:t>
            </w:r>
            <w:r>
              <w:t xml:space="preserve">Nonrandom modality choice; nonsignificant TACE/Y90 differences do not establish equivalence. Recipient follow-up is immature. AFP-L3 was available in only 83 patients; it is not a validated mandatory gate. This cohort overlaps later MERITS publications.</w:t>
            </w:r>
          </w:p>
        </w:tc>
      </w:tr>
      <w:tr>
        <w:trPr/>
        <w:tc>
          <w:tcPr>
            <w:tcW w:w="3400" w:type="dxa"/>
            <w:tcMar>
              <w:top w:w="90" w:type="dxa"/>
              <w:left w:w="90" w:type="dxa"/>
              <w:bottom w:w="90" w:type="dxa"/>
              <w:right w:w="90" w:type="dxa"/>
            </w:tcMar>
          </w:tcPr>
          <w:p>
            <w:pPr>
              <w:pStyle w:val="Normal"/>
              <w:widowControl/>
              <w:spacing w:before="60" w:after="20"/>
            </w:pPr>
            <w:r>
              <w:rPr>
                <w:b/>
              </w:rPr>
              <w:t xml:space="preserve">Sinha 2019</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</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UCSF all-comers cohort of 74 patients beyond bounded UCSF downstaging entry criteria, compared with 133 bounded-entry patients. All-comers required six months and three scans without a new lesion after response; the bounded protocol used three months and allowed certain new lesions.</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Full-text PDF</w:t>
              </w:r>
            </w:hyperlink>
          </w:p>
          <w:p>
            <w:pPr>
              <w:pStyle w:val="Normal"/>
              <w:widowControl/>
              <w:spacing w:before="60" w:after="20"/>
            </w:pPr>
            <w:r>
              <w:t xml:space="preserve">Locator: PDF pp 2–4/j 1186–1188: entry and different protocols, time origins. | PDF pp 5–7/j 1189–1191: flow, ITT, burden model, complications. | PDF p 8/j 1192: all 10 recipient outcomes. | PDF pp 9–11/j 1193–1195: limits and &lt;12 conclusion.</w:t>
            </w:r>
          </w:p>
          <w:p>
            <w:pPr>
              <w:pStyle w:val="Normal"/>
              <w:widowControl/>
              <w:spacing w:before="60" w:after="20"/>
            </w:pPr>
            <w:r>
              <w:t xml:space="preserve">Review depth: Complete 12-page paper identity verified; all main methods/results/tables/discussion read; Supplement S1/S2 not included.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Three-year dropout 80% in all-comers versus 36.1% in bounded-entry patients; five-year ITT OS 21.1% versus 56.0%. Among ten all-comer recipients, five-year OS 50% and recurrence-free probability 40%; three recurrences and eight explants beyond Milan. Largest diameter plus lesion count of 12 corresponded to an estimated 47% one-year downstaging probability; the authors' concluding proposed boundary was &lt;12. Safety: Eight of 74 had treatment-associated decompensation: one of 40 Child-Pugh A, five of 27 B and two of six C patients. Favorable response did not prevent later dropout.</w:t>
            </w:r>
          </w:p>
          <w:p>
            <w:pPr>
              <w:pStyle w:val="Normal"/>
              <w:widowControl/>
              <w:spacing w:before="60" w:after="20"/>
            </w:pPr>
            <w:r>
              <w:rPr>
                <w:b/>
              </w:rPr>
              <w:t xml:space="preserve">Do not infer: </w:t>
            </w:r>
            <w:r>
              <w:t xml:space="preserve">Small single-center series with era/selection differences and overlap with Yao/UCSF cohorts. The burden threshold was exploratory; a local ≤12 boundary is not the same as the paper's &lt;12 proposal. Recurrence-free probability is not death-inclusive RFS. Dropout-reason narrative sums do not perfectly reconcile with 62.</w:t>
            </w:r>
          </w:p>
        </w:tc>
      </w:tr>
      <w:tr>
        <w:trPr/>
        <w:tc>
          <w:tcPr>
            <w:tcW w:w="3400" w:type="dxa"/>
            <w:tcMar>
              <w:top w:w="90" w:type="dxa"/>
              <w:left w:w="90" w:type="dxa"/>
              <w:bottom w:w="90" w:type="dxa"/>
              <w:right w:w="90" w:type="dxa"/>
            </w:tcMar>
          </w:tcPr>
          <w:p>
            <w:pPr>
              <w:pStyle w:val="Normal"/>
              <w:widowControl/>
              <w:spacing w:before="60" w:after="20"/>
            </w:pPr>
            <w:r>
              <w:rPr>
                <w:b/>
              </w:rPr>
              <w:t xml:space="preserve">Natarajan 2023</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Prospective MERITS-LT expansion: 82 all-comers beyond UNOS-DS versus 229 UNOS-DS patients, 2015–2020. Overlaps the earlier MERITS cohort.</w:t>
            </w:r>
          </w:p>
          <w:p>
            <w:pPr>
              <w:pStyle w:val="Normal"/>
              <w:widowControl/>
              <w:spacing w:before="60" w:after="20"/>
            </w:pPr>
            <w:hyperlink r:id="rId36">
              <w:r>
                <w:rPr>
                  <w:color w:val="77230C"/>
                  <w:sz w:val="20"/>
                  <w:u w:val="single"/>
                </w:rPr>
                <w:t>Primary source</w:t>
              </w:r>
            </w:hyperlink>
            <w:r>
              <w:t xml:space="preserve"> | </w:t>
            </w:r>
            <w:hyperlink r:id="rId37">
              <w:r>
                <w:rPr>
                  <w:color w:val="77230C"/>
                  <w:sz w:val="20"/>
                  <w:u w:val="single"/>
                </w:rPr>
                <w:t>Full-text PDF</w:t>
              </w:r>
            </w:hyperlink>
          </w:p>
          <w:p>
            <w:pPr>
              <w:pStyle w:val="Normal"/>
              <w:widowControl/>
              <w:spacing w:before="60" w:after="20"/>
            </w:pPr>
            <w:r>
              <w:t xml:space="preserve">Locator: PDF pp 2–3/j 1772–1773: population, protocol and time origins. | PDF pp 4–6/j 1774–1776: Tables 2–4, flow, outcomes and follow-up. | PDF pp 7–9/j 1777–1779: survival figure, Table 5, limitations.</w:t>
            </w:r>
          </w:p>
          <w:p>
            <w:pPr>
              <w:pStyle w:val="Normal"/>
              <w:widowControl/>
              <w:spacing w:before="60" w:after="20"/>
            </w:pPr>
            <w:r>
              <w:t xml:space="preserve">Review depth: Complete ten-page main paper read, including methods, results, all tables, discussion and reference list.</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One-year downstaging probability 67.3% in all-comers versus 82.6% in UNOS-DS. Three-year ITT OS 58.1% versus 69.4%. All-comers with Child-Pugh B/C or AFP ≥500 had three-year ITT OS 29.9% versus 67.7% without those features; Child-Pugh B/C alone had 23.2%. Recipient three-year OS 90.9% versus 80.6%; recurrence 1/20 versus 7/85. Eight of 20 all-comer explants remained beyond Milan and four had microvascular invasion. Safety: Poor liver reserve/high AFP identified a high-attrition group; favorable recipient survival is heavily conditioned on reaching transplantation.</w:t>
            </w:r>
          </w:p>
          <w:p>
            <w:pPr>
              <w:pStyle w:val="Normal"/>
              <w:widowControl/>
              <w:spacing w:before="60" w:after="20"/>
            </w:pPr>
            <w:r>
              <w:rPr>
                <w:b/>
              </w:rPr>
              <w:t xml:space="preserve">Do not infer: </w:t>
            </w:r>
            <w:r>
              <w:t xml:space="preserve">Nonrandom selected enrollment; few all-comer recipients, immature long-term follow-up and overlap with prior MERITS reports. Does not validate a combined ≤12/AFP &lt;100/Child-Pugh A rule. Kaplan–Meier dropout or LT probabilities should not be described as competing-risk cumulative incidence.</w:t>
            </w:r>
          </w:p>
        </w:tc>
      </w:tr>
      <w:tr>
        <w:trPr/>
        <w:tc>
          <w:tcPr>
            <w:tcW w:w="3400" w:type="dxa"/>
            <w:tcMar>
              <w:top w:w="90" w:type="dxa"/>
              <w:left w:w="90" w:type="dxa"/>
              <w:bottom w:w="90" w:type="dxa"/>
              <w:right w:w="90" w:type="dxa"/>
            </w:tcMar>
          </w:tcPr>
          <w:p>
            <w:pPr>
              <w:pStyle w:val="Normal"/>
              <w:widowControl/>
              <w:spacing w:before="60" w:after="20"/>
            </w:pPr>
            <w:r>
              <w:rPr>
                <w:b/>
              </w:rPr>
              <w:t xml:space="preserve">Xu 2025 · all-comers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YtNF08L0Rpc3BsYXlUZXh0PjxyZWNvcmQ+PHJlYy1udW1iZXI+NDwvcmVjLW51bWJlcj48Zm9yZWlnbi1rZXlzPjxrZXkgYXBwPSJFTiIgZGItaWQ9IjdlNzhiMTViLTg2MzMtNWVjMC1hMGI0LWNlOGJkYTQ4YzI2NiIgdGltZXN0YW1wPSIxNzkzMjgzNj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National prospective cohort, nine centers, 2015–2023: 190 all-comers and 326 UNOS-DS patients; intention-to-treat clock starts at first locoregional treatment.</w:t>
            </w:r>
          </w:p>
          <w:p>
            <w:pPr>
              <w:pStyle w:val="Normal"/>
              <w:widowControl/>
              <w:spacing w:before="60" w:after="20"/>
            </w:pPr>
            <w:hyperlink r:id="rId38">
              <w:r>
                <w:rPr>
                  <w:color w:val="77230C"/>
                  <w:sz w:val="20"/>
                  <w:u w:val="single"/>
                </w:rPr>
                <w:t>Primary source</w:t>
              </w:r>
            </w:hyperlink>
            <w:r>
              <w:t xml:space="preserve"> | </w:t>
            </w:r>
            <w:hyperlink r:id="rId39">
              <w:r>
                <w:rPr>
                  <w:color w:val="77230C"/>
                  <w:sz w:val="20"/>
                  <w:u w:val="single"/>
                </w:rPr>
                <w:t>Full-text PDF</w:t>
              </w:r>
            </w:hyperlink>
          </w:p>
          <w:p>
            <w:pPr>
              <w:pStyle w:val="Normal"/>
              <w:widowControl/>
              <w:spacing w:before="60" w:after="20"/>
            </w:pPr>
            <w:r>
              <w:t xml:space="preserve">Locator: Complete local PDF, Results pp6–9, Tables 3–4; proposed refinements in Discussion pp9–11.</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Two-year downstaging: 66% versus 82%. Among all-comers, number plus largest diameter &lt;10, 10–12 and &gt;12 had success of 72%, 51% and 39%. Five-year treatment-entry survival: 45.0% versus 58.8%. LT occurred in 76/190 versus 155/326; median downstaging-to-LT 10.6 months. Five-year recipient survival: 71.5% versus 73.6%; recurrence: 29.8% versus 13.7%, with median post-LT follow-up 27.4 months. AFP ≥100 and Child-Pugh B predicted worse entry survival.</w:t>
            </w:r>
          </w:p>
          <w:p>
            <w:pPr>
              <w:pStyle w:val="Normal"/>
              <w:widowControl/>
              <w:spacing w:before="60" w:after="20"/>
            </w:pPr>
            <w:r>
              <w:rPr>
                <w:b/>
              </w:rPr>
              <w:t xml:space="preserve">Do not infer: </w:t>
            </w:r>
            <w:r>
              <w:t xml:space="preserve">Selected-recipient success cannot replace entry survival; five-year tails are immature. Y90/TACE comparisons were observational. The proposed number-plus-diameter ≤12, AFP &lt;100 and Child-Pugh A combination remains unvalidated.</w:t>
            </w:r>
          </w:p>
        </w:tc>
      </w:tr>
      <w:tr>
        <w:trPr/>
        <w:tc>
          <w:tcPr>
            <w:tcW w:w="3400" w:type="dxa"/>
            <w:tcMar>
              <w:top w:w="90" w:type="dxa"/>
              <w:left w:w="90" w:type="dxa"/>
              <w:bottom w:w="90" w:type="dxa"/>
              <w:right w:w="90" w:type="dxa"/>
            </w:tcMar>
          </w:tcPr>
          <w:p>
            <w:pPr>
              <w:pStyle w:val="Normal"/>
              <w:widowControl/>
              <w:spacing w:before="60" w:after="20"/>
            </w:pPr>
            <w:r>
              <w:rPr>
                <w:b/>
              </w:rPr>
              <w:t xml:space="preserve">XXL 2020</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Ni01XTwvRGlzcGxheVRleHQ+PHJlY29yZD48cmVjLW51bWJlcj41PC9yZWMtbnVtYmVyPjxmb3JlaWduLWtleXM+PGtleSBhcHA9IkVOIiBkYi1pZD0iN2U3OGIxNWItODYzMy01ZWMwLWEwYjQtY2U4YmRhNDhjMjY2IiB0aW1lc3RhbXA9IjE3OTMyODM2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UmV0YWluZWQgc291cmNlIGZyb20gZWFybGllciByZXZpZXc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Multicenter randomized phase 2b/3 trial: 74 entered downstaging; 29 dropped out before randomization; 45 responders were randomized, 23 to LT and 22 to nontransplant treatment.</w:t>
            </w:r>
          </w:p>
          <w:p>
            <w:pPr>
              <w:pStyle w:val="Normal"/>
              <w:widowControl/>
              <w:spacing w:before="60" w:after="20"/>
            </w:pPr>
            <w:hyperlink r:id="rId40">
              <w:r>
                <w:rPr>
                  <w:color w:val="77230C"/>
                  <w:sz w:val="20"/>
                  <w:u w:val="single"/>
                </w:rPr>
                <w:t>Primary source</w:t>
              </w:r>
            </w:hyperlink>
            <w:r>
              <w:t xml:space="preserve"> | </w:t>
            </w:r>
            <w:hyperlink r:id="rId41">
              <w:r>
                <w:rPr>
                  <w:color w:val="77230C"/>
                  <w:sz w:val="20"/>
                  <w:u w:val="single"/>
                </w:rPr>
                <w:t>Full-text PDF</w:t>
              </w:r>
            </w:hyperlink>
          </w:p>
          <w:p>
            <w:pPr>
              <w:pStyle w:val="Normal"/>
              <w:widowControl/>
              <w:spacing w:before="60" w:after="20"/>
            </w:pPr>
            <w:r>
              <w:t xml:space="preserve">Locator: Complete accepted manuscript and protocol appendix; final published abstract for survival estimates. Avoid mixing accepted-manuscript and final-publication hazard ratios.</w:t>
            </w:r>
          </w:p>
          <w:p>
            <w:pPr>
              <w:pStyle w:val="Normal"/>
              <w:widowControl/>
              <w:spacing w:before="60" w:after="20"/>
            </w:pPr>
            <w:r>
              <w:t xml:space="preserve">Review depth: Complete accepted manuscript including protocol appendix plus final published abstract; version-dependent hazard ratios not merged.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randomization, five-year overall survival was 77.5% with LT versus 31.2% without LT; tumor-event-free survival 76.8% versus 18.3%; median follow-up 71 months.</w:t>
            </w:r>
          </w:p>
          <w:p>
            <w:pPr>
              <w:pStyle w:val="Normal"/>
              <w:widowControl/>
              <w:spacing w:before="60" w:after="20"/>
            </w:pPr>
            <w:r>
              <w:rPr>
                <w:b/>
              </w:rPr>
              <w:t xml:space="preserve">Do not infer: </w:t>
            </w:r>
            <w:r>
              <w:t xml:space="preserve">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tc>
      </w:tr>
      <w:tr>
        <w:trPr/>
        <w:tc>
          <w:tcPr>
            <w:tcW w:w="3400" w:type="dxa"/>
            <w:tcMar>
              <w:top w:w="90" w:type="dxa"/>
              <w:left w:w="90" w:type="dxa"/>
              <w:bottom w:w="90" w:type="dxa"/>
              <w:right w:w="90" w:type="dxa"/>
            </w:tcMar>
          </w:tcPr>
          <w:p>
            <w:pPr>
              <w:pStyle w:val="Normal"/>
              <w:widowControl/>
              <w:spacing w:before="60" w:after="20"/>
            </w:pPr>
            <w:r>
              <w:rPr>
                <w:b/>
              </w:rPr>
              <w:t xml:space="preserve">Huang 2023</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spacing w:before="60" w:after="20"/>
            </w:pPr>
            <w:r>
              <w:t xml:space="preserve">UNOS registry study of 23,398 HCC exception applicants: 20,579 always within Milan, 2,151 UNOS-DS and 668 all-comers. Initial AFP refers to the time of entry into the highest tumor-burden category, not necessarily current post-treatment AFP.</w:t>
            </w:r>
          </w:p>
          <w:p>
            <w:pPr>
              <w:pStyle w:val="Normal"/>
              <w:widowControl/>
              <w:spacing w:before="60" w:after="20"/>
            </w:pPr>
            <w:hyperlink r:id="rId42">
              <w:r>
                <w:rPr>
                  <w:color w:val="77230C"/>
                  <w:sz w:val="20"/>
                  <w:u w:val="single"/>
                </w:rPr>
                <w:t>Primary source</w:t>
              </w:r>
            </w:hyperlink>
            <w:r>
              <w:t xml:space="preserve"> | </w:t>
            </w:r>
            <w:hyperlink r:id="rId43">
              <w:r>
                <w:rPr>
                  <w:color w:val="77230C"/>
                  <w:sz w:val="20"/>
                  <w:u w:val="single"/>
                </w:rPr>
                <w:t>Full-text PDF</w:t>
              </w:r>
            </w:hyperlink>
          </w:p>
          <w:p>
            <w:pPr>
              <w:pStyle w:val="Normal"/>
              <w:widowControl/>
              <w:spacing w:before="60" w:after="20"/>
            </w:pPr>
            <w:r>
              <w:t xml:space="preserve">Locator: PDF pp 2–3/j 1582–1583: cohort definition, time zero, AFP measurement. | PDF p 4/j 1584: Table 1 including initial-application beyond Milan. | PDF pp 5–6/j 1585–1586: comparators, dropout, ITT and recipient OS. | PDF pp 7–8/j 1587–1588: clinical interpretation and limits.</w:t>
            </w:r>
          </w:p>
          <w:p>
            <w:pPr>
              <w:pStyle w:val="Normal"/>
              <w:widowControl/>
              <w:spacing w:before="60" w:after="20"/>
            </w:pPr>
            <w:r>
              <w:t xml:space="preserve">Review depth: Complete nine-page main paper read, all methods/results/tables/discussion.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Two-year dropout: Milan 19.3%, UNOS-DS 25.3%, all-comers 29.7%; all-comers versus UNOS-DS P = .07. Five-year ITT OS: 64.9%, 56.6%, 51.8%; recipient OS: 78.7%, 73.2%, 68.6%. All-comers with initial AFP &gt;100 (n = 82 derived from Table 1) had two-year dropout 52.3% versus 25.6% among all other beyond-Milan patients. Safety: Highest entry burden/high AFP are associated with substantial attrition even after selection for exception application.</w:t>
            </w:r>
          </w:p>
          <w:p>
            <w:pPr>
              <w:pStyle w:val="Normal"/>
              <w:widowControl/>
              <w:spacing w:before="60" w:after="20"/>
            </w:pPr>
            <w:r>
              <w:rPr>
                <w:b/>
              </w:rPr>
              <w:t xml:space="preserve">Do not infer: </w:t>
            </w:r>
            <w:r>
              <w:t xml:space="preserve">Registry selection excludes preapplication treatment failures and cannot represent all-comer treatment-entry survival. AFP &gt;100 comparison is against all other beyond-Milan applicants, not simply all-comers with AFP ≤100. Observational associations do not validate an AFP &lt;100 eligibility cutoff or a composite local rule.</w:t>
            </w:r>
          </w:p>
        </w:tc>
      </w:tr>
      <w:tr>
        <w:trPr/>
        <w:tc>
          <w:tcPr>
            <w:tcW w:w="3400" w:type="dxa"/>
            <w:tcMar>
              <w:top w:w="90" w:type="dxa"/>
              <w:left w:w="90" w:type="dxa"/>
              <w:bottom w:w="90" w:type="dxa"/>
              <w:right w:w="90" w:type="dxa"/>
            </w:tcMar>
          </w:tcPr>
          <w:p>
            <w:pPr>
              <w:pStyle w:val="Normal"/>
              <w:widowControl/>
              <w:spacing w:before="60" w:after="20"/>
            </w:pPr>
            <w:r>
              <w:rPr>
                <w:b/>
              </w:rPr>
              <w:t xml:space="preserve">Tabrizian 2022</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p>
          <w:p>
            <w:pPr>
              <w:pStyle w:val="Normal"/>
              <w:widowControl/>
              <w:spacing w:before="60" w:after="20"/>
            </w:pPr>
            <w:r>
              <w:t xml:space="preserve">Retrospective five-US-center cohort of 2,645 HCC recipients transplanted during 2001–2015: 2,122 always within Milan, 341 downstaged to Milan, and 182 beyond Milan at LT. Only 168 of 341 downstaged recipients met UNOS-DS entry criteria.</w:t>
            </w:r>
          </w:p>
          <w:p>
            <w:pPr>
              <w:pStyle w:val="Normal"/>
              <w:widowControl/>
              <w:spacing w:before="60" w:after="20"/>
            </w:pPr>
            <w:hyperlink r:id="rId44">
              <w:r>
                <w:rPr>
                  <w:color w:val="77230C"/>
                  <w:sz w:val="20"/>
                  <w:u w:val="single"/>
                </w:rPr>
                <w:t>Primary source</w:t>
              </w:r>
            </w:hyperlink>
            <w:r>
              <w:t xml:space="preserve"> | </w:t>
            </w:r>
            <w:hyperlink r:id="rId45">
              <w:r>
                <w:rPr>
                  <w:color w:val="77230C"/>
                  <w:sz w:val="20"/>
                  <w:u w:val="single"/>
                </w:rPr>
                <w:t>Full-text PDF</w:t>
              </w:r>
            </w:hyperlink>
          </w:p>
          <w:p>
            <w:pPr>
              <w:pStyle w:val="Normal"/>
              <w:widowControl/>
              <w:spacing w:before="60" w:after="20"/>
            </w:pPr>
            <w:r>
              <w:t xml:space="preserve">Locator: PDF pp 1–2: cohort, methods and time origins; pp 3–6: Tables 1–2 and Figures 1–2; pp 7–9: recurrence treatment, limitations and conclusions</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Five-/ten-year post-LT OS: always Milan 73.6%/61.5%; downstaged 67.9%/52.1%; beyond Milan 52.9%/43.3%. Observed recurrences: 212/2,122, 54/341, and 64/182. Five-/ten-year Kaplan–Meier recurrence estimates: 11.3%/13.3%, 19.1%/20.6%, and 38.9%/approximately 41%. The beyond-Milan 10-year estimate is 41.1% in the abstract versus 41.4% in the main results/figure. Downstaged versus beyond-Milan OS difference was not statistically significant (P = .34). Safety: There were 853 deaths overall, including 116 within 90 days (4.4% of all recipients). Recurrence after LT remained substantial outside Milan.</w:t>
            </w:r>
          </w:p>
          <w:p>
            <w:pPr>
              <w:pStyle w:val="Normal"/>
              <w:widowControl/>
              <w:spacing w:before="60" w:after="20"/>
            </w:pPr>
            <w:r>
              <w:rPr>
                <w:b/>
              </w:rPr>
              <w:t xml:space="preserve">Do not infer: </w:t>
            </w:r>
            <w:r>
              <w:t xml:space="preserve">Recipient-only selection excludes pretreatment failures and waiting-list deaths. Does not estimate intent-to-treat benefit, all-comer downstaging success, or comparative causal treatment effects. Ten-year tails have small risk sets. Recurrence is not interchangeable with death-inclusive RFS or competing-risk cumulative incidence. The paper contains an internal 41.1% versus 41.4% discrepancy and a transposed recurrence sentence. Surgical treatment of recurrence was selected for favorable disease; its survival association is not proof of benefit.</w:t>
            </w:r>
          </w:p>
        </w:tc>
      </w:tr>
    </w:tbl>
    <w:p>
      <w:pPr>
        <w:pStyle w:val="Heading3"/>
        <w:keepNext/>
        <w:widowControl/>
      </w:pPr>
      <w:r>
        <w:t xml:space="preserve">Synthesis and evidence that challenges the proposal</w:t>
      </w:r>
    </w:p>
    <w:p>
      <w:pPr>
        <w:pStyle w:val="Normal"/>
        <w:widowControl/>
        <w:spacing w:before="60" w:after="20"/>
      </w:pPr>
      <w:r>
        <w:t xml:space="preserve">Bounded downstaging has reproducible favorable recipient outcomes but substantial pretreatment attrition. Unrestricted all-comer outcomes vary sharply across cohorts: Sinha reported only 10/74 recipients and five-year ITT OS 21.1%; later MERITS all-comers had 20/82 LT and three-year ITT OS 58.1%, with poor outcomes in Child-Pugh B/C or AFP ≥500. Huang begins at exception application and omits earlier downstaging failures. Tabrizian is recipient-only. ImmunoXXL selected 16 from 61 treated, not an unselected 16-person conversion trial.</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</w:fldData>
        </w:fldChar>
      </w:r>
      <w:r>
        <w:instrText xml:space="preserve"> ADDIN EN.CITE.DATA </w:instrText>
      </w:r>
      <w:r>
        <w:fldChar w:fldCharType="end"/>
      </w:r>
      <w:r>
        <w:fldChar w:fldCharType="separate"/>
      </w:r>
      <w:r>
        <w:t xml:space="preserve">[V16-9]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YtNF08L0Rpc3BsYXlUZXh0PjxyZWNvcmQ+PHJlYy1udW1iZXI+NDwvcmVjLW51bWJlcj48Zm9yZWlnbi1rZXlzPjxrZXkgYXBwPSJFTiIgZGItaWQ9IjdlNzhiMTViLTg2MzMtNWVjMC1hMGI0LWNlOGJkYTQ4YzI2NiIgdGltZXN0YW1wPSIxNzkzMjgzNj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Ni01XTwvRGlzcGxheVRleHQ+PHJlY29yZD48cmVjLW51bWJlcj41PC9yZWMtbnVtYmVyPjxmb3JlaWduLWtleXM+PGtleSBhcHA9IkVOIiBkYi1pZD0iN2U3OGIxNWItODYzMy01ZWMwLWEwYjQtY2U4YmRhNDhjMjY2IiB0aW1lc3RhbXA9IjE3OTMyODM2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UmV0YWluZWQgc291cmNlIGZyb20gZWFybGllciByZXZpZXc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p>
    <w:p>
      <w:pPr>
        <w:pStyle w:val="Normal"/>
        <w:widowControl/>
        <w:numPr>
          <w:ilvl w:val="0"/>
          <w:numId w:val="3"/>
        </w:numPr>
        <w:spacing w:before="60" w:after="20"/>
      </w:pPr>
      <w:r>
        <w:t xml:space="preserve">Favorable MERITS recipient survival and the randomized responder benefit argue against declaring all beyond-UNOS disease futile. Conversely, high dropout in historical all-comers, worse entry survival, increased long-term recurrence and explant understaging argue against accepting a radiographic Milan endpoint alone. Child-Pugh B/C patients may need transplantation most, yet poorer downstaging tolerance makes an initial Child-Pugh-A-only pilot a local safety restriction rather than a universal oncologic exclusion.</w:t>
      </w:r>
    </w:p>
    <w:p>
      <w:pPr>
        <w:pStyle w:val="Normal"/>
        <w:widowControl/>
        <w:spacing w:before="60" w:after="20"/>
      </w:pPr>
      <w:r>
        <w:rPr>
          <w:b/>
        </w:rPr>
        <w:t xml:space="preserve">Certainty / applicability: </w:t>
      </w:r>
      <w:r>
        <w:t xml:space="preserve">Moderate for a benefit of LT in carefully selected sustained responders, limited by one small responder-randomized trial; low for the exact expanded-entry limits; very low for a jointly validated ≤12/AFP &lt;100/Child-Pugh A/six-month rule. This is an informal certainty assessment, not a formal GRADE exercise.</w:t>
      </w:r>
    </w:p>
    <w:p>
      <w:pPr>
        <w:pStyle w:val="Heading3"/>
        <w:keepNext/>
        <w:widowControl/>
      </w:pPr>
      <w:r>
        <w:t xml:space="preserve">Where each proposed threshold comes from</w:t>
      </w:r>
    </w:p>
    <w:p>
      <w:pPr>
        <w:pStyle w:val="Normal"/>
        <w:widowControl/>
        <w:numPr>
          <w:ilvl w:val="0"/>
          <w:numId w:val="3"/>
        </w:numPr>
        <w:spacing w:before="60" w:after="20"/>
      </w:pPr>
      <w:r>
        <w:t xml:space="preserve">Number-plus-largest-diameter ≤12 and AFP &lt;100/Child-Pugh A: cohort-derived risk refinement, not validated cutoff. Six months: proposed conservative operational observation period; studies used differing clocks and intervals. Imaging/AFP every three months: proposed monitoring cadence. A five-year ≥60% intention-to-treat target is a research-design benchmark, not an achieved or validated eligibility estimate for this pilot. The clinical stability clock must remain separate from OPTN/NLRB exception timing.</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Xu 2025 · all-comers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YtNF08L0Rpc3BsYXlUZXh0PjxyZWNvcmQ+PHJlYy1udW1iZXI+NDwvcmVjLW51bWJlcj48Zm9yZWlnbi1rZXlzPjxrZXkgYXBwPSJFTiIgZGItaWQ9IjdlNzhiMTViLTg2MzMtNWVjMC1hMGI0LWNlOGJkYTQ4YzI2NiIgdGltZXN0YW1wPSIxNzkzMjgzNj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“sum of tumor number and largest tumor diameter ≤12”</w:t>
            </w:r>
          </w:p>
          <w:p>
            <w:pPr>
              <w:pStyle w:val="Normal"/>
              <w:widowControl/>
              <w:spacing w:before="60" w:after="20"/>
            </w:pPr>
            <w:r>
              <w:t xml:space="preserve">Author-manuscript PDF p11, conclusion</w:t>
            </w:r>
          </w:p>
          <w:p>
            <w:pPr>
              <w:pStyle w:val="Normal"/>
              <w:widowControl/>
              <w:spacing w:before="60" w:after="20"/>
            </w:pPr>
            <w:hyperlink r:id="rId46">
              <w:r>
                <w:rPr>
                  <w:color w:val="77230C"/>
                  <w:sz w:val="20"/>
                  <w:u w:val="single"/>
                </w:rPr>
                <w:t>Source</w:t>
              </w:r>
            </w:hyperlink>
            <w:r>
              <w:t xml:space="preserve"> | </w:t>
            </w:r>
            <w:hyperlink r:id="rId4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Observationally proposed upper burden boundary, not an externally validated treatment-benefit rule.</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Xu 2025 · all-comers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YtNF08L0Rpc3BsYXlUZXh0PjxyZWNvcmQ+PHJlYy1udW1iZXI+NDwvcmVjLW51bWJlcj48Zm9yZWlnbi1rZXlzPjxrZXkgYXBwPSJFTiIgZGItaWQ9IjdlNzhiMTViLTg2MzMtNWVjMC1hMGI0LWNlOGJkYTQ4YzI2NiIgdGltZXN0YW1wPSIxNzkzMjgzNj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“exclusion criteria of AFP ≥100 and Child Pugh B/C”</w:t>
            </w:r>
          </w:p>
          <w:p>
            <w:pPr>
              <w:pStyle w:val="Normal"/>
              <w:widowControl/>
              <w:spacing w:before="60" w:after="20"/>
            </w:pPr>
            <w:r>
              <w:t xml:space="preserve">Author-manuscript PDF p11, conclusion</w:t>
            </w:r>
          </w:p>
          <w:p>
            <w:pPr>
              <w:pStyle w:val="Normal"/>
              <w:widowControl/>
              <w:spacing w:before="60" w:after="20"/>
            </w:pPr>
            <w:hyperlink r:id="rId48">
              <w:r>
                <w:rPr>
                  <w:color w:val="77230C"/>
                  <w:sz w:val="20"/>
                  <w:u w:val="single"/>
                </w:rPr>
                <w:t>Source</w:t>
              </w:r>
            </w:hyperlink>
            <w:r>
              <w:t xml:space="preserve"> | </w:t>
            </w:r>
            <w:hyperlink r:id="rId49">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Supports a narrower initial cohort; does not establish that all excluded patients cannot benefit.</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AASLD HCC 2023</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“3-to-6-month period of observation”</w:t>
            </w:r>
          </w:p>
          <w:p>
            <w:pPr>
              <w:pStyle w:val="Normal"/>
              <w:widowControl/>
              <w:spacing w:before="60" w:after="20"/>
            </w:pPr>
            <w:r>
              <w:t xml:space="preserve">Author-manuscript PDF p56, guidance statement 36</w:t>
            </w:r>
          </w:p>
          <w:p>
            <w:pPr>
              <w:pStyle w:val="Normal"/>
              <w:widowControl/>
              <w:spacing w:before="60" w:after="20"/>
            </w:pPr>
            <w:hyperlink r:id="rId50">
              <w:r>
                <w:rPr>
                  <w:color w:val="77230C"/>
                  <w:sz w:val="20"/>
                  <w:u w:val="single"/>
                </w:rPr>
                <w:t>Source</w:t>
              </w:r>
            </w:hyperlink>
            <w:r>
              <w:t xml:space="preserve"> | </w:t>
            </w:r>
            <w:hyperlink r:id="rId51">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Six months selects the conservative end of this guidance range; it is not a guarantee of favorable biology.</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Open a bounded prospective beyond-UNOS downstaging cohort, not an unrestricted all-comers pathway.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YtNF08L0Rpc3BsYXlUZXh0PjxyZWNvcmQ+PHJlYy1udW1iZXI+NDwvcmVjLW51bWJlcj48Zm9yZWlnbi1rZXlzPjxrZXkgYXBwPSJFTiIgZGItaWQ9IjdlNzhiMTViLTg2MzMtNWVjMC1hMGI0LWNlOGJkYTQ4YzI2NiIgdGltZXN0YW1wPSIxNzkzMjgzNj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Ni01XTwvRGlzcGxheVRleHQ+PHJlY29yZD48cmVjLW51bWJlcj41PC9yZWMtbnVtYmVyPjxmb3JlaWduLWtleXM+PGtleSBhcHA9IkVOIiBkYi1pZD0iN2U3OGIxNWItODYzMy01ZWMwLWEwYjQtY2U4YmRhNDhjMjY2IiB0aW1lc3RhbXA9IjE3OTMyODM2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UmV0YWluZWQgc291cmNlIGZyb20gZWFybGllciByZXZpZXc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TM8L1JlY051bT48RGlzcGxheVRleHQ+W1YxNi0xM108L0Rpc3BsYXlUZXh0PjxyZWNvcmQ+PHJlYy1udW1iZXI+MTM8L3JlYy1udW1iZXI+PGZvcmVpZ24ta2V5cz48a2V5IGFwcD0iRU4iIGRiLWlkPSI3ZTc4YjE1Yi04NjMzLTVlYzAtYTBiNC1jZThiZGE0OGMyNjYiIHRpbWVzdGFtcD0iMTc5MzI4MzY4MyI+MTM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</w:fldData>
        </w:fldChar>
      </w:r>
      <w:r>
        <w:instrText xml:space="preserve"> ADDIN EN.CITE.DATA </w:instrText>
      </w:r>
      <w:r>
        <w:fldChar w:fldCharType="end"/>
      </w:r>
      <w:r>
        <w:fldChar w:fldCharType="separate"/>
      </w:r>
      <w:r>
        <w:t xml:space="preserve">[V16-9]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p>
    <w:p>
      <w:pPr>
        <w:pStyle w:val="Normal"/>
        <w:widowControl/>
        <w:numPr>
          <w:ilvl w:val="0"/>
          <w:numId w:val="3"/>
        </w:numPr>
      </w:pPr>
      <w:r>
        <w:t xml:space="preserve">Proposed entry ceiling: original pretreatment tumor count plus largest tumor diameter in cm ≤12; AFP &lt;100 ng/mL; Child-Pugh A; no macrovascular invasion, extrahepatic disease or unmeasurable infiltrative tumor.</w:t>
      </w:r>
    </w:p>
    <w:p>
      <w:pPr>
        <w:pStyle w:val="Normal"/>
        <w:widowControl/>
        <w:numPr>
          <w:ilvl w:val="1"/>
          <w:numId w:val="3"/>
        </w:numPr>
        <w:spacing w:before="60" w:after="20"/>
      </w:pPr>
      <w:r>
        <w:t xml:space="preserve">These restrictions apply to the expanded arm, not to otherwise standard-eligible HCC.</w:t>
      </w:r>
    </w:p>
    <w:p>
      <w:pPr>
        <w:pStyle w:val="Normal"/>
        <w:widowControl/>
        <w:numPr>
          <w:ilvl w:val="0"/>
          <w:numId w:val="3"/>
        </w:numPr>
      </w:pPr>
      <w:r>
        <w:t xml:space="preserve">Before LT: viable tumor burden within Milan, or complete nonviability, with at least six months of documented stability from the first assessment meeting that target.</w:t>
      </w:r>
    </w:p>
    <w:p>
      <w:pPr>
        <w:pStyle w:val="Normal"/>
        <w:widowControl/>
        <w:numPr>
          <w:ilvl w:val="1"/>
          <w:numId w:val="3"/>
        </w:numPr>
        <w:spacing w:before="60" w:after="20"/>
      </w:pPr>
      <w:r>
        <w:t xml:space="preserve">Repeat liver CT/MRI and AFP at least every three months; confirmed progression holds the route and resets the study control clock after new successful downstaging.</w:t>
      </w:r>
    </w:p>
    <w:p>
      <w:pPr>
        <w:pStyle w:val="Normal"/>
        <w:widowControl/>
        <w:numPr>
          <w:ilvl w:val="0"/>
          <w:numId w:val="3"/>
        </w:numPr>
      </w:pPr>
      <w:r>
        <w:t xml:space="preserve">Preserve baseline measurements and AFP.</w:t>
      </w:r>
    </w:p>
    <w:p>
      <w:pPr>
        <w:pStyle w:val="Normal"/>
        <w:widowControl/>
        <w:numPr>
          <w:ilvl w:val="1"/>
          <w:numId w:val="3"/>
        </w:numPr>
        <w:spacing w:before="60" w:after="20"/>
      </w:pPr>
      <w:r>
        <w:t xml:space="preserve">A prior AFP ≥100 or Child-Pugh B/C at expanded-arm entry belongs to a separately approved stratum; do not erase that history after response.</w:t>
      </w:r>
    </w:p>
    <w:p>
      <w:pPr>
        <w:pStyle w:val="Normal"/>
        <w:widowControl/>
        <w:numPr>
          <w:ilvl w:val="1"/>
          <w:numId w:val="3"/>
        </w:numPr>
        <w:spacing w:before="60" w:after="20"/>
      </w:pPr>
      <w:r>
        <w:t xml:space="preserve">No initial stacking with the PVTT arm.</w:t>
      </w:r>
    </w:p>
    <w:p>
      <w:pPr>
        <w:pStyle w:val="Normal"/>
        <w:widowControl/>
        <w:spacing w:before="60" w:after="20"/>
      </w:pPr>
      <w:r>
        <w:rPr>
          <w:b/>
        </w:rPr>
        <w:t xml:space="preserve">Why retain or change it: </w:t>
      </w:r>
      <w:r>
        <w:t xml:space="preserve">Retain a restricted, prospectively governed pilot with largest diameter plus count ≤12, current AFP &lt;100, Child-Pugh A, no active macrovascular/extrahepatic/infiltrative disease, and Milan/nonviable status sustained for six months with interval imaging. Explicitly label the complete package and inclusive ≤12 boundary as local judgment, not a validated composite criterion. Do not stack a prior-PVTT indication into this simple expansion cohort. Audit every referred/treated patient, not only those listed or transplanted.</w:t>
      </w:r>
    </w:p>
    <w:p>
      <w:pPr>
        <w:pStyle w:val="Heading3"/>
        <w:keepNext/>
        <w:widowControl/>
      </w:pPr>
      <w:r>
        <w:t xml:space="preserve">Information required before the decision</w:t>
      </w:r>
    </w:p>
    <w:p>
      <w:pPr>
        <w:pStyle w:val="Normal"/>
        <w:widowControl/>
        <w:spacing w:before="60" w:after="20"/>
      </w:pPr>
      <w:r>
        <w:t xml:space="preserve">Central review of pretreatment and current multiphasic CT/MRI; chest CT; dated AFP series; Child-Pugh components; resection/ablation assessment; dated response and progression record. Record first treatment, first successful downstaging, latest progression, listing, first exception request and LT dates separately; report all-entry, waitlist and recipient outcomes with their own time origins.</w:t>
      </w:r>
    </w:p>
    <w:p>
      <w:pPr>
        <w:pStyle w:val="Normal"/>
        <w:widowControl/>
        <w:spacing w:before="60" w:after="20"/>
      </w:pPr>
      <w:r>
        <w:rPr>
          <w:b/>
        </w:rPr>
        <w:t xml:space="preserve">Clinical versus allocation: </w:t>
      </w:r>
      <w:r>
        <w:t xml:space="preserve">Reaching Milan/T2 does not retrospectively create standardized downstaging entry eligibility. A nonstandard exception request, calculated-MELD route or LDLT review remains separate; apply the actual allocation clock.</w:t>
      </w:r>
    </w:p>
    <w:p>
      <w:pPr>
        <w:pStyle w:val="Normal"/>
        <w:widowControl/>
        <w:spacing w:before="60" w:after="20"/>
      </w:pPr>
      <w:r>
        <w:rPr>
          <w:b/>
        </w:rPr>
        <w:t xml:space="preserve">Roadmap / protocol reconciliation: </w:t>
      </w:r>
      <w:r>
        <w:t xml:space="preserve">Retain the HCC roadmap’s resection/ablation assessment and treatment selection. This proposal changes transplant entry boundaries, not the standard cancer-treatment algorithm.</w:t>
      </w:r>
    </w:p>
    <w:p>
      <w:pPr>
        <w:pStyle w:val="Normal"/>
        <w:widowControl/>
        <w:spacing w:before="60" w:after="20"/>
      </w:pPr>
      <w:hyperlink r:id="rId52">
        <w:r>
          <w:rPr>
            <w:color w:val="77230C"/>
            <w:sz w:val="20"/>
            <w:u w:val="single"/>
          </w:rPr>
          <w:t>Meeting record: HCC-B1</w:t>
        </w:r>
      </w:hyperlink>
      <w:r>
        <w:t xml:space="preserve">  |  </w:t>
      </w:r>
      <w:hyperlink r:id="rId53">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widowControl/>
        <w:keepNext/>
      </w:pPr>
      <w:bookmarkStart w:id="12001" w:name="HCC_B1_1"/>
      <w:r>
        <w:t xml:space="preserve">HCC B1.1 — AFP-only failure / imaging discordance — OPEN</w:t>
      </w:r>
      <w:bookmarkEnd w:id="12001"/>
    </w:p>
    <w:p>
      <w:pPr>
        <w:pStyle w:val="Normal"/>
        <w:widowControl/>
        <w:spacing w:after="120"/>
      </w:pPr>
      <w:r>
        <w:t xml:space="preserve">AFP level, AFP trajectory and radiographic viability answer different questions. Repeat an unexplained result, assess liver inflammation and obtain expert review of adequate multiphasic imaging; do not label AFP-only rise radiographic progression. No empiric LRT without a target. B1.1 proposals are OPEN, not automatic delisting rules.</w:t>
      </w:r>
    </w:p>
    <w:p>
      <w:pPr>
        <w:pStyle w:val="Normal"/>
        <w:widowControl/>
        <w:spacing w:after="120"/>
      </w:pPr>
      <w:r>
        <w:t xml:space="preserve">HCC B1.1 addresses AFP-only failure or discordance between AFP and imaging. It should be a distinct biological-risk question, not an automatic extension of B1 beyond-UNOS-DS enrollment. A patient within Milan may have an AFP problem without having expanded tumor burden. The proposed B1 AFP below 100 ng/mL entry rule must not silently become a universal rule for standard HCC.</w:t>
      </w:r>
    </w:p>
    <w:p>
      <w:pPr>
        <w:pStyle w:val="Normal"/>
        <w:widowControl/>
        <w:spacing w:after="120"/>
      </w:pPr>
      <w:r>
        <w:t xml:space="preserve">Status: OPEN local decision, not activated policy. This entry applies to both standard anatomical candidates and high-risk review. B1 expanded-burden AFP &lt;100 is a separate proposal; it must not become a universal within-Milan requirement.</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3582"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3743"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Allocation threshold failure</w:t>
            </w:r>
          </w:p>
        </w:tc>
        <w:tc>
          <w:tcPr>
            <w:tcW w:w="3582" w:type="dxa"/>
            <w:vAlign w:val="top"/>
            <w:shd w:fill="F1F5F8"/>
          </w:tcPr>
          <w:p>
            <w:pPr>
              <w:pStyle w:val="Normal"/>
              <w:widowControl/>
              <w:spacing w:after="55" w:line="240" w:lineRule="auto"/>
              <w:keepNext w:val="0"/>
              <w:keepLines/>
            </w:pPr>
            <w:r>
              <w:rPr>
                <w:sz w:val="21"/>
                <w:szCs w:val="21"/>
              </w:rPr>
              <w:t xml:space="preserve">Prior AFP greater than 1000 ng/mL, followed by failure to fall below 500 or a return to 500 or above. This changes the standardized exception route even when imaging is controlled.</w:t>
            </w:r>
          </w:p>
        </w:tc>
        <w:tc>
          <w:tcPr>
            <w:tcW w:w="3743" w:type="dxa"/>
            <w:vAlign w:val="top"/>
            <w:shd w:fill="F1F5F8"/>
          </w:tcPr>
          <w:p>
            <w:pPr>
              <w:pStyle w:val="Normal"/>
              <w:widowControl/>
              <w:spacing w:after="55" w:line="240" w:lineRule="auto"/>
              <w:keepNext w:val="0"/>
              <w:keepLines/>
            </w:pPr>
            <w:r>
              <w:rPr>
                <w:sz w:val="21"/>
                <w:szCs w:val="21"/>
              </w:rPr>
              <w:t xml:space="preserve">Current OPTN allocation policy. Nonstandard review and clinical candidacy remain separate; the policy is not a universal prohibition on every LT or LDLT.</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br/>
            </w:r>
            <w:hyperlink r:id="rId514">
              <w:r>
                <w:rPr>
                  <w:color w:val="0563C1"/>
                  <w:u w:val="single"/>
                </w:rPr>
                <w:t>Source</w:t>
              </w:r>
            </w:hyperlink>
            <w:r>
              <w:t xml:space="preserve"> · </w:t>
            </w:r>
            <w:hyperlink r:id="rId515">
              <w:r>
                <w:rPr>
                  <w:color w:val="0563C1"/>
                  <w:u w:val="single"/>
                </w:rPr>
                <w:t>PDF</w:t>
              </w:r>
            </w:hyperlink>
            <w:r>
              <w:br/>
            </w:r>
            <w:hyperlink r:id="rId516">
              <w:r>
                <w:rPr>
                  <w:color w:val="0563C1"/>
                  <w:u w:val="single"/>
                </w:rPr>
                <w:t>Source</w:t>
              </w:r>
            </w:hyperlink>
            <w:r>
              <w:t xml:space="preserve"> · </w:t>
            </w:r>
            <w:hyperlink r:id="rId517">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Biochemical nonresponse</w:t>
            </w:r>
          </w:p>
        </w:tc>
        <w:tc>
          <w:tcPr>
            <w:tcW w:w="3582" w:type="dxa"/>
            <w:vAlign w:val="top"/>
            <w:shd w:fill="FFFFFF"/>
          </w:tcPr>
          <w:p>
            <w:pPr>
              <w:pStyle w:val="Normal"/>
              <w:widowControl/>
              <w:spacing w:after="55" w:line="240" w:lineRule="auto"/>
              <w:keepNext w:val="0"/>
              <w:keepLines/>
            </w:pPr>
            <w:r>
              <w:rPr>
                <w:sz w:val="21"/>
                <w:szCs w:val="21"/>
              </w:rPr>
              <w:t xml:space="preserve">Persistently high or rising AFP after treatment, interpreted with the pretreatment level, treatment timing, liver inflammation and serial imaging.</w:t>
            </w:r>
          </w:p>
        </w:tc>
        <w:tc>
          <w:tcPr>
            <w:tcW w:w="3743" w:type="dxa"/>
            <w:vAlign w:val="top"/>
            <w:shd w:fill="FFFFFF"/>
          </w:tcPr>
          <w:p>
            <w:pPr>
              <w:pStyle w:val="Normal"/>
              <w:widowControl/>
              <w:spacing w:after="55" w:line="240" w:lineRule="auto"/>
              <w:keepNext w:val="0"/>
              <w:keepLines/>
            </w:pPr>
            <w:r>
              <w:rPr>
                <w:sz w:val="21"/>
                <w:szCs w:val="21"/>
              </w:rPr>
              <w:t xml:space="preserve">An adverse biological signal, not a universally standardized binary definition of treatment failure. A percentage decline alone cannot replace absolute AFP or imaging.</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</w:fldData>
              </w:fldChar>
            </w:r>
            <w:r>
              <w:instrText xml:space="preserve"> ADDIN EN.CITE.DATA </w:instrText>
            </w:r>
            <w:r>
              <w:fldChar w:fldCharType="end"/>
            </w:r>
            <w:r>
              <w:fldChar w:fldCharType="separate"/>
            </w:r>
            <w:r>
              <w:t xml:space="preserve">[V16-14]</w:t>
            </w:r>
            <w:r>
              <w:fldChar w:fldCharType="end"/>
            </w:r>
            <w:r>
              <w:t xml:space="preserve"> </w:t>
            </w:r>
            <w:r>
              <w:t xml:space="preserve"> </w:t>
            </w:r>
            <w:r>
              <w:fldChar w:fldCharType="begin"/>
            </w:r>
            <w:r>
              <w:instrText xml:space="preserve"> ADDIN EN.CITE </w:instrText>
            </w:r>
            <w:r>
              <w:fldChar w:fldCharType="begin">
                <w:fldData>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r>
              <w:br/>
            </w:r>
            <w:hyperlink r:id="rId518">
              <w:r>
                <w:rPr>
                  <w:color w:val="0563C1"/>
                  <w:u w:val="single"/>
                </w:rPr>
                <w:t>Source</w:t>
              </w:r>
            </w:hyperlink>
            <w:r>
              <w:t xml:space="preserve"> · </w:t>
            </w:r>
            <w:hyperlink r:id="rId519">
              <w:r>
                <w:rPr>
                  <w:color w:val="0563C1"/>
                  <w:u w:val="single"/>
                </w:rPr>
                <w:t>PDF</w:t>
              </w:r>
            </w:hyperlink>
            <w:r>
              <w:br/>
            </w:r>
            <w:hyperlink r:id="rId520">
              <w:r>
                <w:rPr>
                  <w:color w:val="0563C1"/>
                  <w:u w:val="single"/>
                </w:rPr>
                <w:t>Source</w:t>
              </w:r>
            </w:hyperlink>
            <w:r>
              <w:t xml:space="preserve"> · </w:t>
            </w:r>
            <w:hyperlink r:id="rId521">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Isolated AFP rise</w:t>
            </w:r>
          </w:p>
        </w:tc>
        <w:tc>
          <w:tcPr>
            <w:tcW w:w="3582" w:type="dxa"/>
            <w:vAlign w:val="top"/>
            <w:shd w:fill="F1F5F8"/>
          </w:tcPr>
          <w:p>
            <w:pPr>
              <w:pStyle w:val="Normal"/>
              <w:widowControl/>
              <w:spacing w:after="55" w:line="240" w:lineRule="auto"/>
              <w:keepNext w:val="0"/>
              <w:keepLines/>
            </w:pPr>
            <w:r>
              <w:rPr>
                <w:sz w:val="21"/>
                <w:szCs w:val="21"/>
              </w:rPr>
              <w:t xml:space="preserve">Rising AFP without definite viable or progressive tumor on technically adequate imaging.</w:t>
            </w:r>
          </w:p>
        </w:tc>
        <w:tc>
          <w:tcPr>
            <w:tcW w:w="3743" w:type="dxa"/>
            <w:vAlign w:val="top"/>
            <w:shd w:fill="F1F5F8"/>
          </w:tcPr>
          <w:p>
            <w:pPr>
              <w:pStyle w:val="Normal"/>
              <w:widowControl/>
              <w:spacing w:after="55" w:line="240" w:lineRule="auto"/>
              <w:keepNext w:val="0"/>
              <w:keepLines/>
            </w:pPr>
            <w:r>
              <w:rPr>
                <w:sz w:val="21"/>
                <w:szCs w:val="21"/>
              </w:rPr>
              <w:t xml:space="preserve">Requires verification and a search for occult disease or a nonmalignant source. AFP alone does not diagnose HCC progression or create a target for treatment.</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r>
              <w:br/>
            </w:r>
            <w:hyperlink r:id="rId522">
              <w:r>
                <w:rPr>
                  <w:color w:val="0563C1"/>
                  <w:u w:val="single"/>
                </w:rPr>
                <w:t>Source</w:t>
              </w:r>
            </w:hyperlink>
            <w:r>
              <w:t xml:space="preserve"> · </w:t>
            </w:r>
            <w:hyperlink r:id="rId523">
              <w:r>
                <w:rPr>
                  <w:color w:val="0563C1"/>
                  <w:u w:val="single"/>
                </w:rPr>
                <w:t>PDF</w:t>
              </w:r>
            </w:hyperlink>
            <w:r>
              <w:br/>
            </w:r>
            <w:hyperlink r:id="rId524">
              <w:r>
                <w:rPr>
                  <w:color w:val="0563C1"/>
                  <w:u w:val="single"/>
                </w:rPr>
                <w:t>Source</w:t>
              </w:r>
            </w:hyperlink>
            <w:r>
              <w:t xml:space="preserve"> · </w:t>
            </w:r>
            <w:hyperlink r:id="rId525">
              <w:r>
                <w:rPr>
                  <w:color w:val="0563C1"/>
                  <w:u w:val="single"/>
                </w:rPr>
                <w:t>PDF</w:t>
              </w:r>
            </w:hyperlink>
          </w:p>
        </w:tc>
      </w:tr>
    </w:tbl>
    <w:p>
      <w:pPr>
        <w:pStyle w:val="Normal"/>
        <w:widowControl/>
        <w:spacing w:after="120"/>
      </w:pPr>
      <w:r>
        <w:t xml:space="preserve">Current allocation rule: after any prior AFP &gt;1000 ng/mL, AFP must fall below 500 and remain below 500 for the standardized exception route. Exactly 500 does not satisfy &lt;500. Failure requires individualized NLRB review, not an automatic prohibition of all clinical LT/LDLT. NLRB guidance is nonbinding and is not an approval guarantee.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br/>
      </w:r>
      <w:hyperlink r:id="rId526">
        <w:r>
          <w:rPr>
            <w:color w:val="0563C1"/>
            <w:u w:val="single"/>
          </w:rPr>
          <w:t>Source</w:t>
        </w:r>
      </w:hyperlink>
      <w:r>
        <w:t xml:space="preserve"> · </w:t>
      </w:r>
      <w:hyperlink r:id="rId527">
        <w:r>
          <w:rPr>
            <w:color w:val="0563C1"/>
            <w:u w:val="single"/>
          </w:rPr>
          <w:t>PDF</w:t>
        </w:r>
      </w:hyperlink>
      <w:r>
        <w:br/>
      </w:r>
      <w:hyperlink r:id="rId528">
        <w:r>
          <w:rPr>
            <w:color w:val="0563C1"/>
            <w:u w:val="single"/>
          </w:rPr>
          <w:t>Source</w:t>
        </w:r>
      </w:hyperlink>
      <w:r>
        <w:t xml:space="preserve"> · </w:t>
      </w:r>
      <w:hyperlink r:id="rId529">
        <w:r>
          <w:rPr>
            <w:color w:val="0563C1"/>
            <w:u w:val="single"/>
          </w:rPr>
          <w:t>PDF</w:t>
        </w:r>
      </w:hyperlink>
    </w:p>
    <w:p>
      <w:pPr>
        <w:pStyle w:val="Heading4"/>
        <w:widowControl/>
        <w:keepNext/>
      </w:pPr>
      <w:r>
        <w:t xml:space="preserve">AFP evidence and its limits</w:t>
      </w:r>
    </w:p>
    <w:p>
      <w:pPr>
        <w:pStyle w:val="Heading4"/>
        <w:widowControl/>
        <w:keepNext/>
      </w:pPr>
      <w:r>
        <w:t xml:space="preserve">Mehta 2019: AFP response</w:t>
      </w:r>
    </w:p>
    <w:p>
      <w:pPr>
        <w:pStyle w:val="Normal"/>
        <w:widowControl/>
        <w:spacing w:after="120"/>
      </w:pPr>
      <w:r>
        <w:t xml:space="preserve">Supports response-based biological review and the existing &gt;1000-to-&lt;500 allocation framework. Does not require AFP &lt;100 for every within-Milan candidate or prove a safe AFP-only exception.</w:t>
      </w:r>
      <w:r>
        <w:t xml:space="preserve"> </w:t>
      </w:r>
      <w:r>
        <w:t xml:space="preserve"> </w:t>
      </w:r>
      <w:r>
        <w:fldChar w:fldCharType="begin"/>
      </w:r>
      <w:r>
        <w:instrText xml:space="preserve"> ADDIN EN.CITE </w:instrText>
      </w:r>
      <w:r>
        <w:fldChar w:fldCharType="begin">
          <w:fldData>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</w:fldData>
        </w:fldChar>
      </w:r>
      <w:r>
        <w:instrText xml:space="preserve"> ADDIN EN.CITE.DATA </w:instrText>
      </w:r>
      <w:r>
        <w:fldChar w:fldCharType="end"/>
      </w:r>
      <w:r>
        <w:fldChar w:fldCharType="separate"/>
      </w:r>
      <w:r>
        <w:t xml:space="preserve">[V16-14]</w:t>
      </w:r>
      <w:r>
        <w:fldChar w:fldCharType="end"/>
      </w:r>
      <w:r>
        <w:br/>
      </w:r>
      <w:hyperlink r:id="rId530">
        <w:r>
          <w:rPr>
            <w:color w:val="0563C1"/>
            <w:u w:val="single"/>
          </w:rPr>
          <w:t>Source</w:t>
        </w:r>
      </w:hyperlink>
      <w:r>
        <w:t xml:space="preserve"> · </w:t>
      </w:r>
      <w:hyperlink r:id="rId531">
        <w:r>
          <w:rPr>
            <w:color w:val="0563C1"/>
            <w:u w:val="single"/>
          </w:rPr>
          <w:t>PDF</w:t>
        </w:r>
      </w:hyperlink>
    </w:p>
    <w:p>
      <w:pPr>
        <w:pStyle w:val="Normal"/>
        <w:widowControl/>
        <w:spacing w:after="120"/>
      </w:pPr>
      <w:r>
        <w:t xml:space="preserve">Population and design: Retrospective UNOS recipient cohort, 2005–2015; 407 patients with AFP &gt;1000 at least once and final AFP within 90 days of LT. Living-donor and multiorgan recipients excluded; 93.6% initially within Milan.</w:t>
      </w:r>
    </w:p>
    <w:p>
      <w:pPr>
        <w:pStyle w:val="Normal"/>
        <w:widowControl/>
        <w:spacing w:after="120"/>
      </w:pPr>
      <w:r>
        <w:t xml:space="preserve">Results: Five-year post-LT OS: 48.8% with final AFP &gt;1000, 67.0% at 101–499, and 88.4% at ≤100. Corresponding Kaplan–Meier recurrence estimates: 35.0%, 13.3%, and 7.2%. The 500–1000 group had only 17 patients. Differences between ≤100 and 101–499 were not statistically significant.</w:t>
      </w:r>
    </w:p>
    <w:p>
      <w:pPr>
        <w:pStyle w:val="Normal"/>
        <w:widowControl/>
        <w:spacing w:after="120"/>
      </w:pPr>
      <w:r>
        <w:t xml:space="preserve">Limits: Recipient-only, selected historical cohort; treatment and waiting time differed substantially between groups. Non-HCC death was censored for recurrence. No proof that forcing AFP lower causes benefit, no AFP-only/imaging-complete-response subgroup, and no LDLT validation.</w:t>
      </w:r>
    </w:p>
    <w:p>
      <w:pPr>
        <w:pStyle w:val="Heading4"/>
        <w:widowControl/>
        <w:keepNext/>
      </w:pPr>
      <w:r>
        <w:t xml:space="preserve">Goldman 2022: final AFP ≥500</w:t>
      </w:r>
    </w:p>
    <w:p>
      <w:pPr>
        <w:pStyle w:val="Normal"/>
        <w:widowControl/>
        <w:spacing w:after="120"/>
      </w:pPr>
      <w:r>
        <w:t xml:space="preserve">Supports discussing a conservative clinical hold at confirmed AFP ≥500, even without a prior &gt;1000 result. This is an OPEN local proposal, not a universal OPTN contraindication or a proven transplant-benefit cutoff.</w:t>
      </w:r>
      <w:r>
        <w:t xml:space="preserve"> </w:t>
      </w:r>
      <w:r>
        <w:t xml:space="preserve"> </w:t>
      </w:r>
      <w:r>
        <w:fldChar w:fldCharType="begin"/>
      </w:r>
      <w:r>
        <w:instrText xml:space="preserve"> ADDIN EN.CITE </w:instrText>
      </w:r>
      <w:r>
        <w:fldChar w:fldCharType="begin">
          <w:fldData>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r>
        <w:br/>
      </w:r>
      <w:hyperlink r:id="rId532">
        <w:r>
          <w:rPr>
            <w:color w:val="0563C1"/>
            <w:u w:val="single"/>
          </w:rPr>
          <w:t>Source</w:t>
        </w:r>
      </w:hyperlink>
      <w:r>
        <w:t xml:space="preserve"> · </w:t>
      </w:r>
      <w:hyperlink r:id="rId533">
        <w:r>
          <w:rPr>
            <w:color w:val="0563C1"/>
            <w:u w:val="single"/>
          </w:rPr>
          <w:t>PDF</w:t>
        </w:r>
      </w:hyperlink>
    </w:p>
    <w:p>
      <w:pPr>
        <w:pStyle w:val="Normal"/>
        <w:widowControl/>
        <w:spacing w:after="120"/>
      </w:pPr>
      <w:r>
        <w:t xml:space="preserve">Population and design: UNOS 2005–2015; 1766 LT recipients with initial AFP 100–999. Only 879 had serial values; final AFP ≥500 subgroup n=109. LDLT excluded.</w:t>
      </w:r>
    </w:p>
    <w:p>
      <w:pPr>
        <w:pStyle w:val="Normal"/>
        <w:widowControl/>
        <w:spacing w:after="120"/>
      </w:pPr>
      <w:r>
        <w:t xml:space="preserve">Results: Five-year OS at final AFP &lt;100 / 100–499 / ≥500: 72.7% / 70.4% / 56.1%; recurrence: 13.1% / 18.7% / 24.2%. Final AFP ≥500: adjusted mortality HR 1.50 (95% CI 1.07–2.10), recurrence HR 1.88 (1.13–3.14).</w:t>
      </w:r>
    </w:p>
    <w:p>
      <w:pPr>
        <w:pStyle w:val="Normal"/>
        <w:widowControl/>
        <w:spacing w:after="120"/>
      </w:pPr>
      <w:r>
        <w:t xml:space="preserve">Limits: Historical recipient-only study, not a comparison of transplant versus no transplant. Many had only one AFP. In the ≥500 subgroup, 40.4% were ≥1000; small subgroups cannot establish equivalence. Recurrence estimates censor competing death.</w:t>
      </w:r>
    </w:p>
    <w:p>
      <w:pPr>
        <w:pStyle w:val="Heading4"/>
        <w:widowControl/>
        <w:keepNext/>
      </w:pPr>
      <w:r>
        <w:t xml:space="preserve">Giard 2018: AFP slope</w:t>
      </w:r>
    </w:p>
    <w:p>
      <w:pPr>
        <w:pStyle w:val="Normal"/>
        <w:widowControl/>
        <w:spacing w:after="120"/>
      </w:pPr>
      <w:r>
        <w:t xml:space="preserve">Use slope as an alert to reassess biology, imaging and inflammation, not a stand-alone absolute stop or permanent delisting rule.</w:t>
      </w:r>
      <w:r>
        <w:t xml:space="preserve"> </w:t>
      </w:r>
      <w:r>
        <w:t xml:space="preserve"> </w:t>
      </w:r>
      <w:r>
        <w:fldChar w:fldCharType="begin"/>
      </w:r>
      <w:r>
        <w:instrText xml:space="preserve"> ADDIN EN.CITE </w:instrText>
      </w:r>
      <w:r>
        <w:fldChar w:fldCharType="begin">
          <w:fldData>PEVuZE5vdGU+PENpdGU+PEF1dGhvcj5HaWFyZCBKTTwvQXV0aG9yPjxZZWFyPjIwMTg8L1llYXI+PFJlY051bT4xODwvUmVjTnVtPjxEaXNwbGF5VGV4dD5bVjE2LTE4XTwvRGlzcGxheVRleHQ+PHJlY29yZD48cmVjLW51bWJlcj4xODwvcmVjLW51bWJlcj48Zm9yZWlnbi1rZXlzPjxrZXkgYXBwPSJFTiIgZGItaWQ9IjdlNzhiMTViLTg2MzMtNWVjMC1hMGI0LWNlOGJkYTQ4YzI2NiIgdGltZXN0YW1wPSIxNzkzMjgzNjgzIj4xOD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r>
        <w:br/>
      </w:r>
      <w:hyperlink r:id="rId534">
        <w:r>
          <w:rPr>
            <w:color w:val="0563C1"/>
            <w:u w:val="single"/>
          </w:rPr>
          <w:t>Source</w:t>
        </w:r>
      </w:hyperlink>
      <w:r>
        <w:t xml:space="preserve"> · </w:t>
      </w:r>
      <w:hyperlink r:id="rId535">
        <w:r>
          <w:rPr>
            <w:color w:val="0563C1"/>
            <w:u w:val="single"/>
          </w:rPr>
          <w:t>PDF</w:t>
        </w:r>
      </w:hyperlink>
    </w:p>
    <w:p>
      <w:pPr>
        <w:pStyle w:val="Normal"/>
        <w:widowControl/>
        <w:spacing w:after="120"/>
      </w:pPr>
      <w:r>
        <w:t xml:space="preserve">Population and design: Single-center 336 transplanted T2/Milan patients, 2003–2013; 98.2% received LRT. Median five AFP measurements over 9.8 months. Slope fitted to all values; &gt;7.5 subgroup n=23.</w:t>
      </w:r>
    </w:p>
    <w:p>
      <w:pPr>
        <w:pStyle w:val="Normal"/>
        <w:widowControl/>
        <w:spacing w:after="120"/>
      </w:pPr>
      <w:r>
        <w:t xml:space="preserve">Results: AFP slope &gt;7.5 ng/mL/month: adjusted recurrence HR 3.0 (1.1–8.1), microvascular invasion OR 6.8 (1.6–28.7). Five-year recurrence-free probability 69.8% versus 87.4%; survival without recurrence 59.5% versus 75.3%. These are different endpoints, neither pair should be labeled overall survival.</w:t>
      </w:r>
    </w:p>
    <w:p>
      <w:pPr>
        <w:pStyle w:val="Normal"/>
        <w:widowControl/>
        <w:spacing w:after="120"/>
      </w:pPr>
      <w:r>
        <w:t xml:space="preserve">Limits: Small, data-selected cutoff group; no prospective hold/release validation. The long-term fitted slope cannot be inferred reliably from two closely spaced noisy results. Death was censored for recurrence-free probability.</w:t>
      </w:r>
    </w:p>
    <w:p>
      <w:pPr>
        <w:pStyle w:val="Heading4"/>
        <w:widowControl/>
        <w:keepNext/>
      </w:pPr>
      <w:r>
        <w:t xml:space="preserve">Halazun 2021: dynamic AFP/NYCA</w:t>
      </w:r>
    </w:p>
    <w:p>
      <w:pPr>
        <w:pStyle w:val="Normal"/>
        <w:widowControl/>
        <w:spacing w:after="120"/>
      </w:pPr>
      <w:r>
        <w:t xml:space="preserve">Use dynamic AFP as complementary risk information. The NYCA definition of response does not supersede the stricter OPTN requirement to fall below 500 after AFP &gt;1000.</w:t>
      </w:r>
      <w:r>
        <w:t xml:space="preserve"> </w:t>
      </w:r>
      <w:r>
        <w:t xml:space="preserve"> </w:t>
      </w:r>
      <w:r>
        <w:fldChar w:fldCharType="begin"/>
      </w:r>
      <w:r>
        <w:instrText xml:space="preserve"> ADDIN EN.CITE </w:instrText>
      </w:r>
      <w:r>
        <w:fldChar w:fldCharType="begin">
          <w:fldData>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r>
        <w:br/>
      </w:r>
      <w:hyperlink r:id="rId536">
        <w:r>
          <w:rPr>
            <w:color w:val="0563C1"/>
            <w:u w:val="single"/>
          </w:rPr>
          <w:t>Source</w:t>
        </w:r>
      </w:hyperlink>
      <w:r>
        <w:t xml:space="preserve"> · </w:t>
      </w:r>
      <w:hyperlink r:id="rId537">
        <w:r>
          <w:rPr>
            <w:color w:val="0563C1"/>
            <w:u w:val="single"/>
          </w:rPr>
          <w:t>PDF</w:t>
        </w:r>
      </w:hyperlink>
    </w:p>
    <w:p>
      <w:pPr>
        <w:pStyle w:val="Normal"/>
        <w:widowControl/>
        <w:spacing w:after="120"/>
      </w:pPr>
      <w:r>
        <w:t xml:space="preserve">Population and design: External retrospective validation in 2236 LT recipients at eight centers, 2001–2013; 545 beyond Milan. Composite score combines tumor size, count and AFP response. Deaths within 90 postoperative days excluded.</w:t>
      </w:r>
    </w:p>
    <w:p>
      <w:pPr>
        <w:pStyle w:val="Normal"/>
        <w:widowControl/>
        <w:spacing w:after="120"/>
      </w:pPr>
      <w:r>
        <w:t xml:space="preserve">Results: Five-year competing-risk cumulative recurrence: 9.5%, 20.5%, 40.5% for low/intermediate/high NYCA categories. Discrimination C statistic 0.66. These are composite-score categories, not isolated AFP ranges.</w:t>
      </w:r>
    </w:p>
    <w:p>
      <w:pPr>
        <w:pStyle w:val="Normal"/>
        <w:widowControl/>
        <w:spacing w:after="120"/>
      </w:pPr>
      <w:r>
        <w:t xml:space="preserve">Limits: Recipient selection, exclusion of early deaths, no waitlist dropout or transplant-benefit comparison. Maximum-to-final AFP can miss a rebound below the original peak. Extreme-AFP response subgroup was tiny.</w:t>
      </w:r>
    </w:p>
    <w:p>
      <w:pPr>
        <w:pStyle w:val="Heading4"/>
        <w:widowControl/>
        <w:keepNext/>
      </w:pPr>
      <w:r>
        <w:t xml:space="preserve">Moriyama 2026: markers before imaging recurrence</w:t>
      </w:r>
    </w:p>
    <w:p>
      <w:pPr>
        <w:pStyle w:val="Normal"/>
        <w:widowControl/>
        <w:spacing w:after="120"/>
      </w:pPr>
      <w:r>
        <w:t xml:space="preserve">Supports prompt repeat markers and high-quality/alternate imaging for an unexplained rise. Does not prove occult recurrence in every individual, justify empiric systemic/LRT treatment without a target, or validate an AFP-only transplant cutoff.</w:t>
      </w:r>
      <w:r>
        <w:t xml:space="preserve"> </w:t>
      </w:r>
      <w:r>
        <w:t xml:space="preserve"> </w:t>
      </w:r>
      <w:r>
        <w:fldChar w:fldCharType="begin"/>
      </w:r>
      <w:r>
        <w:instrText xml:space="preserve"> ADDIN EN.CITE </w:instrText>
      </w:r>
      <w:r>
        <w:fldChar w:fldCharType="begin">
          <w:fldData>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r>
        <w:br/>
      </w:r>
      <w:hyperlink r:id="rId538">
        <w:r>
          <w:rPr>
            <w:color w:val="0563C1"/>
            <w:u w:val="single"/>
          </w:rPr>
          <w:t>Source</w:t>
        </w:r>
      </w:hyperlink>
      <w:r>
        <w:t xml:space="preserve"> · </w:t>
      </w:r>
      <w:hyperlink r:id="rId539">
        <w:r>
          <w:rPr>
            <w:color w:val="0563C1"/>
            <w:u w:val="single"/>
          </w:rPr>
          <w:t>PDF</w:t>
        </w:r>
      </w:hyperlink>
    </w:p>
    <w:p>
      <w:pPr>
        <w:pStyle w:val="Normal"/>
        <w:widowControl/>
        <w:spacing w:after="120"/>
      </w:pPr>
      <w:r>
        <w:t xml:space="preserve">Population and design: Retrospective post-RFA, nontransplant cohort. Among 1620 initially treated patients, 907 episodes in 509 patients had elevated AFP, AFP-L3 and/or DCP without imaging evidence. Episodes are not independent patients and this is not AFP alone.</w:t>
      </w:r>
    </w:p>
    <w:p>
      <w:pPr>
        <w:pStyle w:val="Normal"/>
        <w:widowControl/>
        <w:spacing w:after="120"/>
      </w:pPr>
      <w:r>
        <w:t xml:space="preserve">Results: Recurrence was subsequently identified in 886 episodes; median detection interval 89 days. Local curative treatment 83.5% versus 78.8% and post-recurrence OS 3.55 versus 3.31 years for detection ≤180 versus &gt;180 days; differences were not statistically significant.</w:t>
      </w:r>
    </w:p>
    <w:p>
      <w:pPr>
        <w:pStyle w:val="Normal"/>
        <w:widowControl/>
        <w:spacing w:after="120"/>
      </w:pPr>
      <w:r>
        <w:t xml:space="preserve">Limits: RFA-specific, repeated episodes and competing losses; no LT cohort or tested optimal recall interval. Routine imaging is described as every four months in methods versus quarterly in abstract. Case-level AFP discrepancy between Figure 3 and Table 4 is not used.</w:t>
      </w:r>
    </w:p>
    <w:p>
      <w:pPr>
        <w:pStyle w:val="Heading4"/>
        <w:widowControl/>
        <w:keepNext/>
      </w:pPr>
      <w:r>
        <w:t xml:space="preserve">Source wording in context</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3582"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3743"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OPTN policy 9 5 I iv</w:t>
            </w:r>
          </w:p>
        </w:tc>
        <w:tc>
          <w:tcPr>
            <w:tcW w:w="3582" w:type="dxa"/>
            <w:vAlign w:val="top"/>
            <w:shd w:fill="F1F5F8"/>
          </w:tcPr>
          <w:p>
            <w:pPr>
              <w:pStyle w:val="Normal"/>
              <w:widowControl/>
              <w:spacing w:after="55" w:line="240" w:lineRule="auto"/>
              <w:keepNext w:val="0"/>
              <w:keepLines/>
            </w:pPr>
            <w:r>
              <w:rPr>
                <w:sz w:val="21"/>
                <w:szCs w:val="21"/>
              </w:rPr>
              <w:t xml:space="preserve">“as long as the candidate’s AFP level remains below 500 ng/mL”</w:t>
            </w:r>
          </w:p>
        </w:tc>
        <w:tc>
          <w:tcPr>
            <w:tcW w:w="3743" w:type="dxa"/>
            <w:vAlign w:val="top"/>
            <w:shd w:fill="F1F5F8"/>
          </w:tcPr>
          <w:p>
            <w:pPr>
              <w:pStyle w:val="Normal"/>
              <w:widowControl/>
              <w:spacing w:after="55" w:line="240" w:lineRule="auto"/>
              <w:keepNext w:val="0"/>
              <w:keepLines/>
            </w:pPr>
            <w:r>
              <w:rPr>
                <w:sz w:val="21"/>
                <w:szCs w:val="21"/>
              </w:rPr>
              <w:t xml:space="preserve">Allocation rule after prior AFP above 1000. Full paragraph must be read in context; this excerpt is not a universal AFP rule for all HCC.</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br/>
            </w:r>
            <w:hyperlink r:id="rId540">
              <w:r>
                <w:rPr>
                  <w:color w:val="0563C1"/>
                  <w:u w:val="single"/>
                </w:rPr>
                <w:t>Source</w:t>
              </w:r>
            </w:hyperlink>
            <w:r>
              <w:t xml:space="preserve"> · </w:t>
            </w:r>
            <w:hyperlink r:id="rId541">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NLRB oncology guidance</w:t>
            </w:r>
          </w:p>
        </w:tc>
        <w:tc>
          <w:tcPr>
            <w:tcW w:w="3582" w:type="dxa"/>
            <w:vAlign w:val="top"/>
            <w:shd w:fill="FFFFFF"/>
          </w:tcPr>
          <w:p>
            <w:pPr>
              <w:pStyle w:val="Normal"/>
              <w:widowControl/>
              <w:spacing w:after="55" w:line="240" w:lineRule="auto"/>
              <w:keepNext w:val="0"/>
              <w:keepLines/>
            </w:pPr>
            <w:r>
              <w:rPr>
                <w:sz w:val="21"/>
                <w:szCs w:val="21"/>
              </w:rPr>
              <w:t xml:space="preserve">“In general, these candidates are not suitable for HCC MELD exception but may be appropriate in some cases.”</w:t>
            </w:r>
          </w:p>
        </w:tc>
        <w:tc>
          <w:tcPr>
            <w:tcW w:w="3743" w:type="dxa"/>
            <w:vAlign w:val="top"/>
            <w:shd w:fill="FFFFFF"/>
          </w:tcPr>
          <w:p>
            <w:pPr>
              <w:pStyle w:val="Normal"/>
              <w:widowControl/>
              <w:spacing w:after="55" w:line="240" w:lineRule="auto"/>
              <w:keepNext w:val="0"/>
              <w:keepLines/>
            </w:pPr>
            <w:r>
              <w:rPr>
                <w:sz w:val="21"/>
                <w:szCs w:val="21"/>
              </w:rPr>
              <w:t xml:space="preserve">Refers to AFP above 1000 that does not respond below 500. Nonbinding review guidance, not an approved AFP-only transplant study.</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br/>
            </w:r>
            <w:hyperlink r:id="rId542">
              <w:r>
                <w:rPr>
                  <w:color w:val="0563C1"/>
                  <w:u w:val="single"/>
                </w:rPr>
                <w:t>Source</w:t>
              </w:r>
            </w:hyperlink>
            <w:r>
              <w:t xml:space="preserve"> · </w:t>
            </w:r>
            <w:hyperlink r:id="rId543">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Giard 2018 conclusion</w:t>
            </w:r>
          </w:p>
        </w:tc>
        <w:tc>
          <w:tcPr>
            <w:tcW w:w="3582" w:type="dxa"/>
            <w:vAlign w:val="top"/>
            <w:shd w:fill="F1F5F8"/>
          </w:tcPr>
          <w:p>
            <w:pPr>
              <w:pStyle w:val="Normal"/>
              <w:widowControl/>
              <w:spacing w:after="55" w:line="240" w:lineRule="auto"/>
              <w:keepNext w:val="0"/>
              <w:keepLines/>
            </w:pPr>
            <w:r>
              <w:rPr>
                <w:sz w:val="21"/>
                <w:szCs w:val="21"/>
              </w:rPr>
              <w:t xml:space="preserve">“AFP slope increasing greater than 7.5 ng/mL per month despite locoregional therapy is associated with post-LT HCC recurrence”</w:t>
            </w:r>
          </w:p>
        </w:tc>
        <w:tc>
          <w:tcPr>
            <w:tcW w:w="3743" w:type="dxa"/>
            <w:vAlign w:val="top"/>
            <w:shd w:fill="F1F5F8"/>
          </w:tcPr>
          <w:p>
            <w:pPr>
              <w:pStyle w:val="Normal"/>
              <w:widowControl/>
              <w:spacing w:after="55" w:line="240" w:lineRule="auto"/>
              <w:keepNext w:val="0"/>
              <w:keepLines/>
            </w:pPr>
            <w:r>
              <w:rPr>
                <w:sz w:val="21"/>
                <w:szCs w:val="21"/>
              </w:rPr>
              <w:t xml:space="preserve">Association supports reassessment. The quoted sentence does not establish a validated mandatory delisting rule.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HaWFyZCBKTTwvQXV0aG9yPjxZZWFyPjIwMTg8L1llYXI+PFJlY051bT4xODwvUmVjTnVtPjxEaXNwbGF5VGV4dD5bVjE2LTE4XTwvRGlzcGxheVRleHQ+PHJlY29yZD48cmVjLW51bWJlcj4xODwvcmVjLW51bWJlcj48Zm9yZWlnbi1rZXlzPjxrZXkgYXBwPSJFTiIgZGItaWQ9IjdlNzhiMTViLTg2MzMtNWVjMC1hMGI0LWNlOGJkYTQ4YzI2NiIgdGltZXN0YW1wPSIxNzkzMjgzNjgzIj4xOD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r>
              <w:br/>
            </w:r>
            <w:hyperlink r:id="rId544">
              <w:r>
                <w:rPr>
                  <w:color w:val="0563C1"/>
                  <w:u w:val="single"/>
                </w:rPr>
                <w:t>Source</w:t>
              </w:r>
            </w:hyperlink>
            <w:r>
              <w:t xml:space="preserve"> · </w:t>
            </w:r>
            <w:hyperlink r:id="rId545">
              <w:r>
                <w:rPr>
                  <w:color w:val="0563C1"/>
                  <w:u w:val="single"/>
                </w:rPr>
                <w:t>PDF</w:t>
              </w:r>
            </w:hyperlink>
          </w:p>
        </w:tc>
      </w:tr>
    </w:tbl>
    <w:p>
      <w:pPr>
        <w:pStyle w:val="Heading4"/>
        <w:widowControl/>
        <w:keepNext/>
      </w:pPr>
      <w:r>
        <w:t xml:space="preserve">Order now</w:t>
      </w:r>
    </w:p>
    <w:p>
      <w:pPr>
        <w:pStyle w:val="Normal"/>
        <w:widowControl/>
        <w:spacing w:after="120"/>
        <w:numPr>
          <w:ilvl w:val="0"/>
          <w:numId w:val="6"/>
        </w:numPr>
      </w:pPr>
      <w:r>
        <w:t xml:space="preserve">Confirm the AFP result and trend</w:t>
      </w:r>
    </w:p>
    <w:p>
      <w:pPr>
        <w:pStyle w:val="Normal"/>
        <w:widowControl/>
        <w:spacing w:after="120"/>
        <w:numPr>
          <w:ilvl w:val="1"/>
          <w:numId w:val="6"/>
        </w:numPr>
      </w:pPr>
      <w:r>
        <w:t xml:space="preserve">Repeat AFP using the same laboratory/assay in 2–4 weeks, sooner for a major jump or clinical concern. Review all dated prior values, baseline and peak AFP, treatment dates and the current response scan. The 2–4 week interval is an OPEN local operational proposal.</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546">
        <w:r>
          <w:rPr>
            <w:color w:val="0563C1"/>
            <w:u w:val="single"/>
          </w:rPr>
          <w:t>Source</w:t>
        </w:r>
      </w:hyperlink>
      <w:r>
        <w:t xml:space="preserve"> · </w:t>
      </w:r>
      <w:hyperlink r:id="rId547">
        <w:r>
          <w:rPr>
            <w:color w:val="0563C1"/>
            <w:u w:val="single"/>
          </w:rPr>
          <w:t>PDF</w:t>
        </w:r>
      </w:hyperlink>
    </w:p>
    <w:p>
      <w:pPr>
        <w:pStyle w:val="Normal"/>
        <w:widowControl/>
        <w:spacing w:after="120"/>
        <w:numPr>
          <w:ilvl w:val="1"/>
          <w:numId w:val="6"/>
        </w:numPr>
      </w:pPr>
      <w:r>
        <w:t xml:space="preserve">Check ALT/AST, bilirubin and active viral hepatitis or other plausible hepatic inflammation. Consider assay interference or an extrahepatic AFP source when clinically indicated; do not order indiscriminate tests without a differential diagnosis.</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548">
        <w:r>
          <w:rPr>
            <w:color w:val="0563C1"/>
            <w:u w:val="single"/>
          </w:rPr>
          <w:t>Source</w:t>
        </w:r>
      </w:hyperlink>
      <w:r>
        <w:t xml:space="preserve"> · </w:t>
      </w:r>
      <w:hyperlink r:id="rId549">
        <w:r>
          <w:rPr>
            <w:color w:val="0563C1"/>
            <w:u w:val="single"/>
          </w:rPr>
          <w:t>PDF</w:t>
        </w:r>
      </w:hyperlink>
    </w:p>
    <w:p>
      <w:pPr>
        <w:pStyle w:val="Normal"/>
        <w:widowControl/>
        <w:spacing w:after="120"/>
        <w:numPr>
          <w:ilvl w:val="1"/>
          <w:numId w:val="6"/>
        </w:numPr>
      </w:pPr>
      <w:r>
        <w:t xml:space="preserve">Have transplant radiology re-review adequate multiphasic CT/MRI and the treatment-specific response category. With a persistent unexplained rise, consider the alternate contrast modality and chest/pelvic evaluation. PET is selective after unrevealing evaluation, not routine proof of no HCC.</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550">
        <w:r>
          <w:rPr>
            <w:color w:val="0563C1"/>
            <w:u w:val="single"/>
          </w:rPr>
          <w:t>Source</w:t>
        </w:r>
      </w:hyperlink>
      <w:r>
        <w:t xml:space="preserve"> · </w:t>
      </w:r>
      <w:hyperlink r:id="rId551">
        <w:r>
          <w:rPr>
            <w:color w:val="0563C1"/>
            <w:u w:val="single"/>
          </w:rPr>
          <w:t>PDF</w:t>
        </w:r>
      </w:hyperlink>
    </w:p>
    <w:p>
      <w:pPr>
        <w:pStyle w:val="Heading4"/>
        <w:widowControl/>
        <w:keepNext/>
      </w:pPr>
      <w:r>
        <w:t xml:space="preserve">Advance only when</w:t>
      </w:r>
    </w:p>
    <w:p>
      <w:pPr>
        <w:pStyle w:val="Normal"/>
        <w:widowControl/>
        <w:spacing w:after="120"/>
        <w:numPr>
          <w:ilvl w:val="0"/>
          <w:numId w:val="6"/>
        </w:numPr>
      </w:pPr>
      <w:r>
        <w:t xml:space="preserve">For an AFP-only candidate otherwise inside the accepted anatomical route</w:t>
      </w:r>
    </w:p>
    <w:p>
      <w:pPr>
        <w:pStyle w:val="Normal"/>
        <w:widowControl/>
        <w:spacing w:after="120"/>
        <w:numPr>
          <w:ilvl w:val="1"/>
          <w:numId w:val="6"/>
        </w:numPr>
      </w:pPr>
      <w:r>
        <w:t xml:space="preserve">The governing allocation rule is met, or an individual review outcome is documented; technically adequate imaging shows no exclusionary progression, vascular invasion or extrahepatic disease; no unresolved alternative cause or unexplained accelerating AFP remains.</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br/>
      </w:r>
      <w:hyperlink r:id="rId552">
        <w:r>
          <w:rPr>
            <w:color w:val="0563C1"/>
            <w:u w:val="single"/>
          </w:rPr>
          <w:t>Source</w:t>
        </w:r>
      </w:hyperlink>
      <w:r>
        <w:t xml:space="preserve"> · </w:t>
      </w:r>
      <w:hyperlink r:id="rId553">
        <w:r>
          <w:rPr>
            <w:color w:val="0563C1"/>
            <w:u w:val="single"/>
          </w:rPr>
          <w:t>PDF</w:t>
        </w:r>
      </w:hyperlink>
      <w:r>
        <w:br/>
      </w:r>
      <w:hyperlink r:id="rId554">
        <w:r>
          <w:rPr>
            <w:color w:val="0563C1"/>
            <w:u w:val="single"/>
          </w:rPr>
          <w:t>Source</w:t>
        </w:r>
      </w:hyperlink>
      <w:r>
        <w:t xml:space="preserve"> · </w:t>
      </w:r>
      <w:hyperlink r:id="rId555">
        <w:r>
          <w:rPr>
            <w:color w:val="0563C1"/>
            <w:u w:val="single"/>
          </w:rPr>
          <w:t>PDF</w:t>
        </w:r>
      </w:hyperlink>
    </w:p>
    <w:p>
      <w:pPr>
        <w:pStyle w:val="Normal"/>
        <w:widowControl/>
        <w:spacing w:after="120"/>
        <w:numPr>
          <w:ilvl w:val="1"/>
          <w:numId w:val="6"/>
        </w:numPr>
      </w:pPr>
      <w:r>
        <w:t xml:space="preserve">OPEN proposal after a biochemical hold: at least two AFP values at least 4 weeks apart showing a stable or falling trajectory below the applicable threshold, with contemporaneous reviewed imaging. Do not require AFP normalization or below 100 for every within-Milan patient. This confirmation interval is not prospectively validated.</w:t>
      </w:r>
    </w:p>
    <w:p>
      <w:pPr>
        <w:pStyle w:val="Normal"/>
        <w:widowControl/>
        <w:spacing w:after="120"/>
        <w:numPr>
          <w:ilvl w:val="1"/>
          <w:numId w:val="6"/>
        </w:numPr>
      </w:pPr>
      <w:r>
        <w:t xml:space="preserve">All other observation requirements remain in force. B1 expanded-burden patients retain the separately proposed AFP below 100 and longer biology observation; satisfying B1.1 does not shorten B1, ICI washout, or OPTN waiting requirements.</w:t>
      </w:r>
    </w:p>
    <w:p>
      <w:pPr>
        <w:pStyle w:val="Heading4"/>
        <w:widowControl/>
        <w:keepNext/>
      </w:pPr>
      <w:r>
        <w:t xml:space="preserve">Hold and reassess</w:t>
      </w:r>
    </w:p>
    <w:p>
      <w:pPr>
        <w:pStyle w:val="Normal"/>
        <w:widowControl/>
        <w:spacing w:after="120"/>
        <w:numPr>
          <w:ilvl w:val="0"/>
          <w:numId w:val="6"/>
        </w:numPr>
      </w:pPr>
      <w:r>
        <w:t xml:space="preserve">Separate the mandatory allocation issue from the proposed clinical hold</w:t>
      </w:r>
    </w:p>
    <w:p>
      <w:pPr>
        <w:pStyle w:val="Normal"/>
        <w:widowControl/>
        <w:spacing w:after="120"/>
        <w:numPr>
          <w:ilvl w:val="1"/>
          <w:numId w:val="6"/>
        </w:numPr>
      </w:pPr>
      <w:r>
        <w:t xml:space="preserve">POLICY: after any prior AFP above 1000, AFP at least 500 after treatment prevents automatic advancement through the standardized exception route and requires NLRB consideration. The team should not promise exception approval.</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br/>
      </w:r>
      <w:hyperlink r:id="rId556">
        <w:r>
          <w:rPr>
            <w:color w:val="0563C1"/>
            <w:u w:val="single"/>
          </w:rPr>
          <w:t>Source</w:t>
        </w:r>
      </w:hyperlink>
      <w:r>
        <w:t xml:space="preserve"> · </w:t>
      </w:r>
      <w:hyperlink r:id="rId557">
        <w:r>
          <w:rPr>
            <w:color w:val="0563C1"/>
            <w:u w:val="single"/>
          </w:rPr>
          <w:t>PDF</w:t>
        </w:r>
      </w:hyperlink>
      <w:r>
        <w:br/>
      </w:r>
      <w:hyperlink r:id="rId558">
        <w:r>
          <w:rPr>
            <w:color w:val="0563C1"/>
            <w:u w:val="single"/>
          </w:rPr>
          <w:t>Source</w:t>
        </w:r>
      </w:hyperlink>
      <w:r>
        <w:t xml:space="preserve"> · </w:t>
      </w:r>
      <w:hyperlink r:id="rId559">
        <w:r>
          <w:rPr>
            <w:color w:val="0563C1"/>
            <w:u w:val="single"/>
          </w:rPr>
          <w:t>PDF</w:t>
        </w:r>
      </w:hyperlink>
    </w:p>
    <w:p>
      <w:pPr>
        <w:pStyle w:val="Normal"/>
        <w:widowControl/>
        <w:spacing w:after="120"/>
        <w:numPr>
          <w:ilvl w:val="1"/>
          <w:numId w:val="6"/>
        </w:numPr>
      </w:pPr>
      <w:r>
        <w:t xml:space="preserve">OPEN clinical proposal: confirmed AFP at least 500 is a high-risk LT hold pending biological and allocation review even if AFP never exceeded 1000. This deliberately conservative local rule is supported by retrospective outcomes, not mandated by OPTN for every candidate.</w:t>
      </w:r>
      <w:r>
        <w:t xml:space="preserve"> </w:t>
      </w:r>
      <w:r>
        <w:t xml:space="preserve"> </w:t>
      </w:r>
      <w:r>
        <w:fldChar w:fldCharType="begin"/>
      </w:r>
      <w:r>
        <w:instrText xml:space="preserve"> ADDIN EN.CITE </w:instrText>
      </w:r>
      <w:r>
        <w:fldChar w:fldCharType="begin">
          <w:fldData>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r>
        <w:br/>
      </w:r>
      <w:hyperlink r:id="rId560">
        <w:r>
          <w:rPr>
            <w:color w:val="0563C1"/>
            <w:u w:val="single"/>
          </w:rPr>
          <w:t>Source</w:t>
        </w:r>
      </w:hyperlink>
      <w:r>
        <w:t xml:space="preserve"> · </w:t>
      </w:r>
      <w:hyperlink r:id="rId561">
        <w:r>
          <w:rPr>
            <w:color w:val="0563C1"/>
            <w:u w:val="single"/>
          </w:rPr>
          <w:t>PDF</w:t>
        </w:r>
      </w:hyperlink>
    </w:p>
    <w:p>
      <w:pPr>
        <w:pStyle w:val="Normal"/>
        <w:widowControl/>
        <w:spacing w:after="120"/>
        <w:numPr>
          <w:ilvl w:val="1"/>
          <w:numId w:val="6"/>
        </w:numPr>
      </w:pPr>
      <w:r>
        <w:t xml:space="preserve">OPEN clinical proposal below 500: AFP at least 200 with two consecutive increases or a confirmed doubling prompts temporary hold and expedited restaging if the rise is unexplained. Lesser rises prompt repeat testing and MDT review, not automatic delisting. These combined thresholds are operational proposals, not a validated prediction rule.</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HaWFyZCBKTTwvQXV0aG9yPjxZZWFyPjIwMTg8L1llYXI+PFJlY051bT4xODwvUmVjTnVtPjxEaXNwbGF5VGV4dD5bVjE2LTE4XTwvRGlzcGxheVRleHQ+PHJlY29yZD48cmVjLW51bWJlcj4xODwvcmVjLW51bWJlcj48Zm9yZWlnbi1rZXlzPjxrZXkgYXBwPSJFTiIgZGItaWQ9IjdlNzhiMTViLTg2MzMtNWVjMC1hMGI0LWNlOGJkYTQ4YzI2NiIgdGltZXN0YW1wPSIxNzkzMjgzNjgzIj4xOD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r>
        <w:br/>
      </w:r>
      <w:hyperlink r:id="rId562">
        <w:r>
          <w:rPr>
            <w:color w:val="0563C1"/>
            <w:u w:val="single"/>
          </w:rPr>
          <w:t>Source</w:t>
        </w:r>
      </w:hyperlink>
      <w:r>
        <w:t xml:space="preserve"> · </w:t>
      </w:r>
      <w:hyperlink r:id="rId563">
        <w:r>
          <w:rPr>
            <w:color w:val="0563C1"/>
            <w:u w:val="single"/>
          </w:rPr>
          <w:t>PDF</w:t>
        </w:r>
      </w:hyperlink>
      <w:r>
        <w:br/>
      </w:r>
      <w:hyperlink r:id="rId564">
        <w:r>
          <w:rPr>
            <w:color w:val="0563C1"/>
            <w:u w:val="single"/>
          </w:rPr>
          <w:t>Source</w:t>
        </w:r>
      </w:hyperlink>
      <w:r>
        <w:t xml:space="preserve"> · </w:t>
      </w:r>
      <w:hyperlink r:id="rId565">
        <w:r>
          <w:rPr>
            <w:color w:val="0563C1"/>
            <w:u w:val="single"/>
          </w:rPr>
          <w:t>PDF</w:t>
        </w:r>
      </w:hyperlink>
    </w:p>
    <w:p>
      <w:pPr>
        <w:pStyle w:val="Normal"/>
        <w:widowControl/>
        <w:spacing w:after="120"/>
        <w:numPr>
          <w:ilvl w:val="1"/>
          <w:numId w:val="6"/>
        </w:numPr>
      </w:pPr>
      <w:r>
        <w:t xml:space="preserve">A fitted slope above 7.5 ng/mL per month is an additional warning, not a stand-alone stop. Review multiple dated values, timing of LRT and inflammation; do not extrapolate a long-term slope model from two closely spaced noisy measurements.</w:t>
      </w:r>
      <w:r>
        <w:t xml:space="preserve"> </w:t>
      </w:r>
      <w:r>
        <w:t xml:space="preserve"> </w:t>
      </w:r>
      <w:r>
        <w:fldChar w:fldCharType="begin"/>
      </w:r>
      <w:r>
        <w:instrText xml:space="preserve"> ADDIN EN.CITE </w:instrText>
      </w:r>
      <w:r>
        <w:fldChar w:fldCharType="begin">
          <w:fldData>PEVuZE5vdGU+PENpdGU+PEF1dGhvcj5HaWFyZCBKTTwvQXV0aG9yPjxZZWFyPjIwMTg8L1llYXI+PFJlY051bT4xODwvUmVjTnVtPjxEaXNwbGF5VGV4dD5bVjE2LTE4XTwvRGlzcGxheVRleHQ+PHJlY29yZD48cmVjLW51bWJlcj4xODwvcmVjLW51bWJlcj48Zm9yZWlnbi1rZXlzPjxrZXkgYXBwPSJFTiIgZGItaWQ9IjdlNzhiMTViLTg2MzMtNWVjMC1hMGI0LWNlOGJkYTQ4YzI2NiIgdGltZXN0YW1wPSIxNzkzMjgzNjgzIj4xOD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[V16-18]</w:t>
      </w:r>
      <w:r>
        <w:fldChar w:fldCharType="end"/>
      </w:r>
      <w:r>
        <w:br/>
      </w:r>
      <w:hyperlink r:id="rId566">
        <w:r>
          <w:rPr>
            <w:color w:val="0563C1"/>
            <w:u w:val="single"/>
          </w:rPr>
          <w:t>Source</w:t>
        </w:r>
      </w:hyperlink>
      <w:r>
        <w:t xml:space="preserve"> · </w:t>
      </w:r>
      <w:hyperlink r:id="rId567">
        <w:r>
          <w:rPr>
            <w:color w:val="0563C1"/>
            <w:u w:val="single"/>
          </w:rPr>
          <w:t>PDF</w:t>
        </w:r>
      </w:hyperlink>
    </w:p>
    <w:p>
      <w:pPr>
        <w:pStyle w:val="Heading4"/>
        <w:widowControl/>
        <w:keepNext/>
      </w:pPr>
      <w:r>
        <w:t xml:space="preserve">Do not do</w:t>
      </w:r>
    </w:p>
    <w:p>
      <w:pPr>
        <w:pStyle w:val="Normal"/>
        <w:widowControl/>
        <w:spacing w:after="120"/>
        <w:numPr>
          <w:ilvl w:val="0"/>
          <w:numId w:val="6"/>
        </w:numPr>
      </w:pPr>
      <w:r>
        <w:t xml:space="preserve">Avoid irreversible or unproven responses to a biomarker alone</w:t>
      </w:r>
    </w:p>
    <w:p>
      <w:pPr>
        <w:pStyle w:val="Normal"/>
        <w:widowControl/>
        <w:spacing w:after="120"/>
        <w:numPr>
          <w:ilvl w:val="1"/>
          <w:numId w:val="6"/>
        </w:numPr>
      </w:pPr>
      <w:r>
        <w:t xml:space="preserve">Do not permanently exclude for one AFP result. Persistent biochemical nonresponse after adequate evaluation may lead the group to decline the current transplant plan, but the rationale and possibility of reassessment must be documented.</w:t>
      </w:r>
      <w:r>
        <w:t xml:space="preserve"> </w:t>
      </w:r>
      <w:r>
        <w:t xml:space="preserve"> </w:t>
      </w:r>
      <w:r>
        <w:fldChar w:fldCharType="begin"/>
      </w:r>
      <w:r>
        <w:instrText xml:space="preserve"> ADDIN EN.CITE </w:instrText>
      </w:r>
      <w:r>
        <w:fldChar w:fldCharType="begin">
          <w:fldData>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</w:fldData>
        </w:fldChar>
      </w:r>
      <w:r>
        <w:instrText xml:space="preserve"> ADDIN EN.CITE.DATA </w:instrText>
      </w:r>
      <w:r>
        <w:fldChar w:fldCharType="end"/>
      </w:r>
      <w:r>
        <w:fldChar w:fldCharType="separate"/>
      </w:r>
      <w:r>
        <w:t xml:space="preserve">[V16-14]</w:t>
      </w:r>
      <w:r>
        <w:fldChar w:fldCharType="end"/>
      </w:r>
      <w:r>
        <w:t xml:space="preserve"> </w:t>
      </w:r>
      <w:r>
        <w:t xml:space="preserve"> </w:t>
      </w:r>
      <w:r>
        <w:fldChar w:fldCharType="begin"/>
      </w:r>
      <w:r>
        <w:instrText xml:space="preserve"> ADDIN EN.CITE </w:instrText>
      </w:r>
      <w:r>
        <w:fldChar w:fldCharType="begin">
          <w:fldData>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r>
        <w:br/>
      </w:r>
      <w:hyperlink r:id="rId568">
        <w:r>
          <w:rPr>
            <w:color w:val="0563C1"/>
            <w:u w:val="single"/>
          </w:rPr>
          <w:t>Source</w:t>
        </w:r>
      </w:hyperlink>
      <w:r>
        <w:t xml:space="preserve"> · </w:t>
      </w:r>
      <w:hyperlink r:id="rId569">
        <w:r>
          <w:rPr>
            <w:color w:val="0563C1"/>
            <w:u w:val="single"/>
          </w:rPr>
          <w:t>PDF</w:t>
        </w:r>
      </w:hyperlink>
      <w:r>
        <w:br/>
      </w:r>
      <w:hyperlink r:id="rId570">
        <w:r>
          <w:rPr>
            <w:color w:val="0563C1"/>
            <w:u w:val="single"/>
          </w:rPr>
          <w:t>Source</w:t>
        </w:r>
      </w:hyperlink>
      <w:r>
        <w:t xml:space="preserve"> · </w:t>
      </w:r>
      <w:hyperlink r:id="rId571">
        <w:r>
          <w:rPr>
            <w:color w:val="0563C1"/>
            <w:u w:val="single"/>
          </w:rPr>
          <w:t>PDF</w:t>
        </w:r>
      </w:hyperlink>
    </w:p>
    <w:p>
      <w:pPr>
        <w:pStyle w:val="Normal"/>
        <w:widowControl/>
        <w:spacing w:after="120"/>
        <w:numPr>
          <w:ilvl w:val="1"/>
          <w:numId w:val="6"/>
        </w:numPr>
      </w:pPr>
      <w:r>
        <w:t xml:space="preserve">Do not call AFP-only rise RECIST or LI-RADS treatment progression. Do not give empiric LRT without an identified target, or add systemic therapy solely to make the AFP cross an allocation threshold without a justified oncologic indication.</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572">
        <w:r>
          <w:rPr>
            <w:color w:val="0563C1"/>
            <w:u w:val="single"/>
          </w:rPr>
          <w:t>Source</w:t>
        </w:r>
      </w:hyperlink>
      <w:r>
        <w:t xml:space="preserve"> · </w:t>
      </w:r>
      <w:hyperlink r:id="rId573">
        <w:r>
          <w:rPr>
            <w:color w:val="0563C1"/>
            <w:u w:val="single"/>
          </w:rPr>
          <w:t>PDF</w:t>
        </w:r>
      </w:hyperlink>
    </w:p>
    <w:p>
      <w:pPr>
        <w:pStyle w:val="Normal"/>
        <w:widowControl/>
        <w:spacing w:after="120"/>
        <w:numPr>
          <w:ilvl w:val="1"/>
          <w:numId w:val="6"/>
        </w:numPr>
      </w:pPr>
      <w:r>
        <w:t xml:space="preserve">Do not treat LDLT as an automatic escape from unfavorable tumor biology. Donor risk, recipient benefit and recurrence must be reviewed independently. New ICI use requires the separate B3 transplant safety decision.</w:t>
      </w:r>
    </w:p>
    <w:p>
      <w:pPr>
        <w:pStyle w:val="Normal"/>
        <w:widowControl/>
        <w:spacing w:after="120"/>
      </w:pPr>
      <w:r>
        <w:t xml:space="preserve">Full evidence and meeting fields: </w:t>
      </w:r>
      <w:hyperlink r:id="rId512">
        <w:r>
          <w:rPr>
            <w:color w:val="0563C1"/>
            <w:u w:val="single"/>
          </w:rPr>
          <w:t>HCC B1.1 record</w:t>
        </w:r>
      </w:hyperlink>
    </w:p>
    <w:p>
      <w:pPr>
        <w:pStyle w:val="Normal"/>
        <w:widowControl/>
        <w:spacing w:after="120"/>
      </w:pPr>
      <w:r>
        <w:t xml:space="preserve">Treatment comparisons and detailed regimen evidence: </w:t>
      </w:r>
      <w:hyperlink r:id="rId513">
        <w:r>
          <w:rPr>
            <w:color w:val="0563C1"/>
            <w:u w:val="single"/>
          </w:rPr>
          <w:t>Cross-tumor systemic matrix</w:t>
        </w:r>
      </w:hyperlink>
    </w:p>
    <w:p>
      <w:pPr>
        <w:pStyle w:val="Heading3"/>
        <w:keepNext/>
        <w:widowControl/>
      </w:pPr>
      <w:r>
        <w:t xml:space="preserve">3.3 Prior portal vein tumor thrombus</w:t>
      </w:r>
    </w:p>
    <w:p>
      <w:pPr>
        <w:pStyle w:val="Normal"/>
        <w:widowControl/>
        <w:numPr>
          <w:ilvl w:val="0"/>
          <w:numId w:val="3"/>
        </w:numPr>
      </w:pPr>
      <w:r>
        <w:t xml:space="preserve">Record the actual involved vessel and original Vp grade: Vp1 distal to second-order branches; Vp2 second-order; Vp3 first-order right or left portal branch; Vp4 main trunk or contralateral branch. Record hepatic-vein involvement separately. Do not equate Vp3 with main-portal invasion or bland thrombosis with cancer invasion.</w:t>
      </w:r>
    </w:p>
    <w:p>
      <w:pPr>
        <w:pStyle w:val="Normal"/>
        <w:widowControl/>
        <w:numPr>
          <w:ilvl w:val="0"/>
          <w:numId w:val="3"/>
        </w:numPr>
      </w:pPr>
      <w:r>
        <w:t xml:space="preserve">Assess parenchymal and vascular response separately on serial contrast imaging, with expert radiology adjudication. Current NLRB guidance identifies main portal or hepatic-vein invasion as an HCC-exception contraindication; some treated primary-branch invasion or rupture cases may be considered only after at least 12 months of stability. A six-month study interval cannot replace this allocation interval.</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Yoon et al. reported 137 selected PVTT LDLT recipients, not all assessed PVTT patients. Five-year OS was 66.6% in 83 radiographic responders versus 35.1% in 54 nonresponders. Sixty-five of 83 responders still had viable PVTT on explant. Only 14 recipients had Vp4 disease. This recipient-only, nonrandomized experience cannot establish a routine Vp4 pathway, a causal LT benefit, or equivalence between vascular grades.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5PC9SZWNOdW0+PERpc3BsYXlUZXh0PltWMTYtMTldPC9EaXNwbGF5VGV4dD48cmVjb3JkPjxyZWMtbnVtYmVyPjE5PC9yZWMtbnVtYmVyPjxmb3JlaWduLWtleXM+PGtleSBhcHA9IkVOIiBkYi1pZD0iN2U3OGIxNWItODYzMy01ZWMwLWEwYjQtY2U4YmRhNDhjMjY2IiB0aW1lc3RhbXA9IjE3OTMyODM2ODMiPjE5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p>
    <w:p>
      <w:pPr>
        <w:pStyle w:val="Heading3"/>
        <w:keepNext/>
        <w:widowControl/>
      </w:pPr>
      <w:bookmarkStart w:id="2" w:name="HCC_B2"/>
      <w:r>
        <w:t xml:space="preserve">HCC-B2 — Which PVTT anatomy could enter a transplanting study?</w:t>
      </w:r>
      <w:bookmarkEnd w:id="2"/>
    </w:p>
    <w:p>
      <w:pPr>
        <w:pStyle w:val="Heading3"/>
        <w:keepNext/>
        <w:widowControl/>
      </w:pPr>
      <w:r>
        <w:t xml:space="preserve">Question and comparison</w:t>
      </w:r>
    </w:p>
    <w:p>
      <w:pPr>
        <w:pStyle w:val="Normal"/>
        <w:widowControl/>
        <w:spacing w:before="60" w:after="20"/>
      </w:pPr>
      <w:r>
        <w:t xml:space="preserve">HCC with previously documented portal-vein tumor thrombus, after antitumor treatment; compare original segmental/second-order versus first-order/main-trunk extent and response strata. Outcomes are treatment-entry access and survival, recipient survival, recurrence and graft-related harm—not anatomy alone.</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Yoon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5PC9SZWNOdW0+PERpc3BsYXlUZXh0PltWMTYtMTldPC9EaXNwbGF5VGV4dD48cmVjb3JkPjxyZWMtbnVtYmVyPjE5PC9yZWMtbnVtYmVyPjxmb3JlaWduLWtleXM+PGtleSBhcHA9IkVOIiBkYi1pZD0iN2U3OGIxNWItODYzMy01ZWMwLWEwYjQtY2U4YmRhNDhjMjY2IiB0aW1lc3RhbXA9IjE3OTMyODM2ODMiPjE5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p>
          <w:p>
            <w:pPr>
              <w:pStyle w:val="Normal"/>
              <w:widowControl/>
              <w:spacing w:before="60" w:after="20"/>
            </w:pPr>
            <w:r>
              <w:t xml:space="preserve">Retrospective Asan LDLT cohort, 1997–2022, 137 selected PVTT recipients; median follow-up 38.3 months.</w:t>
            </w:r>
          </w:p>
          <w:p>
            <w:pPr>
              <w:pStyle w:val="Normal"/>
              <w:widowControl/>
              <w:spacing w:before="60" w:after="20"/>
            </w:pPr>
            <w:hyperlink r:id="rId54">
              <w:r>
                <w:rPr>
                  <w:color w:val="77230C"/>
                  <w:sz w:val="20"/>
                  <w:u w:val="single"/>
                </w:rPr>
                <w:t>Primary source</w:t>
              </w:r>
            </w:hyperlink>
            <w:r>
              <w:t xml:space="preserve"> | </w:t>
            </w:r>
            <w:hyperlink r:id="rId55">
              <w:r>
                <w:rPr>
                  <w:color w:val="77230C"/>
                  <w:sz w:val="20"/>
                  <w:u w:val="single"/>
                </w:rPr>
                <w:t>Full-text PDF</w:t>
              </w:r>
            </w:hyperlink>
          </w:p>
          <w:p>
            <w:pPr>
              <w:pStyle w:val="Normal"/>
              <w:widowControl/>
              <w:spacing w:before="60" w:after="20"/>
            </w:pPr>
            <w:r>
              <w:t xml:space="preserve">Locator: Complete PDF: Table 1; Results p7261; Table 2 p7264; Figure 1 p7265; Discussion p7268. Preserve source/pvtt_outcomes.py values.</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Vp1 five-year OS 69.5%, DFS 56.2%; Vp4 OS 50.0%, DFS 34.3%. Exact Vp2/Vp3 five-year values were not tabulated. Vp4 recurrence was 9/14 (64.3%) by Table 2 count, not a five-year risk. Responders: 83 patients, five-year OS 66.6%, DFS 64.7%, recurrence 28/83; nonresponders: 54, OS 35.1%, DFS 19.7%, recurrence 42/54. Viable PVTT remained in 65/83 responder explants.</w:t>
            </w:r>
          </w:p>
          <w:p>
            <w:pPr>
              <w:pStyle w:val="Normal"/>
              <w:widowControl/>
              <w:spacing w:before="60" w:after="20"/>
            </w:pPr>
            <w:r>
              <w:rPr>
                <w:b/>
              </w:rPr>
              <w:t xml:space="preserve">Do not infer: </w:t>
            </w:r>
            <w:r>
              <w:t xml:space="preserve">Recipient-only, heterogeneous treatment eras and small grade subgroups. Nonsignificant grade comparisons do not prove equivalence. Discussion/conclusion transpose responder OS and DFS; retain Results/Figure 1 values.</w:t>
            </w:r>
          </w:p>
        </w:tc>
      </w:tr>
      <w:tr>
        <w:trPr/>
        <w:tc>
          <w:tcPr>
            <w:tcW w:w="3400" w:type="dxa"/>
            <w:tcMar>
              <w:top w:w="90" w:type="dxa"/>
              <w:left w:w="90" w:type="dxa"/>
              <w:bottom w:w="90" w:type="dxa"/>
              <w:right w:w="90" w:type="dxa"/>
            </w:tcMar>
          </w:tcPr>
          <w:p>
            <w:pPr>
              <w:pStyle w:val="Normal"/>
              <w:widowControl/>
              <w:spacing w:before="60" w:after="20"/>
            </w:pPr>
            <w:r>
              <w:rPr>
                <w:b/>
              </w:rPr>
              <w:t xml:space="preserve">Choi 2017</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aG9pPC9BdXRob3I+PFllYXI+MjAxNzwvWWVhcj48UmVjTnVtPjIwPC9SZWNOdW0+PERpc3BsYXlUZXh0PltWMTYtMjBdPC9EaXNwbGF5VGV4dD48cmVjb3JkPjxyZWMtbnVtYmVyPjIwPC9yZWMtbnVtYmVyPjxmb3JlaWduLWtleXM+PGtleSBhcHA9IkVOIiBkYi1pZD0iN2U3OGIxNWItODYzMy01ZWMwLWEwYjQtY2U4YmRhNDhjMjY2IiB0aW1lc3RhbXA9IjE3OTMyODM2ODMiPjIw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[V16-20]</w:t>
            </w:r>
            <w:r>
              <w:fldChar w:fldCharType="end"/>
            </w:r>
          </w:p>
          <w:p>
            <w:pPr>
              <w:pStyle w:val="Normal"/>
              <w:widowControl/>
              <w:spacing w:before="60" w:after="20"/>
            </w:pPr>
            <w:r>
              <w:t xml:space="preserve">Single-center Korean LDLT cohort, 2005–2015. Of 253 adult HCC LDLTs, four deaths within one month, five lost to follow-up and two mixed HCC/CCA cases were excluded, leaving 242. PVTT: 27 segmental (at/below second-order branches) and seven first-order/lobar; main-portal disease, nodes and distant spread excluded. Eleven of 27 segmental thrombi were unsuspected before LT and discovered on explant. Prior treatment in 22/34 was not a standardized downstaging protocol.</w:t>
            </w:r>
          </w:p>
          <w:p>
            <w:pPr>
              <w:pStyle w:val="Normal"/>
              <w:widowControl/>
              <w:spacing w:before="60" w:after="20"/>
            </w:pPr>
            <w:hyperlink r:id="rId56">
              <w:r>
                <w:rPr>
                  <w:color w:val="77230C"/>
                  <w:sz w:val="20"/>
                  <w:u w:val="single"/>
                </w:rPr>
                <w:t>Primary source</w:t>
              </w:r>
            </w:hyperlink>
            <w:r>
              <w:t xml:space="preserve"> | </w:t>
            </w:r>
            <w:hyperlink r:id="rId57">
              <w:r>
                <w:rPr>
                  <w:color w:val="77230C"/>
                  <w:sz w:val="20"/>
                  <w:u w:val="single"/>
                </w:rPr>
                <w:t>Full-text PDF</w:t>
              </w:r>
            </w:hyperlink>
          </w:p>
          <w:p>
            <w:pPr>
              <w:pStyle w:val="Normal"/>
              <w:widowControl/>
              <w:spacing w:before="60" w:after="20"/>
            </w:pPr>
            <w:r>
              <w:t xml:space="preserve">Locator: PDF p 2/j 1024: exclusions, pretreatment, anatomy definition. | PDF p 3/j 1025: 16/27 preoperative segmental diagnoses. | PDF pp 5–6/j 1027–1028: Tables 2–3 and explicit lobar DFS 14.3%. | PDF p 7/j 1029 Table 4: AFP subgroup counts. | PDF p 8/j 1030: subgroup survival and limitations.</w:t>
            </w:r>
          </w:p>
          <w:p>
            <w:pPr>
              <w:pStyle w:val="Normal"/>
              <w:widowControl/>
              <w:spacing w:before="60" w:after="20"/>
            </w:pPr>
            <w:r>
              <w:t xml:space="preserve">Review depth: Complete main text/tables/figures/discussion of nine-page article read; last-page bibliography only not material to extraction.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Segmental n = 27: recurrence 9/27 (33.3%), five-year OS 50.3%, author-labelled DFS 63.9%. Lobar n = 7: recurrence 6/7 (85.7%), three-/five-year OS 14.3%/14.3%, DFS 14.3%/14.3%. Segmental AFP &lt;100 subgroup: five-year OS 71.3%, DFS 90.9%. Overall PVTT recurrence 15/34 (44.1%); mean time to recurrence 6.8±4.33 months. Safety: Four early postoperative deaths were excluded across the parent HCC cohort; their PVTT status is not reported. Lobar recurrence was 6/7. Donor harms are not quantified.</w:t>
            </w:r>
          </w:p>
          <w:p>
            <w:pPr>
              <w:pStyle w:val="Normal"/>
              <w:widowControl/>
              <w:spacing w:before="60" w:after="20"/>
            </w:pPr>
            <w:r>
              <w:rPr>
                <w:b/>
              </w:rPr>
              <w:t xml:space="preserve">Do not infer: </w:t>
            </w:r>
            <w:r>
              <w:t xml:space="preserve">Tiny retrospective recipient subgroups; early-death exclusion and occult segmental thrombi favor outcomes. No entry-cohort ITT estimate, standardized response duration or validated AFP cutoff. Do not call author-labelled DFS death-inclusive RFS.</w:t>
            </w:r>
          </w:p>
        </w:tc>
      </w:tr>
      <w:tr>
        <w:trPr/>
        <w:tc>
          <w:tcPr>
            <w:tcW w:w="3400" w:type="dxa"/>
            <w:tcMar>
              <w:top w:w="90" w:type="dxa"/>
              <w:left w:w="90" w:type="dxa"/>
              <w:bottom w:w="90" w:type="dxa"/>
              <w:right w:w="90" w:type="dxa"/>
            </w:tcMar>
          </w:tcPr>
          <w:p>
            <w:pPr>
              <w:pStyle w:val="Normal"/>
              <w:widowControl/>
              <w:spacing w:before="60" w:after="20"/>
            </w:pPr>
            <w:r>
              <w:rPr>
                <w:b/>
              </w:rPr>
              <w:t xml:space="preserve">Yang 2020</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5nPC9BdXRob3I+PFllYXI+MjAyMDwvWWVhcj48UmVjTnVtPjIxPC9SZWNOdW0+PERpc3BsYXlUZXh0PltWMTYtMjFdPC9EaXNwbGF5VGV4dD48cmVjb3JkPjxyZWMtbnVtYmVyPjIxPC9yZWMtbnVtYmVyPjxmb3JlaWduLWtleXM+PGtleSBhcHA9IkVOIiBkYi1pZD0iN2U3OGIxNWItODYzMy01ZWMwLWEwYjQtY2U4YmRhNDhjMjY2IiB0aW1lc3RhbXA9IjE3OTMyODM2ODMiPjIx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p>
          <w:p>
            <w:pPr>
              <w:pStyle w:val="Normal"/>
              <w:widowControl/>
              <w:spacing w:before="60" w:after="20"/>
            </w:pPr>
            <w:r>
              <w:t xml:space="preserve">Retrospective Chinese recipient cohort of 75 HCC/PVTT transplants: 47 with Vp2–3 combined and 28 with Vp4. The Vp2–3 group was entirely HBV-associated; Child-Pugh A/B/C counts were 1/22/24 and median MELD 30. Not a standardized downstaging-response cohort.</w:t>
            </w:r>
          </w:p>
          <w:p>
            <w:pPr>
              <w:pStyle w:val="Normal"/>
              <w:widowControl/>
              <w:spacing w:before="60" w:after="20"/>
            </w:pPr>
            <w:hyperlink r:id="rId58">
              <w:r>
                <w:rPr>
                  <w:color w:val="77230C"/>
                  <w:sz w:val="20"/>
                  <w:u w:val="single"/>
                </w:rPr>
                <w:t>Primary source</w:t>
              </w:r>
            </w:hyperlink>
            <w:r>
              <w:t xml:space="preserve"> | </w:t>
            </w:r>
            <w:hyperlink r:id="rId59">
              <w:r>
                <w:rPr>
                  <w:color w:val="77230C"/>
                  <w:sz w:val="20"/>
                  <w:u w:val="single"/>
                </w:rPr>
                <w:t>Full-text PDF</w:t>
              </w:r>
            </w:hyperlink>
          </w:p>
          <w:p>
            <w:pPr>
              <w:pStyle w:val="Normal"/>
              <w:widowControl/>
              <w:spacing w:before="60" w:after="20"/>
            </w:pPr>
            <w:r>
              <w:t xml:space="preserve">Locator: PDF p 2/j 230: Methods, endpoint definitions, 47/28 groups, Table 1. | PDF p 3/j 231: grade outcomes and 22/17/8 risk groups. | PDF p 4/j 232: Tables 2–3. | PDF p 5/j 233: limitations.</w:t>
            </w:r>
          </w:p>
          <w:p>
            <w:pPr>
              <w:pStyle w:val="Normal"/>
              <w:widowControl/>
              <w:spacing w:before="60" w:after="20"/>
            </w:pPr>
            <w:r>
              <w:t xml:space="preserve">Review depth: Complete six-page article read, all main methods/results/tables/figures/discussion/references.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Vp2–3 n = 47: three-year OS 65.4%, recurrence-only RFS 40.0%. Vp4 n = 28: three-year OS 30.6%, recurrence-only RFS 21.4%. A derived low-risk subgroup of 22/47 had three-year OS 95.2% and recurrence-only RFS 67.6%; its rule was total tumor diameter ≤8 cm, OR if &gt;8 cm, AFP &lt;1,000 ng/mL AND SUVmax &lt;5. Safety: Three-year recurrence-only RFS was low in both anatomical groups. Short median follow-up limits three-year precision; no donor-harm estimate.</w:t>
            </w:r>
          </w:p>
          <w:p>
            <w:pPr>
              <w:pStyle w:val="Normal"/>
              <w:widowControl/>
              <w:spacing w:before="60" w:after="20"/>
            </w:pPr>
            <w:r>
              <w:rPr>
                <w:b/>
              </w:rPr>
              <w:t xml:space="preserve">Do not infer: </w:t>
            </w:r>
            <w:r>
              <w:t xml:space="preserve">The low-risk rule was derived in the same 47 recipients and lacks external validation. It is not a Vp3-specific outcome or proof of safe active PVTT transplantation. No entry-denominator survival or validated observation interval.</w:t>
            </w:r>
          </w:p>
        </w:tc>
      </w:tr>
      <w:tr>
        <w:trPr/>
        <w:tc>
          <w:tcPr>
            <w:tcW w:w="3400" w:type="dxa"/>
            <w:tcMar>
              <w:top w:w="90" w:type="dxa"/>
              <w:left w:w="90" w:type="dxa"/>
              <w:bottom w:w="90" w:type="dxa"/>
              <w:right w:w="90" w:type="dxa"/>
            </w:tcMar>
          </w:tcPr>
          <w:p>
            <w:pPr>
              <w:pStyle w:val="Normal"/>
              <w:widowControl/>
              <w:spacing w:before="60" w:after="20"/>
            </w:pPr>
            <w:r>
              <w:rPr>
                <w:b/>
              </w:rPr>
              <w:t xml:space="preserve">Ye 2024</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ZTwvQXV0aG9yPjxZZWFyPjIwMjQ8L1llYXI+PFJlY051bT4yMjwvUmVjTnVtPjxEaXNwbGF5VGV4dD5bVjE2LTIyXTwvRGlzcGxheVRleHQ+PHJlY29yZD48cmVjLW51bWJlcj4yMjwvcmVjLW51bWJlcj48Zm9yZWlnbi1rZXlzPjxrZXkgYXBwPSJFTiIgZGItaWQ9IjdlNzhiMTViLTg2MzMtNWVjMC1hMGI0LWNlOGJkYTQ4YzI2NiIgdGltZXN0YW1wPSIxNzkzMjgzNjgzIj4yMj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p>
          <w:p>
            <w:pPr>
              <w:pStyle w:val="Normal"/>
              <w:widowControl/>
              <w:spacing w:before="60" w:after="20"/>
            </w:pPr>
            <w:r>
              <w:t xml:space="preserve">Retrospective DDLT cohort of 141 vascular-invasion recipients: 13 segmental PVTT, 68 lobar PVTT, 60 microvascular invasion.</w:t>
            </w:r>
          </w:p>
          <w:p>
            <w:pPr>
              <w:pStyle w:val="Normal"/>
              <w:widowControl/>
              <w:spacing w:before="60" w:after="20"/>
            </w:pPr>
            <w:hyperlink r:id="rId60">
              <w:r>
                <w:rPr>
                  <w:color w:val="77230C"/>
                  <w:sz w:val="20"/>
                  <w:u w:val="single"/>
                </w:rPr>
                <w:t>Primary source</w:t>
              </w:r>
            </w:hyperlink>
            <w:r>
              <w:t xml:space="preserve"> | </w:t>
            </w:r>
            <w:hyperlink r:id="rId61">
              <w:r>
                <w:rPr>
                  <w:color w:val="77230C"/>
                  <w:sz w:val="20"/>
                  <w:u w:val="single"/>
                </w:rPr>
                <w:t>Full-text PDF</w:t>
              </w:r>
            </w:hyperlink>
          </w:p>
          <w:p>
            <w:pPr>
              <w:pStyle w:val="Normal"/>
              <w:widowControl/>
              <w:spacing w:before="60" w:after="20"/>
            </w:pPr>
            <w:r>
              <w:t xml:space="preserve">Locator: Complete 12-page PDF: Methods p3, Tables 1–2 p6, Figure 4 p7.</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Segmental three-year OS 75.0%, RFS 58.3%, crude recurrence 4/13. Lobar three-year OS 45.9%, RFS 9.1%, crude recurrence 60/68.</w:t>
            </w:r>
          </w:p>
          <w:p>
            <w:pPr>
              <w:pStyle w:val="Normal"/>
              <w:widowControl/>
              <w:spacing w:before="60" w:after="20"/>
            </w:pPr>
            <w:r>
              <w:rPr>
                <w:b/>
              </w:rPr>
              <w:t xml:space="preserve">Do not infer: </w:t>
            </w:r>
            <w:r>
              <w:t xml:space="preserve">Exclusion of early deaths biases recipient survival upward. Lobar is not an isolated Vp3 group. Crude recurrence and RFS are distinct measures; the cohort is not directly transportable to Western mixed-etiology candidates.</w:t>
            </w:r>
          </w:p>
        </w:tc>
      </w:tr>
      <w:tr>
        <w:trPr/>
        <w:tc>
          <w:tcPr>
            <w:tcW w:w="3400" w:type="dxa"/>
            <w:tcMar>
              <w:top w:w="90" w:type="dxa"/>
              <w:left w:w="90" w:type="dxa"/>
              <w:bottom w:w="90" w:type="dxa"/>
              <w:right w:w="90" w:type="dxa"/>
            </w:tcMar>
          </w:tcPr>
          <w:p>
            <w:pPr>
              <w:pStyle w:val="Normal"/>
              <w:widowControl/>
              <w:spacing w:before="60" w:after="20"/>
            </w:pPr>
            <w:r>
              <w:rPr>
                <w:b/>
              </w:rPr>
              <w:t xml:space="preserve">Soin 2020</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b2luPC9BdXRob3I+PFllYXI+MjAyMDwvWWVhcj48UmVjTnVtPjIzPC9SZWNOdW0+PERpc3BsYXlUZXh0PltWMTYtMjNdPC9EaXNwbGF5VGV4dD48cmVjb3JkPjxyZWMtbnVtYmVyPjIzPC9yZWMtbnVtYmVyPjxmb3JlaWduLWtleXM+PGtleSBhcHA9IkVOIiBkYi1pZD0iN2U3OGIxNWItODYzMy01ZWMwLWEwYjQtY2U4YmRhNDhjMjY2IiB0aW1lc3RhbXA9IjE3OTMyODM2ODMiPjIz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[V16-23]</w:t>
            </w:r>
            <w:r>
              <w:fldChar w:fldCharType="end"/>
            </w:r>
          </w:p>
          <w:p>
            <w:pPr>
              <w:pStyle w:val="Normal"/>
              <w:widowControl/>
              <w:spacing w:before="60" w:after="20"/>
            </w:pPr>
            <w:r>
              <w:t xml:space="preserve">Single-center prospective downstaging pathway: 43 patients with macrovascular invasion, comprising 38 PVTT and five hepatic-vein/IVC cases; 27 responded and 25 underwent LDLT. Recipient original Vp1/Vp2/Vp3/Vp4 counts: 1/12/11/1.</w:t>
            </w:r>
          </w:p>
          <w:p>
            <w:pPr>
              <w:pStyle w:val="Normal"/>
              <w:widowControl/>
              <w:spacing w:before="60" w:after="20"/>
            </w:pPr>
            <w:hyperlink r:id="rId62">
              <w:r>
                <w:rPr>
                  <w:color w:val="77230C"/>
                  <w:sz w:val="20"/>
                  <w:u w:val="single"/>
                </w:rPr>
                <w:t>Primary source</w:t>
              </w:r>
            </w:hyperlink>
            <w:r>
              <w:t xml:space="preserve"> | </w:t>
            </w:r>
            <w:hyperlink r:id="rId63">
              <w:r>
                <w:rPr>
                  <w:color w:val="77230C"/>
                  <w:sz w:val="20"/>
                  <w:u w:val="single"/>
                </w:rPr>
                <w:t>Full-text PDF</w:t>
              </w:r>
            </w:hyperlink>
          </w:p>
          <w:p>
            <w:pPr>
              <w:pStyle w:val="Normal"/>
              <w:widowControl/>
              <w:spacing w:before="60" w:after="20"/>
            </w:pPr>
            <w:r>
              <w:t xml:space="preserve">Locator: PDF pp 2–4/j 2335–2337: protocol, 43 entry flow, endpoint definitions, 18 vs 7 response. | PDF p 5/j 2338: all 25 survival 53/52 and timing Table 1. | PDF p 6/j 2339: Table 2, 17/25 viable PVTT, early death-excluded 57/51. | PDF p 7/j 2340: Fig 3. | PDF pp 9–11/j 2342–2344: models, variable wait protocol, limitations.</w:t>
            </w:r>
          </w:p>
          <w:p>
            <w:pPr>
              <w:pStyle w:val="Normal"/>
              <w:widowControl/>
              <w:spacing w:before="60" w:after="20"/>
            </w:pPr>
            <w:r>
              <w:t xml:space="preserve">Review depth: Complete 12-page main paper read; supplemental Tables S1–S2/Figures S1–S5 not supplied/read.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25 recipients: five-year OS 53% and author-labelled RFS 52%. After excluding two early postoperative deaths (n = 23): five-year OS 57%, RFS 51%. Recurrence 6/25 (24%), median five months. Eighteen had complete vascular enhancement loss; seven retained minimal/absent enhancement in Vp1–2 disease. Explants still showed viable PVTT in 17/25 and microvascular invasion in 21/25. Safety: Nine recipient deaths: two early sepsis deaths, four later non-cancer deaths and three cancer deaths. Six recurrences occurred despite downstaging selection. Radiographic response did not reliably imply pathological vascular sterilization.</w:t>
            </w:r>
          </w:p>
          <w:p>
            <w:pPr>
              <w:pStyle w:val="Normal"/>
              <w:widowControl/>
              <w:spacing w:before="60" w:after="20"/>
            </w:pPr>
            <w:r>
              <w:rPr>
                <w:b/>
              </w:rPr>
              <w:t xml:space="preserve">Do not infer: </w:t>
            </w:r>
            <w:r>
              <w:t xml:space="preserve">No randomized comparator, limited recipient number and no grade-specific survival estimates. The 43-entry denominator includes nonportal macrovascular invasion. Five-year 57% OS excludes early deaths; it is neither all-recipient nor ITT survival. Small poor-grade/AFP-change subgroups do not validate new cutoffs or a 12-month control rule.</w:t>
            </w:r>
          </w:p>
        </w:tc>
      </w:tr>
      <w:tr>
        <w:trPr/>
        <w:tc>
          <w:tcPr>
            <w:tcW w:w="3400" w:type="dxa"/>
            <w:tcMar>
              <w:top w:w="90" w:type="dxa"/>
              <w:left w:w="90" w:type="dxa"/>
              <w:bottom w:w="90" w:type="dxa"/>
              <w:right w:w="90" w:type="dxa"/>
            </w:tcMar>
          </w:tcPr>
          <w:p>
            <w:pPr>
              <w:pStyle w:val="Normal"/>
              <w:widowControl/>
              <w:spacing w:before="60" w:after="20"/>
            </w:pPr>
            <w:r>
              <w:rPr>
                <w:b/>
              </w:rPr>
              <w:t xml:space="preserve">Assalino 2020 · vascular invasion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</w:fldData>
              </w:fldChar>
            </w:r>
            <w:r>
              <w:instrText xml:space="preserve"> ADDIN EN.CITE.DATA </w:instrText>
            </w:r>
            <w:r>
              <w:fldChar w:fldCharType="end"/>
            </w:r>
            <w:r>
              <w:fldChar w:fldCharType="separate"/>
            </w:r>
            <w:r>
              <w:t xml:space="preserve">[V16-24]</w:t>
            </w:r>
            <w:r>
              <w:fldChar w:fldCharType="end"/>
            </w:r>
          </w:p>
          <w:p>
            <w:pPr>
              <w:pStyle w:val="Normal"/>
              <w:widowControl/>
              <w:spacing w:before="60" w:after="20"/>
            </w:pPr>
            <w:r>
              <w:t xml:space="preserve">Multicenter recipient-only series: 45 records identified, 29 with centrally confirmed pretreatment vascular invasion plus one pathologically confirmed case accepted (n = 30). Excluded records are not downstaging failures. There were 24 portal cases (seven Vp1, 12 Vp2, five study-defined Vp3) and six hepatic/caval cases; the paper's Vp3 category includes main-trunk disease.</w:t>
            </w:r>
          </w:p>
          <w:p>
            <w:pPr>
              <w:pStyle w:val="Normal"/>
              <w:widowControl/>
              <w:spacing w:before="60" w:after="20"/>
            </w:pPr>
            <w:hyperlink r:id="rId64">
              <w:r>
                <w:rPr>
                  <w:color w:val="77230C"/>
                  <w:sz w:val="20"/>
                  <w:u w:val="single"/>
                </w:rPr>
                <w:t>Primary source</w:t>
              </w:r>
            </w:hyperlink>
            <w:r>
              <w:t xml:space="preserve"> | </w:t>
            </w:r>
            <w:hyperlink r:id="rId65">
              <w:r>
                <w:rPr>
                  <w:color w:val="77230C"/>
                  <w:sz w:val="20"/>
                  <w:u w:val="single"/>
                </w:rPr>
                <w:t>Full-text PDF</w:t>
              </w:r>
            </w:hyperlink>
          </w:p>
          <w:p>
            <w:pPr>
              <w:pStyle w:val="Normal"/>
              <w:widowControl/>
              <w:spacing w:before="60" w:after="20"/>
            </w:pPr>
            <w:r>
              <w:t xml:space="preserve">Locator: PDF pp 2–3/j 568–569: cohort, definitions, endpoint death handling. | PDF p 4/j 570: flow, outcomes, AFP ROC. | PDF p 5/j 571: Table 1 and subgroup outcomes. | PDF pp 6–8/j 572–574: explant, limitations, Table 2.</w:t>
            </w:r>
          </w:p>
          <w:p>
            <w:pPr>
              <w:pStyle w:val="Normal"/>
              <w:widowControl/>
              <w:spacing w:before="60" w:after="20"/>
            </w:pPr>
            <w:r>
              <w:t xml:space="preserve">Review depth: Complete nine-page primary paper (same study reviewed in V7) verified against newly downloaded copy; all main methods/results/tables/discussion read; supplementary Table S1 not available.</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OS 59.6% and death-inclusive DFS 56.3%; recurrence 8/30, median 6.5 months. Three explants retained major vascular invasion and 11 had complete necrosis. Exploratory AFP &lt;10 ng/mL subgroup: recurrence 11.1% versus 50%, five-year OS 83.3% versus 27.8%, DFS 71.8% versus 33.3%; cutoff AUC 0.78. Safety: Eight recurrences among 30 highly selected recipients; residual vascular invasion despite radiographic control.</w:t>
            </w:r>
          </w:p>
          <w:p>
            <w:pPr>
              <w:pStyle w:val="Normal"/>
              <w:widowControl/>
              <w:spacing w:before="60" w:after="20"/>
            </w:pPr>
            <w:r>
              <w:rPr>
                <w:b/>
              </w:rPr>
              <w:t xml:space="preserve">Do not infer: </w:t>
            </w:r>
            <w:r>
              <w:t xml:space="preserve">Small selected mixed-anatomy cohort; AFP cutoff derived post hoc, with subgroup denominators not clearly stated in the main text. Local Vp labels do not map cleanly onto usual Vp1–4. A median 11.4-month interval is not a validated minimum observation period.</w:t>
            </w:r>
          </w:p>
        </w:tc>
      </w:tr>
      <w:tr>
        <w:trPr/>
        <w:tc>
          <w:tcPr>
            <w:tcW w:w="3400" w:type="dxa"/>
            <w:tcMar>
              <w:top w:w="90" w:type="dxa"/>
              <w:left w:w="90" w:type="dxa"/>
              <w:bottom w:w="90" w:type="dxa"/>
              <w:right w:w="90" w:type="dxa"/>
            </w:tcMar>
          </w:tcPr>
          <w:p>
            <w:pPr>
              <w:pStyle w:val="Normal"/>
              <w:widowControl/>
              <w:spacing w:before="60" w:after="20"/>
            </w:pPr>
            <w:r>
              <w:rPr>
                <w:b/>
              </w:rPr>
              <w:t xml:space="preserve">Sposito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1PC9SZWNOdW0+PERpc3BsYXlUZXh0PltWMTYtMjVdPC9EaXNwbGF5VGV4dD48cmVjb3JkPjxyZWMtbnVtYmVyPjI1PC9yZWMtbnVtYmVyPjxmb3JlaWduLWtleXM+PGtleSBhcHA9IkVOIiBkYi1pZD0iN2U3OGIxNWItODYzMy01ZWMwLWEwYjQtY2U4YmRhNDhjMjY2IiB0aW1lc3RhbXA9IjE3OTMyODM2ODMiPjI1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r>
              <w:t xml:space="preserve">Retrospective analysis of prospectively collected databases at five Italian centers, 2010–2023: 240 consecutive Y90-TARE-treated HCC/PVTT patients; 61 achieved sustained downstaging and 37 underwent deceased-donor LT.</w:t>
            </w:r>
          </w:p>
          <w:p>
            <w:pPr>
              <w:pStyle w:val="Normal"/>
              <w:widowControl/>
              <w:spacing w:before="60" w:after="20"/>
            </w:pPr>
            <w:hyperlink r:id="rId66">
              <w:r>
                <w:rPr>
                  <w:color w:val="77230C"/>
                  <w:sz w:val="20"/>
                  <w:u w:val="single"/>
                </w:rPr>
                <w:t>Primary source</w:t>
              </w:r>
            </w:hyperlink>
            <w:r>
              <w:t xml:space="preserve"> | </w:t>
            </w:r>
            <w:hyperlink r:id="rId67">
              <w:r>
                <w:rPr>
                  <w:color w:val="77230C"/>
                  <w:sz w:val="20"/>
                  <w:u w:val="single"/>
                </w:rPr>
                <w:t>Full-text PDF</w:t>
              </w:r>
            </w:hyperlink>
          </w:p>
          <w:p>
            <w:pPr>
              <w:pStyle w:val="Normal"/>
              <w:widowControl/>
              <w:spacing w:before="60" w:after="20"/>
            </w:pPr>
            <w:r>
              <w:t xml:space="preserve">Locator: Complete 12-page PDF including visual abstract. Methods/selection p4; endpoint definitions and all-240 outcomes p5; flow, central review and recipient results p6/Figure 1; baseline anatomy p7/Table 1; harms/explant p8/Table 2; survival and at-risk counts p9/Figure 3; exploratory subgroups p10/Table 3; response uncertainty and limitations p11.</w:t>
            </w:r>
          </w:p>
          <w:p>
            <w:pPr>
              <w:pStyle w:val="Normal"/>
              <w:widowControl/>
              <w:spacing w:before="60" w:after="20"/>
            </w:pPr>
            <w:r>
              <w:t xml:space="preserve">Review depth: Complete 12-page main PDF read and figures/tables visually checked; title and DOI matched. External supplementary tables S1/S2 and STROBE checklist not available/reviewed.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Pathway: 118/240 had CR/PR within six months; 61/240 (25.4%) had sustained downstaging, 37/240 (15.4%) reached LT. Of 61 downstaged, 24 were not listed: nine age/comorbidity, six conversion to resection, nine refusal/noncompliance. No dropout among the 37 actually listed does not mean no pathway attrition. All-240 survival from TARE: median OS 14.1 months (reported interval 11.1–17.1); one/three/five-year OS 53.7%/27.2%/18.9%, with 184 deaths and median follow-up 65.2 months. Among all 37 recipients, including four perioperative deaths: three/five-year OS 67.2%/61.6%; six recurrences (16.2% crude count); author RFS 79.3% at three and five years, censoring death without recurrence. Median recipient follow-up 56.7 months; only eight patients at risk at five years in Figure 3A. Complete pathological necrosis 21/37 (56.7%); persistent pathological macrovascular invasion 11/37, including viable vascular thrombus in 8/37 (21.6%). Among the 61 downstaged, cancer-related death at 60 months from successful downstaging was 15.8% with LT versus 45.2% without LT (sHR 0.221, 95% CI 0.071–0.683; p=0.0087); this is an observational association. No grade-specific recipient survival/recurrence estimates are reported in the main paper. Harms: Post-TARE liver decompensation occurred in 56/240 (23.3%); symptomatic radiation-induced lung toxicity in 3/240 (1.2%), not classified as treatment-related mortality. LT major Dindo–Clavien grade ≥3 complications occurred in 13/37 (35.1%); four perioperative deaths among 37 recipients (10.8%, calculated). The paper does not specify a 30- or 90-day definition for those four deaths.</w:t>
            </w:r>
          </w:p>
          <w:p>
            <w:pPr>
              <w:pStyle w:val="Normal"/>
              <w:widowControl/>
              <w:spacing w:before="60" w:after="20"/>
            </w:pPr>
            <w:r>
              <w:rPr>
                <w:b/>
              </w:rPr>
              <w:t xml:space="preserve">Do not infer: </w:t>
            </w:r>
            <w:r>
              <w:t xml:space="preserve">Selected-recipient outcomes cannot be applied to all 240 entrants. No randomized comparator against contemporary systemic therapy; heterogeneous treatment/selection, calendar-era effects, comorbidity and response differences, and timing/selection bias remain. Non-LT downstaged patients had fewer complete responses (29.2% vs 62.2%); a time-dependent LT/immortal-time correction is not explicitly described. Radiological extent changed on central review in 16/31 available cases (four upgrades, twelve downgrades). Post-radiation enhancement may complicate vascular-response interpretation, and response did not exclude viable PVTT. Table 3 univariable age &gt;65 (n=4), AFP &gt;100 (n=3), size &gt;50 mm (n=6), and partial best response (n=14) associations do not validate hard eligibility cutoffs; no variable significantly predicted RFS. Figure 1's ineffective-downstaging subcounts 18+27+14 sum to 59, not the stated 57; the 14-death label is printed as 6.3%. Use the coherent main cohort totals without inventing a correction. Possible overlap with earlier Italian reports must not be pooled as independent evidence. External tables S1/S2 and STROBE supplement were not available for this review. Endpoint/time origin: Three distinct origins: TARE for all-240 OS; date of successful downstaging for the 61-patient cancer-death comparison; LT for recipient OS/RFS. RFS treats recurrence as the event and censors death without recurrence: 79.3% is neither alive-and-recurrence-free survival nor a competing-risk estimate. Six recurrences/37 is a crude follow-up count, not five-year recurrence risk. Do not calculate recurrence incidence as 1 minus RFS. The recipient-only competing-risk cancer-death estimate at five years is 17%, not the 15.8% comparison starting at downstaging.</w:t>
            </w:r>
          </w:p>
        </w:tc>
      </w:tr>
    </w:tbl>
    <w:p>
      <w:pPr>
        <w:pStyle w:val="Heading3"/>
        <w:keepNext/>
        <w:widowControl/>
      </w:pPr>
      <w:r>
        <w:t xml:space="preserve">PVTT outcomes underlying the open anatomy boundary</w:t>
      </w:r>
    </w:p>
    <w:p>
      <w:pPr>
        <w:pStyle w:val="Normal"/>
        <w:widowControl/>
      </w:pPr>
      <w:r>
        <w:t xml:space="preserve">The evidence supports studying carefully selected patients, but does not validate a universal Vp2/Vp3 cutoff. The following are outcomes after transplantation in selected recipients, not the chance of benefit from the start of downstaging. OS means overall survival; DFS/RFS retain each paper’s terminology. Observed recurrence is a crude count over available follow-up, not a fixed-time cumulative incidence.</w:t>
      </w:r>
    </w:p>
    <w:p>
      <w:pPr>
        <w:pStyle w:val="Heading3"/>
        <w:keepNext/>
        <w:widowControl/>
      </w:pPr>
      <w:r>
        <w:t xml:space="preserve">Individual Vp grades in the largest LDLT cohort reviewed</w:t>
      </w:r>
    </w:p>
    <w:p>
      <w:pPr>
        <w:pStyle w:val="Normal"/>
        <w:keepNext/>
        <w:widowControl/>
      </w:pPr>
      <w:r>
        <w:t xml:space="preserve">Yoon 2026: 137 recipients, Asan, 1997–2022; median follow-up 38.3 months. Record original highest Vp extent and current viable extent separately; do not re-label historical Vp4 as Vp1 after response.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5PC9SZWNOdW0+PERpc3BsYXlUZXh0PltWMTYtMTldPC9EaXNwbGF5VGV4dD48cmVjb3JkPjxyZWMtbnVtYmVyPjE5PC9yZWMtbnVtYmVyPjxmb3JlaWduLWtleXM+PGtleSBhcHA9IkVOIiBkYi1pZD0iN2U3OGIxNWItODYzMy01ZWMwLWEwYjQtY2U4YmRhNDhjMjY2IiB0aW1lc3RhbXA9IjE3OTMyODM2ODMiPjE5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p>
    <w:tbl>
      <w:tblPr>
        <w:tblW w:w="90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650"/>
        <w:gridCol w:w="500"/>
        <w:gridCol w:w="1150"/>
        <w:gridCol w:w="1150"/>
        <w:gridCol w:w="3550"/>
      </w:tblGrid>
      <w:tr>
        <w:trPr>
          <w:cantSplit/>
          <w:tblHeader/>
        </w:trPr>
        <w:tc>
          <w:tcPr>
            <w:tcW w:w="2650" w:type="dxa"/>
            <w:vAlign w:val="center"/>
            <w:tcMar>
              <w:top w:w="90" w:type="dxa"/>
              <w:left w:w="90" w:type="dxa"/>
              <w:bottom w:w="90" w:type="dxa"/>
              <w:right w:w="90" w:type="dxa"/>
            </w:tcMar>
            <w:shd w:fill="DCE6F1"/>
          </w:tcPr>
          <w:p>
            <w:pPr>
              <w:pStyle w:val="Normal"/>
              <w:widowControl/>
              <w:spacing w:before="60" w:after="20"/>
            </w:pPr>
            <w:r>
              <w:rPr>
                <w:b/>
              </w:rPr>
              <w:t xml:space="preserve">Vp grade and vessel</w:t>
            </w:r>
          </w:p>
        </w:tc>
        <w:tc>
          <w:tcPr>
            <w:tcW w:w="500" w:type="dxa"/>
            <w:vAlign w:val="center"/>
            <w:tcMar>
              <w:top w:w="90" w:type="dxa"/>
              <w:left w:w="90" w:type="dxa"/>
              <w:bottom w:w="90" w:type="dxa"/>
              <w:right w:w="90" w:type="dxa"/>
            </w:tcMar>
            <w:shd w:fill="DCE6F1"/>
          </w:tcPr>
          <w:p>
            <w:pPr>
              <w:pStyle w:val="Normal"/>
              <w:widowControl/>
              <w:spacing w:before="60" w:after="20"/>
              <w:jc w:val="center"/>
            </w:pPr>
            <w:r>
              <w:rPr>
                <w:b/>
              </w:rPr>
              <w:t xml:space="preserve">n</w:t>
            </w:r>
          </w:p>
        </w:tc>
        <w:tc>
          <w:tcPr>
            <w:tcW w:w="1150" w:type="dxa"/>
            <w:vAlign w:val="center"/>
            <w:tcMar>
              <w:top w:w="90" w:type="dxa"/>
              <w:left w:w="90" w:type="dxa"/>
              <w:bottom w:w="90" w:type="dxa"/>
              <w:right w:w="90" w:type="dxa"/>
            </w:tcMar>
            <w:shd w:fill="DCE6F1"/>
          </w:tcPr>
          <w:p>
            <w:pPr>
              <w:pStyle w:val="Normal"/>
              <w:widowControl/>
              <w:spacing w:before="60" w:after="20"/>
              <w:jc w:val="center"/>
            </w:pPr>
            <w:r>
              <w:rPr>
                <w:b/>
              </w:rPr>
              <w:t xml:space="preserve">5-year OS</w:t>
            </w:r>
          </w:p>
        </w:tc>
        <w:tc>
          <w:tcPr>
            <w:tcW w:w="1150" w:type="dxa"/>
            <w:vAlign w:val="center"/>
            <w:tcMar>
              <w:top w:w="90" w:type="dxa"/>
              <w:left w:w="90" w:type="dxa"/>
              <w:bottom w:w="90" w:type="dxa"/>
              <w:right w:w="90" w:type="dxa"/>
            </w:tcMar>
            <w:shd w:fill="DCE6F1"/>
          </w:tcPr>
          <w:p>
            <w:pPr>
              <w:pStyle w:val="Normal"/>
              <w:widowControl/>
              <w:spacing w:before="60" w:after="20"/>
              <w:jc w:val="center"/>
            </w:pPr>
            <w:r>
              <w:rPr>
                <w:b/>
              </w:rPr>
              <w:t xml:space="preserve">5-year DFS</w:t>
            </w:r>
          </w:p>
        </w:tc>
        <w:tc>
          <w:tcPr>
            <w:tcW w:w="3550" w:type="dxa"/>
            <w:vAlign w:val="center"/>
            <w:tcMar>
              <w:top w:w="90" w:type="dxa"/>
              <w:left w:w="90" w:type="dxa"/>
              <w:bottom w:w="90" w:type="dxa"/>
              <w:right w:w="90" w:type="dxa"/>
            </w:tcMar>
            <w:shd w:fill="DCE6F1"/>
          </w:tcPr>
          <w:p>
            <w:pPr>
              <w:pStyle w:val="Normal"/>
              <w:widowControl/>
              <w:spacing w:before="60" w:after="20"/>
              <w:jc w:val="center"/>
            </w:pPr>
            <w:r>
              <w:rPr>
                <w:b/>
              </w:rPr>
              <w:t xml:space="preserve">Observed recurrence</w:t>
            </w:r>
          </w:p>
        </w:tc>
      </w:tr>
      <w:tr>
        <w:trPr>
          <w:cantSplit/>
        </w:trPr>
        <w:tc>
          <w:tcPr>
            <w:tcW w:w="2650" w:type="dxa"/>
            <w:vAlign w:val="center"/>
            <w:tcMar>
              <w:top w:w="90" w:type="dxa"/>
              <w:left w:w="90" w:type="dxa"/>
              <w:bottom w:w="90" w:type="dxa"/>
              <w:right w:w="90" w:type="dxa"/>
            </w:tcMar>
            <w:shd w:fill="FFFFFF"/>
          </w:tcPr>
          <w:p>
            <w:pPr>
              <w:pStyle w:val="Normal"/>
              <w:widowControl/>
              <w:spacing w:before="60" w:after="20"/>
            </w:pPr>
            <w:r>
              <w:t xml:space="preserve">Vp1</w:t>
            </w:r>
            <w:r>
              <w:br/>
            </w:r>
            <w:r>
              <w:t xml:space="preserve">Peripheral to second-order branches</w:t>
            </w:r>
          </w:p>
        </w:tc>
        <w:tc>
          <w:tcPr>
            <w:tcW w:w="500" w:type="dxa"/>
            <w:vAlign w:val="center"/>
            <w:tcMar>
              <w:top w:w="90" w:type="dxa"/>
              <w:left w:w="90" w:type="dxa"/>
              <w:bottom w:w="90" w:type="dxa"/>
              <w:right w:w="90" w:type="dxa"/>
            </w:tcMar>
            <w:shd w:fill="FFFFFF"/>
          </w:tcPr>
          <w:p>
            <w:pPr>
              <w:pStyle w:val="Normal"/>
              <w:widowControl/>
              <w:spacing w:before="60" w:after="20"/>
              <w:jc w:val="center"/>
            </w:pPr>
            <w:r>
              <w:t xml:space="preserve">51</w:t>
            </w:r>
          </w:p>
        </w:tc>
        <w:tc>
          <w:tcPr>
            <w:tcW w:w="1150" w:type="dxa"/>
            <w:vAlign w:val="center"/>
            <w:tcMar>
              <w:top w:w="90" w:type="dxa"/>
              <w:left w:w="90" w:type="dxa"/>
              <w:bottom w:w="90" w:type="dxa"/>
              <w:right w:w="90" w:type="dxa"/>
            </w:tcMar>
            <w:shd w:fill="FFFFFF"/>
          </w:tcPr>
          <w:p>
            <w:pPr>
              <w:pStyle w:val="Normal"/>
              <w:widowControl/>
              <w:spacing w:before="60" w:after="20"/>
              <w:jc w:val="center"/>
            </w:pPr>
            <w:r>
              <w:t xml:space="preserve">69.5%</w:t>
            </w:r>
          </w:p>
        </w:tc>
        <w:tc>
          <w:tcPr>
            <w:tcW w:w="1150" w:type="dxa"/>
            <w:vAlign w:val="center"/>
            <w:tcMar>
              <w:top w:w="90" w:type="dxa"/>
              <w:left w:w="90" w:type="dxa"/>
              <w:bottom w:w="90" w:type="dxa"/>
              <w:right w:w="90" w:type="dxa"/>
            </w:tcMar>
            <w:shd w:fill="FFFFFF"/>
          </w:tcPr>
          <w:p>
            <w:pPr>
              <w:pStyle w:val="Normal"/>
              <w:widowControl/>
              <w:spacing w:before="60" w:after="20"/>
              <w:jc w:val="center"/>
            </w:pPr>
            <w:r>
              <w:t xml:space="preserve">56.2%</w:t>
            </w:r>
          </w:p>
        </w:tc>
        <w:tc>
          <w:tcPr>
            <w:tcW w:w="3550" w:type="dxa"/>
            <w:vAlign w:val="center"/>
            <w:tcMar>
              <w:top w:w="90" w:type="dxa"/>
              <w:left w:w="90" w:type="dxa"/>
              <w:bottom w:w="90" w:type="dxa"/>
              <w:right w:w="90" w:type="dxa"/>
            </w:tcMar>
            <w:shd w:fill="FFFFFF"/>
          </w:tcPr>
          <w:p>
            <w:pPr>
              <w:pStyle w:val="Normal"/>
              <w:widowControl/>
              <w:spacing w:before="60" w:after="20"/>
              <w:jc w:val="center"/>
            </w:pPr>
            <w:r>
              <w:t xml:space="preserve">Not separately tabulated</w:t>
            </w:r>
          </w:p>
        </w:tc>
      </w:tr>
      <w:tr>
        <w:trPr>
          <w:cantSplit/>
        </w:trPr>
        <w:tc>
          <w:tcPr>
            <w:tcW w:w="2650" w:type="dxa"/>
            <w:vAlign w:val="center"/>
            <w:tcMar>
              <w:top w:w="90" w:type="dxa"/>
              <w:left w:w="90" w:type="dxa"/>
              <w:bottom w:w="90" w:type="dxa"/>
              <w:right w:w="90" w:type="dxa"/>
            </w:tcMar>
            <w:shd w:fill="F5F7F9"/>
          </w:tcPr>
          <w:p>
            <w:pPr>
              <w:pStyle w:val="Normal"/>
              <w:widowControl/>
              <w:spacing w:before="60" w:after="20"/>
            </w:pPr>
            <w:r>
              <w:t xml:space="preserve">Vp2</w:t>
            </w:r>
            <w:r>
              <w:br/>
            </w:r>
            <w:r>
              <w:t xml:space="preserve">Second-order branches</w:t>
            </w:r>
          </w:p>
        </w:tc>
        <w:tc>
          <w:tcPr>
            <w:tcW w:w="500" w:type="dxa"/>
            <w:vAlign w:val="center"/>
            <w:tcMar>
              <w:top w:w="90" w:type="dxa"/>
              <w:left w:w="90" w:type="dxa"/>
              <w:bottom w:w="90" w:type="dxa"/>
              <w:right w:w="90" w:type="dxa"/>
            </w:tcMar>
            <w:shd w:fill="F5F7F9"/>
          </w:tcPr>
          <w:p>
            <w:pPr>
              <w:pStyle w:val="Normal"/>
              <w:widowControl/>
              <w:spacing w:before="60" w:after="20"/>
              <w:jc w:val="center"/>
            </w:pPr>
            <w:r>
              <w:t xml:space="preserve">36</w:t>
            </w:r>
          </w:p>
        </w:tc>
        <w:tc>
          <w:tcPr>
            <w:tcW w:w="1150" w:type="dxa"/>
            <w:vAlign w:val="center"/>
            <w:tcMar>
              <w:top w:w="90" w:type="dxa"/>
              <w:left w:w="90" w:type="dxa"/>
              <w:bottom w:w="90" w:type="dxa"/>
              <w:right w:w="90" w:type="dxa"/>
            </w:tcMar>
            <w:shd w:fill="F5F7F9"/>
          </w:tcPr>
          <w:p>
            <w:pPr>
              <w:pStyle w:val="Normal"/>
              <w:widowControl/>
              <w:spacing w:before="60" w:after="20"/>
              <w:jc w:val="center"/>
            </w:pPr>
            <w:r>
              <w:t xml:space="preserve">Not tabulated</w:t>
            </w:r>
          </w:p>
        </w:tc>
        <w:tc>
          <w:tcPr>
            <w:tcW w:w="1150" w:type="dxa"/>
            <w:vAlign w:val="center"/>
            <w:tcMar>
              <w:top w:w="90" w:type="dxa"/>
              <w:left w:w="90" w:type="dxa"/>
              <w:bottom w:w="90" w:type="dxa"/>
              <w:right w:w="90" w:type="dxa"/>
            </w:tcMar>
            <w:shd w:fill="F5F7F9"/>
          </w:tcPr>
          <w:p>
            <w:pPr>
              <w:pStyle w:val="Normal"/>
              <w:widowControl/>
              <w:spacing w:before="60" w:after="20"/>
              <w:jc w:val="center"/>
            </w:pPr>
            <w:r>
              <w:t xml:space="preserve">Not tabulated</w:t>
            </w:r>
          </w:p>
        </w:tc>
        <w:tc>
          <w:tcPr>
            <w:tcW w:w="3550" w:type="dxa"/>
            <w:vAlign w:val="center"/>
            <w:tcMar>
              <w:top w:w="90" w:type="dxa"/>
              <w:left w:w="90" w:type="dxa"/>
              <w:bottom w:w="90" w:type="dxa"/>
              <w:right w:w="90" w:type="dxa"/>
            </w:tcMar>
            <w:shd w:fill="F5F7F9"/>
          </w:tcPr>
          <w:p>
            <w:pPr>
              <w:pStyle w:val="Normal"/>
              <w:widowControl/>
              <w:spacing w:before="60" w:after="20"/>
              <w:jc w:val="center"/>
            </w:pPr>
            <w:r>
              <w:t xml:space="preserve">Not separately tabulated</w:t>
            </w:r>
          </w:p>
        </w:tc>
      </w:tr>
      <w:tr>
        <w:trPr>
          <w:cantSplit/>
        </w:trPr>
        <w:tc>
          <w:tcPr>
            <w:tcW w:w="2650" w:type="dxa"/>
            <w:vAlign w:val="center"/>
            <w:tcMar>
              <w:top w:w="90" w:type="dxa"/>
              <w:left w:w="90" w:type="dxa"/>
              <w:bottom w:w="90" w:type="dxa"/>
              <w:right w:w="90" w:type="dxa"/>
            </w:tcMar>
            <w:shd w:fill="FFFFFF"/>
          </w:tcPr>
          <w:p>
            <w:pPr>
              <w:pStyle w:val="Normal"/>
              <w:widowControl/>
              <w:spacing w:before="60" w:after="20"/>
            </w:pPr>
            <w:r>
              <w:t xml:space="preserve">Vp3</w:t>
            </w:r>
            <w:r>
              <w:br/>
            </w:r>
            <w:r>
              <w:t xml:space="preserve">First-order right or left branch</w:t>
            </w:r>
          </w:p>
        </w:tc>
        <w:tc>
          <w:tcPr>
            <w:tcW w:w="500" w:type="dxa"/>
            <w:vAlign w:val="center"/>
            <w:tcMar>
              <w:top w:w="90" w:type="dxa"/>
              <w:left w:w="90" w:type="dxa"/>
              <w:bottom w:w="90" w:type="dxa"/>
              <w:right w:w="90" w:type="dxa"/>
            </w:tcMar>
            <w:shd w:fill="FFFFFF"/>
          </w:tcPr>
          <w:p>
            <w:pPr>
              <w:pStyle w:val="Normal"/>
              <w:widowControl/>
              <w:spacing w:before="60" w:after="20"/>
              <w:jc w:val="center"/>
            </w:pPr>
            <w:r>
              <w:t xml:space="preserve">36</w:t>
            </w:r>
          </w:p>
        </w:tc>
        <w:tc>
          <w:tcPr>
            <w:tcW w:w="1150" w:type="dxa"/>
            <w:vAlign w:val="center"/>
            <w:tcMar>
              <w:top w:w="90" w:type="dxa"/>
              <w:left w:w="90" w:type="dxa"/>
              <w:bottom w:w="90" w:type="dxa"/>
              <w:right w:w="90" w:type="dxa"/>
            </w:tcMar>
            <w:shd w:fill="FFFFFF"/>
          </w:tcPr>
          <w:p>
            <w:pPr>
              <w:pStyle w:val="Normal"/>
              <w:widowControl/>
              <w:spacing w:before="60" w:after="20"/>
              <w:jc w:val="center"/>
            </w:pPr>
            <w:r>
              <w:t xml:space="preserve">Not tabulated</w:t>
            </w:r>
          </w:p>
        </w:tc>
        <w:tc>
          <w:tcPr>
            <w:tcW w:w="1150" w:type="dxa"/>
            <w:vAlign w:val="center"/>
            <w:tcMar>
              <w:top w:w="90" w:type="dxa"/>
              <w:left w:w="90" w:type="dxa"/>
              <w:bottom w:w="90" w:type="dxa"/>
              <w:right w:w="90" w:type="dxa"/>
            </w:tcMar>
            <w:shd w:fill="FFFFFF"/>
          </w:tcPr>
          <w:p>
            <w:pPr>
              <w:pStyle w:val="Normal"/>
              <w:widowControl/>
              <w:spacing w:before="60" w:after="20"/>
              <w:jc w:val="center"/>
            </w:pPr>
            <w:r>
              <w:t xml:space="preserve">Not tabulated</w:t>
            </w:r>
          </w:p>
        </w:tc>
        <w:tc>
          <w:tcPr>
            <w:tcW w:w="3550" w:type="dxa"/>
            <w:vAlign w:val="center"/>
            <w:tcMar>
              <w:top w:w="90" w:type="dxa"/>
              <w:left w:w="90" w:type="dxa"/>
              <w:bottom w:w="90" w:type="dxa"/>
              <w:right w:w="90" w:type="dxa"/>
            </w:tcMar>
            <w:shd w:fill="FFFFFF"/>
          </w:tcPr>
          <w:p>
            <w:pPr>
              <w:pStyle w:val="Normal"/>
              <w:widowControl/>
              <w:spacing w:before="60" w:after="20"/>
              <w:jc w:val="center"/>
            </w:pPr>
            <w:r>
              <w:t xml:space="preserve">Not separately tabulated</w:t>
            </w:r>
          </w:p>
        </w:tc>
      </w:tr>
      <w:tr>
        <w:trPr>
          <w:cantSplit/>
        </w:trPr>
        <w:tc>
          <w:tcPr>
            <w:tcW w:w="2650" w:type="dxa"/>
            <w:vAlign w:val="center"/>
            <w:tcMar>
              <w:top w:w="90" w:type="dxa"/>
              <w:left w:w="90" w:type="dxa"/>
              <w:bottom w:w="90" w:type="dxa"/>
              <w:right w:w="90" w:type="dxa"/>
            </w:tcMar>
            <w:shd w:fill="F5F7F9"/>
          </w:tcPr>
          <w:p>
            <w:pPr>
              <w:pStyle w:val="Normal"/>
              <w:widowControl/>
              <w:spacing w:before="60" w:after="20"/>
            </w:pPr>
            <w:r>
              <w:t xml:space="preserve">Vp4</w:t>
            </w:r>
            <w:r>
              <w:br/>
            </w:r>
            <w:r>
              <w:t xml:space="preserve">Main trunk and/or contralateral branch</w:t>
            </w:r>
          </w:p>
        </w:tc>
        <w:tc>
          <w:tcPr>
            <w:tcW w:w="500" w:type="dxa"/>
            <w:vAlign w:val="center"/>
            <w:tcMar>
              <w:top w:w="90" w:type="dxa"/>
              <w:left w:w="90" w:type="dxa"/>
              <w:bottom w:w="90" w:type="dxa"/>
              <w:right w:w="90" w:type="dxa"/>
            </w:tcMar>
            <w:shd w:fill="F5F7F9"/>
          </w:tcPr>
          <w:p>
            <w:pPr>
              <w:pStyle w:val="Normal"/>
              <w:widowControl/>
              <w:spacing w:before="60" w:after="20"/>
              <w:jc w:val="center"/>
            </w:pPr>
            <w:r>
              <w:t xml:space="preserve">14</w:t>
            </w:r>
          </w:p>
        </w:tc>
        <w:tc>
          <w:tcPr>
            <w:tcW w:w="1150" w:type="dxa"/>
            <w:vAlign w:val="center"/>
            <w:tcMar>
              <w:top w:w="90" w:type="dxa"/>
              <w:left w:w="90" w:type="dxa"/>
              <w:bottom w:w="90" w:type="dxa"/>
              <w:right w:w="90" w:type="dxa"/>
            </w:tcMar>
            <w:shd w:fill="F5F7F9"/>
          </w:tcPr>
          <w:p>
            <w:pPr>
              <w:pStyle w:val="Normal"/>
              <w:widowControl/>
              <w:spacing w:before="60" w:after="20"/>
              <w:jc w:val="center"/>
            </w:pPr>
            <w:r>
              <w:t xml:space="preserve">50.0%</w:t>
            </w:r>
          </w:p>
        </w:tc>
        <w:tc>
          <w:tcPr>
            <w:tcW w:w="1150" w:type="dxa"/>
            <w:vAlign w:val="center"/>
            <w:tcMar>
              <w:top w:w="90" w:type="dxa"/>
              <w:left w:w="90" w:type="dxa"/>
              <w:bottom w:w="90" w:type="dxa"/>
              <w:right w:w="90" w:type="dxa"/>
            </w:tcMar>
            <w:shd w:fill="F5F7F9"/>
          </w:tcPr>
          <w:p>
            <w:pPr>
              <w:pStyle w:val="Normal"/>
              <w:widowControl/>
              <w:spacing w:before="60" w:after="20"/>
              <w:jc w:val="center"/>
            </w:pPr>
            <w:r>
              <w:t xml:space="preserve">34.3%</w:t>
            </w:r>
          </w:p>
        </w:tc>
        <w:tc>
          <w:tcPr>
            <w:tcW w:w="3550" w:type="dxa"/>
            <w:vAlign w:val="center"/>
            <w:tcMar>
              <w:top w:w="90" w:type="dxa"/>
              <w:left w:w="90" w:type="dxa"/>
              <w:bottom w:w="90" w:type="dxa"/>
              <w:right w:w="90" w:type="dxa"/>
            </w:tcMar>
            <w:shd w:fill="F5F7F9"/>
          </w:tcPr>
          <w:p>
            <w:pPr>
              <w:pStyle w:val="Normal"/>
              <w:widowControl/>
              <w:spacing w:before="60" w:after="20"/>
              <w:jc w:val="center"/>
            </w:pPr>
            <w:r>
              <w:t xml:space="preserve">9/14 (64.3%), counted from Table 2; not a five-year risk</w:t>
            </w:r>
          </w:p>
        </w:tc>
      </w:tr>
    </w:tbl>
    <w:p>
      <w:pPr>
        <w:pStyle w:val="Normal"/>
        <w:widowControl/>
        <w:spacing w:before="60" w:after="20"/>
      </w:pPr>
      <w:r>
        <w:t xml:space="preserve">Source locators: Table 1, Results p7261, Table 2 p7264 and Figure 1 p7265. The Vp2/Vp3 survival curves are shown, but exact five-year estimates are not supplied numerically; no values have been guessed from the graph.</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5PC9SZWNOdW0+PERpc3BsYXlUZXh0PltWMTYtMTldPC9EaXNwbGF5VGV4dD48cmVjb3JkPjxyZWMtbnVtYmVyPjE5PC9yZWMtbnVtYmVyPjxmb3JlaWduLWtleXM+PGtleSBhcHA9IkVOIiBkYi1pZD0iN2U3OGIxNWItODYzMy01ZWMwLWEwYjQtY2U4YmRhNDhjMjY2IiB0aW1lc3RhbXA9IjE3OTMyODM2ODMiPjE5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p>
    <w:p>
      <w:pPr>
        <w:pStyle w:val="Normal"/>
        <w:widowControl/>
        <w:spacing w:before="60" w:after="20"/>
      </w:pPr>
      <w:hyperlink r:id="rId68">
        <w:r>
          <w:rPr>
            <w:color w:val="77230C"/>
            <w:sz w:val="20"/>
            <w:u w:val="single"/>
          </w:rPr>
          <w:t>Yoon 2026</w:t>
        </w:r>
      </w:hyperlink>
      <w:r>
        <w:t xml:space="preserve"> — </w:t>
      </w:r>
      <w:hyperlink r:id="rId69">
        <w:r>
          <w:rPr>
            <w:color w:val="77230C"/>
            <w:sz w:val="20"/>
            <w:u w:val="single"/>
          </w:rPr>
          <w:t>Full-text PDF</w:t>
        </w:r>
      </w:hyperlink>
    </w:p>
    <w:p>
      <w:pPr>
        <w:pStyle w:val="Normal"/>
        <w:widowControl/>
        <w:spacing w:before="60" w:after="20"/>
      </w:pPr>
      <w:r>
        <w:t xml:space="preserve">Vp4 recurrence was independently counted from the 14 Table 2 rows. Grade-specific recurrence counts for Vp1–3 were not separately reported. Neither 100 minus DFS nor 100 minus RFS is relabeled as recurrence. Different event definitions, death handling and follow-up preclude that substitution.</w:t>
      </w:r>
    </w:p>
    <w:p>
      <w:pPr>
        <w:pStyle w:val="Heading3"/>
        <w:keepNext/>
        <w:widowControl/>
      </w:pPr>
      <w:r>
        <w:t xml:space="preserve">Anatomy comparisons in other transplant cohorts</w:t>
      </w:r>
    </w:p>
    <w:tbl>
      <w:tblPr>
        <w:tblW w:w="91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350"/>
        <w:gridCol w:w="1350"/>
        <w:gridCol w:w="1550"/>
        <w:gridCol w:w="2850"/>
      </w:tblGrid>
      <w:tr>
        <w:trPr>
          <w:cantSplit/>
          <w:tblHeader/>
        </w:trPr>
        <w:tc>
          <w:tcPr>
            <w:tcW w:w="3350" w:type="dxa"/>
            <w:vAlign w:val="center"/>
            <w:tcMar>
              <w:top w:w="90" w:type="dxa"/>
              <w:left w:w="90" w:type="dxa"/>
              <w:bottom w:w="90" w:type="dxa"/>
              <w:right w:w="90" w:type="dxa"/>
            </w:tcMar>
            <w:shd w:fill="DCE6F1"/>
          </w:tcPr>
          <w:p>
            <w:pPr>
              <w:pStyle w:val="Normal"/>
              <w:widowControl/>
              <w:spacing w:before="60" w:after="20"/>
            </w:pPr>
            <w:r>
              <w:rPr>
                <w:b/>
              </w:rPr>
              <w:t xml:space="preserve">Study and reported group</w:t>
            </w:r>
          </w:p>
        </w:tc>
        <w:tc>
          <w:tcPr>
            <w:tcW w:w="1350" w:type="dxa"/>
            <w:vAlign w:val="center"/>
            <w:tcMar>
              <w:top w:w="90" w:type="dxa"/>
              <w:left w:w="90" w:type="dxa"/>
              <w:bottom w:w="90" w:type="dxa"/>
              <w:right w:w="90" w:type="dxa"/>
            </w:tcMar>
            <w:shd w:fill="DCE6F1"/>
          </w:tcPr>
          <w:p>
            <w:pPr>
              <w:pStyle w:val="Normal"/>
              <w:widowControl/>
              <w:spacing w:before="60" w:after="20"/>
              <w:jc w:val="center"/>
            </w:pPr>
            <w:r>
              <w:rPr>
                <w:b/>
              </w:rPr>
              <w:t xml:space="preserve">OS</w:t>
            </w:r>
          </w:p>
        </w:tc>
        <w:tc>
          <w:tcPr>
            <w:tcW w:w="1550" w:type="dxa"/>
            <w:vAlign w:val="center"/>
            <w:tcMar>
              <w:top w:w="90" w:type="dxa"/>
              <w:left w:w="90" w:type="dxa"/>
              <w:bottom w:w="90" w:type="dxa"/>
              <w:right w:w="90" w:type="dxa"/>
            </w:tcMar>
            <w:shd w:fill="DCE6F1"/>
          </w:tcPr>
          <w:p>
            <w:pPr>
              <w:pStyle w:val="Normal"/>
              <w:widowControl/>
              <w:spacing w:before="60" w:after="20"/>
              <w:jc w:val="center"/>
            </w:pPr>
            <w:r>
              <w:rPr>
                <w:b/>
              </w:rPr>
              <w:t xml:space="preserve">DFS or RFS</w:t>
            </w:r>
          </w:p>
        </w:tc>
        <w:tc>
          <w:tcPr>
            <w:tcW w:w="2850" w:type="dxa"/>
            <w:vAlign w:val="center"/>
            <w:tcMar>
              <w:top w:w="90" w:type="dxa"/>
              <w:left w:w="90" w:type="dxa"/>
              <w:bottom w:w="90" w:type="dxa"/>
              <w:right w:w="90" w:type="dxa"/>
            </w:tcMar>
            <w:shd w:fill="DCE6F1"/>
          </w:tcPr>
          <w:p>
            <w:pPr>
              <w:pStyle w:val="Normal"/>
              <w:widowControl/>
              <w:spacing w:before="60" w:after="20"/>
              <w:jc w:val="center"/>
            </w:pPr>
            <w:r>
              <w:rPr>
                <w:b/>
              </w:rPr>
              <w:t xml:space="preserve">Observed recurrence</w:t>
            </w:r>
          </w:p>
        </w:tc>
      </w:tr>
      <w:tr>
        <w:trPr>
          <w:cantSplit/>
        </w:trPr>
        <w:tc>
          <w:tcPr>
            <w:tcW w:w="3350" w:type="dxa"/>
            <w:vAlign w:val="center"/>
            <w:tcMar>
              <w:top w:w="90" w:type="dxa"/>
              <w:left w:w="90" w:type="dxa"/>
              <w:bottom w:w="90" w:type="dxa"/>
              <w:right w:w="90" w:type="dxa"/>
            </w:tcMar>
            <w:shd w:fill="FFFFFF"/>
          </w:tcPr>
          <w:p>
            <w:pPr>
              <w:pStyle w:val="Normal"/>
              <w:widowControl/>
              <w:spacing w:before="60" w:after="20"/>
            </w:pPr>
            <w:r>
              <w:t xml:space="preserve">Choi 2017</w:t>
            </w:r>
            <w:r>
              <w:br/>
            </w:r>
            <w:r>
              <w:t xml:space="preserve">Segmental n=27; Vp1–2-type anatomy</w:t>
            </w:r>
          </w:p>
        </w:tc>
        <w:tc>
          <w:tcPr>
            <w:tcW w:w="1350" w:type="dxa"/>
            <w:vAlign w:val="center"/>
            <w:tcMar>
              <w:top w:w="90" w:type="dxa"/>
              <w:left w:w="90" w:type="dxa"/>
              <w:bottom w:w="90" w:type="dxa"/>
              <w:right w:w="90" w:type="dxa"/>
            </w:tcMar>
            <w:shd w:fill="FFFFFF"/>
          </w:tcPr>
          <w:p>
            <w:pPr>
              <w:pStyle w:val="Normal"/>
              <w:widowControl/>
              <w:spacing w:before="60" w:after="20"/>
              <w:jc w:val="center"/>
            </w:pPr>
            <w:r>
              <w:t xml:space="preserve">50.3% at 5 y</w:t>
            </w:r>
          </w:p>
        </w:tc>
        <w:tc>
          <w:tcPr>
            <w:tcW w:w="1550" w:type="dxa"/>
            <w:vAlign w:val="center"/>
            <w:tcMar>
              <w:top w:w="90" w:type="dxa"/>
              <w:left w:w="90" w:type="dxa"/>
              <w:bottom w:w="90" w:type="dxa"/>
              <w:right w:w="90" w:type="dxa"/>
            </w:tcMar>
            <w:shd w:fill="FFFFFF"/>
          </w:tcPr>
          <w:p>
            <w:pPr>
              <w:pStyle w:val="Normal"/>
              <w:widowControl/>
              <w:spacing w:before="60" w:after="20"/>
              <w:jc w:val="center"/>
            </w:pPr>
            <w:r>
              <w:t xml:space="preserve">DFS 63.9% at 5 y</w:t>
            </w:r>
          </w:p>
        </w:tc>
        <w:tc>
          <w:tcPr>
            <w:tcW w:w="2850" w:type="dxa"/>
            <w:vAlign w:val="center"/>
            <w:tcMar>
              <w:top w:w="90" w:type="dxa"/>
              <w:left w:w="90" w:type="dxa"/>
              <w:bottom w:w="90" w:type="dxa"/>
              <w:right w:w="90" w:type="dxa"/>
            </w:tcMar>
            <w:shd w:fill="FFFFFF"/>
          </w:tcPr>
          <w:p>
            <w:pPr>
              <w:pStyle w:val="Normal"/>
              <w:widowControl/>
              <w:spacing w:before="60" w:after="20"/>
              <w:jc w:val="center"/>
            </w:pPr>
            <w:r>
              <w:t xml:space="preserve">9/27; 11/27 occult PVTT until explant</w:t>
            </w:r>
          </w:p>
        </w:tc>
      </w:tr>
      <w:tr>
        <w:trPr>
          <w:cantSplit/>
        </w:trPr>
        <w:tc>
          <w:tcPr>
            <w:tcW w:w="3350" w:type="dxa"/>
            <w:vAlign w:val="center"/>
            <w:tcMar>
              <w:top w:w="90" w:type="dxa"/>
              <w:left w:w="90" w:type="dxa"/>
              <w:bottom w:w="90" w:type="dxa"/>
              <w:right w:w="90" w:type="dxa"/>
            </w:tcMar>
            <w:shd w:fill="F5F7F9"/>
          </w:tcPr>
          <w:p>
            <w:pPr>
              <w:pStyle w:val="Normal"/>
              <w:widowControl/>
              <w:spacing w:before="60" w:after="20"/>
            </w:pPr>
            <w:r>
              <w:t xml:space="preserve">Choi 2017</w:t>
            </w:r>
            <w:r>
              <w:br/>
            </w:r>
            <w:r>
              <w:t xml:space="preserve">First-order/lobar n=7; Vp3-type anatomy</w:t>
            </w:r>
          </w:p>
        </w:tc>
        <w:tc>
          <w:tcPr>
            <w:tcW w:w="1350" w:type="dxa"/>
            <w:vAlign w:val="center"/>
            <w:tcMar>
              <w:top w:w="90" w:type="dxa"/>
              <w:left w:w="90" w:type="dxa"/>
              <w:bottom w:w="90" w:type="dxa"/>
              <w:right w:w="90" w:type="dxa"/>
            </w:tcMar>
            <w:shd w:fill="F5F7F9"/>
          </w:tcPr>
          <w:p>
            <w:pPr>
              <w:pStyle w:val="Normal"/>
              <w:widowControl/>
              <w:spacing w:before="60" w:after="20"/>
              <w:jc w:val="center"/>
            </w:pPr>
            <w:r>
              <w:t xml:space="preserve">14.3% at 5 y</w:t>
            </w:r>
          </w:p>
        </w:tc>
        <w:tc>
          <w:tcPr>
            <w:tcW w:w="1550" w:type="dxa"/>
            <w:vAlign w:val="center"/>
            <w:tcMar>
              <w:top w:w="90" w:type="dxa"/>
              <w:left w:w="90" w:type="dxa"/>
              <w:bottom w:w="90" w:type="dxa"/>
              <w:right w:w="90" w:type="dxa"/>
            </w:tcMar>
            <w:shd w:fill="F5F7F9"/>
          </w:tcPr>
          <w:p>
            <w:pPr>
              <w:pStyle w:val="Normal"/>
              <w:widowControl/>
              <w:spacing w:before="60" w:after="20"/>
              <w:jc w:val="center"/>
            </w:pPr>
            <w:r>
              <w:t xml:space="preserve">DFS 14.3% at 3 and 5 y</w:t>
            </w:r>
          </w:p>
        </w:tc>
        <w:tc>
          <w:tcPr>
            <w:tcW w:w="2850" w:type="dxa"/>
            <w:vAlign w:val="center"/>
            <w:tcMar>
              <w:top w:w="90" w:type="dxa"/>
              <w:left w:w="90" w:type="dxa"/>
              <w:bottom w:w="90" w:type="dxa"/>
              <w:right w:w="90" w:type="dxa"/>
            </w:tcMar>
            <w:shd w:fill="F5F7F9"/>
          </w:tcPr>
          <w:p>
            <w:pPr>
              <w:pStyle w:val="Normal"/>
              <w:widowControl/>
              <w:spacing w:before="60" w:after="20"/>
              <w:jc w:val="center"/>
            </w:pPr>
            <w:r>
              <w:t xml:space="preserve">6/7; four early deaths excluded from study</w:t>
            </w:r>
          </w:p>
        </w:tc>
      </w:tr>
      <w:tr>
        <w:trPr>
          <w:cantSplit/>
        </w:trPr>
        <w:tc>
          <w:tcPr>
            <w:tcW w:w="3350" w:type="dxa"/>
            <w:vAlign w:val="center"/>
            <w:tcMar>
              <w:top w:w="90" w:type="dxa"/>
              <w:left w:w="90" w:type="dxa"/>
              <w:bottom w:w="90" w:type="dxa"/>
              <w:right w:w="90" w:type="dxa"/>
            </w:tcMar>
            <w:shd w:fill="FFFFFF"/>
          </w:tcPr>
          <w:p>
            <w:pPr>
              <w:pStyle w:val="Normal"/>
              <w:widowControl/>
              <w:spacing w:before="60" w:after="20"/>
            </w:pPr>
            <w:r>
              <w:t xml:space="preserve">Yang 2020</w:t>
            </w:r>
            <w:r>
              <w:br/>
            </w:r>
            <w:r>
              <w:t xml:space="preserve">Vp2–3 combined, n=47</w:t>
            </w:r>
          </w:p>
        </w:tc>
        <w:tc>
          <w:tcPr>
            <w:tcW w:w="1350" w:type="dxa"/>
            <w:vAlign w:val="center"/>
            <w:tcMar>
              <w:top w:w="90" w:type="dxa"/>
              <w:left w:w="90" w:type="dxa"/>
              <w:bottom w:w="90" w:type="dxa"/>
              <w:right w:w="90" w:type="dxa"/>
            </w:tcMar>
            <w:shd w:fill="FFFFFF"/>
          </w:tcPr>
          <w:p>
            <w:pPr>
              <w:pStyle w:val="Normal"/>
              <w:widowControl/>
              <w:spacing w:before="60" w:after="20"/>
              <w:jc w:val="center"/>
            </w:pPr>
            <w:r>
              <w:t xml:space="preserve">65.4% at 3 y</w:t>
            </w:r>
          </w:p>
        </w:tc>
        <w:tc>
          <w:tcPr>
            <w:tcW w:w="1550" w:type="dxa"/>
            <w:vAlign w:val="center"/>
            <w:tcMar>
              <w:top w:w="90" w:type="dxa"/>
              <w:left w:w="90" w:type="dxa"/>
              <w:bottom w:w="90" w:type="dxa"/>
              <w:right w:w="90" w:type="dxa"/>
            </w:tcMar>
            <w:shd w:fill="FFFFFF"/>
          </w:tcPr>
          <w:p>
            <w:pPr>
              <w:pStyle w:val="Normal"/>
              <w:widowControl/>
              <w:spacing w:before="60" w:after="20"/>
              <w:jc w:val="center"/>
            </w:pPr>
            <w:r>
              <w:t xml:space="preserve">RFS 40.0% at 3 y</w:t>
            </w:r>
          </w:p>
        </w:tc>
        <w:tc>
          <w:tcPr>
            <w:tcW w:w="2850" w:type="dxa"/>
            <w:vAlign w:val="center"/>
            <w:tcMar>
              <w:top w:w="90" w:type="dxa"/>
              <w:left w:w="90" w:type="dxa"/>
              <w:bottom w:w="90" w:type="dxa"/>
              <w:right w:w="90" w:type="dxa"/>
            </w:tcMar>
            <w:shd w:fill="FFFFFF"/>
          </w:tcPr>
          <w:p>
            <w:pPr>
              <w:pStyle w:val="Normal"/>
              <w:widowControl/>
              <w:spacing w:before="60" w:after="20"/>
              <w:jc w:val="center"/>
            </w:pPr>
            <w:r>
              <w:t xml:space="preserve">RFS recurrence-only; not a death composite</w:t>
            </w:r>
          </w:p>
        </w:tc>
      </w:tr>
      <w:tr>
        <w:trPr>
          <w:cantSplit/>
        </w:trPr>
        <w:tc>
          <w:tcPr>
            <w:tcW w:w="3350" w:type="dxa"/>
            <w:vAlign w:val="center"/>
            <w:tcMar>
              <w:top w:w="90" w:type="dxa"/>
              <w:left w:w="90" w:type="dxa"/>
              <w:bottom w:w="90" w:type="dxa"/>
              <w:right w:w="90" w:type="dxa"/>
            </w:tcMar>
            <w:shd w:fill="F5F7F9"/>
          </w:tcPr>
          <w:p>
            <w:pPr>
              <w:pStyle w:val="Normal"/>
              <w:widowControl/>
              <w:spacing w:before="60" w:after="20"/>
            </w:pPr>
            <w:r>
              <w:t xml:space="preserve">Yang 2020</w:t>
            </w:r>
            <w:r>
              <w:br/>
            </w:r>
            <w:r>
              <w:t xml:space="preserve">Vp4, n=28</w:t>
            </w:r>
          </w:p>
        </w:tc>
        <w:tc>
          <w:tcPr>
            <w:tcW w:w="1350" w:type="dxa"/>
            <w:vAlign w:val="center"/>
            <w:tcMar>
              <w:top w:w="90" w:type="dxa"/>
              <w:left w:w="90" w:type="dxa"/>
              <w:bottom w:w="90" w:type="dxa"/>
              <w:right w:w="90" w:type="dxa"/>
            </w:tcMar>
            <w:shd w:fill="F5F7F9"/>
          </w:tcPr>
          <w:p>
            <w:pPr>
              <w:pStyle w:val="Normal"/>
              <w:widowControl/>
              <w:spacing w:before="60" w:after="20"/>
              <w:jc w:val="center"/>
            </w:pPr>
            <w:r>
              <w:t xml:space="preserve">30.6% at 3 y</w:t>
            </w:r>
          </w:p>
        </w:tc>
        <w:tc>
          <w:tcPr>
            <w:tcW w:w="1550" w:type="dxa"/>
            <w:vAlign w:val="center"/>
            <w:tcMar>
              <w:top w:w="90" w:type="dxa"/>
              <w:left w:w="90" w:type="dxa"/>
              <w:bottom w:w="90" w:type="dxa"/>
              <w:right w:w="90" w:type="dxa"/>
            </w:tcMar>
            <w:shd w:fill="F5F7F9"/>
          </w:tcPr>
          <w:p>
            <w:pPr>
              <w:pStyle w:val="Normal"/>
              <w:widowControl/>
              <w:spacing w:before="60" w:after="20"/>
              <w:jc w:val="center"/>
            </w:pPr>
            <w:r>
              <w:t xml:space="preserve">RFS 21.4% at 3 y</w:t>
            </w:r>
          </w:p>
        </w:tc>
        <w:tc>
          <w:tcPr>
            <w:tcW w:w="2850" w:type="dxa"/>
            <w:vAlign w:val="center"/>
            <w:tcMar>
              <w:top w:w="90" w:type="dxa"/>
              <w:left w:w="90" w:type="dxa"/>
              <w:bottom w:w="90" w:type="dxa"/>
              <w:right w:w="90" w:type="dxa"/>
            </w:tcMar>
            <w:shd w:fill="F5F7F9"/>
          </w:tcPr>
          <w:p>
            <w:pPr>
              <w:pStyle w:val="Normal"/>
              <w:widowControl/>
              <w:spacing w:before="60" w:after="20"/>
              <w:jc w:val="center"/>
            </w:pPr>
            <w:r>
              <w:t xml:space="preserve">Separate crude count not used here</w:t>
            </w:r>
          </w:p>
        </w:tc>
      </w:tr>
      <w:tr>
        <w:trPr>
          <w:cantSplit/>
        </w:trPr>
        <w:tc>
          <w:tcPr>
            <w:tcW w:w="3350" w:type="dxa"/>
            <w:vAlign w:val="center"/>
            <w:tcMar>
              <w:top w:w="90" w:type="dxa"/>
              <w:left w:w="90" w:type="dxa"/>
              <w:bottom w:w="90" w:type="dxa"/>
              <w:right w:w="90" w:type="dxa"/>
            </w:tcMar>
            <w:shd w:fill="FFFFFF"/>
          </w:tcPr>
          <w:p>
            <w:pPr>
              <w:pStyle w:val="Normal"/>
              <w:widowControl/>
              <w:spacing w:before="60" w:after="20"/>
            </w:pPr>
            <w:r>
              <w:t xml:space="preserve">Ye 2024</w:t>
            </w:r>
            <w:r>
              <w:br/>
            </w:r>
            <w:r>
              <w:t xml:space="preserve">Segmental, n=13</w:t>
            </w:r>
          </w:p>
        </w:tc>
        <w:tc>
          <w:tcPr>
            <w:tcW w:w="1350" w:type="dxa"/>
            <w:vAlign w:val="center"/>
            <w:tcMar>
              <w:top w:w="90" w:type="dxa"/>
              <w:left w:w="90" w:type="dxa"/>
              <w:bottom w:w="90" w:type="dxa"/>
              <w:right w:w="90" w:type="dxa"/>
            </w:tcMar>
            <w:shd w:fill="FFFFFF"/>
          </w:tcPr>
          <w:p>
            <w:pPr>
              <w:pStyle w:val="Normal"/>
              <w:widowControl/>
              <w:spacing w:before="60" w:after="20"/>
              <w:jc w:val="center"/>
            </w:pPr>
            <w:r>
              <w:t xml:space="preserve">75.0% at 3 y</w:t>
            </w:r>
          </w:p>
        </w:tc>
        <w:tc>
          <w:tcPr>
            <w:tcW w:w="1550" w:type="dxa"/>
            <w:vAlign w:val="center"/>
            <w:tcMar>
              <w:top w:w="90" w:type="dxa"/>
              <w:left w:w="90" w:type="dxa"/>
              <w:bottom w:w="90" w:type="dxa"/>
              <w:right w:w="90" w:type="dxa"/>
            </w:tcMar>
            <w:shd w:fill="FFFFFF"/>
          </w:tcPr>
          <w:p>
            <w:pPr>
              <w:pStyle w:val="Normal"/>
              <w:widowControl/>
              <w:spacing w:before="60" w:after="20"/>
              <w:jc w:val="center"/>
            </w:pPr>
            <w:r>
              <w:t xml:space="preserve">RFS 58.3% at 3 y</w:t>
            </w:r>
          </w:p>
        </w:tc>
        <w:tc>
          <w:tcPr>
            <w:tcW w:w="2850" w:type="dxa"/>
            <w:vAlign w:val="center"/>
            <w:tcMar>
              <w:top w:w="90" w:type="dxa"/>
              <w:left w:w="90" w:type="dxa"/>
              <w:bottom w:w="90" w:type="dxa"/>
              <w:right w:w="90" w:type="dxa"/>
            </w:tcMar>
            <w:shd w:fill="FFFFFF"/>
          </w:tcPr>
          <w:p>
            <w:pPr>
              <w:pStyle w:val="Normal"/>
              <w:widowControl/>
              <w:spacing w:before="60" w:after="20"/>
              <w:jc w:val="center"/>
            </w:pPr>
            <w:r>
              <w:t xml:space="preserve">4/13 (30.8%)</w:t>
            </w:r>
          </w:p>
        </w:tc>
      </w:tr>
      <w:tr>
        <w:trPr>
          <w:cantSplit/>
        </w:trPr>
        <w:tc>
          <w:tcPr>
            <w:tcW w:w="3350" w:type="dxa"/>
            <w:vAlign w:val="center"/>
            <w:tcMar>
              <w:top w:w="90" w:type="dxa"/>
              <w:left w:w="90" w:type="dxa"/>
              <w:bottom w:w="90" w:type="dxa"/>
              <w:right w:w="90" w:type="dxa"/>
            </w:tcMar>
            <w:shd w:fill="F5F7F9"/>
          </w:tcPr>
          <w:p>
            <w:pPr>
              <w:pStyle w:val="Normal"/>
              <w:widowControl/>
              <w:spacing w:before="60" w:after="20"/>
            </w:pPr>
            <w:r>
              <w:t xml:space="preserve">Ye 2024</w:t>
            </w:r>
            <w:r>
              <w:br/>
            </w:r>
            <w:r>
              <w:t xml:space="preserve">Lobar including main portal vein, n=68; NOT isolated Vp3</w:t>
            </w:r>
          </w:p>
        </w:tc>
        <w:tc>
          <w:tcPr>
            <w:tcW w:w="1350" w:type="dxa"/>
            <w:vAlign w:val="center"/>
            <w:tcMar>
              <w:top w:w="90" w:type="dxa"/>
              <w:left w:w="90" w:type="dxa"/>
              <w:bottom w:w="90" w:type="dxa"/>
              <w:right w:w="90" w:type="dxa"/>
            </w:tcMar>
            <w:shd w:fill="F5F7F9"/>
          </w:tcPr>
          <w:p>
            <w:pPr>
              <w:pStyle w:val="Normal"/>
              <w:widowControl/>
              <w:spacing w:before="60" w:after="20"/>
              <w:jc w:val="center"/>
            </w:pPr>
            <w:r>
              <w:t xml:space="preserve">45.9% at 3 y</w:t>
            </w:r>
          </w:p>
        </w:tc>
        <w:tc>
          <w:tcPr>
            <w:tcW w:w="1550" w:type="dxa"/>
            <w:vAlign w:val="center"/>
            <w:tcMar>
              <w:top w:w="90" w:type="dxa"/>
              <w:left w:w="90" w:type="dxa"/>
              <w:bottom w:w="90" w:type="dxa"/>
              <w:right w:w="90" w:type="dxa"/>
            </w:tcMar>
            <w:shd w:fill="F5F7F9"/>
          </w:tcPr>
          <w:p>
            <w:pPr>
              <w:pStyle w:val="Normal"/>
              <w:widowControl/>
              <w:spacing w:before="60" w:after="20"/>
              <w:jc w:val="center"/>
            </w:pPr>
            <w:r>
              <w:t xml:space="preserve">RFS 9.1% at 3 y</w:t>
            </w:r>
          </w:p>
        </w:tc>
        <w:tc>
          <w:tcPr>
            <w:tcW w:w="2850" w:type="dxa"/>
            <w:vAlign w:val="center"/>
            <w:tcMar>
              <w:top w:w="90" w:type="dxa"/>
              <w:left w:w="90" w:type="dxa"/>
              <w:bottom w:w="90" w:type="dxa"/>
              <w:right w:w="90" w:type="dxa"/>
            </w:tcMar>
            <w:shd w:fill="F5F7F9"/>
          </w:tcPr>
          <w:p>
            <w:pPr>
              <w:pStyle w:val="Normal"/>
              <w:widowControl/>
              <w:spacing w:before="60" w:after="20"/>
              <w:jc w:val="center"/>
            </w:pPr>
            <w:r>
              <w:t xml:space="preserve">60/68 (88.2%)</w:t>
            </w:r>
          </w:p>
        </w:tc>
      </w:tr>
      <w:tr>
        <w:trPr>
          <w:cantSplit/>
        </w:trPr>
        <w:tc>
          <w:tcPr>
            <w:tcW w:w="3350" w:type="dxa"/>
            <w:vAlign w:val="center"/>
            <w:tcMar>
              <w:top w:w="90" w:type="dxa"/>
              <w:left w:w="90" w:type="dxa"/>
              <w:bottom w:w="90" w:type="dxa"/>
              <w:right w:w="90" w:type="dxa"/>
            </w:tcMar>
            <w:shd w:fill="FFFFFF"/>
          </w:tcPr>
          <w:p>
            <w:pPr>
              <w:pStyle w:val="Normal"/>
              <w:widowControl/>
              <w:spacing w:before="60" w:after="20"/>
            </w:pPr>
            <w:r>
              <w:t xml:space="preserve">Soin 2020</w:t>
            </w:r>
            <w:r>
              <w:br/>
            </w:r>
            <w:r>
              <w:t xml:space="preserve">All 25 LDLT; 43 initial entries included portal and hepatic/IVC invasion</w:t>
            </w:r>
          </w:p>
        </w:tc>
        <w:tc>
          <w:tcPr>
            <w:tcW w:w="1350" w:type="dxa"/>
            <w:vAlign w:val="center"/>
            <w:tcMar>
              <w:top w:w="90" w:type="dxa"/>
              <w:left w:w="90" w:type="dxa"/>
              <w:bottom w:w="90" w:type="dxa"/>
              <w:right w:w="90" w:type="dxa"/>
            </w:tcMar>
            <w:shd w:fill="FFFFFF"/>
          </w:tcPr>
          <w:p>
            <w:pPr>
              <w:pStyle w:val="Normal"/>
              <w:widowControl/>
              <w:spacing w:before="60" w:after="20"/>
              <w:jc w:val="center"/>
            </w:pPr>
            <w:r>
              <w:t xml:space="preserve">53% at 5 y; 57% excluding 2 early deaths</w:t>
            </w:r>
          </w:p>
        </w:tc>
        <w:tc>
          <w:tcPr>
            <w:tcW w:w="1550" w:type="dxa"/>
            <w:vAlign w:val="center"/>
            <w:tcMar>
              <w:top w:w="90" w:type="dxa"/>
              <w:left w:w="90" w:type="dxa"/>
              <w:bottom w:w="90" w:type="dxa"/>
              <w:right w:w="90" w:type="dxa"/>
            </w:tcMar>
            <w:shd w:fill="FFFFFF"/>
          </w:tcPr>
          <w:p>
            <w:pPr>
              <w:pStyle w:val="Normal"/>
              <w:widowControl/>
              <w:spacing w:before="60" w:after="20"/>
              <w:jc w:val="center"/>
            </w:pPr>
            <w:r>
              <w:t xml:space="preserve">RFS 52% at 5 y; 51% excluding 2 early deaths</w:t>
            </w:r>
          </w:p>
        </w:tc>
        <w:tc>
          <w:tcPr>
            <w:tcW w:w="2850" w:type="dxa"/>
            <w:vAlign w:val="center"/>
            <w:tcMar>
              <w:top w:w="90" w:type="dxa"/>
              <w:left w:w="90" w:type="dxa"/>
              <w:bottom w:w="90" w:type="dxa"/>
              <w:right w:w="90" w:type="dxa"/>
            </w:tcMar>
            <w:shd w:fill="FFFFFF"/>
          </w:tcPr>
          <w:p>
            <w:pPr>
              <w:pStyle w:val="Normal"/>
              <w:widowControl/>
              <w:spacing w:before="60" w:after="20"/>
              <w:jc w:val="center"/>
            </w:pPr>
            <w:r>
              <w:t xml:space="preserve">6/25 (24%); viable PVTT 17/25 on Table 2</w:t>
            </w:r>
          </w:p>
        </w:tc>
      </w:tr>
      <w:tr>
        <w:trPr>
          <w:cantSplit/>
        </w:trPr>
        <w:tc>
          <w:tcPr>
            <w:tcW w:w="3350" w:type="dxa"/>
            <w:vAlign w:val="center"/>
            <w:tcMar>
              <w:top w:w="90" w:type="dxa"/>
              <w:left w:w="90" w:type="dxa"/>
              <w:bottom w:w="90" w:type="dxa"/>
              <w:right w:w="90" w:type="dxa"/>
            </w:tcMar>
            <w:shd w:fill="F5F7F9"/>
          </w:tcPr>
          <w:p>
            <w:pPr>
              <w:pStyle w:val="Normal"/>
              <w:widowControl/>
              <w:spacing w:before="60" w:after="20"/>
            </w:pPr>
            <w:r>
              <w:t xml:space="preserve">Sposito 2026</w:t>
            </w:r>
            <w:r>
              <w:br/>
            </w:r>
            <w:r>
              <w:t xml:space="preserve">37 DBD/DCD LT after Y90; branch PVTT, no grade-specific LT estimates</w:t>
            </w:r>
          </w:p>
        </w:tc>
        <w:tc>
          <w:tcPr>
            <w:tcW w:w="1350" w:type="dxa"/>
            <w:vAlign w:val="center"/>
            <w:tcMar>
              <w:top w:w="90" w:type="dxa"/>
              <w:left w:w="90" w:type="dxa"/>
              <w:bottom w:w="90" w:type="dxa"/>
              <w:right w:w="90" w:type="dxa"/>
            </w:tcMar>
            <w:shd w:fill="F5F7F9"/>
          </w:tcPr>
          <w:p>
            <w:pPr>
              <w:pStyle w:val="Normal"/>
              <w:widowControl/>
              <w:spacing w:before="60" w:after="20"/>
              <w:jc w:val="center"/>
            </w:pPr>
            <w:r>
              <w:t xml:space="preserve">67.2% at 3 y; 61.6% at 5 y</w:t>
            </w:r>
          </w:p>
        </w:tc>
        <w:tc>
          <w:tcPr>
            <w:tcW w:w="1550" w:type="dxa"/>
            <w:vAlign w:val="center"/>
            <w:tcMar>
              <w:top w:w="90" w:type="dxa"/>
              <w:left w:w="90" w:type="dxa"/>
              <w:bottom w:w="90" w:type="dxa"/>
              <w:right w:w="90" w:type="dxa"/>
            </w:tcMar>
            <w:shd w:fill="F5F7F9"/>
          </w:tcPr>
          <w:p>
            <w:pPr>
              <w:pStyle w:val="Normal"/>
              <w:widowControl/>
              <w:spacing w:before="60" w:after="20"/>
              <w:jc w:val="center"/>
            </w:pPr>
            <w:r>
              <w:t xml:space="preserve">79.3% at 3 and 5 y; nonrecurrence deaths censored</w:t>
            </w:r>
          </w:p>
        </w:tc>
        <w:tc>
          <w:tcPr>
            <w:tcW w:w="2850" w:type="dxa"/>
            <w:vAlign w:val="center"/>
            <w:tcMar>
              <w:top w:w="90" w:type="dxa"/>
              <w:left w:w="90" w:type="dxa"/>
              <w:bottom w:w="90" w:type="dxa"/>
              <w:right w:w="90" w:type="dxa"/>
            </w:tcMar>
            <w:shd w:fill="F5F7F9"/>
          </w:tcPr>
          <w:p>
            <w:pPr>
              <w:pStyle w:val="Normal"/>
              <w:widowControl/>
              <w:spacing w:before="60" w:after="20"/>
              <w:jc w:val="center"/>
            </w:pPr>
            <w:r>
              <w:t xml:space="preserve">6/37 (16.2%) crude; 4 perioperative deaths included in OS</w:t>
            </w:r>
          </w:p>
        </w:tc>
      </w:tr>
    </w:tbl>
    <w:p>
      <w:pPr>
        <w:pStyle w:val="Normal"/>
        <w:widowControl/>
        <w:spacing w:before="60" w:after="20"/>
      </w:pPr>
      <w:r>
        <w:t xml:space="preserve">Choi and Yang full PDFs reviewed. Choi excluded four deaths within one month and included occult explant PVTT; Yang groups Vp2–3 (n=47) against Vp4 (n=28). Their results do not provide independent estimates for each grade or a validated anatomy cutoff.</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aG9pPC9BdXRob3I+PFllYXI+MjAxNzwvWWVhcj48UmVjTnVtPjIwPC9SZWNOdW0+PERpc3BsYXlUZXh0PltWMTYtMjBdPC9EaXNwbGF5VGV4dD48cmVjb3JkPjxyZWMtbnVtYmVyPjIwPC9yZWMtbnVtYmVyPjxmb3JlaWduLWtleXM+PGtleSBhcHA9IkVOIiBkYi1pZD0iN2U3OGIxNWItODYzMy01ZWMwLWEwYjQtY2U4YmRhNDhjMjY2IiB0aW1lc3RhbXA9IjE3OTMyODM2ODMiPjIw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[V16-20]</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5nPC9BdXRob3I+PFllYXI+MjAyMDwvWWVhcj48UmVjTnVtPjIxPC9SZWNOdW0+PERpc3BsYXlUZXh0PltWMTYtMjFdPC9EaXNwbGF5VGV4dD48cmVjb3JkPjxyZWMtbnVtYmVyPjIxPC9yZWMtbnVtYmVyPjxmb3JlaWduLWtleXM+PGtleSBhcHA9IkVOIiBkYi1pZD0iN2U3OGIxNWItODYzMy01ZWMwLWEwYjQtY2U4YmRhNDhjMjY2IiB0aW1lc3RhbXA9IjE3OTMyODM2ODMiPjIx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p>
    <w:p>
      <w:pPr>
        <w:pStyle w:val="Normal"/>
        <w:widowControl/>
        <w:spacing w:before="60" w:after="20"/>
      </w:pPr>
      <w:hyperlink r:id="rId70">
        <w:r>
          <w:rPr>
            <w:color w:val="77230C"/>
            <w:sz w:val="20"/>
            <w:u w:val="single"/>
          </w:rPr>
          <w:t>Choi 2017</w:t>
        </w:r>
      </w:hyperlink>
      <w:r>
        <w:t xml:space="preserve"> — </w:t>
      </w:r>
      <w:hyperlink r:id="rId71">
        <w:r>
          <w:rPr>
            <w:color w:val="77230C"/>
            <w:sz w:val="20"/>
            <w:u w:val="single"/>
          </w:rPr>
          <w:t>Full-text PDF</w:t>
        </w:r>
      </w:hyperlink>
      <w:r>
        <w:t xml:space="preserve">  |  </w:t>
      </w:r>
      <w:hyperlink r:id="rId72">
        <w:r>
          <w:rPr>
            <w:color w:val="77230C"/>
            <w:sz w:val="20"/>
            <w:u w:val="single"/>
          </w:rPr>
          <w:t>Yang 2020</w:t>
        </w:r>
      </w:hyperlink>
      <w:r>
        <w:t xml:space="preserve"> — </w:t>
      </w:r>
      <w:hyperlink r:id="rId73">
        <w:r>
          <w:rPr>
            <w:color w:val="77230C"/>
            <w:sz w:val="20"/>
            <w:u w:val="single"/>
          </w:rPr>
          <w:t>Full-text PDF</w:t>
        </w:r>
      </w:hyperlink>
    </w:p>
    <w:p>
      <w:pPr>
        <w:pStyle w:val="Normal"/>
        <w:widowControl/>
        <w:spacing w:before="60" w:after="20"/>
      </w:pPr>
      <w:r>
        <w:t xml:space="preserve">Ye: Table 2, PDF p6; Results and Figure 4, p7. Its “lobar” definition includes the main trunk (Methods p3), so these results cannot be assigned to Vp3 alone. Perioperative deaths and follow-up losses within one year were excluded; all patients had HBV.</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ZTwvQXV0aG9yPjxZZWFyPjIwMjQ8L1llYXI+PFJlY051bT4yMjwvUmVjTnVtPjxEaXNwbGF5VGV4dD5bVjE2LTIyXTwvRGlzcGxheVRleHQ+PHJlY29yZD48cmVjLW51bWJlcj4yMjwvcmVjLW51bWJlcj48Zm9yZWlnbi1rZXlzPjxrZXkgYXBwPSJFTiIgZGItaWQ9IjdlNzhiMTViLTg2MzMtNWVjMC1hMGI0LWNlOGJkYTQ4YzI2NiIgdGltZXN0YW1wPSIxNzkzMjgzNjgzIj4yMj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p>
    <w:p>
      <w:pPr>
        <w:pStyle w:val="Normal"/>
        <w:widowControl/>
        <w:spacing w:before="60" w:after="20"/>
      </w:pPr>
      <w:hyperlink r:id="rId74">
        <w:r>
          <w:rPr>
            <w:color w:val="77230C"/>
            <w:sz w:val="20"/>
            <w:u w:val="single"/>
          </w:rPr>
          <w:t>Ye 2024</w:t>
        </w:r>
      </w:hyperlink>
      <w:r>
        <w:t xml:space="preserve"> — </w:t>
      </w:r>
      <w:hyperlink r:id="rId75">
        <w:r>
          <w:rPr>
            <w:color w:val="77230C"/>
            <w:sz w:val="20"/>
            <w:u w:val="single"/>
          </w:rPr>
          <w:t>Full-text PDF</w:t>
        </w:r>
      </w:hyperlink>
    </w:p>
    <w:p>
      <w:pPr>
        <w:pStyle w:val="Normal"/>
        <w:widowControl/>
        <w:spacing w:before="60" w:after="20"/>
      </w:pPr>
      <w:r>
        <w:t xml:space="preserve">Soin full PDF: all 25 recipients had five-year OS 53% and author RFS 52%; 57%/51% excludes two early deaths. Only 18/25 had complete loss of PVTT enhancement; seven Vp1/2 cases had minimal enhancement or no repeat imaging. Table 2 reports viable PVTT in 17/25. No complete 43-entry ITT survival comparison.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b2luPC9BdXRob3I+PFllYXI+MjAyMDwvWWVhcj48UmVjTnVtPjIzPC9SZWNOdW0+PERpc3BsYXlUZXh0PltWMTYtMjNdPC9EaXNwbGF5VGV4dD48cmVjb3JkPjxyZWMtbnVtYmVyPjIzPC9yZWMtbnVtYmVyPjxmb3JlaWduLWtleXM+PGtleSBhcHA9IkVOIiBkYi1pZD0iN2U3OGIxNWItODYzMy01ZWMwLWEwYjQtY2U4YmRhNDhjMjY2IiB0aW1lc3RhbXA9IjE3OTMyODM2ODMiPjIz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[V16-23]</w:t>
      </w:r>
      <w:r>
        <w:fldChar w:fldCharType="end"/>
      </w:r>
    </w:p>
    <w:p>
      <w:pPr>
        <w:pStyle w:val="Normal"/>
        <w:widowControl/>
        <w:spacing w:before="60" w:after="20"/>
      </w:pPr>
      <w:hyperlink r:id="rId76">
        <w:r>
          <w:rPr>
            <w:color w:val="77230C"/>
            <w:sz w:val="20"/>
            <w:u w:val="single"/>
          </w:rPr>
          <w:t>Soin 2020</w:t>
        </w:r>
      </w:hyperlink>
      <w:r>
        <w:t xml:space="preserve"> — </w:t>
      </w:r>
      <w:hyperlink r:id="rId77">
        <w:r>
          <w:rPr>
            <w:color w:val="77230C"/>
            <w:sz w:val="20"/>
            <w:u w:val="single"/>
          </w:rPr>
          <w:t>Full-text PDF</w:t>
        </w:r>
      </w:hyperlink>
    </w:p>
    <w:p>
      <w:pPr>
        <w:pStyle w:val="Heading3"/>
        <w:keepNext/>
        <w:widowControl/>
      </w:pPr>
      <w:r>
        <w:t xml:space="preserve">Response matters and does not erase the anatomical uncertainty</w:t>
      </w:r>
    </w:p>
    <w:tbl>
      <w:tblPr>
        <w:tblW w:w="90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850"/>
        <w:gridCol w:w="500"/>
        <w:gridCol w:w="1200"/>
        <w:gridCol w:w="1200"/>
        <w:gridCol w:w="3250"/>
      </w:tblGrid>
      <w:tr>
        <w:trPr>
          <w:cantSplit/>
          <w:tblHeader/>
        </w:trPr>
        <w:tc>
          <w:tcPr>
            <w:tcW w:w="2850" w:type="dxa"/>
            <w:vAlign w:val="center"/>
            <w:tcMar>
              <w:top w:w="90" w:type="dxa"/>
              <w:left w:w="90" w:type="dxa"/>
              <w:bottom w:w="90" w:type="dxa"/>
              <w:right w:w="90" w:type="dxa"/>
            </w:tcMar>
            <w:shd w:fill="DCE6F1"/>
          </w:tcPr>
          <w:p>
            <w:pPr>
              <w:pStyle w:val="Normal"/>
              <w:widowControl/>
              <w:spacing w:before="60" w:after="20"/>
            </w:pPr>
            <w:r>
              <w:rPr>
                <w:b/>
              </w:rPr>
              <w:t xml:space="preserve">Yoon response stratum</w:t>
            </w:r>
          </w:p>
        </w:tc>
        <w:tc>
          <w:tcPr>
            <w:tcW w:w="500" w:type="dxa"/>
            <w:vAlign w:val="center"/>
            <w:tcMar>
              <w:top w:w="90" w:type="dxa"/>
              <w:left w:w="90" w:type="dxa"/>
              <w:bottom w:w="90" w:type="dxa"/>
              <w:right w:w="90" w:type="dxa"/>
            </w:tcMar>
            <w:shd w:fill="DCE6F1"/>
          </w:tcPr>
          <w:p>
            <w:pPr>
              <w:pStyle w:val="Normal"/>
              <w:widowControl/>
              <w:spacing w:before="60" w:after="20"/>
              <w:jc w:val="center"/>
            </w:pPr>
            <w:r>
              <w:rPr>
                <w:b/>
              </w:rPr>
              <w:t xml:space="preserve">n</w:t>
            </w:r>
          </w:p>
        </w:tc>
        <w:tc>
          <w:tcPr>
            <w:tcW w:w="1200" w:type="dxa"/>
            <w:vAlign w:val="center"/>
            <w:tcMar>
              <w:top w:w="90" w:type="dxa"/>
              <w:left w:w="90" w:type="dxa"/>
              <w:bottom w:w="90" w:type="dxa"/>
              <w:right w:w="90" w:type="dxa"/>
            </w:tcMar>
            <w:shd w:fill="DCE6F1"/>
          </w:tcPr>
          <w:p>
            <w:pPr>
              <w:pStyle w:val="Normal"/>
              <w:widowControl/>
              <w:spacing w:before="60" w:after="20"/>
              <w:jc w:val="center"/>
            </w:pPr>
            <w:r>
              <w:rPr>
                <w:b/>
              </w:rPr>
              <w:t xml:space="preserve">5-year OS</w:t>
            </w:r>
          </w:p>
        </w:tc>
        <w:tc>
          <w:tcPr>
            <w:tcW w:w="1200" w:type="dxa"/>
            <w:vAlign w:val="center"/>
            <w:tcMar>
              <w:top w:w="90" w:type="dxa"/>
              <w:left w:w="90" w:type="dxa"/>
              <w:bottom w:w="90" w:type="dxa"/>
              <w:right w:w="90" w:type="dxa"/>
            </w:tcMar>
            <w:shd w:fill="DCE6F1"/>
          </w:tcPr>
          <w:p>
            <w:pPr>
              <w:pStyle w:val="Normal"/>
              <w:widowControl/>
              <w:spacing w:before="60" w:after="20"/>
              <w:jc w:val="center"/>
            </w:pPr>
            <w:r>
              <w:rPr>
                <w:b/>
              </w:rPr>
              <w:t xml:space="preserve">5-year DFS</w:t>
            </w:r>
          </w:p>
        </w:tc>
        <w:tc>
          <w:tcPr>
            <w:tcW w:w="3250" w:type="dxa"/>
            <w:vAlign w:val="center"/>
            <w:tcMar>
              <w:top w:w="90" w:type="dxa"/>
              <w:left w:w="90" w:type="dxa"/>
              <w:bottom w:w="90" w:type="dxa"/>
              <w:right w:w="90" w:type="dxa"/>
            </w:tcMar>
            <w:shd w:fill="DCE6F1"/>
          </w:tcPr>
          <w:p>
            <w:pPr>
              <w:pStyle w:val="Normal"/>
              <w:widowControl/>
              <w:spacing w:before="60" w:after="20"/>
              <w:jc w:val="center"/>
            </w:pPr>
            <w:r>
              <w:rPr>
                <w:b/>
              </w:rPr>
              <w:t xml:space="preserve">Observed recurrence</w:t>
            </w:r>
          </w:p>
        </w:tc>
      </w:tr>
      <w:tr>
        <w:trPr>
          <w:cantSplit/>
        </w:trPr>
        <w:tc>
          <w:tcPr>
            <w:tcW w:w="2850" w:type="dxa"/>
            <w:vAlign w:val="center"/>
            <w:tcMar>
              <w:top w:w="90" w:type="dxa"/>
              <w:left w:w="90" w:type="dxa"/>
              <w:bottom w:w="90" w:type="dxa"/>
              <w:right w:w="90" w:type="dxa"/>
            </w:tcMar>
            <w:shd w:fill="FFFFFF"/>
          </w:tcPr>
          <w:p>
            <w:pPr>
              <w:pStyle w:val="Normal"/>
              <w:widowControl/>
              <w:spacing w:before="60" w:after="20"/>
            </w:pPr>
            <w:r>
              <w:t xml:space="preserve">CR or PR by overall mRECIST</w:t>
            </w:r>
          </w:p>
        </w:tc>
        <w:tc>
          <w:tcPr>
            <w:tcW w:w="500" w:type="dxa"/>
            <w:vAlign w:val="center"/>
            <w:tcMar>
              <w:top w:w="90" w:type="dxa"/>
              <w:left w:w="90" w:type="dxa"/>
              <w:bottom w:w="90" w:type="dxa"/>
              <w:right w:w="90" w:type="dxa"/>
            </w:tcMar>
            <w:shd w:fill="FFFFFF"/>
          </w:tcPr>
          <w:p>
            <w:pPr>
              <w:pStyle w:val="Normal"/>
              <w:widowControl/>
              <w:spacing w:before="60" w:after="20"/>
              <w:jc w:val="center"/>
            </w:pPr>
            <w:r>
              <w:t xml:space="preserve">83</w:t>
            </w:r>
          </w:p>
        </w:tc>
        <w:tc>
          <w:tcPr>
            <w:tcW w:w="1200" w:type="dxa"/>
            <w:vAlign w:val="center"/>
            <w:tcMar>
              <w:top w:w="90" w:type="dxa"/>
              <w:left w:w="90" w:type="dxa"/>
              <w:bottom w:w="90" w:type="dxa"/>
              <w:right w:w="90" w:type="dxa"/>
            </w:tcMar>
            <w:shd w:fill="FFFFFF"/>
          </w:tcPr>
          <w:p>
            <w:pPr>
              <w:pStyle w:val="Normal"/>
              <w:widowControl/>
              <w:spacing w:before="60" w:after="20"/>
              <w:jc w:val="center"/>
            </w:pPr>
            <w:r>
              <w:t xml:space="preserve">66.6%</w:t>
            </w:r>
          </w:p>
        </w:tc>
        <w:tc>
          <w:tcPr>
            <w:tcW w:w="1200" w:type="dxa"/>
            <w:vAlign w:val="center"/>
            <w:tcMar>
              <w:top w:w="90" w:type="dxa"/>
              <w:left w:w="90" w:type="dxa"/>
              <w:bottom w:w="90" w:type="dxa"/>
              <w:right w:w="90" w:type="dxa"/>
            </w:tcMar>
            <w:shd w:fill="FFFFFF"/>
          </w:tcPr>
          <w:p>
            <w:pPr>
              <w:pStyle w:val="Normal"/>
              <w:widowControl/>
              <w:spacing w:before="60" w:after="20"/>
              <w:jc w:val="center"/>
            </w:pPr>
            <w:r>
              <w:t xml:space="preserve">64.7%</w:t>
            </w:r>
          </w:p>
        </w:tc>
        <w:tc>
          <w:tcPr>
            <w:tcW w:w="3250" w:type="dxa"/>
            <w:vAlign w:val="center"/>
            <w:tcMar>
              <w:top w:w="90" w:type="dxa"/>
              <w:left w:w="90" w:type="dxa"/>
              <w:bottom w:w="90" w:type="dxa"/>
              <w:right w:w="90" w:type="dxa"/>
            </w:tcMar>
            <w:shd w:fill="FFFFFF"/>
          </w:tcPr>
          <w:p>
            <w:pPr>
              <w:pStyle w:val="Normal"/>
              <w:widowControl/>
              <w:spacing w:before="60" w:after="20"/>
              <w:jc w:val="center"/>
            </w:pPr>
            <w:r>
              <w:t xml:space="preserve">28/83 (33.7%)</w:t>
            </w:r>
          </w:p>
        </w:tc>
      </w:tr>
      <w:tr>
        <w:trPr>
          <w:cantSplit/>
        </w:trPr>
        <w:tc>
          <w:tcPr>
            <w:tcW w:w="2850" w:type="dxa"/>
            <w:vAlign w:val="center"/>
            <w:tcMar>
              <w:top w:w="90" w:type="dxa"/>
              <w:left w:w="90" w:type="dxa"/>
              <w:bottom w:w="90" w:type="dxa"/>
              <w:right w:w="90" w:type="dxa"/>
            </w:tcMar>
            <w:shd w:fill="F5F7F9"/>
          </w:tcPr>
          <w:p>
            <w:pPr>
              <w:pStyle w:val="Normal"/>
              <w:widowControl/>
              <w:spacing w:before="60" w:after="20"/>
            </w:pPr>
            <w:r>
              <w:t xml:space="preserve">Stable or progressive disease</w:t>
            </w:r>
          </w:p>
        </w:tc>
        <w:tc>
          <w:tcPr>
            <w:tcW w:w="500" w:type="dxa"/>
            <w:vAlign w:val="center"/>
            <w:tcMar>
              <w:top w:w="90" w:type="dxa"/>
              <w:left w:w="90" w:type="dxa"/>
              <w:bottom w:w="90" w:type="dxa"/>
              <w:right w:w="90" w:type="dxa"/>
            </w:tcMar>
            <w:shd w:fill="F5F7F9"/>
          </w:tcPr>
          <w:p>
            <w:pPr>
              <w:pStyle w:val="Normal"/>
              <w:widowControl/>
              <w:spacing w:before="60" w:after="20"/>
              <w:jc w:val="center"/>
            </w:pPr>
            <w:r>
              <w:t xml:space="preserve">54</w:t>
            </w:r>
          </w:p>
        </w:tc>
        <w:tc>
          <w:tcPr>
            <w:tcW w:w="1200" w:type="dxa"/>
            <w:vAlign w:val="center"/>
            <w:tcMar>
              <w:top w:w="90" w:type="dxa"/>
              <w:left w:w="90" w:type="dxa"/>
              <w:bottom w:w="90" w:type="dxa"/>
              <w:right w:w="90" w:type="dxa"/>
            </w:tcMar>
            <w:shd w:fill="F5F7F9"/>
          </w:tcPr>
          <w:p>
            <w:pPr>
              <w:pStyle w:val="Normal"/>
              <w:widowControl/>
              <w:spacing w:before="60" w:after="20"/>
              <w:jc w:val="center"/>
            </w:pPr>
            <w:r>
              <w:t xml:space="preserve">35.1%</w:t>
            </w:r>
          </w:p>
        </w:tc>
        <w:tc>
          <w:tcPr>
            <w:tcW w:w="1200" w:type="dxa"/>
            <w:vAlign w:val="center"/>
            <w:tcMar>
              <w:top w:w="90" w:type="dxa"/>
              <w:left w:w="90" w:type="dxa"/>
              <w:bottom w:w="90" w:type="dxa"/>
              <w:right w:w="90" w:type="dxa"/>
            </w:tcMar>
            <w:shd w:fill="F5F7F9"/>
          </w:tcPr>
          <w:p>
            <w:pPr>
              <w:pStyle w:val="Normal"/>
              <w:widowControl/>
              <w:spacing w:before="60" w:after="20"/>
              <w:jc w:val="center"/>
            </w:pPr>
            <w:r>
              <w:t xml:space="preserve">19.7%</w:t>
            </w:r>
          </w:p>
        </w:tc>
        <w:tc>
          <w:tcPr>
            <w:tcW w:w="3250" w:type="dxa"/>
            <w:vAlign w:val="center"/>
            <w:tcMar>
              <w:top w:w="90" w:type="dxa"/>
              <w:left w:w="90" w:type="dxa"/>
              <w:bottom w:w="90" w:type="dxa"/>
              <w:right w:w="90" w:type="dxa"/>
            </w:tcMar>
            <w:shd w:fill="F5F7F9"/>
          </w:tcPr>
          <w:p>
            <w:pPr>
              <w:pStyle w:val="Normal"/>
              <w:widowControl/>
              <w:spacing w:before="60" w:after="20"/>
              <w:jc w:val="center"/>
            </w:pPr>
            <w:r>
              <w:t xml:space="preserve">42/54 (77.8%)</w:t>
            </w:r>
          </w:p>
        </w:tc>
      </w:tr>
    </w:tbl>
    <w:p>
      <w:pPr>
        <w:pStyle w:val="Normal"/>
        <w:widowControl/>
        <w:spacing w:before="60" w:after="20"/>
      </w:pPr>
      <w:r>
        <w:t xml:space="preserve">Yoon: Results p7261, Figure 1 and Table 4. CR/PR is overall mRECIST response, not mandatory complete disappearance of viable vascular tumor; 65/83 responders still had viable PVTT on explant.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5PC9SZWNOdW0+PERpc3BsYXlUZXh0PltWMTYtMTldPC9EaXNwbGF5VGV4dD48cmVjb3JkPjxyZWMtbnVtYmVyPjE5PC9yZWMtbnVtYmVyPjxmb3JlaWduLWtleXM+PGtleSBhcHA9IkVOIiBkYi1pZD0iN2U3OGIxNWItODYzMy01ZWMwLWEwYjQtY2U4YmRhNDhjMjY2IiB0aW1lc3RhbXA9IjE3OTMyODM2ODMiPjE5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p>
    <w:p>
      <w:pPr>
        <w:pStyle w:val="Normal"/>
        <w:widowControl/>
        <w:spacing w:before="60" w:after="20"/>
      </w:pPr>
      <w:hyperlink r:id="rId78">
        <w:r>
          <w:rPr>
            <w:color w:val="77230C"/>
            <w:sz w:val="20"/>
            <w:u w:val="single"/>
          </w:rPr>
          <w:t>Yoon 2026</w:t>
        </w:r>
      </w:hyperlink>
      <w:r>
        <w:t xml:space="preserve"> — </w:t>
      </w:r>
      <w:hyperlink r:id="rId79">
        <w:r>
          <w:rPr>
            <w:color w:val="77230C"/>
            <w:sz w:val="20"/>
            <w:u w:val="single"/>
          </w:rPr>
          <w:t>Full-text PDF</w:t>
        </w:r>
      </w:hyperlink>
    </w:p>
    <w:p>
      <w:pPr>
        <w:pStyle w:val="Heading3"/>
        <w:keepNext/>
        <w:widowControl/>
      </w:pPr>
      <w:r>
        <w:t xml:space="preserve">Interpretation for HCC B2</w:t>
      </w:r>
    </w:p>
    <w:p>
      <w:pPr>
        <w:pStyle w:val="Normal"/>
        <w:widowControl/>
        <w:numPr>
          <w:ilvl w:val="0"/>
          <w:numId w:val="3"/>
        </w:numPr>
      </w:pPr>
      <w:r>
        <w:t xml:space="preserve">The Yoon grade comparisons were not statistically significant (OS P=0.1882; DFS P=0.2988). With only 14 Vp4 recipients, this neither proves equivalence nor establishes futility. The Vp4 five-year OS of 50.0% is a real counterargument to blanket exclusion.</w:t>
      </w:r>
    </w:p>
    <w:p>
      <w:pPr>
        <w:pStyle w:val="Normal"/>
        <w:widowControl/>
        <w:numPr>
          <w:ilvl w:val="0"/>
          <w:numId w:val="3"/>
        </w:numPr>
      </w:pPr>
      <w:r>
        <w:t xml:space="preserve">Older anatomy-based cohorts report substantially poorer proximal-vessel outcomes; the populations, treatments, classification systems and endpoint definitions differ. Possible center/time overlap among Chinese cohorts prevents treating every series as independent confirmation. No pooled survival percentage is calculated.</w:t>
      </w:r>
    </w:p>
    <w:p>
      <w:pPr>
        <w:pStyle w:val="Normal"/>
        <w:widowControl/>
        <w:numPr>
          <w:ilvl w:val="0"/>
          <w:numId w:val="3"/>
        </w:numPr>
      </w:pPr>
      <w:r>
        <w:t xml:space="preserve">OPEN local position: retain original Vp1–2 as the initial transplanting-study boundary. Vp3 registry-first means observational follow-up without transplantation authorized by that registry; any transplanting Vp3 arm needs separate prospective approval. Keep Vp4 outside the initial pilot, not labeled universally futile.</w:t>
      </w:r>
    </w:p>
    <w:p>
      <w:pPr>
        <w:pStyle w:val="Normal"/>
        <w:widowControl/>
        <w:numPr>
          <w:ilvl w:val="0"/>
          <w:numId w:val="3"/>
        </w:numPr>
      </w:pPr>
      <w:r>
        <w:t xml:space="preserve">The complete vascular-response requirement and ≥12-month control period are conservative proposed safeguards, not thresholds validated by these cohorts. Favorable LDLT outcomes do not establish deceased-donor allocation priority or resolve living-donor risk.</w:t>
      </w:r>
    </w:p>
    <w:p>
      <w:pPr>
        <w:pStyle w:val="Normal"/>
        <w:widowControl/>
        <w:spacing w:before="60" w:after="20"/>
      </w:pPr>
      <w:r>
        <w:t xml:space="preserve">Read the selection and reporting limits together with the outcome estimates.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5PC9SZWNOdW0+PERpc3BsYXlUZXh0PltWMTYtMTldPC9EaXNwbGF5VGV4dD48cmVjb3JkPjxyZWMtbnVtYmVyPjE5PC9yZWMtbnVtYmVyPjxmb3JlaWduLWtleXM+PGtleSBhcHA9IkVOIiBkYi1pZD0iN2U3OGIxNWItODYzMy01ZWMwLWEwYjQtY2U4YmRhNDhjMjY2IiB0aW1lc3RhbXA9IjE3OTMyODM2ODMiPjE5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ZTwvQXV0aG9yPjxZZWFyPjIwMjQ8L1llYXI+PFJlY051bT4yMjwvUmVjTnVtPjxEaXNwbGF5VGV4dD5bVjE2LTIyXTwvRGlzcGxheVRleHQ+PHJlY29yZD48cmVjLW51bWJlcj4yMjwvcmVjLW51bWJlcj48Zm9yZWlnbi1rZXlzPjxrZXkgYXBwPSJFTiIgZGItaWQ9IjdlNzhiMTViLTg2MzMtNWVjMC1hMGI0LWNlOGJkYTQ4YzI2NiIgdGltZXN0YW1wPSIxNzkzMjgzNjgzIj4yMj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aG9pPC9BdXRob3I+PFllYXI+MjAxNzwvWWVhcj48UmVjTnVtPjIwPC9SZWNOdW0+PERpc3BsYXlUZXh0PltWMTYtMjBdPC9EaXNwbGF5VGV4dD48cmVjb3JkPjxyZWMtbnVtYmVyPjIwPC9yZWMtbnVtYmVyPjxmb3JlaWduLWtleXM+PGtleSBhcHA9IkVOIiBkYi1pZD0iN2U3OGIxNWItODYzMy01ZWMwLWEwYjQtY2U4YmRhNDhjMjY2IiB0aW1lc3RhbXA9IjE3OTMyODM2ODMiPjIw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[V16-20]</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5nPC9BdXRob3I+PFllYXI+MjAyMDwvWWVhcj48UmVjTnVtPjIxPC9SZWNOdW0+PERpc3BsYXlUZXh0PltWMTYtMjFdPC9EaXNwbGF5VGV4dD48cmVjb3JkPjxyZWMtbnVtYmVyPjIxPC9yZWMtbnVtYmVyPjxmb3JlaWduLWtleXM+PGtleSBhcHA9IkVOIiBkYi1pZD0iN2U3OGIxNWItODYzMy01ZWMwLWEwYjQtY2U4YmRhNDhjMjY2IiB0aW1lc3RhbXA9IjE3OTMyODM2ODMiPjIx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b2luPC9BdXRob3I+PFllYXI+MjAyMDwvWWVhcj48UmVjTnVtPjIzPC9SZWNOdW0+PERpc3BsYXlUZXh0PltWMTYtMjNdPC9EaXNwbGF5VGV4dD48cmVjb3JkPjxyZWMtbnVtYmVyPjIzPC9yZWMtbnVtYmVyPjxmb3JlaWduLWtleXM+PGtleSBhcHA9IkVOIiBkYi1pZD0iN2U3OGIxNWItODYzMy01ZWMwLWEwYjQtY2U4YmRhNDhjMjY2IiB0aW1lc3RhbXA9IjE3OTMyODM2ODMiPjIz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[V16-23]</w:t>
      </w:r>
      <w:r>
        <w:fldChar w:fldCharType="end"/>
      </w:r>
    </w:p>
    <w:p>
      <w:pPr>
        <w:pStyle w:val="Normal"/>
        <w:widowControl/>
        <w:spacing w:before="60" w:after="20"/>
      </w:pPr>
      <w:hyperlink r:id="rId80">
        <w:r>
          <w:rPr>
            <w:color w:val="77230C"/>
            <w:sz w:val="20"/>
            <w:u w:val="single"/>
          </w:rPr>
          <w:t>Yoon 2026</w:t>
        </w:r>
      </w:hyperlink>
      <w:r>
        <w:t xml:space="preserve"> — </w:t>
      </w:r>
      <w:hyperlink r:id="rId81">
        <w:r>
          <w:rPr>
            <w:color w:val="77230C"/>
            <w:sz w:val="20"/>
            <w:u w:val="single"/>
          </w:rPr>
          <w:t>Full-text PDF</w:t>
        </w:r>
      </w:hyperlink>
      <w:r>
        <w:t xml:space="preserve">  |  </w:t>
      </w:r>
      <w:hyperlink r:id="rId82">
        <w:r>
          <w:rPr>
            <w:color w:val="77230C"/>
            <w:sz w:val="20"/>
            <w:u w:val="single"/>
          </w:rPr>
          <w:t>Ye 2024</w:t>
        </w:r>
      </w:hyperlink>
      <w:r>
        <w:t xml:space="preserve"> — </w:t>
      </w:r>
      <w:hyperlink r:id="rId83">
        <w:r>
          <w:rPr>
            <w:color w:val="77230C"/>
            <w:sz w:val="20"/>
            <w:u w:val="single"/>
          </w:rPr>
          <w:t>Full-text PDF</w:t>
        </w:r>
      </w:hyperlink>
      <w:r>
        <w:t xml:space="preserve">  |  </w:t>
      </w:r>
      <w:hyperlink r:id="rId84">
        <w:r>
          <w:rPr>
            <w:color w:val="77230C"/>
            <w:sz w:val="20"/>
            <w:u w:val="single"/>
          </w:rPr>
          <w:t>Choi 2017</w:t>
        </w:r>
      </w:hyperlink>
      <w:r>
        <w:t xml:space="preserve"> — </w:t>
      </w:r>
      <w:hyperlink r:id="rId85">
        <w:r>
          <w:rPr>
            <w:color w:val="77230C"/>
            <w:sz w:val="20"/>
            <w:u w:val="single"/>
          </w:rPr>
          <w:t>Full-text PDF</w:t>
        </w:r>
      </w:hyperlink>
      <w:r>
        <w:t xml:space="preserve">  |  </w:t>
      </w:r>
      <w:hyperlink r:id="rId86">
        <w:r>
          <w:rPr>
            <w:color w:val="77230C"/>
            <w:sz w:val="20"/>
            <w:u w:val="single"/>
          </w:rPr>
          <w:t>Yang 2020</w:t>
        </w:r>
      </w:hyperlink>
      <w:r>
        <w:t xml:space="preserve"> — </w:t>
      </w:r>
      <w:hyperlink r:id="rId87">
        <w:r>
          <w:rPr>
            <w:color w:val="77230C"/>
            <w:sz w:val="20"/>
            <w:u w:val="single"/>
          </w:rPr>
          <w:t>Full-text PDF</w:t>
        </w:r>
      </w:hyperlink>
      <w:r>
        <w:t xml:space="preserve">  |  </w:t>
      </w:r>
      <w:hyperlink r:id="rId88">
        <w:r>
          <w:rPr>
            <w:color w:val="77230C"/>
            <w:sz w:val="20"/>
            <w:u w:val="single"/>
          </w:rPr>
          <w:t>Soin 2020</w:t>
        </w:r>
      </w:hyperlink>
      <w:r>
        <w:t xml:space="preserve"> — </w:t>
      </w:r>
      <w:hyperlink r:id="rId89">
        <w:r>
          <w:rPr>
            <w:color w:val="77230C"/>
            <w:sz w:val="20"/>
            <w:u w:val="single"/>
          </w:rPr>
          <w:t>Full-text PDF</w:t>
        </w:r>
      </w:hyperlink>
    </w:p>
    <w:p>
      <w:pPr>
        <w:pStyle w:val="Normal"/>
        <w:widowControl/>
        <w:spacing w:before="60" w:after="20"/>
      </w:pPr>
      <w:r>
        <w:t xml:space="preserve">Evidence integrity note: Yoon’s discussion/conclusion transpose the responder OS and DFS percentages; this update uses the Results and Figure 1 values. Request numerical Vp2/Vp3 Kaplan–Meier estimates, confidence intervals and grade-specific recurrence counts from the authors or a supplement before using exact grade-specific estimates in consent.</w:t>
      </w:r>
    </w:p>
    <w:p>
      <w:pPr>
        <w:pStyle w:val="Heading3"/>
        <w:keepNext/>
        <w:widowControl/>
      </w:pPr>
      <w:r>
        <w:t xml:space="preserve">Y90 before transplantation</w:t>
      </w:r>
    </w:p>
    <w:p>
      <w:pPr>
        <w:pStyle w:val="Normal"/>
        <w:widowControl/>
        <w:numPr>
          <w:ilvl w:val="0"/>
          <w:numId w:val="3"/>
        </w:numPr>
        <w:spacing w:before="60" w:after="20"/>
      </w:pPr>
      <w:r>
        <w:t xml:space="preserve">The 37/240 transplant proportion (15.4%) describes pathway feasibility; five-year OS 61.6% describes selected recipients from LT. Four perioperative deaths and 13 major complications (grade ≥3) occurred among 37 recipients. The 79.3% RFS estimate censors deaths without recurrence and is not an alive-and-recurrence-free outcome.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1PC9SZWNOdW0+PERpc3BsYXlUZXh0PltWMTYtMjVdPC9EaXNwbGF5VGV4dD48cmVjb3JkPjxyZWMtbnVtYmVyPjI1PC9yZWMtbnVtYmVyPjxmb3JlaWduLWtleXM+PGtleSBhcHA9IkVOIiBkYi1pZD0iN2U3OGIxNWItODYzMy01ZWMwLWEwYjQtY2U4YmRhNDhjMjY2IiB0aW1lc3RhbXA9IjE3OTMyODM2ODMiPjI1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[V16-25]</w:t>
      </w:r>
      <w:r>
        <w:fldChar w:fldCharType="end"/>
      </w:r>
    </w:p>
    <w:p>
      <w:pPr>
        <w:pStyle w:val="Normal"/>
        <w:widowControl/>
        <w:numPr>
          <w:ilvl w:val="0"/>
          <w:numId w:val="3"/>
        </w:numPr>
        <w:spacing w:before="60" w:after="20"/>
      </w:pPr>
      <w:r>
        <w:t xml:space="preserve">Six months of response was the shared Italian minimum; four centers accepted partial vascular response. The median 17 months from TARE to LT was not a minimum. Neither interval proves that the proposed original-Vp1–2/complete-response/12-month combination is optimal; the stricter local proposal remains OPEN.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1PC9SZWNOdW0+PERpc3BsYXlUZXh0PltWMTYtMjVdPC9EaXNwbGF5VGV4dD48cmVjb3JkPjxyZWMtbnVtYmVyPjI1PC9yZWMtbnVtYmVyPjxmb3JlaWduLWtleXM+PGtleSBhcHA9IkVOIiBkYi1pZD0iN2U3OGIxNWItODYzMy01ZWMwLWEwYjQtY2U4YmRhNDhjMjY2IiB0aW1lc3RhbXA9IjE3OTMyODM2ODMiPjI1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[V16-25]</w:t>
      </w:r>
      <w:r>
        <w:fldChar w:fldCharType="end"/>
      </w:r>
    </w:p>
    <w:p>
      <w:pPr>
        <w:pStyle w:val="Normal"/>
        <w:widowControl/>
        <w:numPr>
          <w:ilvl w:val="0"/>
          <w:numId w:val="3"/>
        </w:numPr>
        <w:spacing w:before="60" w:after="20"/>
      </w:pPr>
      <w:r>
        <w:t xml:space="preserve">Map original and current vessel anatomy. The study reports no grade-specific recipient outcomes and excluded main-portal-trunk/hepatic-vein disease. Indeterminate postradiation enhancement requires HOLD and expert review; confirmed viable tumor fails the proposed gate. Allograft allocation and study authorization remain separate.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1PC9SZWNOdW0+PERpc3BsYXlUZXh0PltWMTYtMjVdPC9EaXNwbGF5VGV4dD48cmVjb3JkPjxyZWMtbnVtYmVyPjI1PC9yZWMtbnVtYmVyPjxmb3JlaWduLWtleXM+PGtleSBhcHA9IkVOIiBkYi1pZD0iN2U3OGIxNWItODYzMy01ZWMwLWEwYjQtY2U4YmRhNDhjMjY2IiB0aW1lc3RhbXA9IjE3OTMyODM2ODMiPjI1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r>
        <w:t xml:space="preserve">Main PDF pp4–6 (selection, endpoints, cohort flow), p8/Table 2 (harms/pathology), p9/Figure 3 (outcomes and risk set), pp10–11 (exploratory limits).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1PC9SZWNOdW0+PERpc3BsYXlUZXh0PltWMTYtMjVdPC9EaXNwbGF5VGV4dD48cmVjb3JkPjxyZWMtbnVtYmVyPjI1PC9yZWMtbnVtYmVyPjxmb3JlaWduLWtleXM+PGtleSBhcHA9IkVOIiBkYi1pZD0iN2U3OGIxNWItODYzMy01ZWMwLWEwYjQtY2U4YmRhNDhjMjY2IiB0aW1lc3RhbXA9IjE3OTMyODM2ODMiPjI1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hyperlink r:id="rId90">
        <w:r>
          <w:rPr>
            <w:color w:val="77230C"/>
            <w:sz w:val="20"/>
            <w:u w:val="single"/>
          </w:rPr>
          <w:t>Sposito 2026</w:t>
        </w:r>
      </w:hyperlink>
      <w:r>
        <w:t xml:space="preserve"> — </w:t>
      </w:r>
      <w:hyperlink r:id="rId91">
        <w:r>
          <w:rPr>
            <w:color w:val="77230C"/>
            <w:sz w:val="20"/>
            <w:u w:val="single"/>
          </w:rPr>
          <w:t>Full-text PDF</w:t>
        </w:r>
      </w:hyperlink>
    </w:p>
    <w:p>
      <w:pPr>
        <w:pStyle w:val="Heading3"/>
        <w:keepNext/>
        <w:widowControl/>
      </w:pPr>
      <w:r>
        <w:t xml:space="preserve">Synthesis and evidence that challenges the proposal</w:t>
      </w:r>
    </w:p>
    <w:p>
      <w:pPr>
        <w:pStyle w:val="Normal"/>
        <w:widowControl/>
        <w:spacing w:before="60" w:after="20"/>
      </w:pPr>
      <w:r>
        <w:t xml:space="preserve">Selected PVTT transplant cohorts show that some long-term survivors exist, including proximal disease, but do not establish a universal Vp2/Vp3 benefit boundary. Sposito's now-reviewed full text adds a 240-patient Y90 pathway: 61 sustained downstagings, 37 transplants, five-year OS 18.9% from TARE for all entrants versus 61.6% from LT for recipients. Recipient RFS 79.3% censors nonrecurrence deaths; six recurrences/37 and four perioperative deaths must be reported separately. Selection varied across centers and accepted partial vascular response at four of five centers after at least six months. No grade-specific transplant outcomes or validation of the proposed Vp1–2/complete-response/12-month composite is supplied. Its favorable recipient results support prospective study development, while substantial attrition, decompensation, major complications and selection bias temper benefit and allocation claims. The original-Vp1–2 and 12-month post-downstaging proposal is consistent with the weak-evidence, weak-recommendation ILTS–ILCA consensus (Table 1, printed p820/current PDF p6). This is not a validated optimum or universal transplant-benefit threshold; separate NLRB requirements and prospective approvals still apply.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5PC9SZWNOdW0+PERpc3BsYXlUZXh0PltWMTYtMTldPC9EaXNwbGF5VGV4dD48cmVjb3JkPjxyZWMtbnVtYmVyPjE5PC9yZWMtbnVtYmVyPjxmb3JlaWduLWtleXM+PGtleSBhcHA9IkVOIiBkYi1pZD0iN2U3OGIxNWItODYzMy01ZWMwLWEwYjQtY2U4YmRhNDhjMjY2IiB0aW1lc3RhbXA9IjE3OTMyODM2ODMiPjE5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aG9pPC9BdXRob3I+PFllYXI+MjAxNzwvWWVhcj48UmVjTnVtPjIwPC9SZWNOdW0+PERpc3BsYXlUZXh0PltWMTYtMjBdPC9EaXNwbGF5VGV4dD48cmVjb3JkPjxyZWMtbnVtYmVyPjIwPC9yZWMtbnVtYmVyPjxmb3JlaWduLWtleXM+PGtleSBhcHA9IkVOIiBkYi1pZD0iN2U3OGIxNWItODYzMy01ZWMwLWEwYjQtY2U4YmRhNDhjMjY2IiB0aW1lc3RhbXA9IjE3OTMyODM2ODMiPjIw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[V16-20]</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5nPC9BdXRob3I+PFllYXI+MjAyMDwvWWVhcj48UmVjTnVtPjIxPC9SZWNOdW0+PERpc3BsYXlUZXh0PltWMTYtMjFdPC9EaXNwbGF5VGV4dD48cmVjb3JkPjxyZWMtbnVtYmVyPjIxPC9yZWMtbnVtYmVyPjxmb3JlaWduLWtleXM+PGtleSBhcHA9IkVOIiBkYi1pZD0iN2U3OGIxNWItODYzMy01ZWMwLWEwYjQtY2U4YmRhNDhjMjY2IiB0aW1lc3RhbXA9IjE3OTMyODM2ODMiPjIx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ZTwvQXV0aG9yPjxZZWFyPjIwMjQ8L1llYXI+PFJlY051bT4yMjwvUmVjTnVtPjxEaXNwbGF5VGV4dD5bVjE2LTIyXTwvRGlzcGxheVRleHQ+PHJlY29yZD48cmVjLW51bWJlcj4yMjwvcmVjLW51bWJlcj48Zm9yZWlnbi1rZXlzPjxrZXkgYXBwPSJFTiIgZGItaWQ9IjdlNzhiMTViLTg2MzMtNWVjMC1hMGI0LWNlOGJkYTQ4YzI2NiIgdGltZXN0YW1wPSIxNzkzMjgzNjgzIj4yMj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b2luPC9BdXRob3I+PFllYXI+MjAyMDwvWWVhcj48UmVjTnVtPjIzPC9SZWNOdW0+PERpc3BsYXlUZXh0PltWMTYtMjNdPC9EaXNwbGF5VGV4dD48cmVjb3JkPjxyZWMtbnVtYmVyPjIzPC9yZWMtbnVtYmVyPjxmb3JlaWduLWtleXM+PGtleSBhcHA9IkVOIiBkYi1pZD0iN2U3OGIxNWItODYzMy01ZWMwLWEwYjQtY2U4YmRhNDhjMjY2IiB0aW1lc3RhbXA9IjE3OTMyODM2ODMiPjIz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</w:fldData>
        </w:fldChar>
      </w:r>
      <w:r>
        <w:instrText xml:space="preserve"> ADDIN EN.CITE.DATA </w:instrText>
      </w:r>
      <w:r>
        <w:fldChar w:fldCharType="end"/>
      </w:r>
      <w:r>
        <w:fldChar w:fldCharType="separate"/>
      </w:r>
      <w:r>
        <w:t xml:space="preserve">[V16-24]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1PC9SZWNOdW0+PERpc3BsYXlUZXh0PltWMTYtMjVdPC9EaXNwbGF5VGV4dD48cmVjb3JkPjxyZWMtbnVtYmVyPjI1PC9yZWMtbnVtYmVyPjxmb3JlaWduLWtleXM+PGtleSBhcHA9IkVOIiBkYi1pZD0iN2U3OGIxNWItODYzMy01ZWMwLWEwYjQtY2U4YmRhNDhjMjY2IiB0aW1lc3RhbXA9IjE3OTMyODM2ODMiPjI1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[V16-25]</w:t>
      </w:r>
      <w:r>
        <w:fldChar w:fldCharType="end"/>
      </w:r>
    </w:p>
    <w:p>
      <w:pPr>
        <w:pStyle w:val="Normal"/>
        <w:widowControl/>
        <w:numPr>
          <w:ilvl w:val="0"/>
          <w:numId w:val="3"/>
        </w:numPr>
        <w:spacing w:before="60" w:after="20"/>
      </w:pPr>
      <w:r>
        <w:t xml:space="preserve">A blanket statement that every PVTT transplant is futile is not supported: Yoon reports selected Vp4 survivors, and Sposito reports five-year recipient OS 61.6% after branch-PVTT downstaging. Conversely, Sposito excluded main-trunk/hepatic-vein involvement and gives no separate recipient survival for its PV1/PV2/PV3 groups. Its six-month requirement and acceptance of partial PVTT response challenge the necessity of the stricter local proposal without proving that relaxation is safe. Post-radiation enhancement requires expert adjudication; radiological uncertainty is a HOLD, not automatic viable disease or permission to transplant. Neither 79.3% author RFS nor the cancer-death association establishes survival benefit for an unselected entrant or a modern-systemic-therapy comparator.</w:t>
      </w:r>
    </w:p>
    <w:p>
      <w:pPr>
        <w:pStyle w:val="Normal"/>
        <w:widowControl/>
        <w:spacing w:before="60" w:after="20"/>
      </w:pPr>
      <w:r>
        <w:rPr>
          <w:b/>
        </w:rPr>
        <w:t xml:space="preserve">Certainty / applicability: </w:t>
      </w:r>
      <w:r>
        <w:t xml:space="preserve">Low certainty for feasibility in highly selected branch-PVTT responders; very low certainty for causal comparative benefit, grade-specific eligibility, optimal observation duration and transferability to US deceased-donor allocation. No validated combined selection rule.</w:t>
      </w:r>
    </w:p>
    <w:p>
      <w:pPr>
        <w:pStyle w:val="Heading3"/>
        <w:keepNext/>
        <w:widowControl/>
      </w:pPr>
      <w:r>
        <w:t xml:space="preserve">Where each proposed threshold comes from</w:t>
      </w:r>
    </w:p>
    <w:p>
      <w:pPr>
        <w:pStyle w:val="Normal"/>
        <w:widowControl/>
        <w:numPr>
          <w:ilvl w:val="0"/>
          <w:numId w:val="3"/>
        </w:numPr>
        <w:spacing w:before="60" w:after="20"/>
      </w:pPr>
      <w:r>
        <w:t xml:space="preserve">Original Vp1–2 and at least 12 months of control: weak-evidence ILTS–ILCA consensus lineage plus conservative local risk control; not a demonstrated survival cliff or an optimal duration. Complete vascular response and bounded Milan parenchymal burden add local safeguards, not a jointly tested model.</w:t>
      </w:r>
    </w:p>
    <w:p>
      <w:pPr>
        <w:pStyle w:val="Normal"/>
        <w:widowControl/>
        <w:numPr>
          <w:ilvl w:val="0"/>
          <w:numId w:val="3"/>
        </w:numPr>
        <w:spacing w:before="60" w:after="20"/>
      </w:pPr>
      <w:r>
        <w:t xml:space="preserve">Sposito: at least six months of response after TARE; complete PVTT response at one center, partial response accepted at four; variable morphology and AFP thresholds. Its median 17 months from TARE to LT is an observed interval, not a minimum requirement.</w:t>
      </w:r>
    </w:p>
    <w:p>
      <w:pPr>
        <w:pStyle w:val="Normal"/>
        <w:widowControl/>
        <w:numPr>
          <w:ilvl w:val="0"/>
          <w:numId w:val="3"/>
        </w:numPr>
        <w:spacing w:before="60" w:after="20"/>
      </w:pPr>
      <w:r>
        <w:t xml:space="preserve">Anatomy: Sposito PV1 segmentary, PV2 secondary-order and PV3 first-order describe baseline all-240 groups. Main-trunk/hepatic-vein disease was excluded; grade-specific recipient outcomes are absent. Document vessel anatomy before crosswalking classification systems; do not infer a Vp3 estimate or any Vp4 evidence from this cohort.</w:t>
      </w:r>
    </w:p>
    <w:p>
      <w:pPr>
        <w:pStyle w:val="Normal"/>
        <w:widowControl/>
        <w:numPr>
          <w:ilvl w:val="0"/>
          <w:numId w:val="3"/>
        </w:numPr>
        <w:spacing w:before="60" w:after="20"/>
      </w:pPr>
      <w:r>
        <w:t xml:space="preserve">Do not turn exploratory recipient associations for age 65, AFP 100 ng/mL or tumor size 50 mm into new mandatory cutoffs. Relevant adverse subgroups contained only four, three and six patients, respectively.</w:t>
      </w:r>
    </w:p>
    <w:p>
      <w:pPr>
        <w:pStyle w:val="Normal"/>
        <w:widowControl/>
        <w:numPr>
          <w:ilvl w:val="0"/>
          <w:numId w:val="3"/>
        </w:numPr>
        <w:spacing w:before="60" w:after="20"/>
      </w:pPr>
      <w:r>
        <w:t xml:space="preserve">Vp3 observational registry first and Vp4/main/contralateral/hepatic-vein exclusion from the initial pilot remain OPEN design boundaries, not universal declarations of futility. A registry, donor offer or favorable response does not confer clinical/research/allocation approval.</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Yoon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5PC9SZWNOdW0+PERpc3BsYXlUZXh0PltWMTYtMTldPC9EaXNwbGF5VGV4dD48cmVjb3JkPjxyZWMtbnVtYmVyPjE5PC9yZWMtbnVtYmVyPjxmb3JlaWduLWtleXM+PGtleSBhcHA9IkVOIiBkYi1pZD0iN2U3OGIxNWItODYzMy01ZWMwLWEwYjQtY2U4YmRhNDhjMjY2IiB0aW1lc3RhbXA9IjE3OTMyODM2ODMiPjE5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p>
          <w:p>
            <w:pPr>
              <w:pStyle w:val="Normal"/>
              <w:widowControl/>
              <w:spacing w:before="60" w:after="20"/>
            </w:pPr>
            <w:r>
              <w:t xml:space="preserve">“Those with CR or PR were defined as DS responders”</w:t>
            </w:r>
          </w:p>
          <w:p>
            <w:pPr>
              <w:pStyle w:val="Normal"/>
              <w:widowControl/>
              <w:spacing w:before="60" w:after="20"/>
            </w:pPr>
            <w:r>
              <w:t xml:space="preserve">Published PDF p2 / journal p7260, response assessment</w:t>
            </w:r>
          </w:p>
          <w:p>
            <w:pPr>
              <w:pStyle w:val="Normal"/>
              <w:widowControl/>
              <w:spacing w:before="60" w:after="20"/>
            </w:pPr>
            <w:hyperlink r:id="rId92">
              <w:r>
                <w:rPr>
                  <w:color w:val="77230C"/>
                  <w:sz w:val="20"/>
                  <w:u w:val="single"/>
                </w:rPr>
                <w:t>Source</w:t>
              </w:r>
            </w:hyperlink>
            <w:r>
              <w:t xml:space="preserve"> | </w:t>
            </w:r>
            <w:hyperlink r:id="rId9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Yoon did not require the complete vascular clearance proposed here; 65/83 responders still had viable PVTT on explant.</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Yoon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5PC9SZWNOdW0+PERpc3BsYXlUZXh0PltWMTYtMTldPC9EaXNwbGF5VGV4dD48cmVjb3JkPjxyZWMtbnVtYmVyPjE5PC9yZWMtbnVtYmVyPjxmb3JlaWduLWtleXM+PGtleSBhcHA9IkVOIiBkYi1pZD0iN2U3OGIxNWItODYzMy01ZWMwLWEwYjQtY2U4YmRhNDhjMjY2IiB0aW1lc3RhbXA9IjE3OTMyODM2ODMiPjE5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p>
          <w:p>
            <w:pPr>
              <w:pStyle w:val="Normal"/>
              <w:widowControl/>
              <w:spacing w:before="60" w:after="20"/>
            </w:pPr>
            <w:r>
              <w:t xml:space="preserve">“our study did not identify it as an independent predictor of survival.”</w:t>
            </w:r>
          </w:p>
          <w:p>
            <w:pPr>
              <w:pStyle w:val="Normal"/>
              <w:widowControl/>
              <w:spacing w:before="60" w:after="20"/>
            </w:pPr>
            <w:r>
              <w:t xml:space="preserve">Published PDF p10 / journal p7268, discussion of PVTT grade</w:t>
            </w:r>
          </w:p>
          <w:p>
            <w:pPr>
              <w:pStyle w:val="Normal"/>
              <w:widowControl/>
              <w:spacing w:before="60" w:after="20"/>
            </w:pPr>
            <w:hyperlink r:id="rId94">
              <w:r>
                <w:rPr>
                  <w:color w:val="77230C"/>
                  <w:sz w:val="20"/>
                  <w:u w:val="single"/>
                </w:rPr>
                <w:t>Source</w:t>
              </w:r>
            </w:hyperlink>
            <w:r>
              <w:t xml:space="preserve"> | </w:t>
            </w:r>
            <w:hyperlink r:id="rId95">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selected cohort did not establish a sharp anatomical survival cutoff. Vp4 five-year OS was 50.0%; small numbers and non-intention-to-treat selection prevent an equivalence claim.</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Ye 2024</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ZTwvQXV0aG9yPjxZZWFyPjIwMjQ8L1llYXI+PFJlY051bT4yMjwvUmVjTnVtPjxEaXNwbGF5VGV4dD5bVjE2LTIyXTwvRGlzcGxheVRleHQ+PHJlY29yZD48cmVjLW51bWJlcj4yMjwvcmVjLW51bWJlcj48Zm9yZWlnbi1rZXlzPjxrZXkgYXBwPSJFTiIgZGItaWQ9IjdlNzhiMTViLTg2MzMtNWVjMC1hMGI0LWNlOGJkYTQ4YzI2NiIgdGltZXN0YW1wPSIxNzkzMjgzNjgzIj4yMj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p>
          <w:p>
            <w:pPr>
              <w:pStyle w:val="Normal"/>
              <w:widowControl/>
              <w:spacing w:before="60" w:after="20"/>
            </w:pPr>
            <w:r>
              <w:t xml:space="preserve">“lobar PVTT: tumor thrombi involving left and right branches or main portal vein”</w:t>
            </w:r>
          </w:p>
          <w:p>
            <w:pPr>
              <w:pStyle w:val="Normal"/>
              <w:widowControl/>
              <w:spacing w:before="60" w:after="20"/>
            </w:pPr>
            <w:r>
              <w:t xml:space="preserve">Complete early-online PDF p3, Diagnosis of PVTT</w:t>
            </w:r>
          </w:p>
          <w:p>
            <w:pPr>
              <w:pStyle w:val="Normal"/>
              <w:widowControl/>
              <w:spacing w:before="60" w:after="20"/>
            </w:pPr>
            <w:hyperlink r:id="rId96">
              <w:r>
                <w:rPr>
                  <w:color w:val="77230C"/>
                  <w:sz w:val="20"/>
                  <w:u w:val="single"/>
                </w:rPr>
                <w:t>Source</w:t>
              </w:r>
            </w:hyperlink>
            <w:r>
              <w:t xml:space="preserve"> | </w:t>
            </w:r>
            <w:hyperlink r:id="rId9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This poor-outcome group combines first-order and main-portal involvement. Its recurrence cannot be attributed to Vp3 alone; perioperative deaths were excluded.</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before="60" w:after="20"/>
            </w:pPr>
            <w:r>
              <w:t xml:space="preserve">“minimum of 12 months”</w:t>
            </w:r>
          </w:p>
          <w:p>
            <w:pPr>
              <w:pStyle w:val="Normal"/>
              <w:widowControl/>
              <w:spacing w:before="60" w:after="20"/>
            </w:pPr>
            <w:r>
              <w:t xml:space="preserve">December 2025 guidance p3, treated primary-branch invasion/rupture discussion</w:t>
            </w:r>
          </w:p>
          <w:p>
            <w:pPr>
              <w:pStyle w:val="Normal"/>
              <w:widowControl/>
              <w:spacing w:before="60" w:after="20"/>
            </w:pPr>
            <w:hyperlink r:id="rId98">
              <w:r>
                <w:rPr>
                  <w:color w:val="77230C"/>
                  <w:sz w:val="20"/>
                  <w:u w:val="single"/>
                </w:rPr>
                <w:t>Source</w:t>
              </w:r>
            </w:hyperlink>
            <w:r>
              <w:t xml:space="preserve"> | </w:t>
            </w:r>
            <w:hyperlink r:id="rId99">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Applies to specified case-by-case exception considerations; applying this duration to every Vp1–2 study candidate is local conservatism.</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Sposito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1PC9SZWNOdW0+PERpc3BsYXlUZXh0PltWMTYtMjVdPC9EaXNwbGF5VGV4dD48cmVjb3JkPjxyZWMtbnVtYmVyPjI1PC9yZWMtbnVtYmVyPjxmb3JlaWduLWtleXM+PGtleSBhcHA9IkVOIiBkYi1pZD0iN2U3OGIxNWItODYzMy01ZWMwLWEwYjQtY2U4YmRhNDhjMjY2IiB0aW1lc3RhbXA9IjE3OTMyODM2ODMiPjI1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r>
              <w:t xml:space="preserve">“with censoring at last follow-up or death without recurrence.”</w:t>
            </w:r>
          </w:p>
          <w:p>
            <w:pPr>
              <w:pStyle w:val="Normal"/>
              <w:widowControl/>
              <w:spacing w:before="60" w:after="20"/>
            </w:pPr>
            <w:r>
              <w:t xml:space="preserve">Full main PDF p5, Statistical analysis, definition of RFS</w:t>
            </w:r>
          </w:p>
          <w:p>
            <w:pPr>
              <w:pStyle w:val="Normal"/>
              <w:widowControl/>
              <w:spacing w:before="60" w:after="20"/>
            </w:pPr>
            <w:hyperlink r:id="rId100">
              <w:r>
                <w:rPr>
                  <w:color w:val="77230C"/>
                  <w:sz w:val="20"/>
                  <w:u w:val="single"/>
                </w:rPr>
                <w:t>Source</w:t>
              </w:r>
            </w:hyperlink>
            <w:r>
              <w:t xml:space="preserve"> | </w:t>
            </w:r>
            <w:hyperlink r:id="rId101">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Author RFS is recurrence-only with nonrecurrence deaths censored; 79.3% is not death-inclusive disease-free survival and is not a competing-risk recurrence estimate.</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Sposito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1PC9SZWNOdW0+PERpc3BsYXlUZXh0PltWMTYtMjVdPC9EaXNwbGF5VGV4dD48cmVjb3JkPjxyZWMtbnVtYmVyPjI1PC9yZWMtbnVtYmVyPjxmb3JlaWduLWtleXM+PGtleSBhcHA9IkVOIiBkYi1pZD0iN2U3OGIxNWItODYzMy01ZWMwLWEwYjQtY2U4YmRhNDhjMjY2IiB0aW1lc3RhbXA9IjE3OTMyODM2ODMiPjI1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r>
              <w:t xml:space="preserve">“criteria for successful downstaging were not defined a priori by a unified protocol”</w:t>
            </w:r>
          </w:p>
          <w:p>
            <w:pPr>
              <w:pStyle w:val="Normal"/>
              <w:widowControl/>
              <w:spacing w:before="60" w:after="20"/>
            </w:pPr>
            <w:r>
              <w:t xml:space="preserve">Full main PDF p4, Criteria for successful downstaging and liver transplant</w:t>
            </w:r>
          </w:p>
          <w:p>
            <w:pPr>
              <w:pStyle w:val="Normal"/>
              <w:widowControl/>
              <w:spacing w:before="60" w:after="20"/>
            </w:pPr>
            <w:hyperlink r:id="rId102">
              <w:r>
                <w:rPr>
                  <w:color w:val="77230C"/>
                  <w:sz w:val="20"/>
                  <w:u w:val="single"/>
                </w:rPr>
                <w:t>Source</w:t>
              </w:r>
            </w:hyperlink>
            <w:r>
              <w:t xml:space="preserve"> | </w:t>
            </w:r>
            <w:hyperlink r:id="rId10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centers shared a minimum response interval but differed in vascular response, tumor burden and AFP selection. Their combined results do not prospectively validate one composite eligibility rule.</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Develop an initial Vp1–2-only transplanting study; keep Vp3 registry-first and Vp4/hepatic-vein expansion closed.</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5PC9SZWNOdW0+PERpc3BsYXlUZXh0PltWMTYtMTldPC9EaXNwbGF5VGV4dD48cmVjb3JkPjxyZWMtbnVtYmVyPjE5PC9yZWMtbnVtYmVyPjxmb3JlaWduLWtleXM+PGtleSBhcHA9IkVOIiBkYi1pZD0iN2U3OGIxNWItODYzMy01ZWMwLWEwYjQtY2U4YmRhNDhjMjY2IiB0aW1lc3RhbXA9IjE3OTMyODM2ODMiPjE5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ZTwvQXV0aG9yPjxZZWFyPjIwMjQ8L1llYXI+PFJlY051bT4yMjwvUmVjTnVtPjxEaXNwbGF5VGV4dD5bVjE2LTIyXTwvRGlzcGxheVRleHQ+PHJlY29yZD48cmVjLW51bWJlcj4yMjwvcmVjLW51bWJlcj48Zm9yZWlnbi1rZXlzPjxrZXkgYXBwPSJFTiIgZGItaWQ9IjdlNzhiMTViLTg2MzMtNWVjMC1hMGI0LWNlOGJkYTQ4YzI2NiIgdGltZXN0YW1wPSIxNzkzMjgzNjgzIj4yMj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[V16-22]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1PC9SZWNOdW0+PERpc3BsYXlUZXh0PltWMTYtMjVdPC9EaXNwbGF5VGV4dD48cmVjb3JkPjxyZWMtbnVtYmVyPjI1PC9yZWMtbnVtYmVyPjxmb3JlaWduLWtleXM+PGtleSBhcHA9IkVOIiBkYi1pZD0iN2U3OGIxNWItODYzMy01ZWMwLWEwYjQtY2U4YmRhNDhjMjY2IiB0aW1lc3RhbXA9IjE3OTMyODM2ODMiPjI1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[V16-25]</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aG9pPC9BdXRob3I+PFllYXI+MjAxNzwvWWVhcj48UmVjTnVtPjIwPC9SZWNOdW0+PERpc3BsYXlUZXh0PltWMTYtMjBdPC9EaXNwbGF5VGV4dD48cmVjb3JkPjxyZWMtbnVtYmVyPjIwPC9yZWMtbnVtYmVyPjxmb3JlaWduLWtleXM+PGtleSBhcHA9IkVOIiBkYi1pZD0iN2U3OGIxNWItODYzMy01ZWMwLWEwYjQtY2U4YmRhNDhjMjY2IiB0aW1lc3RhbXA9IjE3OTMyODM2ODMiPjIw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[V16-20]</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5nPC9BdXRob3I+PFllYXI+MjAyMDwvWWVhcj48UmVjTnVtPjIxPC9SZWNOdW0+PERpc3BsYXlUZXh0PltWMTYtMjFdPC9EaXNwbGF5VGV4dD48cmVjb3JkPjxyZWMtbnVtYmVyPjIxPC9yZWMtbnVtYmVyPjxmb3JlaWduLWtleXM+PGtleSBhcHA9IkVOIiBkYi1pZD0iN2U3OGIxNWItODYzMy01ZWMwLWEwYjQtY2U4YmRhNDhjMjY2IiB0aW1lc3RhbXA9IjE3OTMyODM2ODMiPjIx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b2luPC9BdXRob3I+PFllYXI+MjAyMDwvWWVhcj48UmVjTnVtPjIzPC9SZWNOdW0+PERpc3BsYXlUZXh0PltWMTYtMjNdPC9EaXNwbGF5VGV4dD48cmVjb3JkPjxyZWMtbnVtYmVyPjIzPC9yZWMtbnVtYmVyPjxmb3JlaWduLWtleXM+PGtleSBhcHA9IkVOIiBkYi1pZD0iN2U3OGIxNWItODYzMy01ZWMwLWEwYjQtY2U4YmRhNDhjMjY2IiB0aW1lc3RhbXA9IjE3OTMyODM2ODMiPjIz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[V16-23]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</w:fldData>
        </w:fldChar>
      </w:r>
      <w:r>
        <w:instrText xml:space="preserve"> ADDIN EN.CITE.DATA </w:instrText>
      </w:r>
      <w:r>
        <w:fldChar w:fldCharType="end"/>
      </w:r>
      <w:r>
        <w:fldChar w:fldCharType="separate"/>
      </w:r>
      <w:r>
        <w:t xml:space="preserve">[V16-24]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</w:fldData>
        </w:fldChar>
      </w:r>
      <w:r>
        <w:instrText xml:space="preserve"> ADDIN EN.CITE.DATA </w:instrText>
      </w:r>
      <w:r>
        <w:fldChar w:fldCharType="end"/>
      </w:r>
      <w:r>
        <w:fldChar w:fldCharType="separate"/>
      </w:r>
      <w:r>
        <w:t xml:space="preserve">[V16-26]</w:t>
      </w:r>
      <w:r>
        <w:fldChar w:fldCharType="end"/>
      </w:r>
    </w:p>
    <w:p>
      <w:pPr>
        <w:pStyle w:val="Normal"/>
        <w:widowControl/>
        <w:numPr>
          <w:ilvl w:val="0"/>
          <w:numId w:val="3"/>
        </w:numPr>
      </w:pPr>
      <w:r>
        <w:t xml:space="preserve">Original Vp1 or Vp2 only, confirmed by central review of pretreatment imaging and an explicit vessel-anatomy map.</w:t>
      </w:r>
    </w:p>
    <w:p>
      <w:pPr>
        <w:pStyle w:val="Normal"/>
        <w:widowControl/>
        <w:numPr>
          <w:ilvl w:val="1"/>
          <w:numId w:val="3"/>
        </w:numPr>
        <w:spacing w:before="60" w:after="20"/>
      </w:pPr>
      <w:r>
        <w:t xml:space="preserve">Exclude Vp3, Vp4/main or contralateral portal involvement, hepatic-vein involvement, prior rupture and combined expanded-burden experiments from the initial transplanting pilot.</w:t>
      </w:r>
    </w:p>
    <w:p>
      <w:pPr>
        <w:pStyle w:val="Normal"/>
        <w:widowControl/>
        <w:numPr>
          <w:ilvl w:val="1"/>
          <w:numId w:val="3"/>
        </w:numPr>
        <w:spacing w:before="60" w:after="20"/>
      </w:pPr>
      <w:r>
        <w:t xml:space="preserve">These are OPEN study boundaries, not universal futility claims.</w:t>
      </w:r>
    </w:p>
    <w:p>
      <w:pPr>
        <w:pStyle w:val="Normal"/>
        <w:widowControl/>
        <w:numPr>
          <w:ilvl w:val="0"/>
          <w:numId w:val="3"/>
        </w:numPr>
      </w:pPr>
      <w:r>
        <w:t xml:space="preserve">Require centrally adjudicated complete absence of enhancing viable vascular tumor, parenchymal burden within Milan or nonviable, no extrahepatic disease, and at least 12 continuous months of control with imaging approximately every three months.</w:t>
      </w:r>
    </w:p>
    <w:p>
      <w:pPr>
        <w:pStyle w:val="Normal"/>
        <w:widowControl/>
        <w:numPr>
          <w:ilvl w:val="1"/>
          <w:numId w:val="3"/>
        </w:numPr>
        <w:spacing w:before="60" w:after="20"/>
      </w:pPr>
      <w:r>
        <w:t xml:space="preserve">Start the control clock at the first scan meeting all proposed response criteria; do not count the treatment date or the cohort's median time to LT as that clock.</w:t>
      </w:r>
    </w:p>
    <w:p>
      <w:pPr>
        <w:pStyle w:val="Normal"/>
        <w:widowControl/>
        <w:numPr>
          <w:ilvl w:val="0"/>
          <w:numId w:val="3"/>
        </w:numPr>
      </w:pPr>
      <w:r>
        <w:t xml:space="preserve">Confirmed recurrent or persistent viable vascular tumor or extrahepatic metastasis fails the proposed transplant gate.</w:t>
      </w:r>
    </w:p>
    <w:p>
      <w:pPr>
        <w:pStyle w:val="Normal"/>
        <w:widowControl/>
        <w:numPr>
          <w:ilvl w:val="1"/>
          <w:numId w:val="3"/>
        </w:numPr>
        <w:spacing w:before="60" w:after="20"/>
      </w:pPr>
      <w:r>
        <w:t xml:space="preserve">Indeterminate post-Y90 enhancement, bland-versus-tumor uncertainty or discordant reads requires HOLD, expert review and interval reassessment; enhancement alone is not automatically proof of viable tumor, and unresolved response cannot authorize LT.</w:t>
      </w:r>
    </w:p>
    <w:p>
      <w:pPr>
        <w:pStyle w:val="Normal"/>
        <w:widowControl/>
        <w:numPr>
          <w:ilvl w:val="0"/>
          <w:numId w:val="3"/>
        </w:numPr>
      </w:pPr>
      <w:r>
        <w:t xml:space="preserve">In counseling and the prospective dataset, report all-entry survival and the proportion reaching LT separately from recipient survival, crude recurrence, death-censored RFS and perioperative morbidity/mortality.</w:t>
      </w:r>
    </w:p>
    <w:p>
      <w:pPr>
        <w:pStyle w:val="Normal"/>
        <w:widowControl/>
        <w:numPr>
          <w:ilvl w:val="1"/>
          <w:numId w:val="3"/>
        </w:numPr>
        <w:spacing w:before="60" w:after="20"/>
      </w:pPr>
      <w:r>
        <w:t xml:space="preserve">Do not describe Sposito's 79.3% RFS as alive-and-recurrence-free survival or derive recurrence incidence by subtraction.</w:t>
      </w:r>
    </w:p>
    <w:p>
      <w:pPr>
        <w:pStyle w:val="Normal"/>
        <w:widowControl/>
        <w:spacing w:before="60" w:after="20"/>
      </w:pPr>
      <w:r>
        <w:rPr>
          <w:b/>
        </w:rPr>
        <w:t xml:space="preserve">Why retain or change it: </w:t>
      </w:r>
      <w:r>
        <w:t xml:space="preserve">Retain the OPEN initial original-Vp1–2/complete-vascular-response/at-least-12-month study proposal, with bounded parenchymal burden and expert imaging adjudication. This conservative combination is not validated by Sposito's less restrictive retrospective selection. Explain the 37/240 chance of reaching LT, 61.6% five-year recipient OS, six recurrences, four perioperative deaths and 13 major complications using their separate denominators and endpoints. Do not promote branch PVTT into the standard pathway or create US allocation priority from Italian deceased-donor experience. Vp3 remains registry-first without transplant authority; any expansion needs separate prospective and allocation review.</w:t>
      </w:r>
    </w:p>
    <w:p>
      <w:pPr>
        <w:pStyle w:val="Heading3"/>
        <w:keepNext/>
        <w:widowControl/>
      </w:pPr>
      <w:r>
        <w:t xml:space="preserve">Information required before the decision</w:t>
      </w:r>
    </w:p>
    <w:p>
      <w:pPr>
        <w:pStyle w:val="Normal"/>
        <w:widowControl/>
        <w:spacing w:before="60" w:after="20"/>
      </w:pPr>
      <w:r>
        <w:t xml:space="preserve">Original vessel-by-vessel map with Vp grade; expert serial contrast CT/MRI; chest staging; AFP; separate vascular and parenchymal response; resection options. Crosswalk the original study/anatomic vascular definition to current Vp grade. Record vascular response separately from overall mRECIST response; neither excludes microscopic viable PVTT.</w:t>
      </w:r>
    </w:p>
    <w:p>
      <w:pPr>
        <w:pStyle w:val="Normal"/>
        <w:widowControl/>
        <w:spacing w:before="60" w:after="20"/>
      </w:pPr>
      <w:r>
        <w:rPr>
          <w:b/>
        </w:rPr>
        <w:t xml:space="preserve">Clinical versus allocation: </w:t>
      </w:r>
      <w:r>
        <w:t xml:space="preserve">Clinical study eligibility cannot override the main-portal/hepatic-vein exception contraindications or grant priority. Obtain a separate documented organ route.</w:t>
      </w:r>
    </w:p>
    <w:p>
      <w:pPr>
        <w:pStyle w:val="Normal"/>
        <w:widowControl/>
        <w:spacing w:before="60" w:after="20"/>
      </w:pPr>
      <w:r>
        <w:rPr>
          <w:b/>
        </w:rPr>
        <w:t xml:space="preserve">Roadmap / protocol reconciliation: </w:t>
      </w:r>
      <w:r>
        <w:t xml:space="preserve">Continue standard HCC treatment and restaging while the study is developed; radiographic downstaging alone is not an instruction to list.</w:t>
      </w:r>
    </w:p>
    <w:p>
      <w:pPr>
        <w:pStyle w:val="Normal"/>
        <w:widowControl/>
        <w:spacing w:before="60" w:after="20"/>
      </w:pPr>
      <w:hyperlink r:id="rId104">
        <w:r>
          <w:rPr>
            <w:color w:val="77230C"/>
            <w:sz w:val="20"/>
            <w:u w:val="single"/>
          </w:rPr>
          <w:t>Meeting record: HCC-B2</w:t>
        </w:r>
      </w:hyperlink>
      <w:r>
        <w:t xml:space="preserve">  |  </w:t>
      </w:r>
      <w:hyperlink r:id="rId10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4 Downstaging treatment and response assessment</w:t>
      </w:r>
    </w:p>
    <w:p>
      <w:pPr>
        <w:pStyle w:val="Heading1"/>
        <w:widowControl/>
        <w:keepNext/>
      </w:pPr>
      <w:r>
        <w:t xml:space="preserve">4.1 Treatment-to-transplant interface</w:t>
      </w:r>
    </w:p>
    <w:p>
      <w:pPr>
        <w:pStyle w:val="Normal"/>
        <w:widowControl/>
        <w:spacing w:after="120"/>
      </w:pPr>
      <w:r>
        <w:t xml:space="preserve">Purpose: select treatment that controls disease while preserving liver function and the planned transplant route. This section is not a general HCC regimen catalogue. All selection criteria, allocation rules and high-risk meeting decisions elsewhere in this protocol remain in force.</w:t>
      </w:r>
    </w:p>
    <w:p>
      <w:pPr>
        <w:pStyle w:val="Normal"/>
        <w:widowControl/>
        <w:spacing w:after="120"/>
      </w:pPr>
      <w:r>
        <w:t xml:space="preserve">Treatment comparisons and regimen details: </w:t>
      </w:r>
      <w:hyperlink r:id="rId402">
        <w:r>
          <w:rPr>
            <w:color w:val="0563C1"/>
            <w:u w:val="single"/>
          </w:rPr>
          <w:t>HCC cancer roadmap — liver-directed and systemic matrices</w:t>
        </w:r>
      </w:hyperlink>
      <w:r>
        <w:t xml:space="preserve"> | </w:t>
      </w:r>
      <w:hyperlink r:id="rId403">
        <w:r>
          <w:rPr>
            <w:color w:val="0563C1"/>
            <w:u w:val="single"/>
          </w:rPr>
          <w:t>Systemic matrix extract</w:t>
        </w:r>
      </w:hyperlink>
    </w:p>
    <w:p>
      <w:pPr>
        <w:pStyle w:val="Heading2"/>
        <w:widowControl/>
        <w:keepNext/>
      </w:pPr>
      <w:r>
        <w:t xml:space="preserve">Before treatment</w:t>
      </w:r>
    </w:p>
    <w:p>
      <w:pPr>
        <w:pStyle w:val="Normal"/>
        <w:widowControl/>
        <w:spacing w:after="120"/>
        <w:numPr>
          <w:ilvl w:val="0"/>
          <w:numId w:val="5"/>
        </w:numPr>
      </w:pPr>
      <w:r>
        <w:t xml:space="preserve">Record the objective: bridging within the accepted route, downstaging toward an explicitly defined route, or nontransplant disease control. Record pretreatment tumor sites and dimensions, vascular/extrahepatic status, AFP trend, Child-Pugh, performance status and the expected waiting period.</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after="120"/>
        <w:numPr>
          <w:ilvl w:val="0"/>
          <w:numId w:val="5"/>
        </w:numPr>
      </w:pPr>
      <w:r>
        <w:t xml:space="preserve">MDT selects among thermal ablation, arterial embolization, radioembolization and external beam radiation according to anatomy, liver reserve, portal flow, prior treatment, local expertise and feasibility. No modality is universally the preferred bridge. A selective technical plan and the reserve needed for the next step must be documented.</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DE2L2ouamhlcC4yMDI0LjA4LjAyODwvdXJsPjwvcmVsYXRlZC11cmxzPjxwZGYtdXJscy8+PC91cmxzPjwvcmVjb3JkPjwvQ2l0ZT48L0VuZE5vdGU+</w:fldData>
        </w:fldChar>
      </w:r>
      <w:r>
        <w:instrText xml:space="preserve"> ADDIN EN.CITE.DATA </w:instrText>
      </w:r>
      <w:r>
        <w:fldChar w:fldCharType="end"/>
      </w:r>
      <w:r>
        <w:fldChar w:fldCharType="separate"/>
      </w:r>
      <w:r>
        <w:t xml:space="preserve">[V16-27]</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wcnJvLjIwMjEuMDkuMDA0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p>
    <w:p>
      <w:pPr>
        <w:pStyle w:val="Normal"/>
        <w:widowControl/>
        <w:spacing w:after="120"/>
        <w:numPr>
          <w:ilvl w:val="0"/>
          <w:numId w:val="5"/>
        </w:numPr>
      </w:pPr>
      <w:r>
        <w:t xml:space="preserve">Do not proceed with an elective treatment plan until decompensation, infection, bleeding, biliary obstruction and procedure-specific nontarget risks have been evaluated and addressed. An unresolved safety problem requires reconsideration of treatment, not automatic exclusion from every transplant pathway.</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</w:fldData>
        </w:fldChar>
      </w:r>
      <w:r>
        <w:instrText xml:space="preserve"> ADDIN EN.CITE.DATA </w:instrText>
      </w:r>
      <w:r>
        <w:fldChar w:fldCharType="end"/>
      </w:r>
      <w:r>
        <w:fldChar w:fldCharType="separate"/>
      </w:r>
      <w:r>
        <w:t xml:space="preserve">[V16-29]</w:t>
      </w:r>
      <w:r>
        <w:fldChar w:fldCharType="end"/>
      </w:r>
    </w:p>
    <w:p>
      <w:pPr>
        <w:pStyle w:val="Heading2"/>
        <w:widowControl/>
        <w:keepNext/>
      </w:pPr>
      <w:r>
        <w:t xml:space="preserve">Response and the next transplant decision</w:t>
      </w:r>
    </w:p>
    <w:p>
      <w:pPr>
        <w:pStyle w:val="Normal"/>
        <w:widowControl/>
        <w:spacing w:after="120"/>
        <w:numPr>
          <w:ilvl w:val="0"/>
          <w:numId w:val="5"/>
        </w:numPr>
      </w:pPr>
      <w:r>
        <w:t xml:space="preserve">Obtain multiphasic contrast CT or MRI with AFP and liver-function reassessment. Typical first imaging assessment is about 6 weeks after TACE and about 12 weeks after radioembolization or external beam radiation; obtain earlier imaging for a clinical concern. Tailor timing to the modality and the protocol observation window.</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spacing w:after="120"/>
        <w:numPr>
          <w:ilvl w:val="0"/>
          <w:numId w:val="5"/>
        </w:numPr>
      </w:pPr>
      <w:r>
        <w:t xml:space="preserve">Use treatment-specific response interpretation. Persistent but stable or decreasing enhancement after radiation can be nonprogressing; do not call failure or mandate retreatment on enhancement alone. New or increasing masslike enhancement, a rising biomarker, or clinical deterioration requires joint radiology/MDT review.</w:t>
      </w:r>
      <w:r>
        <w:t xml:space="preserve"> </w:t>
      </w:r>
      <w:r>
        <w:t xml:space="preserve"> </w:t>
      </w:r>
      <w:r>
        <w:t xml:space="preserve"> </w:t>
      </w:r>
      <w:r>
        <w:fldChar w:fldCharType="begin"/>
      </w:r>
      <w:r>
        <w:instrText xml:space="preserve"> ADDIN EN.CITE </w:instrText>
      </w:r>
      <w:r>
        <w:fldChar w:fldCharType="begin">
          <w:fldData>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</w:fldData>
        </w:fldChar>
      </w:r>
      <w:r>
        <w:instrText xml:space="preserve"> ADDIN EN.CITE.DATA </w:instrText>
      </w:r>
      <w:r>
        <w:fldChar w:fldCharType="end"/>
      </w:r>
      <w:r>
        <w:fldChar w:fldCharType="separate"/>
      </w:r>
      <w:r>
        <w:t xml:space="preserve">[V16-30]</w:t>
      </w:r>
      <w:r>
        <w:fldChar w:fldCharType="end"/>
      </w:r>
    </w:p>
    <w:p>
      <w:pPr>
        <w:pStyle w:val="Normal"/>
        <w:widowControl/>
        <w:spacing w:after="120"/>
        <w:numPr>
          <w:ilvl w:val="0"/>
          <w:numId w:val="5"/>
        </w:numPr>
      </w:pPr>
      <w:r>
        <w:t xml:space="preserve">Advance only after the selected route’s tumor-burden, response, reserve, observation and allocation conditions are documented. Cancer control and eligibility for an allocation exception are separate conclusions. Repeat treatment only when residual/progressive disease and expected benefit justify the reserve and toxicity cost.</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after="120"/>
        <w:numPr>
          <w:ilvl w:val="0"/>
          <w:numId w:val="5"/>
        </w:numPr>
      </w:pPr>
      <w:r>
        <w:t xml:space="preserve">Restage while waiting, generally at approximately 3-month intervals, with earlier review for progression or toxicity and any shorter protocol-specific surveillance requirement. Document viable disease and AFP rather than reclassifying treated scars as new untreated tumors.</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spacing w:after="120"/>
        <w:numPr>
          <w:ilvl w:val="0"/>
          <w:numId w:val="5"/>
        </w:numPr>
      </w:pPr>
      <w:r>
        <w:t xml:space="preserve">For high-risk conversion, retain the OPEN local surveillance proposal in the B decisions: AFP every 4 weeks and imaging every 6–8 weeks when clinically appropriate. Early post-radiation scans are interim assessments, not proof of failure; reconcile with the usual approximately 12-week primary response assessment. NLRB observation after completed downstaging is a separate eligibility requirement and is not replaced by an early response scan.</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</w:fldData>
        </w:fldChar>
      </w:r>
      <w:r>
        <w:instrText xml:space="preserve"> ADDIN EN.CITE.DATA </w:instrText>
      </w:r>
      <w:r>
        <w:fldChar w:fldCharType="end"/>
      </w:r>
      <w:r>
        <w:fldChar w:fldCharType="separate"/>
      </w:r>
      <w:r>
        <w:t xml:space="preserve">[V16-30]</w:t>
      </w:r>
      <w:r>
        <w:fldChar w:fldCharType="end"/>
      </w:r>
    </w:p>
    <w:p>
      <w:pPr>
        <w:pStyle w:val="Heading2"/>
        <w:widowControl/>
        <w:keepNext/>
      </w:pPr>
      <w:r>
        <w:t xml:space="preserve">Systemic exposure and operative safety</w:t>
      </w:r>
    </w:p>
    <w:p>
      <w:pPr>
        <w:pStyle w:val="Normal"/>
        <w:widowControl/>
        <w:spacing w:after="120"/>
        <w:numPr>
          <w:ilvl w:val="0"/>
          <w:numId w:val="5"/>
        </w:numPr>
      </w:pPr>
      <w:r>
        <w:t xml:space="preserve">Do not add systemic therapy routinely just because transplantation is planned. If needed for disease control, oncology selects a regimen using the cancer roadmap and records its intent, evidence, anticipated benefit and transplant implications before the first dose.</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DE2L2ouamhlcC4yMDI0LjA4LjAyODwvdXJsPjwvcmVsYXRlZC11cmxzPjxwZGYtdXJscy8+PC91cmxzPjwvcmVjb3JkPjwvQ2l0ZT48L0VuZE5vdGU+</w:fldData>
        </w:fldChar>
      </w:r>
      <w:r>
        <w:instrText xml:space="preserve"> ADDIN EN.CITE.DATA </w:instrText>
      </w:r>
      <w:r>
        <w:fldChar w:fldCharType="end"/>
      </w:r>
      <w:r>
        <w:fldChar w:fldCharType="separate"/>
      </w:r>
      <w:r>
        <w:t xml:space="preserve">[V16-27]</w:t>
      </w:r>
      <w:r>
        <w:fldChar w:fldCharType="end"/>
      </w:r>
    </w:p>
    <w:p>
      <w:pPr>
        <w:pStyle w:val="Normal"/>
        <w:widowControl/>
        <w:spacing w:after="120"/>
        <w:numPr>
          <w:ilvl w:val="0"/>
          <w:numId w:val="5"/>
        </w:numPr>
      </w:pPr>
      <w:r>
        <w:t xml:space="preserve">Before any immune checkpoint inhibitor in an LT-intent patient, obtain prospective transplant/oncology review and a documented stop, reassessment and washout plan. Follow the protocol’s existing ICI decision and meeting record. No single interval guarantees freedom from rejection; the proposed local threshold is not a validated universal safe boundary.</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MxPC9SZWNOdW0+PERpc3BsYXlUZXh0PltWMTYtMzFdPC9EaXNwbGF5VGV4dD48cmVjb3JkPjxyZWMtbnVtYmVyPjMxPC9yZWMtbnVtYmVyPjxmb3JlaWduLWtleXM+PGtleSBhcHA9IkVOIiBkYi1pZD0iN2U3OGIxNWItODYzMy01ZWMwLWEwYjQtY2U4YmRhNDhjMjY2IiB0aW1lc3RhbXA9IjE3OTMyODM2ODMiPjMx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[V16-31]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zI8L1JlY051bT48RGlzcGxheVRleHQ+W1YxNi0zMl08L0Rpc3BsYXlUZXh0PjxyZWNvcmQ+PHJlYy1udW1iZXI+MzI8L3JlYy1udW1iZXI+PGZvcmVpZ24ta2V5cz48a2V5IGFwcD0iRU4iIGRiLWlkPSI3ZTc4YjE1Yi04NjMzLTVlYzAtYTBiNC1jZThiZGE0OGMyNjYiIHRpbWVzdGFtcD0iMTc5MzI4MzY4MyI+MzI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[V16-32]</w:t>
      </w:r>
      <w:r>
        <w:fldChar w:fldCharType="end"/>
      </w:r>
    </w:p>
    <w:p>
      <w:pPr>
        <w:pStyle w:val="Normal"/>
        <w:widowControl/>
        <w:spacing w:after="120"/>
        <w:numPr>
          <w:ilvl w:val="0"/>
          <w:numId w:val="5"/>
        </w:numPr>
      </w:pPr>
      <w:r>
        <w:t xml:space="preserve">Use agent-specific perioperative holds. The bevacizumab label requires at least 28 days before elective surgery and at least 28 days after major surgery with adequate wound healing; this minimum is not a proven safe LT interval. Transplant timing may require a longer individualized interval. TKIs also require their own label/pharmacy review.</w:t>
      </w:r>
      <w:r>
        <w:t xml:space="preserve"> </w:t>
      </w:r>
      <w:r>
        <w:t xml:space="preserve"> </w:t>
      </w:r>
      <w:r>
        <w:t xml:space="preserve"> </w:t>
      </w:r>
      <w:r>
        <w:fldChar w:fldCharType="begin"/>
      </w:r>
      <w:r>
        <w:instrText xml:space="preserve"> ADDIN EN.CITE </w:instrText>
      </w:r>
      <w:r>
        <w:fldChar w:fldCharType="begin">
          <w:fldData>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</w:fldData>
        </w:fldChar>
      </w:r>
      <w:r>
        <w:instrText xml:space="preserve"> ADDIN EN.CITE.DATA </w:instrText>
      </w:r>
      <w:r>
        <w:fldChar w:fldCharType="end"/>
      </w:r>
      <w:r>
        <w:fldChar w:fldCharType="separate"/>
      </w:r>
      <w:r>
        <w:t xml:space="preserve">[V16-33]</w:t>
      </w:r>
      <w:r>
        <w:fldChar w:fldCharType="end"/>
      </w:r>
    </w:p>
    <w:p>
      <w:pPr>
        <w:pStyle w:val="Normal"/>
        <w:widowControl/>
        <w:spacing w:after="120"/>
        <w:numPr>
          <w:ilvl w:val="0"/>
          <w:numId w:val="5"/>
        </w:numPr>
      </w:pPr>
      <w:r>
        <w:t xml:space="preserve">After LT, do not automatically apply the nontransplant ICI matrix. Rejection and graft-loss risk require transplant/oncology assessment and an explicit exceptional-use decision; use the recurrence and immunosuppression sections of the protocol.</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</w:fldData>
        </w:fldChar>
      </w:r>
      <w:r>
        <w:instrText xml:space="preserve"> ADDIN EN.CITE.DATA </w:instrText>
      </w:r>
      <w:r>
        <w:fldChar w:fldCharType="end"/>
      </w:r>
      <w:r>
        <w:fldChar w:fldCharType="separate"/>
      </w:r>
      <w:r>
        <w:t xml:space="preserve">[V16-34]</w:t>
      </w:r>
      <w:r>
        <w:fldChar w:fldCharType="end"/>
      </w:r>
    </w:p>
    <w:p>
      <w:pPr>
        <w:pStyle w:val="Heading2"/>
        <w:widowControl/>
        <w:keepNext/>
      </w:pPr>
      <w:r>
        <w:t xml:space="preserve">4.2 ICI evidence and B3 decision</w:t>
      </w:r>
    </w:p>
    <w:p>
      <w:pPr>
        <w:pStyle w:val="Normal"/>
        <w:widowControl/>
      </w:pPr>
      <w:r>
        <w:t xml:space="preserve">VITALITY reported 117 assessed patients, 65/86 ever beyond Milan downstaged, and 43/117 transplanted; most also received locoregional therapy. ImmunoXXL reported 16 selected transplanted patients from 61 treated, with four rejection events. These studies do not isolate an ICI effect from selection or concomitant therapy. The main papers have been fully reviewed; any separately referenced, unavailable supplements remain identified in the source-specific notes.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zI8L1JlY051bT48RGlzcGxheVRleHQ+W1YxNi0zMl08L0Rpc3BsYXlUZXh0PjxyZWNvcmQ+PHJlYy1udW1iZXI+MzI8L3JlYy1udW1iZXI+PGZvcmVpZ24ta2V5cz48a2V5IGFwcD0iRU4iIGRiLWlkPSI3ZTc4YjE1Yi04NjMzLTVlYzAtYTBiNC1jZThiZGE0OGMyNjYiIHRpbWVzdGFtcD0iMTc5MzI4MzY4MyI+MzI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[V16-32]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</w:fldData>
        </w:fldChar>
      </w:r>
      <w:r>
        <w:instrText xml:space="preserve"> ADDIN EN.CITE.DATA </w:instrText>
      </w:r>
      <w:r>
        <w:fldChar w:fldCharType="end"/>
      </w:r>
      <w:r>
        <w:fldChar w:fldCharType="separate"/>
      </w:r>
      <w:r>
        <w:t xml:space="preserve">[V16-35]</w:t>
      </w:r>
      <w:r>
        <w:fldChar w:fldCharType="end"/>
      </w:r>
    </w:p>
    <w:p>
      <w:pPr>
        <w:pStyle w:val="Normal"/>
        <w:widowControl/>
        <w:numPr>
          <w:ilvl w:val="0"/>
          <w:numId w:val="3"/>
        </w:numPr>
      </w:pPr>
      <w:r>
        <w:t xml:space="preserve">Record ICI agent, every exposure date, last dose, immune-related adverse events and treatment, active infection, renal function and other immunosuppression. The OPEN HCC-B3 proposal is an elective interval of at least 90 days plus a separate toxicity gate. It is a conservative local safeguard, not a proven safe minimum or an OPTN requirement. Shorter exceptional-care timing requires explicit independent review; longer intervals do not eliminate risk.</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MxPC9SZWNOdW0+PERpc3BsYXlUZXh0PltWMTYtMzFdPC9EaXNwbGF5VGV4dD48cmVjb3JkPjxyZWMtbnVtYmVyPjMxPC9yZWMtbnVtYmVyPjxmb3JlaWduLWtleXM+PGtleSBhcHA9IkVOIiBkYi1pZD0iN2U3OGIxNWItODYzMy01ZWMwLWEwYjQtY2U4YmRhNDhjMjY2IiB0aW1lc3RhbXA9IjE3OTMyODM2ODMiPjMx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[V16-31]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2LTM2XTwvRGlzcGxheVRleHQ+PHJlY29yZD48cmVjLW51bWJlcj4zNjwvcmVjLW51bWJlcj48Zm9yZWlnbi1rZXlzPjxrZXkgYXBwPSJFTiIgZGItaWQ9IjdlNzhiMTViLTg2MzMtNWVjMC1hMGI0LWNlOGJkYTQ4YzI2NiIgdGltZXN0YW1wPSIxNzkzMjgzNj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[V16-36]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YtMzddPC9EaXNwbGF5VGV4dD48cmVjb3JkPjxyZWMtbnVtYmVyPjM3PC9yZWMtbnVtYmVyPjxmb3JlaWduLWtleXM+PGtleSBhcHA9IkVOIiBkYi1pZD0iN2U3OGIxNWItODYzMy01ZWMwLWEwYjQtY2U4YmRhNDhjMjY2IiB0aW1lc3RhbXA9IjE3OTMyODM2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[V16-37]</w:t>
      </w:r>
      <w:r>
        <w:fldChar w:fldCharType="end"/>
      </w:r>
    </w:p>
    <w:p>
      <w:pPr>
        <w:pStyle w:val="Normal"/>
        <w:widowControl/>
      </w:pPr>
      <w:r>
        <w:t xml:space="preserve">In a 119-recipient international cohort there were 24 rejection events and six rejection-related graft losses. Shorter washout was associated with more rejection; the above-50-day reference group is not an evidentiary guarantee of safety. The 91-patient individual-patient meta-analysis is largely retrospective. Prior immune toxicity is a risk signal, not proof that ATG or higher tacrolimus targets prevents rejection.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MxPC9SZWNOdW0+PERpc3BsYXlUZXh0PltWMTYtMzFdPC9EaXNwbGF5VGV4dD48cmVjb3JkPjxyZWMtbnVtYmVyPjMxPC9yZWMtbnVtYmVyPjxmb3JlaWduLWtleXM+PGtleSBhcHA9IkVOIiBkYi1pZD0iN2U3OGIxNWItODYzMy01ZWMwLWEwYjQtY2U4YmRhNDhjMjY2IiB0aW1lc3RhbXA9IjE3OTMyODM2ODMiPjMx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[V16-31]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2LTM2XTwvRGlzcGxheVRleHQ+PHJlY29yZD48cmVjLW51bWJlcj4zNjwvcmVjLW51bWJlcj48Zm9yZWlnbi1rZXlzPjxrZXkgYXBwPSJFTiIgZGItaWQ9IjdlNzhiMTViLTg2MzMtNWVjMC1hMGI0LWNlOGJkYTQ4YzI2NiIgdGltZXN0YW1wPSIxNzkzMjgzNj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[V16-36]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YtMzddPC9EaXNwbGF5VGV4dD48cmVjb3JkPjxyZWMtbnVtYmVyPjM3PC9yZWMtbnVtYmVyPjxmb3JlaWduLWtleXM+PGtleSBhcHA9IkVOIiBkYi1pZD0iN2U3OGIxNWItODYzMy01ZWMwLWEwYjQtY2U4YmRhNDhjMjY2IiB0aW1lc3RhbXA9IjE3OTMyODM2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[V16-37]</w:t>
      </w:r>
      <w:r>
        <w:fldChar w:fldCharType="end"/>
      </w:r>
    </w:p>
    <w:p>
      <w:pPr>
        <w:pStyle w:val="Heading3"/>
        <w:keepNext/>
        <w:widowControl/>
      </w:pPr>
      <w:bookmarkStart w:id="3" w:name="HCC_B3"/>
      <w:r>
        <w:t xml:space="preserve">HCC-B3 — How should prior ICI alter activation and consent?</w:t>
      </w:r>
      <w:bookmarkEnd w:id="3"/>
    </w:p>
    <w:p>
      <w:pPr>
        <w:pStyle w:val="Heading3"/>
        <w:keepNext/>
        <w:widowControl/>
      </w:pPr>
      <w:r>
        <w:t xml:space="preserve">Question and comparison</w:t>
      </w:r>
    </w:p>
    <w:p>
      <w:pPr>
        <w:pStyle w:val="Normal"/>
        <w:widowControl/>
        <w:spacing w:before="60" w:after="20"/>
      </w:pPr>
      <w:r>
        <w:t xml:space="preserve">Patients with HCC treated with immune checkpoint inhibitors before planned LT; compare shorter versus longer ICI-free intervals, prior irAE versus none, and ICI-exposed versus non-ICI recipients. Assess treatment-entry tumor control/access to LT separately from recipient rejection, graft loss, recurrence and survival.</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VITALITY · Tabrizian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zI8L1JlY051bT48RGlzcGxheVRleHQ+W1YxNi0zMl08L0Rpc3BsYXlUZXh0PjxyZWNvcmQ+PHJlYy1udW1iZXI+MzI8L3JlYy1udW1iZXI+PGZvcmVpZ24ta2V5cz48a2V5IGFwcD0iRU4iIGRiLWlkPSI3ZTc4YjE1Yi04NjMzLTVlYzAtYTBiNC1jZThiZGE0OGMyNjYiIHRpbWVzdGFtcD0iMTc5MzI4MzY4MyI+MzI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[V16-32]</w:t>
            </w:r>
            <w:r>
              <w:fldChar w:fldCharType="end"/>
            </w:r>
          </w:p>
          <w:p>
            <w:pPr>
              <w:pStyle w:val="Normal"/>
              <w:widowControl/>
              <w:spacing w:before="60" w:after="20"/>
            </w:pPr>
            <w:r>
              <w:t xml:space="preserve">Prospectively collected six-center observational cohort, January 2016–August 2023; 117 ICI-treated adults with intent to transplant. Baseline 70 within Milan and 47 beyond; 39 of the original within-Milan patients later progressed, yielding 31 always-within and 86 ever-beyond. ICI chosen after inadequate/exhausted LRT, high AFP or technical LRT infeasibility; 110/117 also received LRT.</w:t>
            </w:r>
          </w:p>
          <w:p>
            <w:pPr>
              <w:pStyle w:val="Normal"/>
              <w:widowControl/>
              <w:spacing w:before="60" w:after="20"/>
            </w:pPr>
            <w:hyperlink r:id="rId106">
              <w:r>
                <w:rPr>
                  <w:color w:val="77230C"/>
                  <w:sz w:val="20"/>
                  <w:u w:val="single"/>
                </w:rPr>
                <w:t>Primary source</w:t>
              </w:r>
            </w:hyperlink>
            <w:r>
              <w:t xml:space="preserve"> | </w:t>
            </w:r>
            <w:hyperlink r:id="rId107">
              <w:r>
                <w:rPr>
                  <w:color w:val="77230C"/>
                  <w:sz w:val="20"/>
                  <w:u w:val="single"/>
                </w:rPr>
                <w:t>Full-text PDF</w:t>
              </w:r>
            </w:hyperlink>
          </w:p>
          <w:p>
            <w:pPr>
              <w:pStyle w:val="Normal"/>
              <w:widowControl/>
              <w:spacing w:before="60" w:after="20"/>
            </w:pPr>
            <w:r>
              <w:t xml:space="preserve">Locator: PDF p 3/j 513 Methods and time origins | PDF p 4/j 514 baseline counts | PDF p 5/j 515 toxicities/outcomes | PDF p 6/j 516 Figure 1 and LT outcomes | PDF p 8–9/j 518–519 Tables 3–5 | PDF p 10/j 520 limitations</w:t>
            </w:r>
          </w:p>
          <w:p>
            <w:pPr>
              <w:pStyle w:val="Normal"/>
              <w:widowControl/>
              <w:spacing w:before="60" w:after="20"/>
            </w:pPr>
            <w:r>
              <w:t xml:space="preserve">Review depth: Complete main-paper PDF read: all 12 pages, including methods/results/tables/discussion, Figure 1 and references. Separate supplement not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65/86 ever-beyond downstaged (75.6%), median 5.6 months. Three-year ITT survival 71.1% (Results/Figure 2; minor conflicting 70.8% in Discussion); recipient three-year survival 85%. Three-year cumulative LT 33.9%, dropout 42.6%. Complete necrosis 10/42 evaluable explants; micro/macrovascular invasion 13/41. Five HCC recurrences, none with complete explant necrosis. Median ICI washout 43 days; 29/43 &lt;3 months, 14/43 ≥3 months. Safety: Seven biopsy-proven rejections, six after &lt;3-month washout; one graft loss/retransplant after 54-day washout, no rejection-related death. Report 7 events/43 recipients (16.3% crude calculation); article says 16.7%, and Table 5 long-washout 1/13 = 7.7% despite n 14 header: one evaluable-status ambiguity remains. No grade 4–5 waitlist toxicity; two grade 3 events—Figure 1 'no grade3–5' conflicts with Table 2/text.</w:t>
            </w:r>
          </w:p>
          <w:p>
            <w:pPr>
              <w:pStyle w:val="Normal"/>
              <w:widowControl/>
              <w:spacing w:before="60" w:after="20"/>
            </w:pPr>
            <w:r>
              <w:rPr>
                <w:b/>
              </w:rPr>
              <w:t xml:space="preserve">Do not infer: </w:t>
            </w:r>
            <w:r>
              <w:t xml:space="preserve">No non-ICI comparator; treatment mix and prior-treatment survival selection; short post-LT follow-up. No demonstrated advantage from ICI addition, validated washout cutoff, immune assay or induction regimen. Supplements Figure S1 not provided.</w:t>
            </w:r>
          </w:p>
        </w:tc>
      </w:tr>
      <w:tr>
        <w:trPr/>
        <w:tc>
          <w:tcPr>
            <w:tcW w:w="3400" w:type="dxa"/>
            <w:tcMar>
              <w:top w:w="90" w:type="dxa"/>
              <w:left w:w="90" w:type="dxa"/>
              <w:bottom w:w="90" w:type="dxa"/>
              <w:right w:w="90" w:type="dxa"/>
            </w:tcMar>
          </w:tcPr>
          <w:p>
            <w:pPr>
              <w:pStyle w:val="Normal"/>
              <w:widowControl/>
              <w:spacing w:before="60" w:after="20"/>
            </w:pPr>
            <w:r>
              <w:rPr>
                <w:b/>
              </w:rPr>
              <w:t xml:space="preserve">ImmunoXXL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</w:fldData>
              </w:fldChar>
            </w:r>
            <w:r>
              <w:instrText xml:space="preserve"> ADDIN EN.CITE.DATA </w:instrText>
            </w:r>
            <w:r>
              <w:fldChar w:fldCharType="end"/>
            </w:r>
            <w:r>
              <w:fldChar w:fldCharType="separate"/>
            </w:r>
            <w:r>
              <w:t xml:space="preserve">[V16-35]</w:t>
            </w:r>
            <w:r>
              <w:fldChar w:fldCharType="end"/>
            </w:r>
          </w:p>
          <w:p>
            <w:pPr>
              <w:pStyle w:val="Normal"/>
              <w:widowControl/>
              <w:spacing w:before="60" w:after="20"/>
            </w:pPr>
            <w:r>
              <w:t xml:space="preserve">Single-center prospective observational phase-II-design study. Sixty-one potentially eligible patients received atezolizumab/bevacizumab from June 2022; 16 selected responders enrolled/listed/transplanted December 2022–January 2025. Initially beyond Up-to-7/UNOS-DS, not amenable to further LRT/surgery, no hepatic-vein/caval invasion or extrahepatic spread. Methods specify Child-Pugh A/ECOG 0–1 at treatment, but Table 1 includes two Child-Pugh B at diagnosis (different time point). At least three months/three cycles and modeled post-LT survival ≥60%; Figure 1 explicitly adds PVTT ≤ Vp2 and AFP ≤100 at downstaging eligibility.</w:t>
            </w:r>
          </w:p>
          <w:p>
            <w:pPr>
              <w:pStyle w:val="Normal"/>
              <w:widowControl/>
              <w:spacing w:before="60" w:after="20"/>
            </w:pPr>
            <w:hyperlink r:id="rId108">
              <w:r>
                <w:rPr>
                  <w:color w:val="77230C"/>
                  <w:sz w:val="20"/>
                  <w:u w:val="single"/>
                </w:rPr>
                <w:t>Primary source</w:t>
              </w:r>
            </w:hyperlink>
            <w:r>
              <w:t xml:space="preserve"> | </w:t>
            </w:r>
            <w:hyperlink r:id="rId109">
              <w:r>
                <w:rPr>
                  <w:color w:val="77230C"/>
                  <w:sz w:val="20"/>
                  <w:u w:val="single"/>
                </w:rPr>
                <w:t>Full-text PDF</w:t>
              </w:r>
            </w:hyperlink>
          </w:p>
          <w:p>
            <w:pPr>
              <w:pStyle w:val="Normal"/>
              <w:widowControl/>
              <w:spacing w:before="60" w:after="20"/>
            </w:pPr>
            <w:r>
              <w:t xml:space="preserve">Locator: PDF p 3/j 118 eligibility/methods | PDF p 4/j 119 Figure 1 | PDF p 5/j 120 statistical time origins and cohort flow | PDF p 6/j 121 Table 1 | PDF p 7/j 122 Figures 2–3 | PDF p 8/j 123 rejection/retransplant outcomes | PDF p 10/j 125 limitations | PDF p 12/j 127 Table 2</w:t>
            </w:r>
          </w:p>
          <w:p>
            <w:pPr>
              <w:pStyle w:val="Normal"/>
              <w:widowControl/>
              <w:spacing w:before="60" w:after="20"/>
            </w:pPr>
            <w:r>
              <w:t xml:space="preserve">Review depth: Complete 14-page main-paper PDF read; Tables S1–S5 and separate supplementary methods/figures are referenced but not attached.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Eight baseline PVTT: Figure 2 six Vp2, one Vp3, one Vp4; after treatment/explant seven complete responses and one Vp4 → Vp2. Median washout 57.5 d (IQR 29–87), follow-up 16 mo. Ten complete and six partial pathological responses. One recurrence and one death; reported two-year recurrence-free estimate 90% (95% CI 62–98) and OS 94% (67–100), with above time-origin/death-censoring caveat. Radiologic counts 12 CR/4 PR equal 75%/25%, whereas text/table incorrectly label 70%/30%. Safety: Four biopsy-proven acute rejections (RAI 5–7); median washout 28 d rejecting vs 60 d nonrejecting, P = .045. Three pre-LT events labeled irAEs, including ascites and severe hypertension. Ninety-day morbidity 10/16 (62.5%), mortality 1/16 (6.3%). Two retransplants: one hepatic-artery thrombosis; one marginal-graft dysfunction mixed with rejection/sepsis, followed by death. Do not describe all graft loss as rejection-caused or the entire course as harmless/manageable rejection.</w:t>
            </w:r>
          </w:p>
          <w:p>
            <w:pPr>
              <w:pStyle w:val="Normal"/>
              <w:widowControl/>
              <w:spacing w:before="60" w:after="20"/>
            </w:pPr>
            <w:r>
              <w:rPr>
                <w:b/>
              </w:rPr>
              <w:t xml:space="preserve">Do not infer: </w:t>
            </w:r>
            <w:r>
              <w:t xml:space="preserve">Tiny selected cohort, short follow-up and wide intervals; historical proxy endpoint, no clinical survival control. Fourteen LRT-only patients served an immunoprofiling comparison, not an unbiased comparative efficacy arm. Transcriptomic/immune associations are exploratory and cannot validate a two-month safe interval or immune-clearance assay. Supplementary eligibility details unavailable.</w:t>
            </w:r>
          </w:p>
        </w:tc>
      </w:tr>
      <w:tr>
        <w:trPr/>
        <w:tc>
          <w:tcPr>
            <w:tcW w:w="3400" w:type="dxa"/>
            <w:tcMar>
              <w:top w:w="90" w:type="dxa"/>
              <w:left w:w="90" w:type="dxa"/>
              <w:bottom w:w="90" w:type="dxa"/>
              <w:right w:w="90" w:type="dxa"/>
            </w:tcMar>
          </w:tcPr>
          <w:p>
            <w:pPr>
              <w:pStyle w:val="Normal"/>
              <w:widowControl/>
              <w:spacing w:before="60" w:after="20"/>
            </w:pPr>
            <w:r>
              <w:rPr>
                <w:b/>
              </w:rPr>
              <w:t xml:space="preserve">Moeckli 2025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MxPC9SZWNOdW0+PERpc3BsYXlUZXh0PltWMTYtMzFdPC9EaXNwbGF5VGV4dD48cmVjb3JkPjxyZWMtbnVtYmVyPjMxPC9yZWMtbnVtYmVyPjxmb3JlaWduLWtleXM+PGtleSBhcHA9IkVOIiBkYi1pZD0iN2U3OGIxNWItODYzMy01ZWMwLWEwYjQtY2U4YmRhNDhjMjY2IiB0aW1lc3RhbXA9IjE3OTMyODM2ODMiPjMx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[V16-31]</w:t>
            </w:r>
            <w:r>
              <w:fldChar w:fldCharType="end"/>
            </w:r>
          </w:p>
          <w:p>
            <w:pPr>
              <w:pStyle w:val="Normal"/>
              <w:widowControl/>
              <w:spacing w:before="60" w:after="20"/>
            </w:pPr>
            <w:r>
              <w:t xml:space="preserve">International retrospective individual-patient assembly from literature search (2017–25 Nov 2024), author/center follow-up and five previously unpublished patients; 119 recipients from 29 centers after 3 exclusions. Not 119 independent newly recruited patients. Required ICI type, washout, rejection information and ≥2 weeks post-LT follow-up. Duplicates within this assembly removed; overlap with prior IPD review acknowledged.</w:t>
            </w:r>
          </w:p>
          <w:p>
            <w:pPr>
              <w:pStyle w:val="Normal"/>
              <w:widowControl/>
              <w:spacing w:before="60" w:after="20"/>
            </w:pPr>
            <w:hyperlink r:id="rId110">
              <w:r>
                <w:rPr>
                  <w:color w:val="77230C"/>
                  <w:sz w:val="20"/>
                  <w:u w:val="single"/>
                </w:rPr>
                <w:t>Primary source</w:t>
              </w:r>
            </w:hyperlink>
            <w:r>
              <w:t xml:space="preserve"> | </w:t>
            </w:r>
            <w:hyperlink r:id="rId111">
              <w:r>
                <w:rPr>
                  <w:color w:val="77230C"/>
                  <w:sz w:val="20"/>
                  <w:u w:val="single"/>
                </w:rPr>
                <w:t>Full-text PDF</w:t>
              </w:r>
            </w:hyperlink>
          </w:p>
          <w:p>
            <w:pPr>
              <w:pStyle w:val="Normal"/>
              <w:widowControl/>
              <w:spacing w:before="60" w:after="20"/>
            </w:pPr>
            <w:r>
              <w:t xml:space="preserve">Locator: PDF p 3–4/j 1124–1125 inclusion, outcome/statistical definitions | PDF p 5–7/j 1126–1128 Table 1 and graft-loss outcomes | PDF p 8/j 1129 Figure 2 | PDF p 10–11/j 1131–1132 Table 2 | PDF p 13/j 1134 missing follow-up/limitations</w:t>
            </w:r>
          </w:p>
          <w:p>
            <w:pPr>
              <w:pStyle w:val="Normal"/>
              <w:widowControl/>
              <w:spacing w:before="60" w:after="20"/>
            </w:pPr>
            <w:r>
              <w:t xml:space="preserve">Review depth: Complete 16-page main-paper PDF read, including both parts of regression Table 2 and all figures. Supplemental Appendix/Table S1–S2/Figures S1–S3 not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18 mo (IQR 11–27). Reported washout bins: 0–30 d n 30, 15 rejections; 30–50 d n 23, 6; 50–90 d n 28, 2; &gt;90 d n 38, 1. Combined short 53 had 21 rejections versus long 66 had 3. Table 2 multivariable ORs versus &gt;50 d: 0–30 d 34.0 (95% CI 7.17–267), 30–50 d 10.8 (2.3–78.6); univariate 21.3/9.48. Continuous sensitivity OR .97/day (.95–.99). Data-driven 50 day choice sought observed rejection &lt;10%. No detected recurrence difference; body reports 36 mo recurrence-free 71% vs 66%, abstract 67% comparator (minor inconsistency). Safety: 24/119 rejection 20.2%, median 9 d; six rejection-related graft losses (6/119 5.0%; 6/24 25%). Four patients with graft loss subsequently died and two were retransplanted; do not label all four deaths definitively rejection-attributable without case supplement. Nine deaths among 92 with available status. Rejection/persistent graft-loss risk not zero after 90 days (one of 38).</w:t>
            </w:r>
          </w:p>
          <w:p>
            <w:pPr>
              <w:pStyle w:val="Normal"/>
              <w:widowControl/>
              <w:spacing w:before="60" w:after="20"/>
            </w:pPr>
            <w:r>
              <w:rPr>
                <w:b/>
              </w:rPr>
              <w:t xml:space="preserve">Do not infer: </w:t>
            </w:r>
            <w:r>
              <w:t xml:space="preserve">Literature-derived/publication bias, heterogeneous ascertainment and immunosuppression, one-third clinically diagnosed, small event count/data-driven cutpoint and very wide adjusted intervals. Missing donor factors undermine reassurance from nonsignificance. No capture of progression/dropout during washout, so no estimate of the longer-wait oncologic tradeoff. Main paper does not externally validate the 50 day threshold.</w:t>
            </w:r>
          </w:p>
        </w:tc>
      </w:tr>
      <w:tr>
        <w:trPr/>
        <w:tc>
          <w:tcPr>
            <w:tcW w:w="3400" w:type="dxa"/>
            <w:tcMar>
              <w:top w:w="90" w:type="dxa"/>
              <w:left w:w="90" w:type="dxa"/>
              <w:bottom w:w="90" w:type="dxa"/>
              <w:right w:w="90" w:type="dxa"/>
            </w:tcMar>
          </w:tcPr>
          <w:p>
            <w:pPr>
              <w:pStyle w:val="Normal"/>
              <w:widowControl/>
              <w:spacing w:before="60" w:after="20"/>
            </w:pPr>
            <w:r>
              <w:rPr>
                <w:b/>
              </w:rPr>
              <w:t xml:space="preserve">Rezaee-Zavareh · IPD</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2LTM2XTwvRGlzcGxheVRleHQ+PHJlY29yZD48cmVjLW51bWJlcj4zNjwvcmVjLW51bWJlcj48Zm9yZWlnbi1rZXlzPjxrZXkgYXBwPSJFTiIgZGItaWQ9IjdlNzhiMTViLTg2MzMtNWVjMC1hMGI0LWNlOGJkYTQ4YzI2NiIgdGltZXN0YW1wPSIxNzkzMjgzNj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[V16-36]</w:t>
            </w:r>
            <w:r>
              <w:fldChar w:fldCharType="end"/>
            </w:r>
          </w:p>
          <w:p>
            <w:pPr>
              <w:pStyle w:val="Normal"/>
              <w:widowControl/>
              <w:spacing w:before="60" w:after="20"/>
            </w:pPr>
            <w:r>
              <w:t xml:space="preserve">Secondary systematic review and individual-patient-data analysis: 91 recipients from 30 predominantly case reports/series and cohorts.</w:t>
            </w:r>
          </w:p>
          <w:p>
            <w:pPr>
              <w:pStyle w:val="Normal"/>
              <w:widowControl/>
              <w:spacing w:before="60" w:after="20"/>
            </w:pPr>
            <w:hyperlink r:id="rId112">
              <w:r>
                <w:rPr>
                  <w:color w:val="77230C"/>
                  <w:sz w:val="20"/>
                  <w:u w:val="single"/>
                </w:rPr>
                <w:t>Primary source</w:t>
              </w:r>
            </w:hyperlink>
            <w:r>
              <w:t xml:space="preserve"> | </w:t>
            </w:r>
            <w:hyperlink r:id="rId113">
              <w:r>
                <w:rPr>
                  <w:color w:val="77230C"/>
                  <w:sz w:val="20"/>
                  <w:u w:val="single"/>
                </w:rPr>
                <w:t>Full-text PDF</w:t>
              </w:r>
            </w:hyperlink>
          </w:p>
          <w:p>
            <w:pPr>
              <w:pStyle w:val="Normal"/>
              <w:widowControl/>
              <w:spacing w:before="60" w:after="20"/>
            </w:pPr>
            <w:r>
              <w:t xml:space="preserve">Locator: Complete local author manuscript: Results/washout model; PDF p10 (manuscript p7) conclusion. Existing V6 quotation ledger retained.</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24/91 rejections (26.4%), nine recurrences and nine deaths; median follow-up 690 days. Adjusted rejection hazard ratio per additional washout week .92 (95% CI .86–.99). Ninety-four days was the median washout among modeled patients with predicted rejection probability ≤20%, not an observed universal safety cutoff.</w:t>
            </w:r>
          </w:p>
          <w:p>
            <w:pPr>
              <w:pStyle w:val="Normal"/>
              <w:widowControl/>
              <w:spacing w:before="60" w:after="20"/>
            </w:pPr>
            <w:r>
              <w:rPr>
                <w:b/>
              </w:rPr>
              <w:t xml:space="preserve">Do not infer: </w:t>
            </w:r>
            <w:r>
              <w:t xml:space="preserve">Publication/selection bias, heterogeneous regimens, small events and overlap with later cohorts. A modeled ≤20% probability does not justify telling an individual that three months eliminates rejection risk.</w:t>
            </w:r>
          </w:p>
        </w:tc>
      </w:tr>
      <w:tr>
        <w:trPr/>
        <w:tc>
          <w:tcPr>
            <w:tcW w:w="3400" w:type="dxa"/>
            <w:tcMar>
              <w:top w:w="90" w:type="dxa"/>
              <w:left w:w="90" w:type="dxa"/>
              <w:bottom w:w="90" w:type="dxa"/>
              <w:right w:w="90" w:type="dxa"/>
            </w:tcMar>
          </w:tcPr>
          <w:p>
            <w:pPr>
              <w:pStyle w:val="Normal"/>
              <w:widowControl/>
              <w:spacing w:before="60" w:after="20"/>
            </w:pPr>
            <w:r>
              <w:rPr>
                <w:b/>
              </w:rPr>
              <w:t xml:space="preserve">Fang · irAEs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YtMzddPC9EaXNwbGF5VGV4dD48cmVjb3JkPjxyZWMtbnVtYmVyPjM3PC9yZWMtbnVtYmVyPjxmb3JlaWduLWtleXM+PGtleSBhcHA9IkVOIiBkYi1pZD0iN2U3OGIxNWItODYzMy01ZWMwLWEwYjQtY2U4YmRhNDhjMjY2IiB0aW1lc3RhbXA9IjE3OTMyODM2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[V16-37]</w:t>
            </w:r>
            <w:r>
              <w:fldChar w:fldCharType="end"/>
            </w:r>
          </w:p>
          <w:p>
            <w:pPr>
              <w:pStyle w:val="Normal"/>
              <w:widowControl/>
              <w:spacing w:before="60" w:after="20"/>
            </w:pPr>
            <w:r>
              <w:t xml:space="preserve">Multicenter Chinese retrospective cohort, 2018–2024: 209 ICI-exposed LT recipients.</w:t>
            </w:r>
          </w:p>
          <w:p>
            <w:pPr>
              <w:pStyle w:val="Normal"/>
              <w:widowControl/>
              <w:spacing w:before="60" w:after="20"/>
            </w:pPr>
            <w:hyperlink r:id="rId114">
              <w:r>
                <w:rPr>
                  <w:color w:val="77230C"/>
                  <w:sz w:val="20"/>
                  <w:u w:val="single"/>
                </w:rPr>
                <w:t>Primary source</w:t>
              </w:r>
            </w:hyperlink>
            <w:r>
              <w:t xml:space="preserve"> | </w:t>
            </w:r>
            <w:hyperlink r:id="rId115">
              <w:r>
                <w:rPr>
                  <w:color w:val="77230C"/>
                  <w:sz w:val="20"/>
                  <w:u w:val="single"/>
                </w:rPr>
                <w:t>Full-text PDF</w:t>
              </w:r>
            </w:hyperlink>
          </w:p>
          <w:p>
            <w:pPr>
              <w:pStyle w:val="Normal"/>
              <w:widowControl/>
              <w:spacing w:before="60" w:after="20"/>
            </w:pPr>
            <w:r>
              <w:t xml:space="preserve">Locator: Complete local PDF pp5–6, Tables 3–4; avoid reversed conditional denominators.</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Rejection occurred in 36/209 (17.2%); 61.1% biopsy proven, median ten days after LT. Correct risks from Table 3: 21/44 (47.7%) with prior irAE versus 15/165 (9.1%) without. Any irAE adjusted OR 9.17 (95% CI 4.00–21.02); washout &lt;30 days OR 3.071 (1.211–7.787). The six grade 3–4 cases split three with and three without rejection.</w:t>
            </w:r>
          </w:p>
          <w:p>
            <w:pPr>
              <w:pStyle w:val="Normal"/>
              <w:widowControl/>
              <w:spacing w:before="60" w:after="20"/>
            </w:pPr>
            <w:r>
              <w:rPr>
                <w:b/>
              </w:rPr>
              <w:t xml:space="preserve">Do not infer: </w:t>
            </w:r>
            <w:r>
              <w:t xml:space="preserve">The discussion's 58.3%/13.3% are irAE prevalence within rejection/nonrejection groups, not rejection probabilities. Too few severe irAEs to validate a grade-specific exclusion or a recovery interval.</w:t>
            </w:r>
          </w:p>
        </w:tc>
      </w:tr>
      <w:tr>
        <w:trPr/>
        <w:tc>
          <w:tcPr>
            <w:tcW w:w="3400" w:type="dxa"/>
            <w:tcMar>
              <w:top w:w="90" w:type="dxa"/>
              <w:left w:w="90" w:type="dxa"/>
              <w:bottom w:w="90" w:type="dxa"/>
              <w:right w:w="90" w:type="dxa"/>
            </w:tcMar>
          </w:tcPr>
          <w:p>
            <w:pPr>
              <w:pStyle w:val="Normal"/>
              <w:widowControl/>
              <w:spacing w:before="60" w:after="20"/>
            </w:pPr>
            <w:r>
              <w:rPr>
                <w:b/>
              </w:rPr>
              <w:t xml:space="preserve">Aceituno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</w:fldData>
              </w:fldChar>
            </w:r>
            <w:r>
              <w:instrText xml:space="preserve"> ADDIN EN.CITE.DATA </w:instrText>
            </w:r>
            <w:r>
              <w:fldChar w:fldCharType="end"/>
            </w:r>
            <w:r>
              <w:fldChar w:fldCharType="separate"/>
            </w:r>
            <w:r>
              <w:t xml:space="preserve">[V16-38]</w:t>
            </w:r>
            <w:r>
              <w:fldChar w:fldCharType="end"/>
            </w:r>
          </w:p>
          <w:p>
            <w:pPr>
              <w:pStyle w:val="Normal"/>
              <w:widowControl/>
              <w:spacing w:before="60" w:after="20"/>
            </w:pPr>
            <w:r>
              <w:t xml:space="preserve">Ten-center ICI series, 48 recipients, propensity matched with 144 Toronto non-ICI controls; 20/48 exposed cases previously published.</w:t>
            </w:r>
          </w:p>
          <w:p>
            <w:pPr>
              <w:pStyle w:val="Normal"/>
              <w:widowControl/>
              <w:spacing w:before="60" w:after="20"/>
            </w:pPr>
            <w:hyperlink r:id="rId116">
              <w:r>
                <w:rPr>
                  <w:color w:val="77230C"/>
                  <w:sz w:val="20"/>
                  <w:u w:val="single"/>
                </w:rPr>
                <w:t>Primary source</w:t>
              </w:r>
            </w:hyperlink>
            <w:r>
              <w:t xml:space="preserve"> | </w:t>
            </w:r>
            <w:hyperlink r:id="rId117">
              <w:r>
                <w:rPr>
                  <w:color w:val="77230C"/>
                  <w:sz w:val="20"/>
                  <w:u w:val="single"/>
                </w:rPr>
                <w:t>Full-text PDF</w:t>
              </w:r>
            </w:hyperlink>
          </w:p>
          <w:p>
            <w:pPr>
              <w:pStyle w:val="Normal"/>
              <w:widowControl/>
              <w:spacing w:before="60" w:after="20"/>
            </w:pPr>
            <w:r>
              <w:t xml:space="preserve">Locator: Complete local PDF pp2–5, Methods and Tables 1–2.</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Biopsy-proven rejection 9/48 (18.8%) versus 28/144 (19.4%), P=.916. Two exposed cases were steroid resistant; one rejection-related graft failure required retransplant. Overall graft failure 2/48 versus 3/144, retransplant 2 versus zero, recurrence 5/48 versus 15/144, death 7/48 versus 21/144. Median follow-up 2.6 versus 3.2 years. Table 1 washout median 60 days, IQR 22–196.</w:t>
            </w:r>
          </w:p>
          <w:p>
            <w:pPr>
              <w:pStyle w:val="Normal"/>
              <w:widowControl/>
              <w:spacing w:before="60" w:after="20"/>
            </w:pPr>
            <w:r>
              <w:rPr>
                <w:b/>
              </w:rPr>
              <w:t xml:space="preserve">Do not infer: </w:t>
            </w:r>
            <w:r>
              <w:t xml:space="preserve">No detected difference is not equivalence. Substantial tumor-risk imbalance and published-case overlap. Abstract washout IQR 13–96 conflicts with Table 1 and appears to match rejection-onset timing; use table and flag discrepancy. It cannot reassure about prior irAE risk.</w:t>
            </w:r>
          </w:p>
        </w:tc>
      </w:tr>
      <w:tr>
        <w:trPr/>
        <w:tc>
          <w:tcPr>
            <w:tcW w:w="3400" w:type="dxa"/>
            <w:tcMar>
              <w:top w:w="90" w:type="dxa"/>
              <w:left w:w="90" w:type="dxa"/>
              <w:bottom w:w="90" w:type="dxa"/>
              <w:right w:w="90" w:type="dxa"/>
            </w:tcMar>
          </w:tcPr>
          <w:p>
            <w:pPr>
              <w:pStyle w:val="Normal"/>
              <w:widowControl/>
              <w:spacing w:before="60" w:after="20"/>
            </w:pPr>
            <w:r>
              <w:rPr>
                <w:b/>
              </w:rPr>
              <w:t xml:space="preserve">LITCHI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</w:fldData>
              </w:fldChar>
            </w:r>
            <w:r>
              <w:instrText xml:space="preserve"> ADDIN EN.CITE.DATA </w:instrText>
            </w:r>
            <w:r>
              <w:fldChar w:fldCharType="end"/>
            </w:r>
            <w:r>
              <w:fldChar w:fldCharType="separate"/>
            </w:r>
            <w:r>
              <w:t xml:space="preserve">[V16-39]</w:t>
            </w:r>
            <w:r>
              <w:fldChar w:fldCharType="end"/>
            </w:r>
          </w:p>
          <w:p>
            <w:pPr>
              <w:pStyle w:val="Normal"/>
              <w:widowControl/>
              <w:spacing w:before="60" w:after="20"/>
            </w:pPr>
            <w:r>
              <w:t xml:space="preserve">European multicenter series of 18 ICI-exposed LT recipients: 15 atezolizumab–bevacizumab, two nivolumab and one pembrolizumab. Fourteen of 17 evaluable patients were beyond Milan before treatment and seven of 17 remained beyond Milan before LT.</w:t>
            </w:r>
          </w:p>
          <w:p>
            <w:pPr>
              <w:pStyle w:val="Normal"/>
              <w:widowControl/>
              <w:spacing w:before="60" w:after="20"/>
            </w:pPr>
            <w:hyperlink r:id="rId118">
              <w:r>
                <w:rPr>
                  <w:color w:val="77230C"/>
                  <w:sz w:val="20"/>
                  <w:u w:val="single"/>
                </w:rPr>
                <w:t>Primary source</w:t>
              </w:r>
            </w:hyperlink>
            <w:r>
              <w:t xml:space="preserve"> | </w:t>
            </w:r>
            <w:hyperlink r:id="rId119">
              <w:r>
                <w:rPr>
                  <w:color w:val="77230C"/>
                  <w:sz w:val="20"/>
                  <w:u w:val="single"/>
                </w:rPr>
                <w:t>Full-text PDF</w:t>
              </w:r>
            </w:hyperlink>
          </w:p>
          <w:p>
            <w:pPr>
              <w:pStyle w:val="Normal"/>
              <w:widowControl/>
              <w:spacing w:before="60" w:after="20"/>
            </w:pPr>
            <w:r>
              <w:t xml:space="preserve">Locator: PDF p 2: cohort, biopsy ascertainment, 14/17 and 7/17 Milan status. | PDF p 3: Table 1 washout, harms, 12-month OS and follow up. | PDF p 4: rejection days, limitations, 14/18 &gt;100 days. | PDF p 5: supplement inventory not included.</w:t>
            </w:r>
          </w:p>
          <w:p>
            <w:pPr>
              <w:pStyle w:val="Normal"/>
              <w:widowControl/>
              <w:spacing w:before="60" w:after="20"/>
            </w:pPr>
            <w:r>
              <w:t xml:space="preserve">Review depth: Complete six-page main article read, including individual-patient Table 1 and discussion; supplemental Tables S1–S4/Figures S1–S3 not provided.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of 18 had biopsy-proven rejection (22%; reported 95% CI 6.4–47.6%), diagnosed at days 21, 27, 147 and 686. One rejection was fatal after a 13-day washout. One HCC recurrence occurred at 229 days. The reported one-year OS point estimate is 77%, but abstract and body give inconsistent confidence intervals. Safety: Rejection can occur late, not only in the immediate postoperative period. One fatal rejection; a long washout does not eliminate risk.</w:t>
            </w:r>
          </w:p>
          <w:p>
            <w:pPr>
              <w:pStyle w:val="Normal"/>
              <w:widowControl/>
              <w:spacing w:before="60" w:after="20"/>
            </w:pPr>
            <w:r>
              <w:rPr>
                <w:b/>
              </w:rPr>
              <w:t xml:space="preserve">Do not infer: </w:t>
            </w:r>
            <w:r>
              <w:t xml:space="preserve">Small selected recipient series without a control group or entry denominator; center-dependent surveillance biopsies. Very short oncologic follow-up for high-risk subgroups. The inconsistent OS confidence interval should not be copied. No validated washout or protective immunosuppression regimen.</w:t>
            </w:r>
          </w:p>
        </w:tc>
      </w:tr>
      <w:tr>
        <w:trPr/>
        <w:tc>
          <w:tcPr>
            <w:tcW w:w="3400" w:type="dxa"/>
            <w:tcMar>
              <w:top w:w="90" w:type="dxa"/>
              <w:left w:w="90" w:type="dxa"/>
              <w:bottom w:w="90" w:type="dxa"/>
              <w:right w:w="90" w:type="dxa"/>
            </w:tcMar>
          </w:tcPr>
          <w:p>
            <w:pPr>
              <w:pStyle w:val="Normal"/>
              <w:widowControl/>
              <w:spacing w:before="60" w:after="20"/>
            </w:pPr>
            <w:r>
              <w:rPr>
                <w:b/>
              </w:rPr>
              <w:t xml:space="preserve">HCC ICI cohort · JAMA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</w:fldData>
              </w:fldChar>
            </w:r>
            <w:r>
              <w:instrText xml:space="preserve"> ADDIN EN.CITE.DATA </w:instrText>
            </w:r>
            <w:r>
              <w:fldChar w:fldCharType="end"/>
            </w:r>
            <w:r>
              <w:fldChar w:fldCharType="separate"/>
            </w:r>
            <w:r>
              <w:t xml:space="preserve">[V16-40]</w:t>
            </w:r>
            <w:r>
              <w:fldChar w:fldCharType="end"/>
            </w:r>
          </w:p>
          <w:p>
            <w:pPr>
              <w:pStyle w:val="Normal"/>
              <w:widowControl/>
              <w:spacing w:before="60" w:after="20"/>
            </w:pPr>
            <w:r>
              <w:t xml:space="preserve">Eight Chinese centers, LT 2019–2024. 879 adult recipients initially beyond Milan screened, 727 eligible: 244 ICI and 483 non-ICI; 208 matched in each arm. Predominantly HBV (88% matched), male (90.6%); baseline macrovascular invasion 76/208 versus 77/208. ICI strategy commonly combined LRT and targeted agents: 131 triple, 61 dual, 16 ICI alone. Control 182 LRT alone, 23 LRT + targeted, 3 targeted alone.</w:t>
            </w:r>
          </w:p>
          <w:p>
            <w:pPr>
              <w:pStyle w:val="Normal"/>
              <w:widowControl/>
              <w:spacing w:before="60" w:after="20"/>
            </w:pPr>
            <w:hyperlink r:id="rId120">
              <w:r>
                <w:rPr>
                  <w:color w:val="77230C"/>
                  <w:sz w:val="20"/>
                  <w:u w:val="single"/>
                </w:rPr>
                <w:t>Primary source</w:t>
              </w:r>
            </w:hyperlink>
            <w:r>
              <w:t xml:space="preserve"> | </w:t>
            </w:r>
            <w:hyperlink r:id="rId121">
              <w:r>
                <w:rPr>
                  <w:color w:val="77230C"/>
                  <w:sz w:val="20"/>
                  <w:u w:val="single"/>
                </w:rPr>
                <w:t>Full-text PDF</w:t>
              </w:r>
            </w:hyperlink>
          </w:p>
          <w:p>
            <w:pPr>
              <w:pStyle w:val="Normal"/>
              <w:widowControl/>
              <w:spacing w:before="60" w:after="20"/>
            </w:pPr>
            <w:r>
              <w:t xml:space="preserve">Locator: PDF pp 2–3 / E2–E3: design, Figure 1, time origins and matching. | PDF p 4 / E4: Table 1, multimodal exposures, only 32/208 and 18/208 within Milan. | PDF p 5 / E5: Table 2 washout missingness and rejection/survival. | PDF p 6 / E6: Figure 2 at-risk counts. | PDF pp 7–9 / E7–E9: subgroup caveats, limitations and conclusion.</w:t>
            </w:r>
          </w:p>
          <w:p>
            <w:pPr>
              <w:pStyle w:val="Normal"/>
              <w:widowControl/>
              <w:spacing w:before="60" w:after="20"/>
            </w:pPr>
            <w:r>
              <w:t xml:space="preserve">Review depth: Complete 10-page main article read, including all tables/figures, discussion and references; supplements not supplied/read.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ICI versus control: median OS 4.57 versus 2.53 years, adjusted HR .63 (95% CI .43–.92); median RFS 1.47 versus .89 years, adjusted HR .59 (.44–.80); recurrence subdistribution HR .54 (.40–.72). 1-/3-year OS 83.9/71.6% versus 74.6/43.9%; RFS 62.8/43.5 versus 48.4/30.7%. Acute rejection ≤90 days 34/208 (16.3%) versus 17/208 (8.2%), absolute difference 8.17 pp (CI 1.92–14.43); rejection-attributed deaths 3/34 versus 1/17. Median washout 58.5 days; ≤90-day washout 26/32 rejection cases versus 100/160 nonrejection cases. Objective response 100/208 versus 40/208; pCR 6/208 versus 0; major pathologic response 58/208 versus 35/208. Safety: Higher early rejection and three rejection-attributed deaths in ICI arm. No reliable pre-LT toxicity/dropout estimate because only transplanted patients included. At five years OS at-risk counts only 3 ICI and 21 control; long-horizon medians/tails imprecise.</w:t>
            </w:r>
          </w:p>
          <w:p>
            <w:pPr>
              <w:pStyle w:val="Normal"/>
              <w:widowControl/>
              <w:spacing w:before="60" w:after="20"/>
            </w:pPr>
            <w:r>
              <w:rPr>
                <w:b/>
              </w:rPr>
              <w:t xml:space="preserve">Do not infer: </w:t>
            </w:r>
            <w:r>
              <w:t xml:space="preserve">Retrospective PSM of selected recipients, residual biology/era confounding and conditioning on transplantation; graft type and donor age included in primary propensity model but sensitivity reportedly excludes these postexposure factors. Only 15.4%/8.7% downstaged within Milan; clinical selection differs markedly from proposed local pilot. Multimodal strategy not isolated ICI effect. Missing supplementary eligibility, rejection treatment and dynamic response details. Overlap with related Guo/Fang Chinese cohorts possible; do not sum as independent samples. Exploratory sex and high-risk subgroups not treatment-selection rules.</w:t>
            </w:r>
          </w:p>
        </w:tc>
      </w:tr>
      <w:tr>
        <w:trPr/>
        <w:tc>
          <w:tcPr>
            <w:tcW w:w="3400" w:type="dxa"/>
            <w:tcMar>
              <w:top w:w="90" w:type="dxa"/>
              <w:left w:w="90" w:type="dxa"/>
              <w:bottom w:w="90" w:type="dxa"/>
              <w:right w:w="90" w:type="dxa"/>
            </w:tcMar>
          </w:tcPr>
          <w:p>
            <w:pPr>
              <w:pStyle w:val="Normal"/>
              <w:widowControl/>
              <w:spacing w:before="60" w:after="20"/>
            </w:pPr>
            <w:r>
              <w:rPr>
                <w:b/>
              </w:rPr>
              <w:t xml:space="preserve">Kulkarni 2025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</w:fldData>
              </w:fldChar>
            </w:r>
            <w:r>
              <w:instrText xml:space="preserve"> ADDIN EN.CITE.DATA </w:instrText>
            </w:r>
            <w:r>
              <w:fldChar w:fldCharType="end"/>
            </w:r>
            <w:r>
              <w:fldChar w:fldCharType="separate"/>
            </w:r>
            <w:r>
              <w:t xml:space="preserve">[V16-41]</w:t>
            </w:r>
            <w:r>
              <w:fldChar w:fldCharType="end"/>
            </w:r>
          </w:p>
          <w:p>
            <w:pPr>
              <w:pStyle w:val="Normal"/>
              <w:widowControl/>
              <w:spacing w:before="60" w:after="20"/>
            </w:pPr>
            <w:r>
              <w:t xml:space="preserve">Mixed pre-LT ICI case series, a small pilot randomized study, post-LT case series, LRT studies and nontransplant systemic-therapy trials. These are different populations and overlapping evidence.</w:t>
            </w:r>
          </w:p>
          <w:p>
            <w:pPr>
              <w:pStyle w:val="Normal"/>
              <w:widowControl/>
              <w:spacing w:before="60" w:after="20"/>
            </w:pPr>
            <w:hyperlink r:id="rId122">
              <w:r>
                <w:rPr>
                  <w:color w:val="77230C"/>
                  <w:sz w:val="20"/>
                  <w:u w:val="single"/>
                </w:rPr>
                <w:t>Primary source</w:t>
              </w:r>
            </w:hyperlink>
            <w:r>
              <w:t xml:space="preserve"> | </w:t>
            </w:r>
            <w:hyperlink r:id="rId123">
              <w:r>
                <w:rPr>
                  <w:color w:val="77230C"/>
                  <w:sz w:val="20"/>
                  <w:u w:val="single"/>
                </w:rPr>
                <w:t>Full-text PDF</w:t>
              </w:r>
            </w:hyperlink>
          </w:p>
          <w:p>
            <w:pPr>
              <w:pStyle w:val="Normal"/>
              <w:widowControl/>
              <w:spacing w:before="60" w:after="20"/>
            </w:pPr>
            <w:r>
              <w:t xml:space="preserve">Locator: PDF pp 6–8 Table 3; p 9 rejection/post-LT discussion; p 10/printed 594 Section 10; pp 11–12 preventive proposals and research gaps; pp 13–14 trial table/conclusion.</w:t>
            </w:r>
          </w:p>
          <w:p>
            <w:pPr>
              <w:pStyle w:val="Normal"/>
              <w:widowControl/>
              <w:spacing w:before="60" w:after="20"/>
            </w:pPr>
            <w:r>
              <w:t xml:space="preserve">Review depth: Complete substantive narrative text pp 1–14, all 6 tables and relevant bibliography references read; no independent reanalysis of its cited cohorts or external supplements.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individualized ICI use, acknowledgement of rejection, infection/decompensation and anti-VEGF wound-healing risk, and LDLT scheduling flexibility.; Section 10 describes center variation in corticosteroid with or without basiliximab induction. This supports documenting institutional practice, not declaring one regimen proven superior.; Suggested early tacrolimus 12–15 ng/mL, protocol biopsy and prophylactic plasma strategies are author proposals based on small heterogeneous reports; the review itself states that benefit of T-cell-directed induction is unknown.; Biomarkers and protocol biopsies are described as needing validation. The review does not establish a transplant-eligibility rule based on TP53, TERT, CTNNB1, ctDNA or fewer than five ICI cycles.</w:t>
            </w:r>
          </w:p>
          <w:p>
            <w:pPr>
              <w:pStyle w:val="Normal"/>
              <w:widowControl/>
              <w:spacing w:before="60" w:after="20"/>
            </w:pPr>
            <w:r>
              <w:rPr>
                <w:b/>
              </w:rPr>
              <w:t xml:space="preserve">Do not infer: </w:t>
            </w:r>
            <w:r>
              <w:t xml:space="preserve">Some categorical statements exceed the cited evidence: no response in post-LT HCC comes from tiny old series and is not consistent with the newer 52-recipient DeMartin study; use the updated primary extraction.; Section 10's tacrolimus target is not a society guideline and has not been prospectively shown to prevent ICI-associated rejection without excess toxicity.; Table 3 Guo washout direction contains a typographical inconsistency; do not copy it. The VITALITY 86%/14% numbers must not be presented as group rejection incidence.; Selection exclusion based solely on ≤4 ICI cycles, a mutation or imaging response category is not validated by this review.; Do not use the review's UNOS size inequalities instead of current official policy. Time origin: Use underlying primary studies for all quantitative consent/outcome claims. Table 3 mixes candidates and recipients; the 86%/14% VITALITY statement describes the distribution of seven rejection events by washout, not the probability of rejection in each exposure group.</w:t>
            </w:r>
          </w:p>
        </w:tc>
      </w:tr>
      <w:tr>
        <w:trPr/>
        <w:tc>
          <w:tcPr>
            <w:tcW w:w="3400" w:type="dxa"/>
            <w:tcMar>
              <w:top w:w="90" w:type="dxa"/>
              <w:left w:w="90" w:type="dxa"/>
              <w:bottom w:w="90" w:type="dxa"/>
              <w:right w:w="90" w:type="dxa"/>
            </w:tcMar>
          </w:tcPr>
          <w:p>
            <w:pPr>
              <w:pStyle w:val="Normal"/>
              <w:widowControl/>
              <w:spacing w:before="60" w:after="20"/>
            </w:pPr>
            <w:r>
              <w:rPr>
                <w:b/>
              </w:rPr>
              <w:t xml:space="preserve">Demirors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</w:fldData>
              </w:fldChar>
            </w:r>
            <w:r>
              <w:instrText xml:space="preserve"> ADDIN EN.CITE.DATA </w:instrText>
            </w:r>
            <w:r>
              <w:fldChar w:fldCharType="end"/>
            </w:r>
            <w:r>
              <w:fldChar w:fldCharType="separate"/>
            </w:r>
            <w:r>
              <w:t xml:space="preserve">[V16-42]</w:t>
            </w:r>
            <w:r>
              <w:fldChar w:fldCharType="end"/>
            </w:r>
          </w:p>
          <w:p>
            <w:pPr>
              <w:pStyle w:val="Normal"/>
              <w:widowControl/>
              <w:spacing w:before="60" w:after="20"/>
            </w:pPr>
            <w:r>
              <w:t xml:space="preserve">HCC dominates; review claims &gt;1,200 ICI-exposed LT recipients and 43 CCA patients. Tables mix primary cohorts, systematic reviews, candidate denominators, resection cohorts, chemotherapy-only transplant evidence and contextual abstracts; unique-recipient totals are not independently reconciled.</w:t>
            </w:r>
          </w:p>
          <w:p>
            <w:pPr>
              <w:pStyle w:val="Normal"/>
              <w:widowControl/>
              <w:spacing w:before="60" w:after="20"/>
            </w:pPr>
            <w:hyperlink r:id="rId124">
              <w:r>
                <w:rPr>
                  <w:color w:val="77230C"/>
                  <w:sz w:val="20"/>
                  <w:u w:val="single"/>
                </w:rPr>
                <w:t>Primary source</w:t>
              </w:r>
            </w:hyperlink>
            <w:r>
              <w:t xml:space="preserve"> | </w:t>
            </w:r>
            <w:hyperlink r:id="rId125">
              <w:r>
                <w:rPr>
                  <w:color w:val="77230C"/>
                  <w:sz w:val="20"/>
                  <w:u w:val="single"/>
                </w:rPr>
                <w:t>Full-text PDF</w:t>
              </w:r>
            </w:hyperlink>
          </w:p>
          <w:p>
            <w:pPr>
              <w:pStyle w:val="Normal"/>
              <w:widowControl/>
              <w:spacing w:before="60" w:after="20"/>
            </w:pPr>
            <w:r>
              <w:t xml:space="preserve">Locator: PDF pp 3–5 methods/aggregate population; pp 6–7 Table 1 and CCA efficacy; pp 7–9 washout/rejection; pp 10–11 Table 2; p 12 Table 3; pp 13–14 interpretation; pp 16–17 references 4–6, 15, 22, 29–35.</w:t>
            </w:r>
          </w:p>
          <w:p>
            <w:pPr>
              <w:pStyle w:val="Normal"/>
              <w:widowControl/>
              <w:spacing w:before="60" w:after="20"/>
            </w:pPr>
            <w:r>
              <w:t xml:space="preserve">Review depth: Complete main text pp 1–14, all 3 tables and all 35 reference entries pp 15–17 read; conflicting claims checked against already-reviewed V8 primary papers and targeted official/primary sources.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General themes—ICI-associated rejection risk, need for an interval and MDT care, absence of a validated immune biomarker—are consistent with primary evidence.; Table 3 is not a reliable substitute for original society guidance: AASLD 2023 actually recommends discontinuation at least 3 months before LT (local official PDF p 20/j 1941), contrary to this review's 'no specific duration' cell.; Table 3 labels Watt et al. as ILTS guidance, but reference 31 is a prospective standardized institutional post-LT ICI practice study, not an ILTS consensus or pre-LT induction guideline.; SYS-TARE/Maspero chemotherapy-plus-radioembolization evidence is displayed under ICI bridging; it does not establish pre-LT ICI efficacy or safety in CCA.; Table 2 says Moeckli graft loss not separately reported; the primary paper reports 6/119. The review's OR 21.3/9.48 washout values are unadjusted, not the adjusted model coefficients.; PLENTY is mislabeled as a North American prospective cohort in Table 1; the primary pilot is a Chinese randomized study. ImmunoXXL is labeled RCT despite the reviewed prospective single-arm design.</w:t>
            </w:r>
          </w:p>
          <w:p>
            <w:pPr>
              <w:pStyle w:val="Normal"/>
              <w:widowControl/>
              <w:spacing w:before="60" w:after="20"/>
            </w:pPr>
            <w:r>
              <w:rPr>
                <w:b/>
              </w:rPr>
              <w:t xml:space="preserve">Do not infer: </w:t>
            </w:r>
            <w:r>
              <w:t xml:space="preserve">Guideline attribution errors, mixed eligibility/interventions, overlapping datasets and inconsistent denominators substantially weaken its use for protocol thresholds.; Claim that &gt;50 days normalizes rejection versus non-ICI controls overstates the 119-recipient source, which lacks a parallel non-ICI control group.; Proposed ATG indications, tacrolimus 12–15, protocol biopsies and early-mTOR avoidance are not established by the cited papers as universal society recommendations.; Donor-category nonsignificance is not proof of equivalence/safety across DCD, DBD and LDLT.; CCA and NET protocols must not inherit HCC cohort efficacy rates or transplant eligibility thresholds from this review. Time origin: Do not pool its &gt;1,200 as new unique patients or combine it with underlying studies. VITALITY 75.6% is 65/86 ever-beyond-Milan candidates, with 43 LT of 117 intent-to-transplant; 71.1% three-year survival is candidate-level ITT, not recipient survival.</w:t>
            </w:r>
          </w:p>
        </w:tc>
      </w:tr>
    </w:tbl>
    <w:p>
      <w:pPr>
        <w:pStyle w:val="Heading3"/>
        <w:keepNext/>
        <w:widowControl/>
      </w:pPr>
      <w:r>
        <w:t xml:space="preserve">Synthesis and evidence that challenges the proposal</w:t>
      </w:r>
    </w:p>
    <w:p>
      <w:pPr>
        <w:pStyle w:val="Normal"/>
        <w:widowControl/>
        <w:spacing w:before="60" w:after="20"/>
      </w:pPr>
      <w:r>
        <w:t xml:space="preserve">ICI conversion evidence is encouraging but observational and often recipient-selected. VITALITY has 117 intended candidates and 43 LT recipients; ImmunoXXL has 61 treated and 16 selected LT recipients. Ong's matched recipient comparison is not an ITT efficacy estimate. Moeckli's 50-day cutoff was data-driven in a heterogeneous 119-recipient collection; rejection was 21/53 at ≤50 days versus 3/66 at &gt;50 days. LITCHI shows late rejection despite predominantly long washout. Separate post-LT treatment data show five rejection-attributed deaths among 52 ICI-treated recipients. AASLD 2023 advises stopping ICI at least three months before LT. This supports the guideline lineage of the conservative interval but is not prospective proof of a safe threshold. Narrative reviews do not establish routine ATG, high tacrolimus troughs or prophylactic plasma as safe ICI-specific strategies.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zI8L1JlY051bT48RGlzcGxheVRleHQ+W1YxNi0zMl08L0Rpc3BsYXlUZXh0PjxyZWNvcmQ+PHJlYy1udW1iZXI+MzI8L3JlYy1udW1iZXI+PGZvcmVpZ24ta2V5cz48a2V5IGFwcD0iRU4iIGRiLWlkPSI3ZTc4YjE1Yi04NjMzLTVlYzAtYTBiNC1jZThiZGE0OGMyNjYiIHRpbWVzdGFtcD0iMTc5MzI4MzY4MyI+MzI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[V16-32]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</w:fldData>
        </w:fldChar>
      </w:r>
      <w:r>
        <w:instrText xml:space="preserve"> ADDIN EN.CITE.DATA </w:instrText>
      </w:r>
      <w:r>
        <w:fldChar w:fldCharType="end"/>
      </w:r>
      <w:r>
        <w:fldChar w:fldCharType="separate"/>
      </w:r>
      <w:r>
        <w:t xml:space="preserve">[V16-35]</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MxPC9SZWNOdW0+PERpc3BsYXlUZXh0PltWMTYtMzFdPC9EaXNwbGF5VGV4dD48cmVjb3JkPjxyZWMtbnVtYmVyPjMxPC9yZWMtbnVtYmVyPjxmb3JlaWduLWtleXM+PGtleSBhcHA9IkVOIiBkYi1pZD0iN2U3OGIxNWItODYzMy01ZWMwLWEwYjQtY2U4YmRhNDhjMjY2IiB0aW1lc3RhbXA9IjE3OTMyODM2ODMiPjMx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[V16-31]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2LTM2XTwvRGlzcGxheVRleHQ+PHJlY29yZD48cmVjLW51bWJlcj4zNjwvcmVjLW51bWJlcj48Zm9yZWlnbi1rZXlzPjxrZXkgYXBwPSJFTiIgZGItaWQ9IjdlNzhiMTViLTg2MzMtNWVjMC1hMGI0LWNlOGJkYTQ4YzI2NiIgdGltZXN0YW1wPSIxNzkzMjgzNj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[V16-36]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YtMzddPC9EaXNwbGF5VGV4dD48cmVjb3JkPjxyZWMtbnVtYmVyPjM3PC9yZWMtbnVtYmVyPjxmb3JlaWduLWtleXM+PGtleSBhcHA9IkVOIiBkYi1pZD0iN2U3OGIxNWItODYzMy01ZWMwLWEwYjQtY2U4YmRhNDhjMjY2IiB0aW1lc3RhbXA9IjE3OTMyODM2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[V16-37]</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</w:fldData>
        </w:fldChar>
      </w:r>
      <w:r>
        <w:instrText xml:space="preserve"> ADDIN EN.CITE.DATA </w:instrText>
      </w:r>
      <w:r>
        <w:fldChar w:fldCharType="end"/>
      </w:r>
      <w:r>
        <w:fldChar w:fldCharType="separate"/>
      </w:r>
      <w:r>
        <w:t xml:space="preserve">[V16-38]</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</w:fldData>
        </w:fldChar>
      </w:r>
      <w:r>
        <w:instrText xml:space="preserve"> ADDIN EN.CITE.DATA </w:instrText>
      </w:r>
      <w:r>
        <w:fldChar w:fldCharType="end"/>
      </w:r>
      <w:r>
        <w:fldChar w:fldCharType="separate"/>
      </w:r>
      <w:r>
        <w:t xml:space="preserve">[V16-39]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</w:fldData>
        </w:fldChar>
      </w:r>
      <w:r>
        <w:instrText xml:space="preserve"> ADDIN EN.CITE.DATA </w:instrText>
      </w:r>
      <w:r>
        <w:fldChar w:fldCharType="end"/>
      </w:r>
      <w:r>
        <w:fldChar w:fldCharType="separate"/>
      </w:r>
      <w:r>
        <w:t xml:space="preserve">[V16-40]</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</w:fldData>
        </w:fldChar>
      </w:r>
      <w:r>
        <w:instrText xml:space="preserve"> ADDIN EN.CITE.DATA </w:instrText>
      </w:r>
      <w:r>
        <w:fldChar w:fldCharType="end"/>
      </w:r>
      <w:r>
        <w:fldChar w:fldCharType="separate"/>
      </w:r>
      <w:r>
        <w:t xml:space="preserve">[V16-41]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</w:fldData>
        </w:fldChar>
      </w:r>
      <w:r>
        <w:instrText xml:space="preserve"> ADDIN EN.CITE.DATA </w:instrText>
      </w:r>
      <w:r>
        <w:fldChar w:fldCharType="end"/>
      </w:r>
      <w:r>
        <w:fldChar w:fldCharType="separate"/>
      </w:r>
      <w:r>
        <w:t xml:space="preserve">[V16-42]</w:t>
      </w:r>
      <w:r>
        <w:fldChar w:fldCharType="end"/>
      </w:r>
    </w:p>
    <w:p>
      <w:pPr>
        <w:pStyle w:val="Normal"/>
        <w:widowControl/>
        <w:numPr>
          <w:ilvl w:val="0"/>
          <w:numId w:val="3"/>
        </w:numPr>
        <w:spacing w:before="60" w:after="20"/>
      </w:pPr>
      <w:r>
        <w:t xml:space="preserve">ImmunoXXL demonstrates feasibility with intervals shorter than 90 days, and Aceituno found similar rejection proportions in matched groups; these challenge a claim that &lt;90 days is an absolute biological contraindication. They do not prove equivalence or validate elective shortening. Ong suggests oncologic benefit but also higher rejection, while Fang highlights risk missed by washout alone. The literature supports individualized exceptional review, not automatic urgency-based exemption.</w:t>
      </w:r>
    </w:p>
    <w:p>
      <w:pPr>
        <w:pStyle w:val="Normal"/>
        <w:widowControl/>
        <w:spacing w:before="60" w:after="20"/>
      </w:pPr>
      <w:r>
        <w:rPr>
          <w:b/>
        </w:rPr>
        <w:t xml:space="preserve">Certainty / applicability: </w:t>
      </w:r>
      <w:r>
        <w:t xml:space="preserve">Low for the association between shorter washout and rejection; low for prior-any-irAE risk; very low for a precise safe interval, a grade-specific irAE exclusion, an optimal immunosuppression regimen or an ICI-caused treatment-entry survival benefit. No reviewed trial randomized washout or transplant versus continued systemic therapy after ICI.</w:t>
      </w:r>
    </w:p>
    <w:p>
      <w:pPr>
        <w:pStyle w:val="Heading3"/>
        <w:keepNext/>
        <w:widowControl/>
      </w:pPr>
      <w:r>
        <w:t xml:space="preserve">Where each proposed threshold comes from</w:t>
      </w:r>
    </w:p>
    <w:p>
      <w:pPr>
        <w:pStyle w:val="Normal"/>
        <w:widowControl/>
        <w:numPr>
          <w:ilvl w:val="0"/>
          <w:numId w:val="3"/>
        </w:numPr>
        <w:spacing w:before="60" w:after="20"/>
      </w:pPr>
      <w:r>
        <w:t xml:space="preserve">Ninety days: conservative local planning rule informed by retrospective timing associations and IPD modeling, not a validated threshold. Grade ≤1 recovery and exclusion of prior severe nonendocrine/myocarditis cases: proposed operational safety judgment, not a proven transplant-specific cutoff; Fang's severe-event sample is only six. No laboratory or immune assay identified in this review validates clearance for LT. Center-specific immunosuppression should not be portrayed as evidence-proven protection from ICI-associated rejection.</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Rezaee-Zavareh · IPD</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2LTM2XTwvRGlzcGxheVRleHQ+PHJlY29yZD48cmVjLW51bWJlcj4zNjwvcmVjLW51bWJlcj48Zm9yZWlnbi1rZXlzPjxrZXkgYXBwPSJFTiIgZGItaWQ9IjdlNzhiMTViLTg2MzMtNWVjMC1hMGI0LWNlOGJkYTQ4YzI2NiIgdGltZXN0YW1wPSIxNzkzMjgzNj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[V16-36]</w:t>
            </w:r>
            <w:r>
              <w:fldChar w:fldCharType="end"/>
            </w:r>
          </w:p>
          <w:p>
            <w:pPr>
              <w:pStyle w:val="Normal"/>
              <w:widowControl/>
              <w:spacing w:before="60" w:after="20"/>
            </w:pPr>
            <w:r>
              <w:t xml:space="preserve">“a 3-month washout may reduce it”</w:t>
            </w:r>
          </w:p>
          <w:p>
            <w:pPr>
              <w:pStyle w:val="Normal"/>
              <w:widowControl/>
              <w:spacing w:before="60" w:after="20"/>
            </w:pPr>
            <w:r>
              <w:t xml:space="preserve">Accepted PDF p10 / manuscript p7, abstract conclusion</w:t>
            </w:r>
          </w:p>
          <w:p>
            <w:pPr>
              <w:pStyle w:val="Normal"/>
              <w:widowControl/>
              <w:spacing w:before="60" w:after="20"/>
            </w:pPr>
            <w:hyperlink r:id="rId126">
              <w:r>
                <w:rPr>
                  <w:color w:val="77230C"/>
                  <w:sz w:val="20"/>
                  <w:u w:val="single"/>
                </w:rPr>
                <w:t>Source</w:t>
              </w:r>
            </w:hyperlink>
            <w:r>
              <w:t xml:space="preserve"> | </w:t>
            </w:r>
            <w:hyperlink r:id="rId12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 risk-reduction suggestion from largely retrospective data, not a safe minimum.</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Fang · irAEs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YtMzddPC9EaXNwbGF5VGV4dD48cmVjb3JkPjxyZWMtbnVtYmVyPjM3PC9yZWMtbnVtYmVyPjxmb3JlaWduLWtleXM+PGtleSBhcHA9IkVOIiBkYi1pZD0iN2U3OGIxNWItODYzMy01ZWMwLWEwYjQtY2U4YmRhNDhjMjY2IiB0aW1lc3RhbXA9IjE3OTMyODM2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[V16-37]</w:t>
            </w:r>
            <w:r>
              <w:fldChar w:fldCharType="end"/>
            </w:r>
          </w:p>
          <w:p>
            <w:pPr>
              <w:pStyle w:val="Normal"/>
              <w:widowControl/>
              <w:spacing w:before="60" w:after="20"/>
            </w:pPr>
            <w:r>
              <w:t xml:space="preserve">“irAEs (any grade vs non)”</w:t>
            </w:r>
          </w:p>
          <w:p>
            <w:pPr>
              <w:pStyle w:val="Normal"/>
              <w:widowControl/>
              <w:spacing w:before="60" w:after="20"/>
            </w:pPr>
            <w:r>
              <w:t xml:space="preserve">Published PDF p6, Table 4</w:t>
            </w:r>
          </w:p>
          <w:p>
            <w:pPr>
              <w:pStyle w:val="Normal"/>
              <w:widowControl/>
              <w:spacing w:before="60" w:after="20"/>
            </w:pPr>
            <w:hyperlink r:id="rId128">
              <w:r>
                <w:rPr>
                  <w:color w:val="77230C"/>
                  <w:sz w:val="20"/>
                  <w:u w:val="single"/>
                </w:rPr>
                <w:t>Source</w:t>
              </w:r>
            </w:hyperlink>
            <w:r>
              <w:t xml:space="preserve"> | </w:t>
            </w:r>
            <w:hyperlink r:id="rId129">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Prior irAEs were associated with rejection; the study did not validate the specific grade-based activation rule proposed here.</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≥90 days after the last ICI dose as the elective LT planning threshold, with a separate immune-toxicity gate.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2LTM2XTwvRGlzcGxheVRleHQ+PHJlY29yZD48cmVjLW51bWJlcj4zNjwvcmVjLW51bWJlcj48Zm9yZWlnbi1rZXlzPjxrZXkgYXBwPSJFTiIgZGItaWQ9IjdlNzhiMTViLTg2MzMtNWVjMC1hMGI0LWNlOGJkYTQ4YzI2NiIgdGltZXN0YW1wPSIxNzkzMjgzNj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[V16-36]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YtMzddPC9EaXNwbGF5VGV4dD48cmVjb3JkPjxyZWMtbnVtYmVyPjM3PC9yZWMtbnVtYmVyPjxmb3JlaWduLWtleXM+PGtleSBhcHA9IkVOIiBkYi1pZD0iN2U3OGIxNWItODYzMy01ZWMwLWEwYjQtY2U4YmRhNDhjMjY2IiB0aW1lc3RhbXA9IjE3OTMyODM2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[V16-37]</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MxPC9SZWNOdW0+PERpc3BsYXlUZXh0PltWMTYtMzFdPC9EaXNwbGF5VGV4dD48cmVjb3JkPjxyZWMtbnVtYmVyPjMxPC9yZWMtbnVtYmVyPjxmb3JlaWduLWtleXM+PGtleSBhcHA9IkVOIiBkYi1pZD0iN2U3OGIxNWItODYzMy01ZWMwLWEwYjQtY2U4YmRhNDhjMjY2IiB0aW1lc3RhbXA9IjE3OTMyODM2ODMiPjMx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[V16-31]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zI8L1JlY051bT48RGlzcGxheVRleHQ+W1YxNi0zMl08L0Rpc3BsYXlUZXh0PjxyZWNvcmQ+PHJlYy1udW1iZXI+MzI8L3JlYy1udW1iZXI+PGZvcmVpZ24ta2V5cz48a2V5IGFwcD0iRU4iIGRiLWlkPSI3ZTc4YjE1Yi04NjMzLTVlYzAtYTBiNC1jZThiZGE0OGMyNjYiIHRpbWVzdGFtcD0iMTc5MzI4MzY4MyI+MzI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[V16-32]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</w:fldData>
        </w:fldChar>
      </w:r>
      <w:r>
        <w:instrText xml:space="preserve"> ADDIN EN.CITE.DATA </w:instrText>
      </w:r>
      <w:r>
        <w:fldChar w:fldCharType="end"/>
      </w:r>
      <w:r>
        <w:fldChar w:fldCharType="separate"/>
      </w:r>
      <w:r>
        <w:t xml:space="preserve">[V16-35]</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</w:fldData>
        </w:fldChar>
      </w:r>
      <w:r>
        <w:instrText xml:space="preserve"> ADDIN EN.CITE.DATA </w:instrText>
      </w:r>
      <w:r>
        <w:fldChar w:fldCharType="end"/>
      </w:r>
      <w:r>
        <w:fldChar w:fldCharType="separate"/>
      </w:r>
      <w:r>
        <w:t xml:space="preserve">[V16-38]</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</w:fldData>
        </w:fldChar>
      </w:r>
      <w:r>
        <w:instrText xml:space="preserve"> ADDIN EN.CITE.DATA </w:instrText>
      </w:r>
      <w:r>
        <w:fldChar w:fldCharType="end"/>
      </w:r>
      <w:r>
        <w:fldChar w:fldCharType="separate"/>
      </w:r>
      <w:r>
        <w:t xml:space="preserve">[V16-39]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</w:fldData>
        </w:fldChar>
      </w:r>
      <w:r>
        <w:instrText xml:space="preserve"> ADDIN EN.CITE.DATA </w:instrText>
      </w:r>
      <w:r>
        <w:fldChar w:fldCharType="end"/>
      </w:r>
      <w:r>
        <w:fldChar w:fldCharType="separate"/>
      </w:r>
      <w:r>
        <w:t xml:space="preserve">[V16-40]</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</w:fldData>
        </w:fldChar>
      </w:r>
      <w:r>
        <w:instrText xml:space="preserve"> ADDIN EN.CITE.DATA </w:instrText>
      </w:r>
      <w:r>
        <w:fldChar w:fldCharType="end"/>
      </w:r>
      <w:r>
        <w:fldChar w:fldCharType="separate"/>
      </w:r>
      <w:r>
        <w:t xml:space="preserve">[V16-41]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</w:fldData>
        </w:fldChar>
      </w:r>
      <w:r>
        <w:instrText xml:space="preserve"> ADDIN EN.CITE.DATA </w:instrText>
      </w:r>
      <w:r>
        <w:fldChar w:fldCharType="end"/>
      </w:r>
      <w:r>
        <w:fldChar w:fldCharType="separate"/>
      </w:r>
      <w:r>
        <w:t xml:space="preserve">[V16-42]</w:t>
      </w:r>
      <w:r>
        <w:fldChar w:fldCharType="end"/>
      </w:r>
    </w:p>
    <w:p>
      <w:pPr>
        <w:pStyle w:val="Normal"/>
        <w:widowControl/>
        <w:numPr>
          <w:ilvl w:val="0"/>
          <w:numId w:val="3"/>
        </w:numPr>
      </w:pPr>
      <w:r>
        <w:t xml:space="preserve">Proposed elective cutoff: ≥90 days from last ICI dose to LT.</w:t>
      </w:r>
    </w:p>
    <w:p>
      <w:pPr>
        <w:pStyle w:val="Normal"/>
        <w:widowControl/>
        <w:numPr>
          <w:ilvl w:val="1"/>
          <w:numId w:val="3"/>
        </w:numPr>
        <w:spacing w:before="60" w:after="20"/>
      </w:pPr>
      <w:r>
        <w:t xml:space="preserve">No interval is proven safe; a longer interval does not eliminate rejection or graft-loss risk.</w:t>
      </w:r>
    </w:p>
    <w:p>
      <w:pPr>
        <w:pStyle w:val="Normal"/>
        <w:widowControl/>
        <w:numPr>
          <w:ilvl w:val="0"/>
          <w:numId w:val="3"/>
        </w:numPr>
      </w:pPr>
      <w:r>
        <w:t xml:space="preserve">Require no active clinically significant non-endocrine immune toxicity: grade ≤1 and no escalating immunosuppression for toxicity.</w:t>
      </w:r>
    </w:p>
    <w:p>
      <w:pPr>
        <w:pStyle w:val="Normal"/>
        <w:widowControl/>
        <w:numPr>
          <w:ilvl w:val="1"/>
          <w:numId w:val="3"/>
        </w:numPr>
        <w:spacing w:before="60" w:after="20"/>
      </w:pPr>
      <w:r>
        <w:t xml:space="preserve">Stable endocrine replacement may qualify.</w:t>
      </w:r>
    </w:p>
    <w:p>
      <w:pPr>
        <w:pStyle w:val="Normal"/>
        <w:widowControl/>
        <w:numPr>
          <w:ilvl w:val="1"/>
          <w:numId w:val="3"/>
        </w:numPr>
        <w:spacing w:before="60" w:after="20"/>
      </w:pPr>
      <w:r>
        <w:t xml:space="preserve">Prior grade 3–4 non-endocrine toxicity or myocarditis is excluded from the initial pilot pending separate specialist review.</w:t>
      </w:r>
    </w:p>
    <w:p>
      <w:pPr>
        <w:pStyle w:val="Normal"/>
        <w:widowControl/>
        <w:numPr>
          <w:ilvl w:val="0"/>
          <w:numId w:val="3"/>
        </w:numPr>
      </w:pPr>
      <w:r>
        <w:t xml:space="preserve">A shorter interval has no automatic urgency waiver.</w:t>
      </w:r>
    </w:p>
    <w:p>
      <w:pPr>
        <w:pStyle w:val="Normal"/>
        <w:widowControl/>
        <w:numPr>
          <w:ilvl w:val="1"/>
          <w:numId w:val="3"/>
        </w:numPr>
        <w:spacing w:before="60" w:after="20"/>
      </w:pPr>
      <w:r>
        <w:t xml:space="preserve">An exceptional-care decision must document near-term mortality without LT, alternatives, donor/graft risk, consent and rescue capability.</w:t>
      </w:r>
    </w:p>
    <w:p>
      <w:pPr>
        <w:pStyle w:val="Normal"/>
        <w:widowControl/>
        <w:numPr>
          <w:ilvl w:val="1"/>
          <w:numId w:val="3"/>
        </w:numPr>
        <w:spacing w:before="60" w:after="20"/>
      </w:pPr>
      <w:r>
        <w:t xml:space="preserve">Biology, ICI and allocation clocks may overlap; do not add them mechanically.</w:t>
      </w:r>
    </w:p>
    <w:p>
      <w:pPr>
        <w:pStyle w:val="Normal"/>
        <w:widowControl/>
        <w:numPr>
          <w:ilvl w:val="0"/>
          <w:numId w:val="3"/>
        </w:numPr>
      </w:pPr>
      <w:r>
        <w:t xml:space="preserve">Consent must address rejection, graft loss, uncertain comparative oncologic benefit and progression during washout.</w:t>
      </w:r>
    </w:p>
    <w:p>
      <w:pPr>
        <w:pStyle w:val="Normal"/>
        <w:widowControl/>
        <w:numPr>
          <w:ilvl w:val="1"/>
          <w:numId w:val="3"/>
        </w:numPr>
        <w:spacing w:before="60" w:after="20"/>
      </w:pPr>
      <w:r>
        <w:t xml:space="preserve">Neither elapsed time nor complete radiological response guarantees immune safety.</w:t>
      </w:r>
    </w:p>
    <w:p>
      <w:pPr>
        <w:pStyle w:val="Normal"/>
        <w:widowControl/>
        <w:numPr>
          <w:ilvl w:val="1"/>
          <w:numId w:val="3"/>
        </w:numPr>
        <w:spacing w:before="60" w:after="20"/>
      </w:pPr>
      <w:r>
        <w:t xml:space="preserve">Use the full-text evidence and source-specific residual gaps before ratifying these provisional thresholds.</w:t>
      </w:r>
    </w:p>
    <w:p>
      <w:pPr>
        <w:pStyle w:val="Normal"/>
        <w:widowControl/>
        <w:spacing w:before="60" w:after="20"/>
      </w:pPr>
      <w:r>
        <w:rPr>
          <w:b/>
        </w:rPr>
        <w:t xml:space="preserve">Why retain or change it: </w:t>
      </w:r>
      <w:r>
        <w:t xml:space="preserve">Retain elective last-ICI-to-LT interval ≥90 days as a conservative local default, with residual risk acknowledged; shorter intervals require explicit exceptional review, not automatic activation. Require non-endocrine irAE recovery to grade ≤1 and no escalating immune suppression; controlled endocrine replacement may be acceptable. Prior severe non-endocrine irAE or myocarditis should trigger initial-pilot exclusion or dedicated governance review. Do not mandate unvalidated immune assays, ATG induction or high tacrolimus targets. Keep pre-LT exposure and post-LT therapeutic ICI as distinct decisions.</w:t>
      </w:r>
    </w:p>
    <w:p>
      <w:pPr>
        <w:pStyle w:val="Heading3"/>
        <w:keepNext/>
        <w:widowControl/>
      </w:pPr>
      <w:r>
        <w:t xml:space="preserve">Information required before the decision</w:t>
      </w:r>
    </w:p>
    <w:p>
      <w:pPr>
        <w:pStyle w:val="Normal"/>
        <w:widowControl/>
        <w:spacing w:before="60" w:after="20"/>
      </w:pPr>
      <w:r>
        <w:t xml:space="preserve">Drug and last-dose dates; complete irAE history and grade; treatment and recovery; graft-risk review by hepatology, oncology and pharmacy; current staging.</w:t>
      </w:r>
    </w:p>
    <w:p>
      <w:pPr>
        <w:pStyle w:val="Normal"/>
        <w:widowControl/>
        <w:spacing w:before="60" w:after="20"/>
      </w:pPr>
      <w:r>
        <w:rPr>
          <w:b/>
        </w:rPr>
        <w:t xml:space="preserve">Clinical versus allocation: </w:t>
      </w:r>
      <w:r>
        <w:t xml:space="preserve">Prior ICI alone is not an automatic HCC exception exclusion. The proposed clinical timing gate is separate from tumor eligibility and allocation waiting time.</w:t>
      </w:r>
    </w:p>
    <w:p>
      <w:pPr>
        <w:pStyle w:val="Normal"/>
        <w:widowControl/>
        <w:spacing w:before="60" w:after="20"/>
      </w:pPr>
      <w:r>
        <w:rPr>
          <w:b/>
        </w:rPr>
        <w:t xml:space="preserve">Roadmap / protocol reconciliation: </w:t>
      </w:r>
      <w:r>
        <w:t xml:space="preserve">Preserve effective cancer treatment choices, but discuss transplant intent before initiating ICI. No immune assay, ATG regimen or high tacrolimus target is validated as clearance.</w:t>
      </w:r>
    </w:p>
    <w:p>
      <w:pPr>
        <w:pStyle w:val="Normal"/>
        <w:widowControl/>
        <w:spacing w:before="60" w:after="20"/>
      </w:pPr>
      <w:hyperlink r:id="rId130">
        <w:r>
          <w:rPr>
            <w:color w:val="77230C"/>
            <w:sz w:val="20"/>
            <w:u w:val="single"/>
          </w:rPr>
          <w:t>Meeting record: HCC-B3</w:t>
        </w:r>
      </w:hyperlink>
      <w:r>
        <w:t xml:space="preserve">  |  </w:t>
      </w:r>
      <w:hyperlink r:id="rId131">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r>
        <w:t xml:space="preserve">4.3 Advance or hold after treatment</w:t>
      </w:r>
    </w:p>
    <w:p>
      <w:pPr>
        <w:pStyle w:val="Normal"/>
        <w:widowControl/>
        <w:numPr>
          <w:ilvl w:val="0"/>
          <w:numId w:val="3"/>
        </w:numPr>
      </w:pPr>
      <w:r>
        <w:t xml:space="preserve">Advance to selection review only with documented tumor control, no new extrahepatic disease, acceptable reserve and toxicity, repeat assessment of resection/ablation options, the applicable AFP response, and completion of the selected clinical and allocation observation requirements.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Hold for unresolved lesions, marker/imaging discordance, incomplete ICI review or unapproved study boundaries. Stop the proposed route for uncontrolled progression, new metastatic disease or medical risk incompatible with LT. Do not continue increasingly toxic therapy simply to manufacture eligibility.</w:t>
      </w:r>
    </w:p>
    <w:p>
      <w:pPr>
        <w:pStyle w:val="Normal"/>
        <w:widowControl/>
        <w:numPr>
          <w:ilvl w:val="0"/>
          <w:numId w:val="3"/>
        </w:numPr>
      </w:pPr>
      <w:r>
        <w:t xml:space="preserve">Maintain separate dated clocks for response stability, ICI washout and exception waiting time. They may overlap when allowed; do not automatically add a new observation period after the ICI washout.</w:t>
      </w:r>
    </w:p>
    <w:p>
      <w:pPr>
        <w:pStyle w:val="Heading2"/>
        <w:keepNext/>
        <w:widowControl/>
      </w:pPr>
      <w:r>
        <w:t xml:space="preserve">5 Listing and transplant surgery</w:t>
      </w:r>
    </w:p>
    <w:p>
      <w:pPr>
        <w:pStyle w:val="Normal"/>
        <w:widowControl/>
        <w:numPr>
          <w:ilvl w:val="0"/>
          <w:numId w:val="3"/>
        </w:numPr>
      </w:pPr>
      <w:r>
        <w:t xml:space="preserve">Before activation, selection conference must sign the diagnosis and baseline map, final staging and AFP, tumor-control timeline, medical fitness, approved study stratum if applicable, actual allocation route and donor clearance. Any missing requirement keeps activation on hold.</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Before incision, reassess interval clinical or imaging changes and confirm graft/vascular technical planning. Unexpected disseminated malignancy stops transplantation under this pathway. Explant assessment records viable burden, differentiation, vascular invasion and treatment response.</w:t>
      </w:r>
    </w:p>
    <w:p>
      <w:pPr>
        <w:pStyle w:val="Normal"/>
        <w:widowControl/>
        <w:numPr>
          <w:ilvl w:val="0"/>
          <w:numId w:val="3"/>
        </w:numPr>
      </w:pPr>
      <w:r>
        <w:t xml:space="preserve">Before recipient activation, document the intended DDLT or LDLT route, actual exception decision if applicable, expected waiting time, and a recipient-benefit assessment against contemporary non-LT care. Do not promise priority or treat DCD, an extended-criteria graft or machine perfusion as evidence that no other candidate could benefit.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Ni02XTwvRGlzcGxheVRleHQ+PHJlY29yZD48cmVjLW51bWJlcj42PC9yZWMtbnVtYmVyPjxmb3JlaWduLWtleXM+PGtleSBhcHA9IkVOIiBkYi1pZD0iN2U3OGIxNWItODYzMy01ZWMwLWEwYjQtY2U4YmRhNDhjMjY2IiB0aW1lc3RhbXA9IjE3OTMyODM2ODM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For LDLT, retain independent donor advocacy and donor-team assessment, freedom to withdraw, and separate consent covering uncertain recipient benefit, operative and long-term morbidity, recovery, financial burden and possible retransplantation. Do not relax donor safety criteria or make possession of a living donor a clinical eligibility requirement.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Ni02XTwvRGlzcGxheVRleHQ+PHJlY29yZD48cmVjLW51bWJlcj42PC9yZWMtbnVtYmVyPjxmb3JlaWduLWtleXM+PGtleSBhcHA9IkVOIiBkYi1pZD0iN2U3OGIxNWItODYzMy01ZWMwLWEwYjQtY2U4YmRhNDhjMjY2IiB0aW1lc3RhbXA9IjE3OTMyODM2ODM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2LTQzXTwvRGlzcGxheVRleHQ+PHJlY29yZD48cmVjLW51bWJlcj40MzwvcmVjLW51bWJlcj48Zm9yZWlnbi1rZXlzPjxrZXkgYXBwPSJFTiIgZGItaWQ9IjdlNzhiMTViLTg2MzMtNWVjMC1hMGI0LWNlOGJkYTQ4YzI2NiIgdGltZXN0YW1wPSIxNzkzMjgzNj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[V16-43]</w:t>
      </w:r>
      <w:r>
        <w:fldChar w:fldCharType="end"/>
      </w:r>
    </w:p>
    <w:p>
      <w:pPr>
        <w:pStyle w:val="Normal"/>
        <w:widowControl/>
        <w:numPr>
          <w:ilvl w:val="0"/>
          <w:numId w:val="3"/>
        </w:numPr>
      </w:pPr>
      <w:r>
        <w:t xml:space="preserve">The living-donor literature reports low but nonzero mortality and incomplete recovery follow-up. Use current center- and graft-specific counseling; do not pool overlapping registry studies or portray donor survival as proof of complete recovery.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2LTQzXTwvRGlzcGxheVRleHQ+PHJlY29yZD48cmVjLW51bWJlcj40MzwvcmVjLW51bWJlcj48Zm9yZWlnbi1rZXlzPjxrZXkgYXBwPSJFTiIgZGItaWQ9IjdlNzhiMTViLTg2MzMtNWVjMC1hMGI0LWNlOGJkYTQ4YzI2NiIgdGltZXN0YW1wPSIxNzkzMjgzNj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[V16-43]</w:t>
      </w:r>
      <w:r>
        <w:fldChar w:fldCharType="end"/>
      </w:r>
    </w:p>
    <w:p>
      <w:pPr>
        <w:pStyle w:val="Heading3"/>
        <w:keepNext/>
        <w:widowControl/>
      </w:pPr>
      <w:bookmarkStart w:id="4" w:name="ALLOC_B1"/>
      <w:r>
        <w:t xml:space="preserve">ALLOC-B1 — What are we approving?</w:t>
      </w:r>
      <w:bookmarkEnd w:id="4"/>
    </w:p>
    <w:p>
      <w:pPr>
        <w:pStyle w:val="Normal"/>
        <w:keepNext/>
        <w:widowControl/>
      </w:pPr>
      <w:r>
        <w:t xml:space="preserve">Evidence and uncertainty before the shared rule</w:t>
      </w:r>
    </w:p>
    <w:p>
      <w:pPr>
        <w:pStyle w:val="Normal"/>
        <w:widowControl/>
        <w:spacing w:before="60" w:after="20"/>
      </w:pPr>
      <w:r>
        <w:t xml:space="preserve">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NDQ8L1JlY051bT48RGlzcGxheVRleHQ+W1YxNi00NF08L0Rpc3BsYXlUZXh0PjxyZWNvcmQ+PHJlYy1udW1iZXI+NDQ8L3JlYy1udW1iZXI+PGZvcmVpZ24ta2V5cz48a2V5IGFwcD0iRU4iIGRiLWlkPSI3ZTc4YjE1Yi04NjMzLTVlYzAtYTBiNC1jZThiZGE0OGMyNjYiIHRpbWVzdGFtcD0iMTc5MzI4MzY4MyI+NDQ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[V16-44]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NDU8L1JlY051bT48RGlzcGxheVRleHQ+W1YxNi00NV08L0Rpc3BsYXlUZXh0PjxyZWNvcmQ+PHJlYy1udW1iZXI+NDU8L3JlYy1udW1iZXI+PGZvcmVpZ24ta2V5cz48a2V5IGFwcD0iRU4iIGRiLWlkPSI3ZTc4YjE1Yi04NjMzLTVlYzAtYTBiNC1jZThiZGE0OGMyNjYiIHRpbWVzdGFtcD0iMTc5MzI4MzY4MyI+NDU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[V16-45]</w:t>
      </w:r>
      <w:r>
        <w:fldChar w:fldCharType="end"/>
      </w:r>
    </w:p>
    <w:p>
      <w:pPr>
        <w:pStyle w:val="Normal"/>
        <w:widowControl/>
        <w:spacing w:before="60" w:after="20"/>
      </w:pPr>
      <w:r>
        <w:t xml:space="preserve">Evidence-to-threshold distinction: Six domains: local checklist architecture, not six mandatory national approvals.; 100% applicable completion: governance safeguard, not an outcome-derived percentage.; Hold pending required authorization: operational implementation of separate clinical, donor and research responsibilities.</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100% completion of the applicable clinical, allocation, donor and research determinations before activation.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ZTc4YjE1Yi04NjMzLTVlYzAtYTBiNC1jZThiZGE0OGMyNjYiIHRpbWVzdGFtcD0iMTc5MzI4MzY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NDQ8L1JlY051bT48RGlzcGxheVRleHQ+W1YxNi00NF08L0Rpc3BsYXlUZXh0PjxyZWNvcmQ+PHJlYy1udW1iZXI+NDQ8L3JlYy1udW1iZXI+PGZvcmVpZ24ta2V5cz48a2V5IGFwcD0iRU4iIGRiLWlkPSI3ZTc4YjE1Yi04NjMzLTVlYzAtYTBiNC1jZThiZGE0OGMyNjYiIHRpbWVzdGFtcD0iMTc5MzI4MzY4MyI+NDQ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[V16-44]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NDU8L1JlY051bT48RGlzcGxheVRleHQ+W1YxNi00NV08L0Rpc3BsYXlUZXh0PjxyZWNvcmQ+PHJlYy1udW1iZXI+NDU8L3JlYy1udW1iZXI+PGZvcmVpZ24ta2V5cz48a2V5IGFwcD0iRU4iIGRiLWlkPSI3ZTc4YjE1Yi04NjMzLTVlYzAtYTBiNC1jZThiZGE0OGMyNjYiIHRpbWVzdGFtcD0iMTc5MzI4MzY4MyI+NDU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[V16-45]</w:t>
      </w:r>
      <w:r>
        <w:fldChar w:fldCharType="end"/>
      </w:r>
    </w:p>
    <w:p>
      <w:pPr>
        <w:pStyle w:val="Normal"/>
        <w:widowControl/>
        <w:numPr>
          <w:ilvl w:val="0"/>
          <w:numId w:val="3"/>
        </w:numPr>
      </w:pPr>
      <w:r>
        <w:t xml:space="preserve">Complete six separate dated determinations: clinical suitability; standardized-exception eligibility; nonstandard NLRB review status; calculated-MELD access; LDLT donor clearance; and research authorization.</w:t>
      </w:r>
    </w:p>
    <w:p>
      <w:pPr>
        <w:pStyle w:val="Normal"/>
        <w:widowControl/>
        <w:numPr>
          <w:ilvl w:val="1"/>
          <w:numId w:val="3"/>
        </w:numPr>
        <w:spacing w:before="60" w:after="20"/>
      </w:pPr>
      <w:r>
        <w:t xml:space="preserve">Mark nonapplicable domains explicitly with a reason—do not manufacture six approvals for every patient.</w:t>
      </w:r>
    </w:p>
    <w:p>
      <w:pPr>
        <w:pStyle w:val="Normal"/>
        <w:widowControl/>
        <w:numPr>
          <w:ilvl w:val="0"/>
          <w:numId w:val="3"/>
        </w:numPr>
      </w:pPr>
      <w:r>
        <w:t xml:space="preserve">Any required missing, pending or adverse determination is a HOLD.</w:t>
      </w:r>
    </w:p>
    <w:p>
      <w:pPr>
        <w:pStyle w:val="Normal"/>
        <w:widowControl/>
        <w:numPr>
          <w:ilvl w:val="1"/>
          <w:numId w:val="3"/>
        </w:numPr>
        <w:spacing w:before="60" w:after="20"/>
      </w:pPr>
      <w:r>
        <w:t xml:space="preserve">An exception application is not approval, a donor is not recipient benefit, and clinical approval is not study activation.</w:t>
      </w:r>
    </w:p>
    <w:p>
      <w:pPr>
        <w:pStyle w:val="Normal"/>
        <w:widowControl/>
        <w:numPr>
          <w:ilvl w:val="0"/>
          <w:numId w:val="3"/>
        </w:numPr>
      </w:pPr>
      <w:r>
        <w:t xml:space="preserve">Recheck the current policy/guidance version before each request; record actual decision and priority rather than predicted entitlement.</w:t>
      </w:r>
    </w:p>
    <w:p>
      <w:pPr>
        <w:pStyle w:val="Normal"/>
        <w:widowControl/>
        <w:spacing w:before="60" w:after="20"/>
      </w:pPr>
      <w:r>
        <w:rPr>
          <w:b/>
        </w:rPr>
        <w:t xml:space="preserve">Why retain or change it: </w:t>
      </w:r>
      <w:r>
        <w:t xml:space="preserve">Retain 100% completion of applicable determinations with dated responsible owners and reasoned N/A entries. A required unresolved determination means HOLD, not an assumed refusal or an authorization by default.</w:t>
      </w:r>
    </w:p>
    <w:p>
      <w:pPr>
        <w:pStyle w:val="Heading3"/>
        <w:keepNext/>
        <w:widowControl/>
      </w:pPr>
      <w:r>
        <w:t xml:space="preserve">Information required before the decision</w:t>
      </w:r>
    </w:p>
    <w:p>
      <w:pPr>
        <w:pStyle w:val="Normal"/>
        <w:widowControl/>
        <w:spacing w:before="60" w:after="20"/>
      </w:pPr>
      <w:r>
        <w:t xml:space="preserve">Signed suitability record; exact allocation route and policy version; exception outcome; donor-team status; study and institutional activation record.</w:t>
      </w:r>
    </w:p>
    <w:p>
      <w:pPr>
        <w:pStyle w:val="Normal"/>
        <w:widowControl/>
        <w:spacing w:before="60" w:after="20"/>
      </w:pPr>
      <w:r>
        <w:rPr>
          <w:b/>
        </w:rPr>
        <w:t xml:space="preserve">Clinical versus allocation: </w:t>
      </w:r>
      <w:r>
        <w:t xml:space="preserve">Policy 9.4 permits discretionary requests where appropriate; absence of favorable diagnosis-specific guidance is not absence of a review mechanism, and a request does not promise approval.</w:t>
      </w:r>
    </w:p>
    <w:p>
      <w:pPr>
        <w:pStyle w:val="Normal"/>
        <w:widowControl/>
        <w:spacing w:before="60" w:after="20"/>
      </w:pPr>
      <w:r>
        <w:rPr>
          <w:b/>
        </w:rPr>
        <w:t xml:space="preserve">Roadmap / protocol reconciliation: </w:t>
      </w:r>
      <w:r>
        <w:t xml:space="preserve">Use the same clinical-versus-allocation separation in every standard and high-risk pathway.</w:t>
      </w:r>
    </w:p>
    <w:p>
      <w:pPr>
        <w:pStyle w:val="Normal"/>
        <w:widowControl/>
        <w:spacing w:before="60" w:after="20"/>
      </w:pPr>
      <w:hyperlink r:id="rId132">
        <w:r>
          <w:rPr>
            <w:color w:val="77230C"/>
            <w:sz w:val="20"/>
            <w:u w:val="single"/>
          </w:rPr>
          <w:t>Meeting record: ALLOC-B1</w:t>
        </w:r>
      </w:hyperlink>
      <w:r>
        <w:t xml:space="preserve">  |  </w:t>
      </w:r>
      <w:hyperlink r:id="rId133">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5" w:name="ALLOC_B2"/>
      <w:r>
        <w:t xml:space="preserve">ALLOC-B2 — What is the relevant organ opportunity cost?</w:t>
      </w:r>
      <w:bookmarkEnd w:id="5"/>
    </w:p>
    <w:p>
      <w:pPr>
        <w:pStyle w:val="Normal"/>
        <w:keepNext/>
        <w:widowControl/>
      </w:pPr>
      <w:r>
        <w:t xml:space="preserve">Evidence and uncertainty before the shared rule</w:t>
      </w:r>
    </w:p>
    <w:p>
      <w:pPr>
        <w:pStyle w:val="Normal"/>
        <w:widowControl/>
        <w:spacing w:before="60" w:after="20"/>
      </w:pPr>
      <w:r>
        <w:t xml:space="preserve">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NDU8L1JlY051bT48RGlzcGxheVRleHQ+W1YxNi00NV08L0Rpc3BsYXlUZXh0PjxyZWNvcmQ+PHJlYy1udW1iZXI+NDU8L3JlYy1udW1iZXI+PGZvcmVpZ24ta2V5cz48a2V5IGFwcD0iRU4iIGRiLWlkPSI3ZTc4YjE1Yi04NjMzLTVlYzAtYTBiNC1jZThiZGE0OGMyNjYiIHRpbWVzdGFtcD0iMTc5MzI4MzY4MyI+NDU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[V16-45]</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TM8L1JlY051bT48RGlzcGxheVRleHQ+W1YxNi0xM108L0Rpc3BsYXlUZXh0PjxyZWNvcmQ+PHJlYy1udW1iZXI+MTM8L3JlYy1udW1iZXI+PGZvcmVpZ24ta2V5cz48a2V5IGFwcD0iRU4iIGRiLWlkPSI3ZTc4YjE1Yi04NjMzLTVlYzAtYTBiNC1jZThiZGE0OGMyNjYiIHRpbWVzdGFtcD0iMTc5MzI4MzY4MyI+MTM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2LTQzXTwvRGlzcGxheVRleHQ+PHJlY29yZD48cmVjLW51bWJlcj40MzwvcmVjLW51bWJlcj48Zm9yZWlnbi1rZXlzPjxrZXkgYXBwPSJFTiIgZGItaWQ9IjdlNzhiMTViLTg2MzMtNWVjMC1hMGI0LWNlOGJkYTQ4YzI2NiIgdGltZXN0YW1wPSIxNzkzMjgzNj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[V16-43]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Ni01XTwvRGlzcGxheVRleHQ+PHJlY29yZD48cmVjLW51bWJlcj41PC9yZWMtbnVtYmVyPjxmb3JlaWduLWtleXM+PGtleSBhcHA9IkVOIiBkYi1pZD0iN2U3OGIxNWItODYzMy01ZWMwLWEwYjQtY2U4YmRhNDhjMjY2IiB0aW1lc3RhbXA9IjE3OTMyODM2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UmV0YWluZWQgc291cmNlIGZyb20gZWFybGllciByZXZpZXc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Q2PC9SZWNOdW0+PERpc3BsYXlUZXh0PltWMTYtNDZdPC9EaXNwbGF5VGV4dD48cmVjb3JkPjxyZWMtbnVtYmVyPjQ2PC9yZWMtbnVtYmVyPjxmb3JlaWduLWtleXM+PGtleSBhcHA9IkVOIiBkYi1pZD0iN2U3OGIxNWItODYzMy01ZWMwLWEwYjQtY2U4YmRhNDhjMjY2IiB0aW1lc3RhbXA9IjE3OTMyODM2ODMiPjQ2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</w:fldData>
        </w:fldChar>
      </w:r>
      <w:r>
        <w:instrText xml:space="preserve"> ADDIN EN.CITE.DATA </w:instrText>
      </w:r>
      <w:r>
        <w:fldChar w:fldCharType="end"/>
      </w:r>
      <w:r>
        <w:fldChar w:fldCharType="separate"/>
      </w:r>
      <w:r>
        <w:t xml:space="preserve">[V16-46]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40NzwvUmVjTnVtPjxEaXNwbGF5VGV4dD5bVjE2LTQ3XTwvRGlzcGxheVRleHQ+PHJlY29yZD48cmVjLW51bWJlcj40NzwvcmVjLW51bWJlcj48Zm9yZWlnbi1rZXlzPjxrZXkgYXBwPSJFTiIgZGItaWQ9IjdlNzhiMTViLTg2MzMtNWVjMC1hMGI0LWNlOGJkYTQ4YzI2NiIgdGltZXN0YW1wPSIxNzkzMjgzNjgzIj40N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[V16-47]</w:t>
      </w:r>
      <w:r>
        <w:fldChar w:fldCharType="end"/>
      </w:r>
    </w:p>
    <w:p>
      <w:pPr>
        <w:pStyle w:val="Normal"/>
        <w:widowControl/>
        <w:spacing w:before="60" w:after="20"/>
      </w:pPr>
      <w:r>
        <w:t xml:space="preserve">Evidence-to-threshold distinction: Two reviewers: local independence safeguard, not validated optimum.; 6/12/18 months: sensitivity scenarios for access/dropout, not mandatory waits.; HCC ≥60% five-year ITT OS: one expert trial-design benchmark; not a cross-cancer allocation policy.; All grafts: count initial and rescue/retransplant grafts; donor morbidity remains a separate outcome.</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two independent recipient-benefit reviews and an explicit organ-use case; do not adopt a universal five-year survival cutoff.</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Q2PC9SZWNOdW0+PERpc3BsYXlUZXh0PltWMTYtNDZdPC9EaXNwbGF5VGV4dD48cmVjb3JkPjxyZWMtbnVtYmVyPjQ2PC9yZWMtbnVtYmVyPjxmb3JlaWduLWtleXM+PGtleSBhcHA9IkVOIiBkYi1pZD0iN2U3OGIxNWItODYzMy01ZWMwLWEwYjQtY2U4YmRhNDhjMjY2IiB0aW1lc3RhbXA9IjE3OTMyODM2ODMiPjQ2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</w:fldData>
        </w:fldChar>
      </w:r>
      <w:r>
        <w:instrText xml:space="preserve"> ADDIN EN.CITE.DATA </w:instrText>
      </w:r>
      <w:r>
        <w:fldChar w:fldCharType="end"/>
      </w:r>
      <w:r>
        <w:fldChar w:fldCharType="separate"/>
      </w:r>
      <w:r>
        <w:t xml:space="preserve">[V16-46]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2LTQzXTwvRGlzcGxheVRleHQ+PHJlY29yZD48cmVjLW51bWJlcj40MzwvcmVjLW51bWJlcj48Zm9yZWlnbi1rZXlzPjxrZXkgYXBwPSJFTiIgZGItaWQ9IjdlNzhiMTViLTg2MzMtNWVjMC1hMGI0LWNlOGJkYTQ4YzI2NiIgdGltZXN0YW1wPSIxNzkzMjgzNj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[V16-43]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NDU8L1JlY051bT48RGlzcGxheVRleHQ+W1YxNi00NV08L0Rpc3BsYXlUZXh0PjxyZWNvcmQ+PHJlYy1udW1iZXI+NDU8L3JlYy1udW1iZXI+PGZvcmVpZ24ta2V5cz48a2V5IGFwcD0iRU4iIGRiLWlkPSI3ZTc4YjE1Yi04NjMzLTVlYzAtYTBiNC1jZThiZGE0OGMyNjYiIHRpbWVzdGFtcD0iMTc5MzI4MzY4MyI+NDU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</w:fldData>
        </w:fldChar>
      </w:r>
      <w:r>
        <w:instrText xml:space="preserve"> ADDIN EN.CITE.DATA </w:instrText>
      </w:r>
      <w:r>
        <w:fldChar w:fldCharType="end"/>
      </w:r>
      <w:r>
        <w:fldChar w:fldCharType="separate"/>
      </w:r>
      <w:r>
        <w:t xml:space="preserve">[V16-45]</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TM8L1JlY051bT48RGlzcGxheVRleHQ+W1YxNi0xM108L0Rpc3BsYXlUZXh0PjxyZWNvcmQ+PHJlYy1udW1iZXI+MTM8L3JlYy1udW1iZXI+PGZvcmVpZ24ta2V5cz48a2V5IGFwcD0iRU4iIGRiLWlkPSI3ZTc4YjE1Yi04NjMzLTVlYzAtYTBiNC1jZThiZGE0OGMyNjYiIHRpbWVzdGFtcD0iMTc5MzI4MzY4MyI+MTM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Ni01XTwvRGlzcGxheVRleHQ+PHJlY29yZD48cmVjLW51bWJlcj41PC9yZWMtbnVtYmVyPjxmb3JlaWduLWtleXM+PGtleSBhcHA9IkVOIiBkYi1pZD0iN2U3OGIxNWItODYzMy01ZWMwLWEwYjQtY2U4YmRhNDhjMjY2IiB0aW1lc3RhbXA9IjE3OTMyODM2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UmV0YWluZWQgc291cmNlIGZyb20gZWFybGllciByZXZpZXc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40NzwvUmVjTnVtPjxEaXNwbGF5VGV4dD5bVjE2LTQ3XTwvRGlzcGxheVRleHQ+PHJlY29yZD48cmVjLW51bWJlcj40NzwvcmVjLW51bWJlcj48Zm9yZWlnbi1rZXlzPjxrZXkgYXBwPSJFTiIgZGItaWQ9IjdlNzhiMTViLTg2MzMtNWVjMC1hMGI0LWNlOGJkYTQ4YzI2NiIgdGltZXN0YW1wPSIxNzkzMjgzNjgzIj40N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[V16-47]</w:t>
      </w:r>
      <w:r>
        <w:fldChar w:fldCharType="end"/>
      </w:r>
    </w:p>
    <w:p>
      <w:pPr>
        <w:pStyle w:val="Normal"/>
        <w:widowControl/>
        <w:numPr>
          <w:ilvl w:val="0"/>
          <w:numId w:val="3"/>
        </w:numPr>
      </w:pPr>
      <w:r>
        <w:t xml:space="preserve">Proposed gate: two reviewers not both responsible for recruitment must document expected incremental benefit over the actual contemporary alternative, with unresolved disagreement referred to the full committee.</w:t>
      </w:r>
    </w:p>
    <w:p>
      <w:pPr>
        <w:pStyle w:val="Normal"/>
        <w:widowControl/>
        <w:numPr>
          <w:ilvl w:val="0"/>
          <w:numId w:val="3"/>
        </w:numPr>
      </w:pPr>
      <w:r>
        <w:t xml:space="preserve">For DDLT, show local expected access/dropout and sensitivity scenarios at 6, 12 and 18 months, total graft use including retransplantation, and plausible alternative recipients.</w:t>
      </w:r>
    </w:p>
    <w:p>
      <w:pPr>
        <w:pStyle w:val="Normal"/>
        <w:widowControl/>
        <w:numPr>
          <w:ilvl w:val="1"/>
          <w:numId w:val="3"/>
        </w:numPr>
        <w:spacing w:before="60" w:after="20"/>
      </w:pPr>
      <w:r>
        <w:t xml:space="preserve">These are planning scenarios, not imposed waiting periods.</w:t>
      </w:r>
    </w:p>
    <w:p>
      <w:pPr>
        <w:pStyle w:val="Normal"/>
        <w:widowControl/>
        <w:numPr>
          <w:ilvl w:val="0"/>
          <w:numId w:val="3"/>
        </w:numPr>
      </w:pPr>
      <w:r>
        <w:t xml:space="preserve">For LDLT, separately show healthy-donor risk and potential downstream deceased-donor graft use.</w:t>
      </w:r>
    </w:p>
    <w:p>
      <w:pPr>
        <w:pStyle w:val="Normal"/>
        <w:widowControl/>
        <w:numPr>
          <w:ilvl w:val="1"/>
          <w:numId w:val="3"/>
        </w:numPr>
        <w:spacing w:before="60" w:after="20"/>
      </w:pPr>
      <w:r>
        <w:t xml:space="preserve">Do not call DCD, extended-criteria grafts or machine perfusion “zero opportunity cost.” No priority changes follow from an AI-selected survival threshold.</w:t>
      </w:r>
    </w:p>
    <w:p>
      <w:pPr>
        <w:pStyle w:val="Normal"/>
        <w:widowControl/>
        <w:spacing w:before="60" w:after="20"/>
      </w:pPr>
      <w:r>
        <w:rPr>
          <w:b/>
        </w:rPr>
        <w:t xml:space="preserve">Why retain or change it: </w:t>
      </w:r>
      <w:r>
        <w:t xml:space="preserve">Retain independent benefit and organ-use reviews, but require disease-specific ITT evidence and explicit uncertainty. No universal five-year survival cutoff or numerical allocation weight is adopted.</w:t>
      </w:r>
    </w:p>
    <w:p>
      <w:pPr>
        <w:pStyle w:val="Heading3"/>
        <w:keepNext/>
        <w:widowControl/>
      </w:pPr>
      <w:r>
        <w:t xml:space="preserve">Information required before the decision</w:t>
      </w:r>
    </w:p>
    <w:p>
      <w:pPr>
        <w:pStyle w:val="Normal"/>
        <w:widowControl/>
        <w:spacing w:before="60" w:after="20"/>
      </w:pPr>
      <w:r>
        <w:t xml:space="preserve">Same-eligibility/time-zero comparator; expected access; dropout; donor/graft type; uncertainty intervals; graft loss/retransplant estimate; written independent reviews.</w:t>
      </w:r>
    </w:p>
    <w:p>
      <w:pPr>
        <w:pStyle w:val="Normal"/>
        <w:widowControl/>
        <w:spacing w:before="60" w:after="20"/>
      </w:pPr>
      <w:r>
        <w:rPr>
          <w:b/>
        </w:rPr>
        <w:t xml:space="preserve">Clinical versus allocation: </w:t>
      </w:r>
      <w:r>
        <w:t xml:space="preserve">Only the applicable allocation process determines priority. Favorable post-LT prognosis, evidence grade and urgency are not interchangeable measures.</w:t>
      </w:r>
    </w:p>
    <w:p>
      <w:pPr>
        <w:pStyle w:val="Normal"/>
        <w:widowControl/>
        <w:spacing w:before="60" w:after="20"/>
      </w:pPr>
      <w:r>
        <w:rPr>
          <w:b/>
        </w:rPr>
        <w:t xml:space="preserve">Roadmap / protocol reconciliation: </w:t>
      </w:r>
      <w:r>
        <w:t xml:space="preserve">Compare against the cancer roadmap’s actual resection, ablation, HAI, radiation or systemic alternative—not historical untreated survival.</w:t>
      </w:r>
    </w:p>
    <w:p>
      <w:pPr>
        <w:pStyle w:val="Normal"/>
        <w:widowControl/>
        <w:spacing w:before="60" w:after="20"/>
      </w:pPr>
      <w:hyperlink r:id="rId134">
        <w:r>
          <w:rPr>
            <w:color w:val="77230C"/>
            <w:sz w:val="20"/>
            <w:u w:val="single"/>
          </w:rPr>
          <w:t>Meeting record: ALLOC-B2</w:t>
        </w:r>
      </w:hyperlink>
      <w:r>
        <w:t xml:space="preserve">  |  </w:t>
      </w:r>
      <w:hyperlink r:id="rId13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6" w:name="ALLOC_B3"/>
      <w:r>
        <w:t xml:space="preserve">ALLOC-B3 — What must donor consent and follow-up include?</w:t>
      </w:r>
      <w:bookmarkEnd w:id="6"/>
    </w:p>
    <w:p>
      <w:pPr>
        <w:pStyle w:val="Normal"/>
        <w:keepNext/>
        <w:widowControl/>
      </w:pPr>
      <w:r>
        <w:t xml:space="preserve">Evidence and uncertainty before the shared rule</w:t>
      </w:r>
    </w:p>
    <w:p>
      <w:pPr>
        <w:pStyle w:val="Normal"/>
        <w:widowControl/>
        <w:spacing w:before="60" w:after="20"/>
      </w:pPr>
      <w:r>
        <w:t xml:space="preserve">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 Full-text clarification: Use endpoint-specific denominators for donor counseling. Include aborted donation, early and late surgical/psychological events, financial burden and support; historical complication grading cannot be substituted for contemporary Clavien–Dindo major morbidity.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2LTQzXTwvRGlzcGxheVRleHQ+PHJlY29yZD48cmVjLW51bWJlcj40MzwvcmVjLW51bWJlcj48Zm9yZWlnbi1rZXlzPjxrZXkgYXBwPSJFTiIgZGItaWQ9IjdlNzhiMTViLTg2MzMtNWVjMC1hMGI0LWNlOGJkYTQ4YzI2NiIgdGltZXN0YW1wPSIxNzkzMjgzNj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[V16-43]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NDg8L1JlY051bT48RGlzcGxheVRleHQ+W1YxNi00OF08L0Rpc3BsYXlUZXh0PjxyZWNvcmQ+PHJlYy1udW1iZXI+NDg8L3JlYy1udW1iZXI+PGZvcmVpZ24ta2V5cz48a2V5IGFwcD0iRU4iIGRiLWlkPSI3ZTc4YjE1Yi04NjMzLTVlYzAtYTBiNC1jZThiZGE0OGMyNjYiIHRpbWVzdGFtcD0iMTc5MzI4MzY4MyI+NDg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[V16-48]</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NDk8L1JlY051bT48RGlzcGxheVRleHQ+W1YxNi00OV08L0Rpc3BsYXlUZXh0PjxyZWNvcmQ+PHJlYy1udW1iZXI+NDk8L3JlYy1udW1iZXI+PGZvcmVpZ24ta2V5cz48a2V5IGFwcD0iRU4iIGRiLWlkPSI3ZTc4YjE1Yi04NjMzLTVlYzAtYTBiNC1jZThiZGE0OGMyNjYiIHRpbWVzdGFtcD0iMTc5MzI4MzY4MyI+NDk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[V16-49]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UwPC9SZWNOdW0+PERpc3BsYXlUZXh0PltWMTYtNTBdPC9EaXNwbGF5VGV4dD48cmVjb3JkPjxyZWMtbnVtYmVyPjUwPC9yZWMtbnVtYmVyPjxmb3JlaWduLWtleXM+PGtleSBhcHA9IkVOIiBkYi1pZD0iN2U3OGIxNWItODYzMy01ZWMwLWEwYjQtY2U4YmRhNDhjMjY2IiB0aW1lc3RhbXA9IjE3OTMyODM2ODMiPjUw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[V16-50]</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spacing w:before="60" w:after="20"/>
      </w:pPr>
      <w:r>
        <w:t xml:space="preserve">Quantitative donor context: Kelly reports 8/8,619 deaths by 90 days across eras; A2ALL recorded ≥1 complication in 296/740 donors. These are different outcomes/eras, not poolable rates. The complete donor evidence and follow-up limitations are in ALLOC-B3.</w:t>
      </w:r>
    </w:p>
    <w:p>
      <w:pPr>
        <w:pStyle w:val="Normal"/>
        <w:widowControl/>
        <w:spacing w:before="60" w:after="20"/>
      </w:pPr>
      <w:r>
        <w:t xml:space="preserve">Evidence-to-threshold distinction: Baseline/6 weeks/6 months/1/2 years then annually to five: proposed support schedule; current mandatory reporting remains separately checked.; One sentinel event: conservative review/pause trigger, not a statistically estimated harm boundary.; No relaxed donor criteria: protection against shifting uncertain recipient benefit onto a healthy person.</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relax donor criteria; fund independent follow-up and pause after a serious sentinel donor event.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ZTc4YjE1Yi04NjMzLTVlYzAtYTBiNC1jZThiZGE0OGMyNjYiIHRpbWVzdGFtcD0iMTc5MzI4MzY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2LTQzXTwvRGlzcGxheVRleHQ+PHJlY29yZD48cmVjLW51bWJlcj40MzwvcmVjLW51bWJlcj48Zm9yZWlnbi1rZXlzPjxrZXkgYXBwPSJFTiIgZGItaWQ9IjdlNzhiMTViLTg2MzMtNWVjMC1hMGI0LWNlOGJkYTQ4YzI2NiIgdGltZXN0YW1wPSIxNzkzMjgzNj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[V16-43]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NDg8L1JlY051bT48RGlzcGxheVRleHQ+W1YxNi00OF08L0Rpc3BsYXlUZXh0PjxyZWNvcmQ+PHJlYy1udW1iZXI+NDg8L3JlYy1udW1iZXI+PGZvcmVpZ24ta2V5cz48a2V5IGFwcD0iRU4iIGRiLWlkPSI3ZTc4YjE1Yi04NjMzLTVlYzAtYTBiNC1jZThiZGE0OGMyNjYiIHRpbWVzdGFtcD0iMTc5MzI4MzY4MyI+NDg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[V16-48]</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NDk8L1JlY051bT48RGlzcGxheVRleHQ+W1YxNi00OV08L0Rpc3BsYXlUZXh0PjxyZWNvcmQ+PHJlYy1udW1iZXI+NDk8L3JlYy1udW1iZXI+PGZvcmVpZ24ta2V5cz48a2V5IGFwcD0iRU4iIGRiLWlkPSI3ZTc4YjE1Yi04NjMzLTVlYzAtYTBiNC1jZThiZGE0OGMyNjYiIHRpbWVzdGFtcD0iMTc5MzI4MzY4MyI+NDk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[V16-49]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UwPC9SZWNOdW0+PERpc3BsYXlUZXh0PltWMTYtNTBdPC9EaXNwbGF5VGV4dD48cmVjb3JkPjxyZWMtbnVtYmVyPjUwPC9yZWMtbnVtYmVyPjxmb3JlaWduLWtleXM+PGtleSBhcHA9IkVOIiBkYi1pZD0iN2U3OGIxNWItODYzMy01ZWMwLWEwYjQtY2U4YmRhNDhjMjY2IiB0aW1lc3RhbXA9IjE3OTMyODM2ODMiPjUw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[V16-50]</w:t>
      </w:r>
      <w:r>
        <w:fldChar w:fldCharType="end"/>
      </w:r>
    </w:p>
    <w:p>
      <w:pPr>
        <w:pStyle w:val="Normal"/>
        <w:widowControl/>
        <w:numPr>
          <w:ilvl w:val="0"/>
          <w:numId w:val="3"/>
        </w:numPr>
      </w:pPr>
      <w:r>
        <w:t xml:space="preserve">Proposed readiness gate: independent donor evaluation/advocacy, documented freedom to withdraw, recipient-benefit uncertainty consent, and funded medical, psychological, recovery and financial follow-up before investigational LDLT.</w:t>
      </w:r>
    </w:p>
    <w:p>
      <w:pPr>
        <w:pStyle w:val="Normal"/>
        <w:widowControl/>
        <w:numPr>
          <w:ilvl w:val="0"/>
          <w:numId w:val="3"/>
        </w:numPr>
      </w:pPr>
      <w:r>
        <w:t xml:space="preserve">Proposed local follow-up: baseline, six weeks, six months, one year, two years, then annually through five years.</w:t>
      </w:r>
    </w:p>
    <w:p>
      <w:pPr>
        <w:pStyle w:val="Normal"/>
        <w:widowControl/>
        <w:numPr>
          <w:ilvl w:val="1"/>
          <w:numId w:val="3"/>
        </w:numPr>
        <w:spacing w:before="60" w:after="20"/>
      </w:pPr>
      <w:r>
        <w:t xml:space="preserve">Meet current OPTN reporting duties separately; this five-year support plan is not claimed to be a national reporting requirement.</w:t>
      </w:r>
    </w:p>
    <w:p>
      <w:pPr>
        <w:pStyle w:val="Normal"/>
        <w:widowControl/>
        <w:numPr>
          <w:ilvl w:val="0"/>
          <w:numId w:val="3"/>
        </w:numPr>
      </w:pPr>
      <w:r>
        <w:t xml:space="preserve">One donor death, life-threatening complication, permanent major disability or liver failure requiring transplantation triggers an immediate pause of the relevant investigational LDLT activity and independent review.</w:t>
      </w:r>
    </w:p>
    <w:p>
      <w:pPr>
        <w:pStyle w:val="Normal"/>
        <w:widowControl/>
        <w:numPr>
          <w:ilvl w:val="1"/>
          <w:numId w:val="3"/>
        </w:numPr>
        <w:spacing w:before="60" w:after="20"/>
      </w:pPr>
      <w:r>
        <w:t xml:space="preserve">Other serious donor harm also warrants review; reopening needs independent authorization.</w:t>
      </w:r>
    </w:p>
    <w:p>
      <w:pPr>
        <w:pStyle w:val="Normal"/>
        <w:widowControl/>
        <w:spacing w:before="60" w:after="20"/>
      </w:pPr>
      <w:r>
        <w:rPr>
          <w:b/>
        </w:rPr>
        <w:t xml:space="preserve">Why retain or change it: </w:t>
      </w:r>
      <w:r>
        <w:t xml:space="preserve">Retain independent advocacy, ability to withdraw, funded medical/psychological/financial follow-up and sentinel-event pause. Add explicit denominator/era caveats to consent estimates and collect local outcomes prospectively. Use endpoint-specific denominators for donor counseling. Include aborted donation, early and late surgical/psychological events, financial burden and support; historical complication grading cannot be substituted for contemporary Clavien–Dindo major morbidity.</w:t>
      </w:r>
    </w:p>
    <w:p>
      <w:pPr>
        <w:pStyle w:val="Heading3"/>
        <w:keepNext/>
        <w:widowControl/>
      </w:pPr>
      <w:r>
        <w:t xml:space="preserve">Information required before the decision</w:t>
      </w:r>
    </w:p>
    <w:p>
      <w:pPr>
        <w:pStyle w:val="Normal"/>
        <w:widowControl/>
        <w:spacing w:before="60" w:after="20"/>
      </w:pPr>
      <w:r>
        <w:t xml:space="preserve">Graft/resection-specific and center-specific risk; donor recovery/employment baseline; independent consent and advocate records; funded follow-up/support; sentinel-event response owner.</w:t>
      </w:r>
    </w:p>
    <w:p>
      <w:pPr>
        <w:pStyle w:val="Normal"/>
        <w:widowControl/>
        <w:spacing w:before="60" w:after="20"/>
      </w:pPr>
      <w:r>
        <w:rPr>
          <w:b/>
        </w:rPr>
        <w:t xml:space="preserve">Clinical versus allocation: </w:t>
      </w:r>
      <w:r>
        <w:t xml:space="preserve">LDLT clearance is separate from recipient selection; the potential need for retransplantation must be included in organ-use discussions.</w:t>
      </w:r>
    </w:p>
    <w:p>
      <w:pPr>
        <w:pStyle w:val="Normal"/>
        <w:widowControl/>
        <w:spacing w:before="60" w:after="20"/>
      </w:pPr>
      <w:r>
        <w:rPr>
          <w:b/>
        </w:rPr>
        <w:t xml:space="preserve">Roadmap / protocol reconciliation: </w:t>
      </w:r>
      <w:r>
        <w:t xml:space="preserve">The same independent donor safeguards apply whether recipient disease is standard or experimental.</w:t>
      </w:r>
    </w:p>
    <w:p>
      <w:pPr>
        <w:pStyle w:val="Normal"/>
        <w:widowControl/>
        <w:spacing w:before="60" w:after="20"/>
      </w:pPr>
      <w:hyperlink r:id="rId136">
        <w:r>
          <w:rPr>
            <w:color w:val="77230C"/>
            <w:sz w:val="20"/>
            <w:u w:val="single"/>
          </w:rPr>
          <w:t>Meeting record: ALLOC-B3</w:t>
        </w:r>
      </w:hyperlink>
      <w:r>
        <w:t xml:space="preserve">  |  </w:t>
      </w:r>
      <w:hyperlink r:id="rId13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6 Post transplant immunosuppression and graft monitoring</w:t>
      </w:r>
    </w:p>
    <w:p>
      <w:pPr>
        <w:pStyle w:val="Normal"/>
        <w:widowControl/>
        <w:numPr>
          <w:ilvl w:val="0"/>
          <w:numId w:val="3"/>
        </w:numPr>
      </w:pPr>
      <w:r>
        <w:t xml:space="preserve">Use the approved institutional induction and maintenance regimen with individualized renal, rejection, infection and drug-interaction review. Do not mandate ATG, tacrolimus 12–15 ng/mL, accelerated steroid withdrawal or routine protocol biopsies solely because an ICI was previously given.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Ni02XTwvRGlzcGxheVRleHQ+PHJlY29yZD48cmVjLW51bWJlcj42PC9yZWMtbnVtYmVyPjxmb3JlaWduLWtleXM+PGtleSBhcHA9IkVOIiBkYi1pZD0iN2U3OGIxNWItODYzMy01ZWMwLWEwYjQtY2U4YmRhNDhjMjY2IiB0aW1lc3RhbXA9IjE3OTMyODM2ODM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YtMzddPC9EaXNwbGF5VGV4dD48cmVjb3JkPjxyZWMtbnVtYmVyPjM3PC9yZWMtbnVtYmVyPjxmb3JlaWduLWtleXM+PGtleSBhcHA9IkVOIiBkYi1pZD0iN2U3OGIxNWItODYzMy01ZWMwLWEwYjQtY2U4YmRhNDhjMjY2IiB0aW1lc3RhbXA9IjE3OTMyODM2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[V16-37]</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2LTM2XTwvRGlzcGxheVRleHQ+PHJlY29yZD48cmVjLW51bWJlcj4zNjwvcmVjLW51bWJlcj48Zm9yZWlnbi1rZXlzPjxrZXkgYXBwPSJFTiIgZGItaWQ9IjdlNzhiMTViLTg2MzMtNWVjMC1hMGI0LWNlOGJkYTQ4YzI2NiIgdGltZXN0YW1wPSIxNzkzMjgzNj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[V16-36]</w:t>
      </w:r>
      <w:r>
        <w:fldChar w:fldCharType="end"/>
      </w:r>
    </w:p>
    <w:p>
      <w:pPr>
        <w:pStyle w:val="Normal"/>
        <w:widowControl/>
        <w:numPr>
          <w:ilvl w:val="0"/>
          <w:numId w:val="3"/>
        </w:numPr>
      </w:pPr>
      <w:r>
        <w:t xml:space="preserve">Monitor liver tests, graft vascular patency, drug exposure and infection according to early LT practice; promptly investigate unexplained graft dysfunction and obtain for-cause biopsy when appropriate. Continue rejection vigilance beyond the first month: later events occur, and an early 7–10-day window is inadequate.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</w:fldData>
        </w:fldChar>
      </w:r>
      <w:r>
        <w:instrText xml:space="preserve"> ADDIN EN.CITE.DATA </w:instrText>
      </w:r>
      <w:r>
        <w:fldChar w:fldCharType="end"/>
      </w:r>
      <w:r>
        <w:fldChar w:fldCharType="separate"/>
      </w:r>
      <w:r>
        <w:t xml:space="preserve">[V16-38]</w:t>
      </w:r>
      <w:r>
        <w:fldChar w:fldCharType="end"/>
      </w:r>
    </w:p>
    <w:p>
      <w:pPr>
        <w:pStyle w:val="Normal"/>
        <w:widowControl/>
        <w:numPr>
          <w:ilvl w:val="0"/>
          <w:numId w:val="3"/>
        </w:numPr>
      </w:pPr>
      <w:r>
        <w:t xml:space="preserve">Consider mTOR-based modification only after appropriate healing and vascular assessment, using the current product label and transplant-pharmacy plan. Do not promise recurrence prevention: the SiLVER trial did not demonstrate a significant long-term primary recurrence-free-survival benefit.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</w:fldData>
        </w:fldChar>
      </w:r>
      <w:r>
        <w:instrText xml:space="preserve"> ADDIN EN.CITE.DATA </w:instrText>
      </w:r>
      <w:r>
        <w:fldChar w:fldCharType="end"/>
      </w:r>
      <w:r>
        <w:fldChar w:fldCharType="separate"/>
      </w:r>
      <w:r>
        <w:t xml:space="preserve">[V16-51]</w:t>
      </w:r>
      <w:r>
        <w:fldChar w:fldCharType="end"/>
      </w:r>
    </w:p>
    <w:p>
      <w:pPr>
        <w:pStyle w:val="Normal"/>
        <w:widowControl/>
        <w:numPr>
          <w:ilvl w:val="0"/>
          <w:numId w:val="3"/>
        </w:numPr>
      </w:pPr>
      <w:r>
        <w:t xml:space="preserve">PD-L1, lymphocyte subsets and other immune markers remain optional research correlates, not validated clearance tests.</w:t>
      </w:r>
    </w:p>
    <w:p>
      <w:pPr>
        <w:pStyle w:val="Heading2"/>
        <w:keepNext/>
        <w:widowControl/>
      </w:pPr>
      <w:r>
        <w:t xml:space="preserve">7 Post transplant oncologic surveillance</w:t>
      </w:r>
    </w:p>
    <w:p>
      <w:pPr>
        <w:pStyle w:val="Normal"/>
        <w:widowControl/>
        <w:numPr>
          <w:ilvl w:val="0"/>
          <w:numId w:val="3"/>
        </w:numPr>
      </w:pPr>
      <w:r>
        <w:t xml:space="preserve">Proposed local schedule for approval: chest CT and contrast liver CT/MRI with AFP every three months for the first two years, then every six months through year five; subsequent surveillance is individualized. Adjust modality to renal function and MRI/CT suitability. This is an operational proposal, not a proven optimal schedule.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Use explant risk assessment, including RETREAT where applicable, to inform discussion. RETREAT was not validated as a prospective eligibility rule for treated PVTT. Investigate a sustained AFP rise or suspicious lesion; ctDNA alone neither diagnoses recurrence nor authorizes treatment.</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Heading2"/>
        <w:keepNext/>
        <w:widowControl/>
      </w:pPr>
      <w:r>
        <w:t xml:space="preserve">8 Management of recurrence</w:t>
      </w:r>
    </w:p>
    <w:p>
      <w:pPr>
        <w:pStyle w:val="Normal"/>
        <w:widowControl/>
        <w:numPr>
          <w:ilvl w:val="0"/>
          <w:numId w:val="3"/>
        </w:numPr>
      </w:pPr>
      <w:r>
        <w:t xml:space="preserve">Confirm recurrence and restage in the transplant-oncology MDT. Consider resection, ablation or radiation for selected limited disease and systemic therapy for disseminated disease, accounting for graft function, drug interactions and patient priorities.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Post-LT ICI administration is a different risk setting from pre-LT exposure. It is not routine care and may cause rejection, graft loss and death. Any exceptional use requires a documented transplant-oncology risk assessment and monitoring plan; do not quote pre-LT rejection rates as its risk estimate.</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</w:fldData>
        </w:fldChar>
      </w:r>
      <w:r>
        <w:instrText xml:space="preserve"> ADDIN EN.CITE.DATA </w:instrText>
      </w:r>
      <w:r>
        <w:fldChar w:fldCharType="end"/>
      </w:r>
      <w:r>
        <w:fldChar w:fldCharType="separate"/>
      </w:r>
      <w:r>
        <w:t xml:space="preserve">[V16-52]</w:t>
      </w:r>
      <w:r>
        <w:fldChar w:fldCharType="end"/>
      </w:r>
    </w:p>
    <w:p>
      <w:pPr>
        <w:pStyle w:val="Normal"/>
        <w:widowControl/>
        <w:numPr>
          <w:ilvl w:val="0"/>
          <w:numId w:val="3"/>
        </w:numPr>
      </w:pPr>
      <w:r>
        <w:t xml:space="preserve">Individualize immunosuppression reduction with hepatology; do not sacrifice graft safety for an unproven anticancer effect.</w:t>
      </w:r>
    </w:p>
    <w:p>
      <w:pPr>
        <w:pStyle w:val="Heading2"/>
        <w:keepNext/>
        <w:widowControl/>
      </w:pPr>
      <w:r>
        <w:t xml:space="preserve">9 Data collection and safety oversight</w:t>
      </w:r>
    </w:p>
    <w:p>
      <w:pPr>
        <w:pStyle w:val="Normal"/>
        <w:widowControl/>
        <w:numPr>
          <w:ilvl w:val="0"/>
          <w:numId w:val="3"/>
        </w:numPr>
      </w:pPr>
      <w:r>
        <w:t xml:space="preserve">Register every referred or screened candidate in the institutionally approved system, not only recipients. Record acceptance or rejection, treatment entry, response, listing, exception decision, conversion to resection or ablation, progression, toxicity, decompensation, death, patient withdrawal and access-related loss.</w:t>
      </w:r>
    </w:p>
    <w:p>
      <w:pPr>
        <w:pStyle w:val="Normal"/>
        <w:widowControl/>
        <w:numPr>
          <w:ilvl w:val="0"/>
          <w:numId w:val="3"/>
        </w:numPr>
      </w:pPr>
      <w:r>
        <w:t xml:space="preserve">Report overall survival from the prespecified entry point and separately from listing and transplantation. Keep recurrence-free survival, recurrence incidence, graft survival and survival after recurrence distinct, with definitions, confidence intervals, numbers at risk and follow-up completeness. Do not call recipient-only survival an intention-to-treat outcome.</w:t>
      </w:r>
    </w:p>
    <w:p>
      <w:pPr>
        <w:pStyle w:val="Normal"/>
        <w:widowControl/>
        <w:numPr>
          <w:ilvl w:val="0"/>
          <w:numId w:val="3"/>
        </w:numPr>
      </w:pPr>
      <w:r>
        <w:t xml:space="preserve">Capture 90-day recipient morbidity and mortality, biopsy-defined rejection, infection, arterial and biliary complications, graft loss, retransplantation and total grafts used. Record recurrence site, salvage treatment, time off systemic therapy, functional recovery and quality of life, not survival alone.</w:t>
      </w:r>
    </w:p>
    <w:p>
      <w:pPr>
        <w:pStyle w:val="Normal"/>
        <w:widowControl/>
        <w:numPr>
          <w:ilvl w:val="0"/>
          <w:numId w:val="3"/>
        </w:numPr>
      </w:pPr>
      <w:r>
        <w:t xml:space="preserve">Before a transplanting study opens, biostatistics and the independent safety board must approve indication-specific monitoring, evaluable denominators, pause authority and reopening criteria. ALLOC-B4 now proposes explicit initial-cohort review triggers for ratification; they are not validated efficacy/futility boundaries. No universal cross-cancer five-year survival cutoff is adopted.</w:t>
      </w:r>
    </w:p>
    <w:p>
      <w:pPr>
        <w:pStyle w:val="Normal"/>
        <w:widowControl/>
        <w:numPr>
          <w:ilvl w:val="0"/>
          <w:numId w:val="3"/>
        </w:numPr>
      </w:pPr>
      <w:r>
        <w:t xml:space="preserve">Use a contemporary comparator with the same eligibility and time zero. Account for the interval needed to survive to transplantation, crossover, competing risks and overlapping study cohorts. A nonsignificant difference is not proof of equivalence.</w:t>
      </w:r>
    </w:p>
    <w:p>
      <w:pPr>
        <w:pStyle w:val="Heading3"/>
        <w:keepNext/>
        <w:widowControl/>
      </w:pPr>
      <w:bookmarkStart w:id="7" w:name="ALLOC_B4"/>
      <w:r>
        <w:t xml:space="preserve">ALLOC-B4 — What data are required before expansion?</w:t>
      </w:r>
      <w:bookmarkEnd w:id="7"/>
    </w:p>
    <w:p>
      <w:pPr>
        <w:pStyle w:val="Normal"/>
        <w:keepNext/>
        <w:widowControl/>
      </w:pPr>
      <w:r>
        <w:t xml:space="preserve">Evidence and uncertainty before the shared rule</w:t>
      </w:r>
    </w:p>
    <w:p>
      <w:pPr>
        <w:pStyle w:val="Normal"/>
        <w:widowControl/>
        <w:spacing w:before="60" w:after="20"/>
      </w:pPr>
      <w:r>
        <w:t xml:space="preserve">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 Full-text clarification: CONSORT pilot principles are adapted here, not a direct validation of single-arm transplant trial design. Any proposed cohort-size or event-trigger rule requires prospective statistical justification and independent safety oversight before activation.</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TM8L1JlY051bT48RGlzcGxheVRleHQ+W1YxNi0xM108L0Rpc3BsYXlUZXh0PjxyZWNvcmQ+PHJlYy1udW1iZXI+MTM8L3JlYy1udW1iZXI+PGZvcmVpZ24ta2V5cz48a2V5IGFwcD0iRU4iIGRiLWlkPSI3ZTc4YjE1Yi04NjMzLTVlYzAtYTBiNC1jZThiZGE0OGMyNjYiIHRpbWVzdGFtcD0iMTc5MzI4MzY4MyI+MTM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FbGRyaWRnZTwvQXV0aG9yPjxZZWFyPjIwMTY8L1llYXI+PFJlY051bT41MzwvUmVjTnVtPjxEaXNwbGF5VGV4dD5bVjE2LTUzXTwvRGlzcGxheVRleHQ+PHJlY29yZD48cmVjLW51bWJlcj41MzwvcmVjLW51bWJlcj48Zm9yZWlnbi1rZXlzPjxrZXkgYXBwPSJFTiIgZGItaWQ9IjdlNzhiMTViLTg2MzMtNWVjMC1hMGI0LWNlOGJkYTQ4YzI2NiIgdGltZXN0YW1wPSIxNzkzMjgzNjgzIj41Mz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[V16-53]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NDQ8L1JlY051bT48RGlzcGxheVRleHQ+W1YxNi00NF08L0Rpc3BsYXlUZXh0PjxyZWNvcmQ+PHJlYy1udW1iZXI+NDQ8L3JlYy1udW1iZXI+PGZvcmVpZ24ta2V5cz48a2V5IGFwcD0iRU4iIGRiLWlkPSI3ZTc4YjE1Yi04NjMzLTVlYzAtYTBiNC1jZThiZGE0OGMyNjYiIHRpbWVzdGFtcD0iMTc5MzI4MzY4MyI+NDQ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[V16-44]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2LTQzXTwvRGlzcGxheVRleHQ+PHJlY29yZD48cmVjLW51bWJlcj40MzwvcmVjLW51bWJlcj48Zm9yZWlnbi1rZXlzPjxrZXkgYXBwPSJFTiIgZGItaWQ9IjdlNzhiMTViLTg2MzMtNWVjMC1hMGI0LWNlOGJkYTQ4YzI2NiIgdGltZXN0YW1wPSIxNzkzMjgzNj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[V16-43]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U0PC9SZWNOdW0+PERpc3BsYXlUZXh0PltWMTYtNTRdPC9EaXNwbGF5VGV4dD48cmVjb3JkPjxyZWMtbnVtYmVyPjU0PC9yZWMtbnVtYmVyPjxmb3JlaWduLWtleXM+PGtleSBhcHA9IkVOIiBkYi1pZD0iN2U3OGIxNWItODYzMy01ZWMwLWEwYjQtY2U4YmRhNDhjMjY2IiB0aW1lc3RhbXA9IjE3OTMyODM2ODMiPjU0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WFkIGZvciB0aGUgVjE2IGV4dHJhaGVwYXRpYy1kaXNlYXNlIHJldmlldyAoY29tcGxldGUgbWFpbiB0ZXh0OyByZWxldmFudCBjb21wbGV0ZSBzZWN0aW9ucyBmb3IgbG9uZyBndWlkZWxpbmVzKS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y8+PC91cmxzPjwvcmVjb3JkPjwvQ2l0ZT48L0VuZE5vdGU+</w:fldData>
        </w:fldChar>
      </w:r>
      <w:r>
        <w:instrText xml:space="preserve"> ADDIN EN.CITE.DATA </w:instrText>
      </w:r>
      <w:r>
        <w:fldChar w:fldCharType="end"/>
      </w:r>
      <w:r>
        <w:fldChar w:fldCharType="separate"/>
      </w:r>
      <w:r>
        <w:t xml:space="preserve">[V16-54]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41NTwvUmVjTnVtPjxEaXNwbGF5VGV4dD5bVjE2LTU1XTwvRGlzcGxheVRleHQ+PHJlY29yZD48cmVjLW51bWJlcj41NTwvcmVjLW51bWJlcj48Zm9yZWlnbi1rZXlzPjxrZXkgYXBwPSJFTiIgZGItaWQ9IjdlNzhiMTViLTg2MzMtNWVjMC1hMGI0LWNlOGJkYTQ4YzI2NiIgdGltZXN0YW1wPSIxNzkzMjgzNjgzIj41NT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[V16-55]</w:t>
      </w:r>
      <w:r>
        <w:fldChar w:fldCharType="end"/>
      </w:r>
    </w:p>
    <w:p>
      <w:pPr>
        <w:pStyle w:val="Normal"/>
        <w:widowControl/>
        <w:spacing w:before="60" w:after="20"/>
      </w:pPr>
      <w:r>
        <w:t xml:space="preserve">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pStyle w:val="Normal"/>
        <w:widowControl/>
        <w:spacing w:before="60" w:after="20"/>
      </w:pPr>
      <w:r>
        <w:t xml:space="preserve">Evidence-to-threshold distinction: Ten per stratum and interim after five at 90 days: local feasibility cap and safety review cadence.; Twelve-month minimum: earliest expansion discussion, not proof of long-term cancer benefit.; ≥90%: proposed non-vital key-measure completeness threshold; not permission to ignore deaths/graft events or unknown status.; One early death/graft loss/re-LT: review/pause trigger, not automatic futility or withholding rescue.</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a small staged pilot with all-screened accounting and explicit safety pauses; no automatic expansion on favorable recipient survival.</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TM8L1JlY051bT48RGlzcGxheVRleHQ+W1YxNi0xM108L0Rpc3BsYXlUZXh0PjxyZWNvcmQ+PHJlYy1udW1iZXI+MTM8L3JlYy1udW1iZXI+PGZvcmVpZ24ta2V5cz48a2V5IGFwcD0iRU4iIGRiLWlkPSI3ZTc4YjE1Yi04NjMzLTVlYzAtYTBiNC1jZThiZGE0OGMyNjYiIHRpbWVzdGFtcD0iMTc5MzI4MzY4MyI+MTM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FbGRyaWRnZTwvQXV0aG9yPjxZZWFyPjIwMTY8L1llYXI+PFJlY051bT41MzwvUmVjTnVtPjxEaXNwbGF5VGV4dD5bVjE2LTUzXTwvRGlzcGxheVRleHQ+PHJlY29yZD48cmVjLW51bWJlcj41MzwvcmVjLW51bWJlcj48Zm9yZWlnbi1rZXlzPjxrZXkgYXBwPSJFTiIgZGItaWQ9IjdlNzhiMTViLTg2MzMtNWVjMC1hMGI0LWNlOGJkYTQ4YzI2NiIgdGltZXN0YW1wPSIxNzkzMjgzNjgzIj41Mz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[V16-53]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NDQ8L1JlY051bT48RGlzcGxheVRleHQ+W1YxNi00NF08L0Rpc3BsYXlUZXh0PjxyZWNvcmQ+PHJlYy1udW1iZXI+NDQ8L3JlYy1udW1iZXI+PGZvcmVpZ24ta2V5cz48a2V5IGFwcD0iRU4iIGRiLWlkPSI3ZTc4YjE1Yi04NjMzLTVlYzAtYTBiNC1jZThiZGE0OGMyNjYiIHRpbWVzdGFtcD0iMTc5MzI4MzY4MyI+NDQ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</w:fldData>
        </w:fldChar>
      </w:r>
      <w:r>
        <w:instrText xml:space="preserve"> ADDIN EN.CITE.DATA </w:instrText>
      </w:r>
      <w:r>
        <w:fldChar w:fldCharType="end"/>
      </w:r>
      <w:r>
        <w:fldChar w:fldCharType="separate"/>
      </w:r>
      <w:r>
        <w:t xml:space="preserve">[V16-44]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2LTQzXTwvRGlzcGxheVRleHQ+PHJlY29yZD48cmVjLW51bWJlcj40MzwvcmVjLW51bWJlcj48Zm9yZWlnbi1rZXlzPjxrZXkgYXBwPSJFTiIgZGItaWQ9IjdlNzhiMTViLTg2MzMtNWVjMC1hMGI0LWNlOGJkYTQ4YzI2NiIgdGltZXN0YW1wPSIxNzkzMjgzNj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[V16-43]</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U0PC9SZWNOdW0+PERpc3BsYXlUZXh0PltWMTYtNTRdPC9EaXNwbGF5VGV4dD48cmVjb3JkPjxyZWMtbnVtYmVyPjU0PC9yZWMtbnVtYmVyPjxmb3JlaWduLWtleXM+PGtleSBhcHA9IkVOIiBkYi1pZD0iN2U3OGIxNWItODYzMy01ZWMwLWEwYjQtY2U4YmRhNDhjMjY2IiB0aW1lc3RhbXA9IjE3OTMyODM2ODMiPjU0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WFkIGZvciB0aGUgVjE2IGV4dHJhaGVwYXRpYy1kaXNlYXNlIHJldmlldyAoY29tcGxldGUgbWFpbiB0ZXh0OyByZWxldmFudCBjb21wbGV0ZSBzZWN0aW9ucyBmb3IgbG9uZyBndWlkZWxpbmVzKS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y8+PC91cmxzPjwvcmVjb3JkPjwvQ2l0ZT48L0VuZE5vdGU+</w:fldData>
        </w:fldChar>
      </w:r>
      <w:r>
        <w:instrText xml:space="preserve"> ADDIN EN.CITE.DATA </w:instrText>
      </w:r>
      <w:r>
        <w:fldChar w:fldCharType="end"/>
      </w:r>
      <w:r>
        <w:fldChar w:fldCharType="separate"/>
      </w:r>
      <w:r>
        <w:t xml:space="preserve">[V16-54]</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41NTwvUmVjTnVtPjxEaXNwbGF5VGV4dD5bVjE2LTU1XTwvRGlzcGxheVRleHQ+PHJlY29yZD48cmVjLW51bWJlcj41NTwvcmVjLW51bWJlcj48Zm9yZWlnbi1rZXlzPjxrZXkgYXBwPSJFTiIgZGItaWQ9IjdlNzhiMTViLTg2MzMtNWVjMC1hMGI0LWNlOGJkYTQ4YzI2NiIgdGltZXN0YW1wPSIxNzkzMjgzNjgzIj41NT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[V16-55]</w:t>
      </w:r>
      <w:r>
        <w:fldChar w:fldCharType="end"/>
      </w:r>
    </w:p>
    <w:p>
      <w:pPr>
        <w:pStyle w:val="Normal"/>
        <w:widowControl/>
        <w:numPr>
          <w:ilvl w:val="0"/>
          <w:numId w:val="3"/>
        </w:numPr>
      </w:pPr>
      <w:r>
        <w:t xml:space="preserve">Proposed initial cap: ten transplants per separately approved biological stratum.</w:t>
      </w:r>
    </w:p>
    <w:p>
      <w:pPr>
        <w:pStyle w:val="Normal"/>
        <w:widowControl/>
        <w:numPr>
          <w:ilvl w:val="1"/>
          <w:numId w:val="3"/>
        </w:numPr>
        <w:spacing w:before="60" w:after="20"/>
      </w:pPr>
      <w:r>
        <w:t xml:space="preserve">Review after the first five have 90-day follow-up; no expansion decision until all first ten have at least 12-month follow-up.</w:t>
      </w:r>
    </w:p>
    <w:p>
      <w:pPr>
        <w:pStyle w:val="Normal"/>
        <w:widowControl/>
        <w:numPr>
          <w:ilvl w:val="1"/>
          <w:numId w:val="3"/>
        </w:numPr>
        <w:spacing w:before="60" w:after="20"/>
      </w:pPr>
      <w:r>
        <w:t xml:space="preserve">Reconcile vital status, graft events and known serious harms for every participant; require ≥90% completeness for other prespecified key outcomes.</w:t>
      </w:r>
    </w:p>
    <w:p>
      <w:pPr>
        <w:pStyle w:val="Normal"/>
        <w:widowControl/>
        <w:numPr>
          <w:ilvl w:val="0"/>
          <w:numId w:val="3"/>
        </w:numPr>
      </w:pPr>
      <w:r>
        <w:t xml:space="preserve">In an initial experimental cohort, one all-cause recipient death, graft loss or retransplantation within 90 days triggers a pause of further experimental enrollment/transplantation pending independent review.</w:t>
      </w:r>
    </w:p>
    <w:p>
      <w:pPr>
        <w:pStyle w:val="Normal"/>
        <w:widowControl/>
        <w:numPr>
          <w:ilvl w:val="1"/>
          <w:numId w:val="3"/>
        </w:numPr>
        <w:spacing w:before="60" w:after="20"/>
      </w:pPr>
      <w:r>
        <w:t xml:space="preserve">A later possibly treatment-related death/graft loss or a donor sentinel event also triggers review/pause.</w:t>
      </w:r>
    </w:p>
    <w:p>
      <w:pPr>
        <w:pStyle w:val="Normal"/>
        <w:widowControl/>
        <w:numPr>
          <w:ilvl w:val="1"/>
          <w:numId w:val="3"/>
        </w:numPr>
        <w:spacing w:before="60" w:after="20"/>
      </w:pPr>
      <w:r>
        <w:t xml:space="preserve">Rescue care is never withheld; reopening requires independent authorization.</w:t>
      </w:r>
    </w:p>
    <w:p>
      <w:pPr>
        <w:pStyle w:val="Normal"/>
        <w:widowControl/>
        <w:numPr>
          <w:ilvl w:val="0"/>
          <w:numId w:val="3"/>
        </w:numPr>
      </w:pPr>
      <w:r>
        <w:t xml:space="preserve">These are proposed conservative review triggers, not statistically validated efficacy/futility boundaries.</w:t>
      </w:r>
    </w:p>
    <w:p>
      <w:pPr>
        <w:pStyle w:val="Normal"/>
        <w:widowControl/>
        <w:numPr>
          <w:ilvl w:val="1"/>
          <w:numId w:val="3"/>
        </w:numPr>
        <w:spacing w:before="60" w:after="20"/>
      </w:pPr>
      <w:r>
        <w:t xml:space="preserve">Before opening, biostatistics and the independent board must ratify or replace them with indication-specific rules, denominators, pause authority and reopening criteria.</w:t>
      </w:r>
    </w:p>
    <w:p>
      <w:pPr>
        <w:pStyle w:val="Normal"/>
        <w:widowControl/>
        <w:numPr>
          <w:ilvl w:val="0"/>
          <w:numId w:val="3"/>
        </w:numPr>
      </w:pPr>
      <w:r>
        <w:t xml:space="preserve">Capture every screened candidate, including nonrecipients, conversion to resection, dropout, deaths and access barriers; report survival from entry and from LT, recurrence, graft use, donor recovery and quality of life.</w:t>
      </w:r>
    </w:p>
    <w:p>
      <w:pPr>
        <w:pStyle w:val="Normal"/>
        <w:widowControl/>
        <w:numPr>
          <w:ilvl w:val="1"/>
          <w:numId w:val="3"/>
        </w:numPr>
        <w:spacing w:before="60" w:after="20"/>
      </w:pPr>
      <w:r>
        <w:t xml:space="preserve">Ten survivors alone do not establish benefit or authorize expansion.</w:t>
      </w:r>
    </w:p>
    <w:p>
      <w:pPr>
        <w:pStyle w:val="Normal"/>
        <w:widowControl/>
        <w:spacing w:before="60" w:after="20"/>
      </w:pPr>
      <w:r>
        <w:rPr>
          <w:b/>
        </w:rPr>
        <w:t xml:space="preserve">Why retain or change it: </w:t>
      </w:r>
      <w:r>
        <w:t xml:space="preserve">Retain the small staged pilot as an OPEN governance proposal, not an efficacy claim. Clarify that known safety/vital-status data must be reconciled for every enrolled patient; ≥90% applies only to other prespecified key measures. Indication-specific statistical design may replace the proposed numbers before opening. CONSORT pilot principles are adapted here, not a direct validation of single-arm transplant trial design. Any proposed cohort-size or event-trigger rule requires prospective statistical justification and independent safety oversight before activation.</w:t>
      </w:r>
    </w:p>
    <w:p>
      <w:pPr>
        <w:pStyle w:val="Heading3"/>
        <w:keepNext/>
        <w:widowControl/>
      </w:pPr>
      <w:r>
        <w:t xml:space="preserve">Information required before the decision</w:t>
      </w:r>
    </w:p>
    <w:p>
      <w:pPr>
        <w:pStyle w:val="Normal"/>
        <w:widowControl/>
        <w:spacing w:before="60" w:after="20"/>
      </w:pPr>
      <w:r>
        <w:t xml:space="preserve">Locked eligibility strata; prospective entry/time-zero dataset; modern comparator; adverse-event definitions; follow-up-completeness report; independently signed statistical and safety plan.</w:t>
      </w:r>
    </w:p>
    <w:p>
      <w:pPr>
        <w:pStyle w:val="Normal"/>
        <w:widowControl/>
        <w:spacing w:before="60" w:after="20"/>
      </w:pPr>
      <w:r>
        <w:rPr>
          <w:b/>
        </w:rPr>
        <w:t xml:space="preserve">Clinical versus allocation: </w:t>
      </w:r>
      <w:r>
        <w:t xml:space="preserve">Study monitoring never changes exception criteria or guarantees future access. Audit access by referral, geography, resources and donor availability without turning protected characteristics into exclusion rules.</w:t>
      </w:r>
    </w:p>
    <w:p>
      <w:pPr>
        <w:pStyle w:val="Normal"/>
        <w:widowControl/>
        <w:spacing w:before="60" w:after="20"/>
      </w:pPr>
      <w:r>
        <w:rPr>
          <w:b/>
        </w:rPr>
        <w:t xml:space="preserve">Roadmap / protocol reconciliation: </w:t>
      </w:r>
      <w:r>
        <w:t xml:space="preserve">Retain cancer-roadmap treatment alternatives and document why non-LT care was chosen when candidates do not proceed.</w:t>
      </w:r>
    </w:p>
    <w:p>
      <w:pPr>
        <w:pStyle w:val="Normal"/>
        <w:widowControl/>
        <w:spacing w:before="60" w:after="20"/>
      </w:pPr>
      <w:hyperlink r:id="rId138">
        <w:r>
          <w:rPr>
            <w:color w:val="77230C"/>
            <w:sz w:val="20"/>
            <w:u w:val="single"/>
          </w:rPr>
          <w:t>Meeting record: ALLOC-B4</w:t>
        </w:r>
      </w:hyperlink>
      <w:r>
        <w:t xml:space="preserve">  |  </w:t>
      </w:r>
      <w:hyperlink r:id="rId13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10 Remaining decisions before expansion</w:t>
      </w:r>
    </w:p>
    <w:p>
      <w:pPr>
        <w:pStyle w:val="Heading3"/>
        <w:keepNext/>
        <w:widowControl/>
      </w:pPr>
      <w:bookmarkStart w:id="8" w:name="HCC_B4"/>
      <w:r>
        <w:t xml:space="preserve">HCC-B4 — Can a survival-benefit score influence organ priority?</w:t>
      </w:r>
      <w:bookmarkEnd w:id="8"/>
    </w:p>
    <w:p>
      <w:pPr>
        <w:pStyle w:val="Heading3"/>
        <w:keepNext/>
        <w:widowControl/>
      </w:pPr>
      <w:r>
        <w:t xml:space="preserve">Question and comparison</w:t>
      </w:r>
    </w:p>
    <w:p>
      <w:pPr>
        <w:pStyle w:val="Normal"/>
        <w:widowControl/>
        <w:spacing w:before="60" w:after="20"/>
      </w:pPr>
      <w:r>
        <w:t xml:space="preserve">HCC candidates under existing US allocation pathways, including whether results can transport to expanded-risk or LDLT cohorts; compare model-informed eligibility/priority with current policy. Evaluate calibration, causal estimand, treatment timing, clinical utility, equity and prospective impact—not only discrimination or correlation.</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Liu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IENvbXBsZXRlIGxvY2FsIFBERjsgcXVlc3Rpb24tcmVsZXZhbnQgbWV0aG9kcy9yZXN1bHRzIG9yIGd1aWRhbmNlIHNlY3Rpb25zIHJldmlld2VkLiBPcmlnaW5hbCBmdWxsIFBERiBjaGVja2VkOyBtZXRob2RzIGNsYXJpZmljYXRpb24gbmVlZGVkPC9ub3Rlcz48dXJscz48cmVsYXRlZC11cmxzPjx1cmw+aHR0cHM6Ly9kb2kub3JnLzEwLjExMTEvY3RyLjcwNDg4PC91cmw+PC9yZWxhdGVkLXVybHM+PHBkZi11cmxzLz48L3VybHM+PC9yZWNvcmQ+PC9DaXRlPjwvRW5kTm90ZT4=</w:fldData>
              </w:fldChar>
            </w:r>
            <w:r>
              <w:instrText xml:space="preserve"> ADDIN EN.CITE.DATA </w:instrText>
            </w:r>
            <w:r>
              <w:fldChar w:fldCharType="end"/>
            </w:r>
            <w:r>
              <w:fldChar w:fldCharType="separate"/>
            </w:r>
            <w:r>
              <w:t xml:space="preserve">[V16-56]</w:t>
            </w:r>
            <w:r>
              <w:fldChar w:fldCharType="end"/>
            </w:r>
          </w:p>
          <w:p>
            <w:pPr>
              <w:pStyle w:val="Normal"/>
              <w:widowControl/>
              <w:spacing w:before="60" w:after="20"/>
            </w:pPr>
            <w:r>
              <w:t xml:space="preserve">SRTR 2002–2022 HCC cohort restricted to Milan: 30,565 candidates, randomly split into development 15,282 and internal validation 15,283. Table 1 records 19,997 LT and 8,249 dropout events.</w:t>
            </w:r>
          </w:p>
          <w:p>
            <w:pPr>
              <w:pStyle w:val="Normal"/>
              <w:widowControl/>
              <w:spacing w:before="60" w:after="20"/>
            </w:pPr>
            <w:hyperlink r:id="rId140">
              <w:r>
                <w:rPr>
                  <w:color w:val="77230C"/>
                  <w:sz w:val="20"/>
                  <w:u w:val="single"/>
                </w:rPr>
                <w:t>Primary source</w:t>
              </w:r>
            </w:hyperlink>
            <w:r>
              <w:t xml:space="preserve"> | </w:t>
            </w:r>
            <w:hyperlink r:id="rId141">
              <w:r>
                <w:rPr>
                  <w:color w:val="77230C"/>
                  <w:sz w:val="20"/>
                  <w:u w:val="single"/>
                </w:rPr>
                <w:t>Full-text PDF</w:t>
              </w:r>
            </w:hyperlink>
          </w:p>
          <w:p>
            <w:pPr>
              <w:pStyle w:val="Normal"/>
              <w:widowControl/>
              <w:spacing w:before="60" w:after="20"/>
            </w:pPr>
            <w:r>
              <w:t xml:space="preserve">Locator: Complete local PDF pp2–5, §§1.3, 1.6, 1.8 and 2.3, Table 1.</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Proposed score: 0.65×(C-MELD−6)+1.99×(TBS−2.25)+0.68×log2(AFP). Reported internal correlation .93, R² .87 and C-index .91.</w:t>
            </w:r>
          </w:p>
          <w:p>
            <w:pPr>
              <w:pStyle w:val="Normal"/>
              <w:widowControl/>
              <w:spacing w:before="60" w:after="20"/>
            </w:pPr>
            <w:r>
              <w:rPr>
                <w:b/>
              </w:rPr>
              <w:t xml:space="preserve">Do not infer: </w:t>
            </w:r>
            <w:r>
              <w:t xml:space="preserve">Internal split is not external validation. Abstract refers to MELD 3.0 while Methods §1.6 gives an original-MELD formulation; authors/code clarification is needed. Listing versus post-LT time origins, benefit units and model implementation require reproducibility audit. These are audit questions, not proof of a specific bias. No validated transport to PVTT, LDLT or other cancers.</w:t>
            </w:r>
          </w:p>
        </w:tc>
      </w:tr>
      <w:tr>
        <w:trPr/>
        <w:tc>
          <w:tcPr>
            <w:tcW w:w="3400" w:type="dxa"/>
            <w:tcMar>
              <w:top w:w="90" w:type="dxa"/>
              <w:left w:w="90" w:type="dxa"/>
              <w:bottom w:w="90" w:type="dxa"/>
              <w:right w:w="90" w:type="dxa"/>
            </w:tcMar>
          </w:tcPr>
          <w:p>
            <w:pPr>
              <w:pStyle w:val="Normal"/>
              <w:widowControl/>
              <w:spacing w:before="60" w:after="20"/>
            </w:pPr>
            <w:r>
              <w:rPr>
                <w:b/>
              </w:rPr>
              <w:t xml:space="preserve">Liu 2025</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</w:fldData>
              </w:fldChar>
            </w:r>
            <w:r>
              <w:instrText xml:space="preserve"> ADDIN EN.CITE.DATA </w:instrText>
            </w:r>
            <w:r>
              <w:fldChar w:fldCharType="end"/>
            </w:r>
            <w:r>
              <w:fldChar w:fldCharType="separate"/>
            </w:r>
            <w:r>
              <w:t xml:space="preserve">[V16-57]</w:t>
            </w:r>
            <w:r>
              <w:fldChar w:fldCharType="end"/>
            </w:r>
          </w:p>
          <w:p>
            <w:pPr>
              <w:pStyle w:val="Normal"/>
              <w:widowControl/>
              <w:spacing w:before="60" w:after="20"/>
            </w:pPr>
            <w:r>
              <w:t xml:space="preserve">SRTR cohort of 36,634 adult HCC exception applicants listed during 2002–2019, followed through December 2023. TBS = sqrt (largest diameter squared + lesion count squared) at first exception; groups ≤3 (19,403), &gt;3 to ≤5 (14,689), and &gt;5 (2,542). Of all candidates, 91.0% were within Milan, 5.3% beyond Milan but within UCSF, and 3.6% beyond UCSF.</w:t>
            </w:r>
          </w:p>
          <w:p>
            <w:pPr>
              <w:pStyle w:val="Normal"/>
              <w:widowControl/>
              <w:spacing w:before="60" w:after="20"/>
            </w:pPr>
            <w:hyperlink r:id="rId142">
              <w:r>
                <w:rPr>
                  <w:color w:val="77230C"/>
                  <w:sz w:val="20"/>
                  <w:u w:val="single"/>
                </w:rPr>
                <w:t>Primary source</w:t>
              </w:r>
            </w:hyperlink>
            <w:r>
              <w:t xml:space="preserve"> | </w:t>
            </w:r>
            <w:hyperlink r:id="rId143">
              <w:r>
                <w:rPr>
                  <w:color w:val="77230C"/>
                  <w:sz w:val="20"/>
                  <w:u w:val="single"/>
                </w:rPr>
                <w:t>Full-text PDF</w:t>
              </w:r>
            </w:hyperlink>
          </w:p>
          <w:p>
            <w:pPr>
              <w:pStyle w:val="Normal"/>
              <w:widowControl/>
              <w:spacing w:before="60" w:after="20"/>
            </w:pPr>
            <w:r>
              <w:t xml:space="preserve">Locator: PDF pp 4–5 methods/time origins; p 6 Figure 1 and results; p 7 Table 1; pp 8–11 Figures 2–4, Table 2 caption and limitations</w:t>
            </w:r>
          </w:p>
          <w:p>
            <w:pPr>
              <w:pStyle w:val="Normal"/>
              <w:widowControl/>
              <w:spacing w:before="60" w:after="20"/>
            </w:pPr>
            <w:r>
              <w:t xml:space="preserve">Review depth: Complete main-paper full text reviewed; image-based Table 2 also visually inspected;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unadjusted restricted mean differences were 15.7, 22.1 and 25.0 months for low/intermediate/high TBS. Adjusted five-year survival-probability differences were 21.9, 34.5 and 39.4 percentage points. Five-year post-LT OS was 77.2%, 72.9% and 70.9%. Crude dropout counts were 4,585/19,403, 4,178/14,689 and 819/2,542. Time-dependent LT interaction HR 0.68 (95% CI 0.59–0.78); adjusted LT-associated death HRs 0.36, 0.27 and 0.22 by ascending TBS. Safety: Higher tumor burden was associated with higher dropout and modestly worse recipient survival/RFS. This is not an intervention trial and does not quantify harms caused by a new allocation policy.</w:t>
            </w:r>
          </w:p>
          <w:p>
            <w:pPr>
              <w:pStyle w:val="Normal"/>
              <w:widowControl/>
              <w:spacing w:before="60" w:after="20"/>
            </w:pPr>
            <w:r>
              <w:rPr>
                <w:b/>
              </w:rPr>
              <w:t xml:space="preserve">Do not infer: </w:t>
            </w:r>
            <w:r>
              <w:t xml:space="preserve">Registry association with residual selection, changing allocation/treatment eras, missingness and limited tumor-response/pathology data. Unadjusted curve differences do not share a common treatment-decision time origin; the time-dependent interaction analysis should not be misdescribed as ignoring transplant timing. No prospective deployment or validation in prior PVTT/ICI-expanded cohorts. Text reports median follow-up 53.9 months while Figure 1 reports 31.0; the text describes imputation but Figure 1 excludes 706 recipient records. Figure 2 risk-table group counts differ from Table 1 and increase across some times, so do not reuse those risk counts. Figure 4 uncertainty is called IQR in the caption/text but CI within the graphic.</w:t>
            </w:r>
          </w:p>
        </w:tc>
      </w:tr>
      <w:tr>
        <w:trPr/>
        <w:tc>
          <w:tcPr>
            <w:tcW w:w="3400" w:type="dxa"/>
            <w:tcMar>
              <w:top w:w="90" w:type="dxa"/>
              <w:left w:w="90" w:type="dxa"/>
              <w:bottom w:w="90" w:type="dxa"/>
              <w:right w:w="90" w:type="dxa"/>
            </w:tcMar>
          </w:tcPr>
          <w:p>
            <w:pPr>
              <w:pStyle w:val="Normal"/>
              <w:widowControl/>
              <w:spacing w:before="60" w:after="20"/>
            </w:pPr>
            <w:r>
              <w:rPr>
                <w:b/>
              </w:rPr>
              <w:t xml:space="preserve">Lai 2017</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</w:fldData>
              </w:fldChar>
            </w:r>
            <w:r>
              <w:instrText xml:space="preserve"> ADDIN EN.CITE.DATA </w:instrText>
            </w:r>
            <w:r>
              <w:fldChar w:fldCharType="end"/>
            </w:r>
            <w:r>
              <w:fldChar w:fldCharType="separate"/>
            </w:r>
            <w:r>
              <w:t xml:space="preserve">[V16-58]</w:t>
            </w:r>
            <w:r>
              <w:fldChar w:fldCharType="end"/>
            </w:r>
          </w:p>
          <w:p>
            <w:pPr>
              <w:pStyle w:val="Normal"/>
              <w:widowControl/>
              <w:spacing w:before="60" w:after="20"/>
            </w:pPr>
            <w:r>
              <w:t xml:space="preserve">Ten-European-center retrospective cohort of 2,103 adults listed during 1987–2015 who had either undergone LT or dropped out during that period. There were 636 initially beyond-Milan patients and 1,754 treated with locoregional therapy; 1,857 underwent LT and 246 dropped out. Center selection remained within UCSF, up-to-seven or Tokyo criteria, with maximal observed target diameter 6.5 cm and 10 nodules.</w:t>
            </w:r>
          </w:p>
          <w:p>
            <w:pPr>
              <w:pStyle w:val="Normal"/>
              <w:widowControl/>
              <w:spacing w:before="60" w:after="20"/>
            </w:pPr>
            <w:hyperlink r:id="rId144">
              <w:r>
                <w:rPr>
                  <w:color w:val="77230C"/>
                  <w:sz w:val="20"/>
                  <w:u w:val="single"/>
                </w:rPr>
                <w:t>Primary source</w:t>
              </w:r>
            </w:hyperlink>
            <w:r>
              <w:t xml:space="preserve"> | </w:t>
            </w:r>
            <w:hyperlink r:id="rId145">
              <w:r>
                <w:rPr>
                  <w:color w:val="77230C"/>
                  <w:sz w:val="20"/>
                  <w:u w:val="single"/>
                </w:rPr>
                <w:t>Full-text PDF</w:t>
              </w:r>
            </w:hyperlink>
          </w:p>
          <w:p>
            <w:pPr>
              <w:pStyle w:val="Normal"/>
              <w:widowControl/>
              <w:spacing w:before="60" w:after="20"/>
            </w:pPr>
            <w:r>
              <w:t xml:space="preserve">Locator: PDF pp 2–4 selection, model construction and Table 1; pp 5–7 Tables 2–3 and benefit strata; pp 8–9 delisting claims and limitations</w:t>
            </w:r>
          </w:p>
          <w:p>
            <w:pPr>
              <w:pStyle w:val="Normal"/>
              <w:widowControl/>
              <w:spacing w:before="60" w:after="20"/>
            </w:pPr>
            <w:r>
              <w:t xml:space="preserve">Review depth: Complete main-paper full text reviewed; separate supporting data/models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 derived strata contained 405 patients (19.2%) with rounded estimated benefit 0 months, 897 (42.7%) with 20 months, 693 (33.0%) with 40 months, and 108 (5.1%) with 60 months. The four low-benefit factors were MELD ≤13, within-Milan status, mRECIST progression OR complete response, and AFP ≥1,000 ng/mL. There were 242 recurrences among 1,857 recipients (13.0%); 16.1% uses only 1,504 recipients with &gt;1-year follow-up. Safety: The paper proposes delisting its modelled no-benefit group, including complete responders with low MELD; this was not prospectively tested and could deny benefit to patients with residual occult disease or future decompensation.</w:t>
            </w:r>
          </w:p>
          <w:p>
            <w:pPr>
              <w:pStyle w:val="Normal"/>
              <w:widowControl/>
              <w:spacing w:before="60" w:after="20"/>
            </w:pPr>
            <w:r>
              <w:rPr>
                <w:b/>
              </w:rPr>
              <w:t xml:space="preserve">Do not infer: </w:t>
            </w:r>
            <w:r>
              <w:t xml:space="preserve">Non-LT survival is externally model-imputed rather than directly observed; last-evaluation covariates can encode information unavailable at initial listing. Retrospective 30-year cohort, heterogeneous selection and treatment, and no independent validation of the derived benefit strata or prospective delisting policy. The article alternately calls some subgroup summaries means and medians; avoid false numerical precision. Full coefficients/assumptions are in an unread supplement.</w:t>
            </w:r>
          </w:p>
        </w:tc>
      </w:tr>
      <w:tr>
        <w:trPr/>
        <w:tc>
          <w:tcPr>
            <w:tcW w:w="3400" w:type="dxa"/>
            <w:tcMar>
              <w:top w:w="90" w:type="dxa"/>
              <w:left w:w="90" w:type="dxa"/>
              <w:bottom w:w="90" w:type="dxa"/>
              <w:right w:w="90" w:type="dxa"/>
            </w:tcMar>
          </w:tcPr>
          <w:p>
            <w:pPr>
              <w:pStyle w:val="Normal"/>
              <w:widowControl/>
              <w:spacing w:before="60" w:after="20"/>
            </w:pPr>
            <w:r>
              <w:rPr>
                <w:b/>
              </w:rPr>
              <w:t xml:space="preserve">Goudsmit 2023</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</w:fldData>
              </w:fldChar>
            </w:r>
            <w:r>
              <w:instrText xml:space="preserve"> ADDIN EN.CITE.DATA </w:instrText>
            </w:r>
            <w:r>
              <w:fldChar w:fldCharType="end"/>
            </w:r>
            <w:r>
              <w:fldChar w:fldCharType="separate"/>
            </w:r>
            <w:r>
              <w:t xml:space="preserve">[V16-59]</w:t>
            </w:r>
            <w:r>
              <w:fldChar w:fldCharType="end"/>
            </w:r>
          </w:p>
          <w:p>
            <w:pPr>
              <w:pStyle w:val="Normal"/>
              <w:widowControl/>
              <w:spacing w:before="60" w:after="20"/>
            </w:pPr>
            <w:r>
              <w:t xml:space="preserve">US UNOS first-LT candidates, 2010–April 2019; graphical abstract reports 83,395 eligible listed patients. Exclusions included previous LT, acute liver failure, living-donor listings, multiorgan LT, non-HCC malignancy and non-HCC exception indications. Recipient Table 1 reports 24,503 non-HCC, 6,922 T2 HCC and 5,448 HCC initially outside Milan.</w:t>
            </w:r>
          </w:p>
          <w:p>
            <w:pPr>
              <w:pStyle w:val="Normal"/>
              <w:widowControl/>
              <w:spacing w:before="60" w:after="20"/>
            </w:pPr>
            <w:hyperlink r:id="rId146">
              <w:r>
                <w:rPr>
                  <w:color w:val="77230C"/>
                  <w:sz w:val="20"/>
                  <w:u w:val="single"/>
                </w:rPr>
                <w:t>Primary source</w:t>
              </w:r>
            </w:hyperlink>
            <w:r>
              <w:t xml:space="preserve"> | </w:t>
            </w:r>
            <w:hyperlink r:id="rId147">
              <w:r>
                <w:rPr>
                  <w:color w:val="77230C"/>
                  <w:sz w:val="20"/>
                  <w:u w:val="single"/>
                </w:rPr>
                <w:t>Full-text PDF</w:t>
              </w:r>
            </w:hyperlink>
          </w:p>
          <w:p>
            <w:pPr>
              <w:pStyle w:val="Normal"/>
              <w:widowControl/>
              <w:spacing w:before="60" w:after="20"/>
            </w:pPr>
            <w:r>
              <w:t xml:space="preserve">Locator: PDF p 3 methods and exclusions; p 4 calculator restriction/Table 1; pp 5–6 performance and Table 2; pp 7–8 discussion/limitations</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Mean five-year estimated benefit was 2.30 years for non-HCC, 1.19 for T2 HCC and 1.45 for initially outside-Milan HCC. At the same MELD (-Na) below 30, HCC patients had more estimated benefit than non-HCC, but HCC recipients generally had lower MELD. Waiting-list AUROC was 0.86; post-LT AUROC approximately 0.619. Simplified calculator optimism-corrected R² was 0.93 against model-generated benefit, not a directly observed individual causal benefit. Safety: Allocation opportunity cost is inferred from the recipient case mix; the study did not implement a new policy or measure harms from model-led allocation. Low liver reserve and high tumor burden can lower recipient outcomes even when estimated no-LT survival is poor.</w:t>
            </w:r>
          </w:p>
          <w:p>
            <w:pPr>
              <w:pStyle w:val="Normal"/>
              <w:widowControl/>
              <w:spacing w:before="60" w:after="20"/>
            </w:pPr>
            <w:r>
              <w:rPr>
                <w:b/>
              </w:rPr>
              <w:t xml:space="preserve">Do not infer: </w:t>
            </w:r>
            <w:r>
              <w:t xml:space="preserve">No prospective or geographically independent deployment validation; excludes living-donor and non-HCC exception populations. Registry limits include incomplete five-year follow-up, policy-era change and inadequate recurrence detail. HCC MELD ≥30 estimates are sparse. Table 2 totals T2 HCC as 6,992 versus Table 1's 6,922, and its HCC strata have duplicated benefit values despite differing overall means; avoid reconstructing a calculator from printed aggregate tables. Model R² measures approximation of model outputs, not calibration of individual causal benefit.</w:t>
            </w:r>
          </w:p>
        </w:tc>
      </w:tr>
      <w:tr>
        <w:trPr/>
        <w:tc>
          <w:tcPr>
            <w:tcW w:w="3400" w:type="dxa"/>
            <w:tcMar>
              <w:top w:w="90" w:type="dxa"/>
              <w:left w:w="90" w:type="dxa"/>
              <w:bottom w:w="90" w:type="dxa"/>
              <w:right w:w="90" w:type="dxa"/>
            </w:tcMar>
          </w:tcPr>
          <w:p>
            <w:pPr>
              <w:pStyle w:val="Normal"/>
              <w:widowControl/>
              <w:spacing w:before="60" w:after="20"/>
            </w:pPr>
            <w:r>
              <w:rPr>
                <w:b/>
              </w:rPr>
              <w:t xml:space="preserve">Allen 2024</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40NzwvUmVjTnVtPjxEaXNwbGF5VGV4dD5bVjE2LTQ3XTwvRGlzcGxheVRleHQ+PHJlY29yZD48cmVjLW51bWJlcj40NzwvcmVjLW51bWJlcj48Zm9yZWlnbi1rZXlzPjxrZXkgYXBwPSJFTiIgZGItaWQ9IjdlNzhiMTViLTg2MzMtNWVjMC1hMGI0LWNlOGJkYTQ4YzI2NiIgdGltZXN0YW1wPSIxNzkzMjgzNjgzIj40N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[V16-47]</w:t>
            </w:r>
            <w:r>
              <w:fldChar w:fldCharType="end"/>
            </w:r>
          </w:p>
          <w:p>
            <w:pPr>
              <w:pStyle w:val="Normal"/>
              <w:widowControl/>
              <w:spacing w:before="60" w:after="20"/>
            </w:pPr>
            <w:r>
              <w:t xml:space="preserve">UK National Liver Offering Scheme development and before/after implementation study. Waiting-list models: 3,859 non-cancer and 660 cancer registrations; post-LT models: 2,495 non-cancer and 430 cancer recipients. The separate 2013 simulation cohort comprised 1,287 registrations and 629 donors.</w:t>
            </w:r>
          </w:p>
          <w:p>
            <w:pPr>
              <w:pStyle w:val="Normal"/>
              <w:widowControl/>
              <w:spacing w:before="60" w:after="20"/>
            </w:pPr>
            <w:hyperlink r:id="rId148">
              <w:r>
                <w:rPr>
                  <w:color w:val="77230C"/>
                  <w:sz w:val="20"/>
                  <w:u w:val="single"/>
                </w:rPr>
                <w:t>Primary source</w:t>
              </w:r>
            </w:hyperlink>
            <w:r>
              <w:t xml:space="preserve"> | </w:t>
            </w:r>
            <w:hyperlink r:id="rId149">
              <w:r>
                <w:rPr>
                  <w:color w:val="77230C"/>
                  <w:sz w:val="20"/>
                  <w:u w:val="single"/>
                </w:rPr>
                <w:t>Full-text PDF</w:t>
              </w:r>
            </w:hyperlink>
          </w:p>
          <w:p>
            <w:pPr>
              <w:pStyle w:val="Normal"/>
              <w:widowControl/>
              <w:spacing w:before="60" w:after="20"/>
            </w:pPr>
            <w:r>
              <w:t xml:space="preserve">Locator: PDF pp 3–5: cohorts, censoring, endpoints and simulation assumptions; p 6 Tables 2–3; p 7 Table 4/Figure 1 and HCC subgroup; pp 8–9 limitations/revision</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Simulation: observed 2013 allocation had 93 deaths/removals and 4,581 patient-years; benefit-based simulation predicted 48 deaths/removals and 5,262 patient-years. Need-based simulation predicted the same 48 deaths/removals and 5,187 patient-years. Actual six-month death/deterioration removals fell from 118/1,395 (8%) to 66/1,480 (4%). Six-month survival from listing rose from 86% to 91% (P = .0049), but the HCC-specific comparison was not statistically significant. In the first two years, 68% of DBD livers were offered using the score. Safety: The model can disadvantage particular groups; the authors describe concerns that transplant-free survival in HCC was overestimated and report subsequent model revision. DBD median cold ischemia increased from 8.6 to 9.0 hours in descriptive monitoring; this is not an isolated causal score effect.</w:t>
            </w:r>
          </w:p>
          <w:p>
            <w:pPr>
              <w:pStyle w:val="Normal"/>
              <w:widowControl/>
              <w:spacing w:before="60" w:after="20"/>
            </w:pPr>
            <w:r>
              <w:rPr>
                <w:b/>
              </w:rPr>
              <w:t xml:space="preserve">Do not infer: </w:t>
            </w:r>
            <w:r>
              <w:t xml:space="preserve">Simulated patient-years are not observed life-years gained. The implementation was a multifaceted national process change without randomization. Figure 1 labels the post cohort 1,489 whereas Table 4 and the 2,875 total imply 1,480. Model cancer groups included several indications; no validation specifically establishes safety for US expanded HCC, treated PVTT, or an individual living donor decision. HCC-specific survival improvement was nonsignificant. Detailed coefficients and subgroup results reside in an unread supplement.</w:t>
            </w:r>
          </w:p>
        </w:tc>
      </w:tr>
      <w:tr>
        <w:trPr/>
        <w:tc>
          <w:tcPr>
            <w:tcW w:w="3400" w:type="dxa"/>
            <w:tcMar>
              <w:top w:w="90" w:type="dxa"/>
              <w:left w:w="90" w:type="dxa"/>
              <w:bottom w:w="90" w:type="dxa"/>
              <w:right w:w="90" w:type="dxa"/>
            </w:tcMar>
          </w:tcPr>
          <w:p>
            <w:pPr>
              <w:pStyle w:val="Normal"/>
              <w:widowControl/>
              <w:spacing w:before="60" w:after="20"/>
            </w:pPr>
            <w:r>
              <w:rPr>
                <w:b/>
              </w:rPr>
              <w:t xml:space="preserve">Prosepe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</w:fldData>
              </w:fldChar>
            </w:r>
            <w:r>
              <w:instrText xml:space="preserve"> ADDIN EN.CITE.DATA </w:instrText>
            </w:r>
            <w:r>
              <w:fldChar w:fldCharType="end"/>
            </w:r>
            <w:r>
              <w:fldChar w:fldCharType="separate"/>
            </w:r>
            <w:r>
              <w:t xml:space="preserve">[V16-60]</w:t>
            </w:r>
            <w:r>
              <w:fldChar w:fldCharType="end"/>
            </w:r>
          </w:p>
          <w:p>
            <w:pPr>
              <w:pStyle w:val="Normal"/>
              <w:widowControl/>
              <w:spacing w:before="60" w:after="20"/>
            </w:pPr>
            <w:r>
              <w:t xml:space="preserve">Methodological study with 200 simulations of 2,500 patients and an application to 9,868 Eurotransplant chronic-cirrhosis patients followed during 2007–2019. Of the clinical cohort, 4,998 received LT, 3,013 died before LT, and 1,361 died within three years after LT. Detailed selection criteria are in the separate supplement.</w:t>
            </w:r>
          </w:p>
          <w:p>
            <w:pPr>
              <w:pStyle w:val="Normal"/>
              <w:widowControl/>
              <w:spacing w:before="60" w:after="20"/>
            </w:pPr>
            <w:hyperlink r:id="rId150">
              <w:r>
                <w:rPr>
                  <w:color w:val="77230C"/>
                  <w:sz w:val="20"/>
                  <w:u w:val="single"/>
                </w:rPr>
                <w:t>Primary source</w:t>
              </w:r>
            </w:hyperlink>
            <w:r>
              <w:t xml:space="preserve"> | </w:t>
            </w:r>
            <w:hyperlink r:id="rId151">
              <w:r>
                <w:rPr>
                  <w:color w:val="77230C"/>
                  <w:sz w:val="20"/>
                  <w:u w:val="single"/>
                </w:rPr>
                <w:t>Full-text PDF</w:t>
              </w:r>
            </w:hyperlink>
          </w:p>
          <w:p>
            <w:pPr>
              <w:pStyle w:val="Normal"/>
              <w:widowControl/>
              <w:spacing w:before="60" w:after="20"/>
            </w:pPr>
            <w:r>
              <w:t xml:space="preserve">Locator: PDF pp 3–6 estimand and identifiability assumptions; pp 7–9 simulation; pp 9–11 registry application and projected gain; pp 12–13 limitations and missing oncologic variables</w:t>
            </w:r>
          </w:p>
          <w:p>
            <w:pPr>
              <w:pStyle w:val="Normal"/>
              <w:widowControl/>
              <w:spacing w:before="60" w:after="20"/>
            </w:pPr>
            <w:r>
              <w:t xml:space="preserve">Review depth: Complete main-paper full text reviewed; mathematical proof, selection details and model coefficients in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 proposed weighted method reduced simulation bias relative to baseline-only and unweighted cross-section methods. Applying the fitted model back to the same registry data, selecting the highest predicted benefit rather than highest MELD yielded an estimated extra 0.46 life-years per organ over a three-year horizon. The extrapolated approximately 2,300 life-years is a model projection over roughly 5,000 transplants, not observed benefit. Safety: The model does not directly establish the opportunity costs or population dynamics of changing allocation across future dates. Maximizing benefit at each current offer is not necessarily the optimal longitudinal national policy.</w:t>
            </w:r>
          </w:p>
          <w:p>
            <w:pPr>
              <w:pStyle w:val="Normal"/>
              <w:widowControl/>
              <w:spacing w:before="60" w:after="20"/>
            </w:pPr>
            <w:r>
              <w:rPr>
                <w:b/>
              </w:rPr>
              <w:t xml:space="preserve">Do not infer: </w:t>
            </w:r>
            <w:r>
              <w:t xml:space="preserve">Causal interpretation requires consistency, positivity, conditional exchangeability and correct treatment/outcome models. Performance was not externally validated; real-data predictions were applied to the same patients/dates. Oncologic parameters, sodium and albumin were not routinely collected and omitted. There is no demonstrated calibration in HCC-expanded/PVTT or post-ICI candidates. Full application selection and coefficients remain in the unread supplement. Scarcity dynamics, future organ availability and quality-of-life indications need separate modeling.</w:t>
            </w:r>
          </w:p>
        </w:tc>
      </w:tr>
    </w:tbl>
    <w:p>
      <w:pPr>
        <w:pStyle w:val="Heading3"/>
        <w:keepNext/>
        <w:widowControl/>
      </w:pPr>
      <w:r>
        <w:t xml:space="preserve">Synthesis and evidence that challenges the proposal</w:t>
      </w:r>
    </w:p>
    <w:p>
      <w:pPr>
        <w:pStyle w:val="Normal"/>
        <w:widowControl/>
        <w:spacing w:before="60" w:after="20"/>
      </w:pPr>
      <w:r>
        <w:t xml:space="preserve">Benefit estimands differ: Liu reports both restricted-mean months and adjusted survival-probability percentage points; Lai uses MESIAH-imputed no-LT median survival; Goudsmit estimates recipient-conditioned five-year life-years at LT; Prosepe estimates three-year conditional benefit at donor availability. Allen provides real national implementation monitoring but no significant HCC-specific survival improvement and no validation in US expanded HCC/PVTT. These are not interchangeable scores.</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IENvbXBsZXRlIGxvY2FsIFBERjsgcXVlc3Rpb24tcmVsZXZhbnQgbWV0aG9kcy9yZXN1bHRzIG9yIGd1aWRhbmNlIHNlY3Rpb25zIHJldmlld2VkLiBPcmlnaW5hbCBmdWxsIFBERiBjaGVja2VkOyBtZXRob2RzIGNsYXJpZmljYXRpb24gbmVlZGVkPC9ub3Rlcz48dXJscz48cmVsYXRlZC11cmxzPjx1cmw+aHR0cHM6Ly9kb2kub3JnLzEwLjExMTEvY3RyLjcwNDg4PC91cmw+PC9yZWxhdGVkLXVybHM+PHBkZi11cmxzLz48L3VybHM+PC9yZWNvcmQ+PC9DaXRlPjwvRW5kTm90ZT4=</w:fldData>
        </w:fldChar>
      </w:r>
      <w:r>
        <w:instrText xml:space="preserve"> ADDIN EN.CITE.DATA </w:instrText>
      </w:r>
      <w:r>
        <w:fldChar w:fldCharType="end"/>
      </w:r>
      <w:r>
        <w:fldChar w:fldCharType="separate"/>
      </w:r>
      <w:r>
        <w:t xml:space="preserve">[V16-56]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</w:fldData>
        </w:fldChar>
      </w:r>
      <w:r>
        <w:instrText xml:space="preserve"> ADDIN EN.CITE.DATA </w:instrText>
      </w:r>
      <w:r>
        <w:fldChar w:fldCharType="end"/>
      </w:r>
      <w:r>
        <w:fldChar w:fldCharType="separate"/>
      </w:r>
      <w:r>
        <w:t xml:space="preserve">[V16-57]</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</w:fldData>
        </w:fldChar>
      </w:r>
      <w:r>
        <w:instrText xml:space="preserve"> ADDIN EN.CITE.DATA </w:instrText>
      </w:r>
      <w:r>
        <w:fldChar w:fldCharType="end"/>
      </w:r>
      <w:r>
        <w:fldChar w:fldCharType="separate"/>
      </w:r>
      <w:r>
        <w:t xml:space="preserve">[V16-58]</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</w:fldData>
        </w:fldChar>
      </w:r>
      <w:r>
        <w:instrText xml:space="preserve"> ADDIN EN.CITE.DATA </w:instrText>
      </w:r>
      <w:r>
        <w:fldChar w:fldCharType="end"/>
      </w:r>
      <w:r>
        <w:fldChar w:fldCharType="separate"/>
      </w:r>
      <w:r>
        <w:t xml:space="preserve">[V16-59]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40NzwvUmVjTnVtPjxEaXNwbGF5VGV4dD5bVjE2LTQ3XTwvRGlzcGxheVRleHQ+PHJlY29yZD48cmVjLW51bWJlcj40NzwvcmVjLW51bWJlcj48Zm9yZWlnbi1rZXlzPjxrZXkgYXBwPSJFTiIgZGItaWQ9IjdlNzhiMTViLTg2MzMtNWVjMC1hMGI0LWNlOGJkYTQ4YzI2NiIgdGltZXN0YW1wPSIxNzkzMjgzNjgzIj40N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[V16-47]</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</w:fldData>
        </w:fldChar>
      </w:r>
      <w:r>
        <w:instrText xml:space="preserve"> ADDIN EN.CITE.DATA </w:instrText>
      </w:r>
      <w:r>
        <w:fldChar w:fldCharType="end"/>
      </w:r>
      <w:r>
        <w:fldChar w:fldCharType="separate"/>
      </w:r>
      <w:r>
        <w:t xml:space="preserve">[V16-60]</w:t>
      </w:r>
      <w:r>
        <w:fldChar w:fldCharType="end"/>
      </w:r>
    </w:p>
    <w:p>
      <w:pPr>
        <w:pStyle w:val="Normal"/>
        <w:widowControl/>
        <w:numPr>
          <w:ilvl w:val="0"/>
          <w:numId w:val="3"/>
        </w:numPr>
        <w:spacing w:before="60" w:after="20"/>
      </w:pPr>
      <w:r>
        <w:t xml:space="preserve">The UK implementation and longitudinal causal methods show that benefit-based allocation need not remain hypothetical. Favorable internal performance and the larger-benefit signal at higher tumor burden justify further evaluation, not automatic adoption. Conversely, an imputed nontransplant counterfactual, recipient-only scope or overlapping registry sample cannot serve as independent validation. The proper critique is specific to estimand, calibration and transport—not a blanket claim that observational modeling is invalid or that time-dependent LT was never considered.</w:t>
      </w:r>
    </w:p>
    <w:p>
      <w:pPr>
        <w:pStyle w:val="Normal"/>
        <w:widowControl/>
        <w:spacing w:before="60" w:after="20"/>
      </w:pPr>
      <w:r>
        <w:rPr>
          <w:b/>
        </w:rPr>
        <w:t xml:space="preserve">Certainty / applicability: </w:t>
      </w:r>
      <w:r>
        <w:t xml:space="preserve">Moderate that benefit-based allocation is feasible within an established national governance system; low that any particular observational score improves individual HCC decisions; very low for deployment of the 2026 Liu score in expanded-risk/PVTT/LDLT patients. No independent prospective impact or external high-risk calibration study of that exact score was identified in this bounded search.</w:t>
      </w:r>
    </w:p>
    <w:p>
      <w:pPr>
        <w:pStyle w:val="Heading3"/>
        <w:keepNext/>
        <w:widowControl/>
      </w:pPr>
      <w:r>
        <w:t xml:space="preserve">Where each proposed threshold comes from</w:t>
      </w:r>
    </w:p>
    <w:p>
      <w:pPr>
        <w:pStyle w:val="Normal"/>
        <w:widowControl/>
        <w:numPr>
          <w:ilvl w:val="0"/>
          <w:numId w:val="3"/>
        </w:numPr>
        <w:spacing w:before="60" w:after="20"/>
      </w:pPr>
      <w:r>
        <w:t xml:space="preserve">Zero current decision weight is a proposed governance rule, not a published numerical efficacy threshold. No arbitrary calibration/C-index cutoff is endorsed here. Acceptance criteria should be prespecified with biostatistics and allocation stakeholders using clinically meaningful calibration error, decision consequences and equity, then independently tested. Findings in within-Milan DDLT cannot simply be extrapolated to PVTT or LDLT.</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Liu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IENvbXBsZXRlIGxvY2FsIFBERjsgcXVlc3Rpb24tcmVsZXZhbnQgbWV0aG9kcy9yZXN1bHRzIG9yIGd1aWRhbmNlIHNlY3Rpb25zIHJldmlld2VkLiBPcmlnaW5hbCBmdWxsIFBERiBjaGVja2VkOyBtZXRob2RzIGNsYXJpZmljYXRpb24gbmVlZGVkPC9ub3Rlcz48dXJscz48cmVsYXRlZC11cmxzPjx1cmw+aHR0cHM6Ly9kb2kub3JnLzEwLjExMTEvY3RyLjcwNDg4PC91cmw+PC9yZWxhdGVkLXVybHM+PHBkZi11cmxzLz48L3VybHM+PC9yZWNvcmQ+PC9DaXRlPjwvRW5kTm90ZT4=</w:fldData>
              </w:fldChar>
            </w:r>
            <w:r>
              <w:instrText xml:space="preserve"> ADDIN EN.CITE.DATA </w:instrText>
            </w:r>
            <w:r>
              <w:fldChar w:fldCharType="end"/>
            </w:r>
            <w:r>
              <w:fldChar w:fldCharType="separate"/>
            </w:r>
            <w:r>
              <w:t xml:space="preserve">[V16-56]</w:t>
            </w:r>
            <w:r>
              <w:fldChar w:fldCharType="end"/>
            </w:r>
          </w:p>
          <w:p>
            <w:pPr>
              <w:pStyle w:val="Normal"/>
              <w:widowControl/>
              <w:spacing w:before="60" w:after="20"/>
            </w:pPr>
            <w:r>
              <w:t xml:space="preserve">“developed and internally validated”</w:t>
            </w:r>
          </w:p>
          <w:p>
            <w:pPr>
              <w:pStyle w:val="Normal"/>
              <w:widowControl/>
              <w:spacing w:before="60" w:after="20"/>
            </w:pPr>
            <w:r>
              <w:t xml:space="preserve">Published PDF p2, introduction</w:t>
            </w:r>
          </w:p>
          <w:p>
            <w:pPr>
              <w:pStyle w:val="Normal"/>
              <w:widowControl/>
              <w:spacing w:before="60" w:after="20"/>
            </w:pPr>
            <w:hyperlink r:id="rId152">
              <w:r>
                <w:rPr>
                  <w:color w:val="77230C"/>
                  <w:sz w:val="20"/>
                  <w:u w:val="single"/>
                </w:rPr>
                <w:t>Source</w:t>
              </w:r>
            </w:hyperlink>
            <w:r>
              <w:t xml:space="preserve"> | </w:t>
            </w:r>
            <w:hyperlink r:id="rId15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 split-sample internal assessment is not independent external validation.</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Liu 2026</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IENvbXBsZXRlIGxvY2FsIFBERjsgcXVlc3Rpb24tcmVsZXZhbnQgbWV0aG9kcy9yZXN1bHRzIG9yIGd1aWRhbmNlIHNlY3Rpb25zIHJldmlld2VkLiBPcmlnaW5hbCBmdWxsIFBERiBjaGVja2VkOyBtZXRob2RzIGNsYXJpZmljYXRpb24gbmVlZGVkPC9ub3Rlcz48dXJscz48cmVsYXRlZC11cmxzPjx1cmw+aHR0cHM6Ly9kb2kub3JnLzEwLjExMTEvY3RyLjcwNDg4PC91cmw+PC9yZWxhdGVkLXVybHM+PHBkZi11cmxzLz48L3VybHM+PC9yZWNvcmQ+PC9DaXRlPjwvRW5kTm90ZT4=</w:fldData>
              </w:fldChar>
            </w:r>
            <w:r>
              <w:instrText xml:space="preserve"> ADDIN EN.CITE.DATA </w:instrText>
            </w:r>
            <w:r>
              <w:fldChar w:fldCharType="end"/>
            </w:r>
            <w:r>
              <w:fldChar w:fldCharType="separate"/>
            </w:r>
            <w:r>
              <w:t xml:space="preserve">[V16-56]</w:t>
            </w:r>
            <w:r>
              <w:fldChar w:fldCharType="end"/>
            </w:r>
          </w:p>
          <w:p>
            <w:pPr>
              <w:pStyle w:val="Normal"/>
              <w:widowControl/>
              <w:spacing w:before="60" w:after="20"/>
            </w:pPr>
            <w:r>
              <w:t xml:space="preserve">“Recipients of living donor liver transplantation (LDLT) were excluded”</w:t>
            </w:r>
          </w:p>
          <w:p>
            <w:pPr>
              <w:pStyle w:val="Normal"/>
              <w:widowControl/>
              <w:spacing w:before="60" w:after="20"/>
            </w:pPr>
            <w:r>
              <w:t xml:space="preserve">Published PDF p2, section 1.3</w:t>
            </w:r>
          </w:p>
          <w:p>
            <w:pPr>
              <w:pStyle w:val="Normal"/>
              <w:widowControl/>
              <w:spacing w:before="60" w:after="20"/>
            </w:pPr>
            <w:hyperlink r:id="rId154">
              <w:r>
                <w:rPr>
                  <w:color w:val="77230C"/>
                  <w:sz w:val="20"/>
                  <w:u w:val="single"/>
                </w:rPr>
                <w:t>Source</w:t>
              </w:r>
            </w:hyperlink>
            <w:r>
              <w:t xml:space="preserve"> | </w:t>
            </w:r>
            <w:hyperlink r:id="rId155">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LDLT decisions are outside this model’s evaluated population.</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Give the survival-benefit score zero clinical or allocation weight now; evaluate it in shadow mode only.</w:t>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IENvbXBsZXRlIGxvY2FsIFBERjsgcXVlc3Rpb24tcmVsZXZhbnQgbWV0aG9kcy9yZXN1bHRzIG9yIGd1aWRhbmNlIHNlY3Rpb25zIHJldmlld2VkLiBPcmlnaW5hbCBmdWxsIFBERiBjaGVja2VkOyBtZXRob2RzIGNsYXJpZmljYXRpb24gbmVlZGVkPC9ub3Rlcz48dXJscz48cmVsYXRlZC11cmxzPjx1cmw+aHR0cHM6Ly9kb2kub3JnLzEwLjExMTEvY3RyLjcwNDg4PC91cmw+PC9yZWxhdGVkLXVybHM+PHBkZi11cmxzLz48L3VybHM+PC9yZWNvcmQ+PC9DaXRlPjwvRW5kTm90ZT4=</w:fldData>
        </w:fldChar>
      </w:r>
      <w:r>
        <w:instrText xml:space="preserve"> ADDIN EN.CITE.DATA </w:instrText>
      </w:r>
      <w:r>
        <w:fldChar w:fldCharType="end"/>
      </w:r>
      <w:r>
        <w:fldChar w:fldCharType="separate"/>
      </w:r>
      <w:r>
        <w:t xml:space="preserve">[V16-56]</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</w:fldData>
        </w:fldChar>
      </w:r>
      <w:r>
        <w:instrText xml:space="preserve"> ADDIN EN.CITE.DATA </w:instrText>
      </w:r>
      <w:r>
        <w:fldChar w:fldCharType="end"/>
      </w:r>
      <w:r>
        <w:fldChar w:fldCharType="separate"/>
      </w:r>
      <w:r>
        <w:t xml:space="preserve">[V16-57]</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</w:fldData>
        </w:fldChar>
      </w:r>
      <w:r>
        <w:instrText xml:space="preserve"> ADDIN EN.CITE.DATA </w:instrText>
      </w:r>
      <w:r>
        <w:fldChar w:fldCharType="end"/>
      </w:r>
      <w:r>
        <w:fldChar w:fldCharType="separate"/>
      </w:r>
      <w:r>
        <w:t xml:space="preserve">[V16-58]</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</w:fldData>
        </w:fldChar>
      </w:r>
      <w:r>
        <w:instrText xml:space="preserve"> ADDIN EN.CITE.DATA </w:instrText>
      </w:r>
      <w:r>
        <w:fldChar w:fldCharType="end"/>
      </w:r>
      <w:r>
        <w:fldChar w:fldCharType="separate"/>
      </w:r>
      <w:r>
        <w:t xml:space="preserve">[V16-59]</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40NzwvUmVjTnVtPjxEaXNwbGF5VGV4dD5bVjE2LTQ3XTwvRGlzcGxheVRleHQ+PHJlY29yZD48cmVjLW51bWJlcj40NzwvcmVjLW51bWJlcj48Zm9yZWlnbi1rZXlzPjxrZXkgYXBwPSJFTiIgZGItaWQ9IjdlNzhiMTViLTg2MzMtNWVjMC1hMGI0LWNlOGJkYTQ4YzI2NiIgdGltZXN0YW1wPSIxNzkzMjgzNjgzIj40N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[V16-47]</w:t>
      </w:r>
      <w:r>
        <w:fldChar w:fldCharType="end"/>
      </w:r>
      <w:r>
        <w:t xml:space="preserve"> </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</w:fldData>
        </w:fldChar>
      </w:r>
      <w:r>
        <w:instrText xml:space="preserve"> ADDIN EN.CITE.DATA </w:instrText>
      </w:r>
      <w:r>
        <w:fldChar w:fldCharType="end"/>
      </w:r>
      <w:r>
        <w:fldChar w:fldCharType="separate"/>
      </w:r>
      <w:r>
        <w:t xml:space="preserve">[V16-60]</w:t>
      </w:r>
      <w:r>
        <w:fldChar w:fldCharType="end"/>
      </w:r>
    </w:p>
    <w:p>
      <w:pPr>
        <w:pStyle w:val="Normal"/>
        <w:widowControl/>
        <w:numPr>
          <w:ilvl w:val="0"/>
          <w:numId w:val="3"/>
        </w:numPr>
      </w:pPr>
      <w:r>
        <w:t xml:space="preserve">Proposed decision threshold: no score-driven listing, exclusion, exception priority, organ acceptance, LDLT selection or treatment change before external validation and prospective impact review.</w:t>
      </w:r>
    </w:p>
    <w:p>
      <w:pPr>
        <w:pStyle w:val="Normal"/>
        <w:widowControl/>
        <w:numPr>
          <w:ilvl w:val="0"/>
          <w:numId w:val="3"/>
        </w:numPr>
      </w:pPr>
      <w:r>
        <w:t xml:space="preserve">Require a locked reproducible formula and data dictionary, clarification of the MELD/AFP definitions and time zero, independent external calibration and utility testing against current care, equity assessment, and appropriate policy authorization before deployment.</w:t>
      </w:r>
    </w:p>
    <w:p>
      <w:pPr>
        <w:pStyle w:val="Normal"/>
        <w:widowControl/>
        <w:numPr>
          <w:ilvl w:val="0"/>
          <w:numId w:val="3"/>
        </w:numPr>
      </w:pPr>
      <w:r>
        <w:t xml:space="preserve">Do not extrapolate the within-Milan, non-LDLT model to PVTT, LDLT or other cancers.</w:t>
      </w:r>
    </w:p>
    <w:p>
      <w:pPr>
        <w:pStyle w:val="Normal"/>
        <w:widowControl/>
        <w:numPr>
          <w:ilvl w:val="1"/>
          <w:numId w:val="3"/>
        </w:numPr>
        <w:spacing w:before="60" w:after="20"/>
      </w:pPr>
      <w:r>
        <w:t xml:space="preserve">No numerical score cutoff is proposed because its clinical use is not yet justified.</w:t>
      </w:r>
    </w:p>
    <w:p>
      <w:pPr>
        <w:pStyle w:val="Normal"/>
        <w:widowControl/>
        <w:spacing w:before="60" w:after="20"/>
      </w:pPr>
      <w:r>
        <w:rPr>
          <w:b/>
        </w:rPr>
        <w:t xml:space="preserve">Why retain or change it: </w:t>
      </w:r>
      <w:r>
        <w:t xml:space="preserve">Retain zero direct clinical/allocation weight in a shadow registry. Lock the exact model, units, decision time, donor assumptions and intended population. Before deployment require independent calibration, missing-data handling, decision-utility and equity analyses, prospective monitoring and institutional/allocation approval. No current model result overrides OPTN policy, donor protection or the biological eligibility gates.</w:t>
      </w:r>
    </w:p>
    <w:p>
      <w:pPr>
        <w:pStyle w:val="Heading3"/>
        <w:keepNext/>
        <w:widowControl/>
      </w:pPr>
      <w:r>
        <w:t xml:space="preserve">Information required before the decision</w:t>
      </w:r>
    </w:p>
    <w:p>
      <w:pPr>
        <w:pStyle w:val="Normal"/>
        <w:widowControl/>
        <w:spacing w:before="60" w:after="20"/>
      </w:pPr>
      <w:r>
        <w:t xml:space="preserve">Reproducible model code; independent cohort; time-dependent transplant analysis; competing-event definitions; calibration, utility and subgroup audit.</w:t>
      </w:r>
    </w:p>
    <w:p>
      <w:pPr>
        <w:pStyle w:val="Normal"/>
        <w:widowControl/>
        <w:spacing w:before="60" w:after="20"/>
      </w:pPr>
      <w:r>
        <w:rPr>
          <w:b/>
        </w:rPr>
        <w:t xml:space="preserve">Clinical versus allocation: </w:t>
      </w:r>
      <w:r>
        <w:t xml:space="preserve">Neither a model estimate nor an internal committee can independently rewrite national allocation priority.</w:t>
      </w:r>
    </w:p>
    <w:p>
      <w:pPr>
        <w:pStyle w:val="Normal"/>
        <w:widowControl/>
        <w:spacing w:before="60" w:after="20"/>
      </w:pPr>
      <w:r>
        <w:rPr>
          <w:b/>
        </w:rPr>
        <w:t xml:space="preserve">Roadmap / protocol reconciliation: </w:t>
      </w:r>
      <w:r>
        <w:t xml:space="preserve">Use the score only as a research output; the current clinical roadmap remains the decision authority.</w:t>
      </w:r>
    </w:p>
    <w:p>
      <w:pPr>
        <w:pStyle w:val="Normal"/>
        <w:widowControl/>
        <w:spacing w:before="60" w:after="20"/>
      </w:pPr>
      <w:hyperlink r:id="rId156">
        <w:r>
          <w:rPr>
            <w:color w:val="77230C"/>
            <w:sz w:val="20"/>
            <w:u w:val="single"/>
          </w:rPr>
          <w:t>Meeting record: HCC-B4</w:t>
        </w:r>
      </w:hyperlink>
      <w:r>
        <w:t xml:space="preserve">  |  </w:t>
      </w:r>
      <w:hyperlink r:id="rId15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Normal"/>
        <w:widowControl/>
      </w:pPr>
      <w:r>
        <w:t xml:space="preserve">The group must record its final wording, owner, date and approvals for HCC-B1–B4 and ALLOC-B1–B4. This edition implements evidence corrections and makes the unresolved choices visible; it does not record a committee decision that has not occurred.</w:t>
      </w:r>
    </w:p>
    <w:p>
      <w:pPr>
        <w:pStyle w:val="Normal"/>
        <w:widowControl/>
      </w:pPr>
      <w:r>
        <w:t xml:space="preserve">Evidence review record: </w:t>
      </w:r>
      <w:hyperlink r:id="rId158">
        <w:r>
          <w:rPr>
            <w:color w:val="77230C"/>
            <w:sz w:val="20"/>
            <w:u w:val="single"/>
          </w:rPr>
          <w:t>Five analyst comments and reconciliation</w:t>
        </w:r>
      </w:hyperlink>
      <w:r>
        <w:t xml:space="preserve">  |  </w:t>
      </w:r>
      <w:hyperlink r:id="rId159">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High-risk and expanded-cohort clarification. Previously treated extrahepatic disease is not admitted by any cohort in this protocol unless a stratum below says otherwise; every such stratum is proposed, not active.</w:t>
      </w:r>
    </w:p>
    <w:p>
      <w:pPr>
        <w:pStyle w:val="Heading2"/>
        <w:widowControl/>
        <w:keepNext/>
      </w:pPr>
      <w:bookmarkStart w:id="16010" w:name="HCC_B5"/>
      <w:r>
        <w:t xml:space="preserve">HCC-B5 — Previously treated extrahepatic disease</w:t>
      </w:r>
      <w:bookmarkEnd w:id="16010"/>
    </w:p>
    <w:p>
      <w:pPr>
        <w:pStyle w:val="Normal"/>
        <w:widowControl/>
        <w:spacing w:after="120"/>
      </w:pPr>
      <w:r>
        <w:t xml:space="preserve">Status: Closed; registry only. OPEN proposal for multidisciplinary review; not activated.</w:t>
      </w:r>
    </w:p>
    <w:p>
      <w:pPr>
        <w:pStyle w:val="Normal"/>
        <w:widowControl/>
        <w:spacing w:after="120"/>
      </w:pPr>
      <w:r>
        <w:t xml:space="preserve">Question: May a patient whose extrahepatic HCC (including proven lymph-node metastasis) was treated and has responded completely ever enter a transplant route, or does this history close transplantation?</w:t>
      </w:r>
    </w:p>
    <w:p>
      <w:pPr>
        <w:pStyle w:val="Normal"/>
        <w:widowControl/>
        <w:spacing w:after="120"/>
      </w:pPr>
      <w:r>
        <w:t xml:space="preserve">Proposed position (OPEN): Keep closed. A history of extrahepatic metastasis or proven nodal metastasis excludes the standard OPTN route and every HCC high-risk cohort, even after resection, ablation, radiotherapy or a complete response to immunotherapy. Record durable complete responders in a prospective registry; this edition offers no transplant route.</w:t>
      </w:r>
    </w:p>
    <w:p>
      <w:pPr>
        <w:pStyle w:val="Heading3"/>
        <w:widowControl/>
        <w:keepNext/>
      </w:pPr>
      <w:r>
        <w:t xml:space="preserve">Proposed rules</w:t>
      </w:r>
    </w:p>
    <w:p>
      <w:pPr>
        <w:pStyle w:val="Normal"/>
        <w:widowControl/>
        <w:spacing w:after="120"/>
        <w:numPr>
          <w:ilvl w:val="0"/>
          <w:numId w:val="7"/>
        </w:numPr>
      </w:pPr>
      <w:r>
        <w:t xml:space="preserve">“No extrahepatic disease” in HCC-B1 and HCC-B2 means no current or previous extrahepatic metastasis. Resection, ablation, radiotherapy or a complete radiological response does not clear this history.</w:t>
      </w:r>
    </w:p>
    <w:p>
      <w:pPr>
        <w:pStyle w:val="Normal"/>
        <w:widowControl/>
        <w:spacing w:after="120"/>
        <w:numPr>
          <w:ilvl w:val="0"/>
          <w:numId w:val="7"/>
        </w:numPr>
      </w:pPr>
      <w:r>
        <w:t xml:space="preserve">Count proven lymph-node metastasis, including hilar or hepatoduodenal nodes, as extrahepatic disease. Enlarged hilar nodes without proof are HOLD for characterization. A lesion later proven benign is not prior extrahepatic disease; record how it was resolved.</w:t>
      </w:r>
    </w:p>
    <w:p>
      <w:pPr>
        <w:pStyle w:val="Normal"/>
        <w:widowControl/>
        <w:spacing w:after="120"/>
        <w:numPr>
          <w:ilvl w:val="0"/>
          <w:numId w:val="7"/>
        </w:numPr>
      </w:pPr>
      <w:r>
        <w:t xml:space="preserve">Registry, not listing: enter durable complete responders with dated imaging, AFP and treatment history. Starting points for any future study (not active): ≥12 months without evidence of disease off systemic therapy; PET or tissue confirmation that every extrahepatic site is cleared; current whole-body staging including bone; an immunotherapy washout of ≥90 days and the HCC-B3 safety review.</w:t>
      </w:r>
    </w:p>
    <w:p>
      <w:pPr>
        <w:pStyle w:val="Normal"/>
        <w:widowControl/>
        <w:spacing w:after="120"/>
        <w:numPr>
          <w:ilvl w:val="0"/>
          <w:numId w:val="7"/>
        </w:numPr>
      </w:pPr>
      <w:r>
        <w:t xml:space="preserve">Do not combine with the expanded-burden (HCC-B1) or portal-vein invasion (HCC-B2) cohorts.</w:t>
      </w:r>
    </w:p>
    <w:p>
      <w:pPr>
        <w:pStyle w:val="Normal"/>
        <w:widowControl/>
        <w:spacing w:after="120"/>
      </w:pPr>
      <w:r>
        <w:t xml:space="preserve">Why: The guidelines describe current extrahepatic disease only. Excluding previously treated disease is this program’s inference, stated as such: no series reports outcomes of transplantation after treated extrahepatic HCC (cohorts that contain such recipients exclude them or do not report them separately), nodal disease at transplantation strongly predicts recurrence, and a complete response to immunotherapy is not cure.</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ILTS–ILCA 2024 consensus (Kodali 2026)</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2024 ILTS–ILCA consensus, 54 statements. Every extrahepatic-disease statement is in the present tense (downstaging, immunotherapy for downstaging, LDLT with vascular invasion). Lymph nodes are not mentioned.</w:t>
            </w:r>
          </w:p>
        </w:tc>
        <w:tc>
          <w:tcPr>
            <w:tcW w:w="3743" w:type="dxa"/>
            <w:vAlign w:val="top"/>
            <w:shd w:fill="F1F5F8"/>
          </w:tcPr>
          <w:p>
            <w:pPr>
              <w:pStyle w:val="Normal"/>
              <w:widowControl/>
              <w:spacing w:after="55" w:line="240" w:lineRule="auto"/>
              <w:keepNext w:val="0"/>
              <w:keepLines/>
            </w:pPr>
            <w:r>
              <w:rPr>
                <w:sz w:val="21"/>
                <w:szCs w:val="21"/>
              </w:rPr>
              <w:t xml:space="preserve">Results: No recommendation on how long to observe after a response to immunotherapy; the only long interval specified is ≥12 months after downstaging of Vp1–2 invasion.</w:t>
            </w:r>
          </w:p>
          <w:p>
            <w:pPr>
              <w:pStyle w:val="Normal"/>
              <w:widowControl/>
              <w:spacing w:after="55" w:line="240" w:lineRule="auto"/>
              <w:keepNext w:val="0"/>
              <w:keepLines/>
            </w:pPr>
            <w:r>
              <w:rPr>
                <w:sz w:val="21"/>
                <w:szCs w:val="21"/>
              </w:rPr>
              <w:t xml:space="preserve">Limits: Consensus; silent on previously treated extrahepatic disease and on nodes.</w:t>
            </w:r>
          </w:p>
          <w:p>
            <w:pPr>
              <w:pStyle w:val="Normal"/>
              <w:widowControl/>
              <w:spacing w:after="55" w:line="240" w:lineRule="auto"/>
              <w:keepNext w:val="0"/>
              <w:keepLines/>
            </w:pPr>
            <w:r>
              <w:rPr>
                <w:sz w:val="21"/>
                <w:szCs w:val="21"/>
              </w:rPr>
              <w:t xml:space="preserve">Liver Cancer 2026; Table 1, Working Groups B–C.</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</w:fldData>
              </w:fldChar>
            </w:r>
            <w:r>
              <w:instrText xml:space="preserve"> ADDIN EN.CITE.DATA </w:instrText>
            </w:r>
            <w:r>
              <w:fldChar w:fldCharType="end"/>
            </w:r>
            <w:r>
              <w:fldChar w:fldCharType="separate"/>
            </w:r>
            <w:r>
              <w:t xml:space="preserve">[V16-26]</w:t>
            </w:r>
            <w:r>
              <w:fldChar w:fldCharType="end"/>
            </w:r>
            <w:r>
              <w:br/>
            </w:r>
            <w:hyperlink r:id="rId692">
              <w:r>
                <w:rPr>
                  <w:color w:val="0563C1"/>
                  <w:u w:val="single"/>
                </w:rPr>
                <w:t>Source</w:t>
              </w:r>
            </w:hyperlink>
            <w:r>
              <w:t xml:space="preserve"> · </w:t>
            </w:r>
            <w:hyperlink r:id="rId693">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AASLD 2023 HCC practice guidance</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AASLD 2023 practice guidance. Table 4 lists “lymph node involvement by tumor or extrahepatic spread of tumor” as downstaging failure and exclusion from transplantation.</w:t>
            </w:r>
          </w:p>
        </w:tc>
        <w:tc>
          <w:tcPr>
            <w:tcW w:w="3743" w:type="dxa"/>
            <w:vAlign w:val="top"/>
            <w:shd w:fill="FFFFFF"/>
          </w:tcPr>
          <w:p>
            <w:pPr>
              <w:pStyle w:val="Normal"/>
              <w:widowControl/>
              <w:spacing w:after="55" w:line="240" w:lineRule="auto"/>
              <w:keepNext w:val="0"/>
              <w:keepLines/>
            </w:pPr>
            <w:r>
              <w:rPr>
                <w:sz w:val="21"/>
                <w:szCs w:val="21"/>
              </w:rPr>
              <w:t xml:space="preserve">Results: Recommends stopping immune checkpoint inhibitors at least 3 months before transplantation.</w:t>
            </w:r>
          </w:p>
          <w:p>
            <w:pPr>
              <w:pStyle w:val="Normal"/>
              <w:widowControl/>
              <w:spacing w:after="55" w:line="240" w:lineRule="auto"/>
              <w:keepNext w:val="0"/>
              <w:keepLines/>
            </w:pPr>
            <w:r>
              <w:rPr>
                <w:sz w:val="21"/>
                <w:szCs w:val="21"/>
              </w:rPr>
              <w:t xml:space="preserve">Limits: No section addresses transplantation or resection after treated extrahepatic disease.</w:t>
            </w:r>
          </w:p>
          <w:p>
            <w:pPr>
              <w:pStyle w:val="Normal"/>
              <w:widowControl/>
              <w:spacing w:after="55" w:line="240" w:lineRule="auto"/>
              <w:keepNext w:val="0"/>
              <w:keepLines/>
            </w:pPr>
            <w:r>
              <w:rPr>
                <w:sz w:val="21"/>
                <w:szCs w:val="21"/>
              </w:rPr>
              <w:t xml:space="preserve">Hepatology 2023; Table 4 and transplant section (relevant sections read).</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W5nYWw8L0F1dGhvcj48WWVhcj4yMDIzPC9ZZWFyPjxSZWNOdW0+MzwvUmVjTnVtPjxEaXNwbGF5VGV4dD5bVjE2LTNdPC9EaXNwbGF5VGV4dD48cmVjb3JkPjxyZWMtbnVtYmVyPjM8L3JlYy1udW1iZXI+PGZvcmVpZ24ta2V5cz48a2V5IGFwcD0iRU4iIGRiLWlkPSI3ZTc4YjE1Yi04NjMzLTVlYzAtYTBiNC1jZThiZGE0OGMyNjYiIHRpbWVzdGFtcD0iMTc5MzI4MzY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RnVsbCB0ZXh0IHJlYWQgZm9yIHRoZSBWMTYgZXh0cmFoZXBhdGljLWRpc2Vhc2UgcmV2aWV3IChjb21wbGV0ZSBtYWluIHRleHQ7IHJlbGV2YW50IGNvbXBsZXRlIHNlY3Rpb25zIGZvciBsb25nIGd1aWRlbGluZXMp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694">
              <w:r>
                <w:rPr>
                  <w:color w:val="0563C1"/>
                  <w:u w:val="single"/>
                </w:rPr>
                <w:t>Source</w:t>
              </w:r>
            </w:hyperlink>
            <w:r>
              <w:t xml:space="preserve"> · </w:t>
            </w:r>
            <w:hyperlink r:id="rId695">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Pirozzi 2025 · case report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Single case: nodal, lung, mediastinal and bone metastases treated with nivolumab. Only reported transplant after distant HCC.</w:t>
            </w:r>
          </w:p>
        </w:tc>
        <w:tc>
          <w:tcPr>
            <w:tcW w:w="3743" w:type="dxa"/>
            <w:vAlign w:val="top"/>
            <w:shd w:fill="F1F5F8"/>
          </w:tcPr>
          <w:p>
            <w:pPr>
              <w:pStyle w:val="Normal"/>
              <w:widowControl/>
              <w:spacing w:after="55" w:line="240" w:lineRule="auto"/>
              <w:keepNext w:val="0"/>
              <w:keepLines/>
            </w:pPr>
            <w:r>
              <w:rPr>
                <w:sz w:val="21"/>
                <w:szCs w:val="21"/>
              </w:rPr>
              <w:t xml:space="preserve">Results: Best response to nivolumab was partial (RECIST 1.1); the authors’ later “complete response” is not documented by RECIST, PET or biopsy; bone lesions did not clearly regress; liver disease recurred off nivolumab and was ablated; transplanted about 15 months after the last dose; cancer-free 1 year later.</w:t>
            </w:r>
          </w:p>
          <w:p>
            <w:pPr>
              <w:pStyle w:val="Normal"/>
              <w:widowControl/>
              <w:spacing w:after="55" w:line="240" w:lineRule="auto"/>
              <w:keepNext w:val="0"/>
              <w:keepLines/>
            </w:pPr>
            <w:r>
              <w:rPr>
                <w:sz w:val="21"/>
                <w:szCs w:val="21"/>
              </w:rPr>
              <w:t xml:space="preserve">Limits: Extrahepatic clearance never confirmed by biopsy or PET; no nodes examined in the explant; one case with 1-year follow-up.</w:t>
            </w:r>
          </w:p>
          <w:p>
            <w:pPr>
              <w:pStyle w:val="Normal"/>
              <w:widowControl/>
              <w:spacing w:after="55" w:line="240" w:lineRule="auto"/>
              <w:keepNext w:val="0"/>
              <w:keepLines/>
            </w:pPr>
            <w:r>
              <w:rPr>
                <w:sz w:val="21"/>
                <w:szCs w:val="21"/>
              </w:rPr>
              <w:t xml:space="preserve">J Gastrointest Oncol 2025; case presentation.</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jEwMzcvamdvLTI0LTc2NDwvdXJsPjwvcmVsYXRlZC11cmxzPjwvdXJscz48L3JlY29yZD48L0NpdGU+PC9FbmROb3RlPg==</w:fldData>
              </w:fldChar>
            </w:r>
            <w:r>
              <w:instrText xml:space="preserve"> ADDIN EN.CITE.DATA </w:instrText>
            </w:r>
            <w:r>
              <w:fldChar w:fldCharType="end"/>
            </w:r>
            <w:r>
              <w:fldChar w:fldCharType="separate"/>
            </w:r>
            <w:r>
              <w:t xml:space="preserve">[V16-61]</w:t>
            </w:r>
            <w:r>
              <w:fldChar w:fldCharType="end"/>
            </w:r>
            <w:r>
              <w:br/>
            </w:r>
            <w:hyperlink r:id="rId696">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Shao 2026 · complete responders to ICI</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Four-centre cohort of 160 complete responders to immunotherapy-based therapy. 58 (36%) had extrahepatic metastases when immunotherapy started.</w:t>
            </w:r>
          </w:p>
        </w:tc>
        <w:tc>
          <w:tcPr>
            <w:tcW w:w="3743" w:type="dxa"/>
            <w:vAlign w:val="top"/>
            <w:shd w:fill="FFFFFF"/>
          </w:tcPr>
          <w:p>
            <w:pPr>
              <w:pStyle w:val="Normal"/>
              <w:widowControl/>
              <w:spacing w:after="55" w:line="240" w:lineRule="auto"/>
              <w:keepNext w:val="0"/>
              <w:keepLines/>
            </w:pPr>
            <w:r>
              <w:rPr>
                <w:sz w:val="21"/>
                <w:szCs w:val="21"/>
              </w:rPr>
              <w:t xml:space="preserve">Results: Prior extrahepatic metastasis doubled recurrence risk after complete response (adjusted HR 2.00, 95% CI 1.43–6.38); 5-year recurrence-free survival 18% in the whole cohort.</w:t>
            </w:r>
          </w:p>
          <w:p>
            <w:pPr>
              <w:pStyle w:val="Normal"/>
              <w:widowControl/>
              <w:spacing w:after="55" w:line="240" w:lineRule="auto"/>
              <w:keepNext w:val="0"/>
              <w:keepLines/>
            </w:pPr>
            <w:r>
              <w:rPr>
                <w:sz w:val="21"/>
                <w:szCs w:val="21"/>
              </w:rPr>
              <w:t xml:space="preserve">Limits: Retrospective; conversion subgroup of 11 not split by extrahepatic status; internal numeric inconsistencies.</w:t>
            </w:r>
          </w:p>
          <w:p>
            <w:pPr>
              <w:pStyle w:val="Normal"/>
              <w:widowControl/>
              <w:spacing w:after="55" w:line="240" w:lineRule="auto"/>
              <w:keepNext w:val="0"/>
              <w:keepLines/>
            </w:pPr>
            <w:r>
              <w:rPr>
                <w:sz w:val="21"/>
                <w:szCs w:val="21"/>
              </w:rPr>
              <w:t xml:space="preserve">Front Oncol 2026; Tables 2–3.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zM4OS9mb25jLjIwMjUuMTY4NzQ0OTwvdXJsPjwvcmVsYXRlZC11cmxzPjwvdXJscz48L3JlY29yZD48L0NpdGU+PC9FbmROb3RlPg==</w:fldData>
              </w:fldChar>
            </w:r>
            <w:r>
              <w:instrText xml:space="preserve"> ADDIN EN.CITE.DATA </w:instrText>
            </w:r>
            <w:r>
              <w:fldChar w:fldCharType="end"/>
            </w:r>
            <w:r>
              <w:fldChar w:fldCharType="separate"/>
            </w:r>
            <w:r>
              <w:t xml:space="preserve">[V16-62]</w:t>
            </w:r>
            <w:r>
              <w:fldChar w:fldCharType="end"/>
            </w:r>
            <w:r>
              <w:br/>
            </w:r>
            <w:hyperlink r:id="rId697">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Ong 2026 · ICI before LT, matched cohort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Eight-centre matched cohort, 416 recipients beyond Milan. Extrahepatic metastasis was an exclusion (9 transplanted patients left out).</w:t>
            </w:r>
          </w:p>
        </w:tc>
        <w:tc>
          <w:tcPr>
            <w:tcW w:w="3743" w:type="dxa"/>
            <w:vAlign w:val="top"/>
            <w:shd w:fill="F1F5F8"/>
          </w:tcPr>
          <w:p>
            <w:pPr>
              <w:pStyle w:val="Normal"/>
              <w:widowControl/>
              <w:spacing w:after="55" w:line="240" w:lineRule="auto"/>
              <w:keepNext w:val="0"/>
              <w:keepLines/>
            </w:pPr>
            <w:r>
              <w:rPr>
                <w:sz w:val="21"/>
                <w:szCs w:val="21"/>
              </w:rPr>
              <w:t xml:space="preserve">Results: Immunotherapy-based downstaging associated with better survival (HR 0.63); acute rejection 16.3% vs 8.2%, clustered with washout ≤90 days.</w:t>
            </w:r>
          </w:p>
          <w:p>
            <w:pPr>
              <w:pStyle w:val="Normal"/>
              <w:widowControl/>
              <w:spacing w:after="55" w:line="240" w:lineRule="auto"/>
              <w:keepNext w:val="0"/>
              <w:keepLines/>
            </w:pPr>
            <w:r>
              <w:rPr>
                <w:sz w:val="21"/>
                <w:szCs w:val="21"/>
              </w:rPr>
              <w:t xml:space="preserve">Limits: Not evidence for treated extrahepatic disease; transplanted-only cohort.</w:t>
            </w:r>
          </w:p>
          <w:p>
            <w:pPr>
              <w:pStyle w:val="Normal"/>
              <w:widowControl/>
              <w:spacing w:after="55" w:line="240" w:lineRule="auto"/>
              <w:keepNext w:val="0"/>
              <w:keepLines/>
            </w:pPr>
            <w:r>
              <w:rPr>
                <w:sz w:val="21"/>
                <w:szCs w:val="21"/>
              </w:rPr>
              <w:t xml:space="preserve">JAMA Oncol 2026; Figure 1 and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</w:fldData>
              </w:fldChar>
            </w:r>
            <w:r>
              <w:instrText xml:space="preserve"> ADDIN EN.CITE.DATA </w:instrText>
            </w:r>
            <w:r>
              <w:fldChar w:fldCharType="end"/>
            </w:r>
            <w:r>
              <w:fldChar w:fldCharType="separate"/>
            </w:r>
            <w:r>
              <w:t xml:space="preserve">[V16-40]</w:t>
            </w:r>
            <w:r>
              <w:fldChar w:fldCharType="end"/>
            </w:r>
            <w:r>
              <w:br/>
            </w:r>
            <w:hyperlink r:id="rId698">
              <w:r>
                <w:rPr>
                  <w:color w:val="0563C1"/>
                  <w:u w:val="single"/>
                </w:rPr>
                <w:t>Source</w:t>
              </w:r>
            </w:hyperlink>
            <w:r>
              <w:t xml:space="preserve"> · </w:t>
            </w:r>
            <w:hyperlink r:id="rId699">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Sotiropoulos 2007 · hilar nodes at LT, meta-analysis</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FFFFF"/>
          </w:tcPr>
          <w:p>
            <w:pPr>
              <w:pStyle w:val="Normal"/>
              <w:widowControl/>
              <w:spacing w:after="55" w:line="240" w:lineRule="auto"/>
              <w:keepNext w:val="0"/>
              <w:keepLines/>
            </w:pPr>
            <w:r>
              <w:rPr>
                <w:sz w:val="21"/>
                <w:szCs w:val="21"/>
              </w:rPr>
              <w:t xml:space="preserve">Meta-analysis of transplant series: five on recurrence and five more on survival. Hilar nodes examined at transplantation.</w:t>
            </w:r>
          </w:p>
        </w:tc>
        <w:tc>
          <w:tcPr>
            <w:tcW w:w="3743" w:type="dxa"/>
            <w:vAlign w:val="top"/>
            <w:shd w:fill="FFFFFF"/>
          </w:tcPr>
          <w:p>
            <w:pPr>
              <w:pStyle w:val="Normal"/>
              <w:widowControl/>
              <w:spacing w:after="55" w:line="240" w:lineRule="auto"/>
              <w:keepNext w:val="0"/>
              <w:keepLines/>
            </w:pPr>
            <w:r>
              <w:rPr>
                <w:sz w:val="21"/>
                <w:szCs w:val="21"/>
              </w:rPr>
              <w:t xml:space="preserve">Results: Tumor-positive nodes associated with recurrence (common odds ratio 10.44, 95% CI 3.43–38.59).</w:t>
            </w:r>
          </w:p>
          <w:p>
            <w:pPr>
              <w:pStyle w:val="Normal"/>
              <w:widowControl/>
              <w:spacing w:after="55" w:line="240" w:lineRule="auto"/>
              <w:keepNext w:val="0"/>
              <w:keepLines/>
            </w:pPr>
            <w:r>
              <w:rPr>
                <w:sz w:val="21"/>
                <w:szCs w:val="21"/>
              </w:rPr>
              <w:t xml:space="preserve">Limits: Small, older series; nodes mostly found at transplantation.</w:t>
            </w:r>
          </w:p>
          <w:p>
            <w:pPr>
              <w:pStyle w:val="Normal"/>
              <w:widowControl/>
              <w:spacing w:after="55" w:line="240" w:lineRule="auto"/>
              <w:keepNext w:val="0"/>
              <w:keepLines/>
            </w:pPr>
            <w:r>
              <w:rPr>
                <w:sz w:val="21"/>
                <w:szCs w:val="21"/>
              </w:rPr>
              <w:t xml:space="preserve">Transpl Int 2007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</w:fldData>
              </w:fldChar>
            </w:r>
            <w:r>
              <w:instrText xml:space="preserve"> ADDIN EN.CITE.DATA </w:instrText>
            </w:r>
            <w:r>
              <w:fldChar w:fldCharType="end"/>
            </w:r>
            <w:r>
              <w:fldChar w:fldCharType="separate"/>
            </w:r>
            <w:r>
              <w:t xml:space="preserve">[V16-63]</w:t>
            </w:r>
            <w:r>
              <w:fldChar w:fldCharType="end"/>
            </w:r>
            <w:r>
              <w:br/>
            </w:r>
            <w:hyperlink r:id="rId700">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Mergental 2012 · ELTR non-cirrhotic HCC</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1F5F8"/>
          </w:tcPr>
          <w:p>
            <w:pPr>
              <w:pStyle w:val="Normal"/>
              <w:widowControl/>
              <w:spacing w:after="55" w:line="240" w:lineRule="auto"/>
              <w:keepNext w:val="0"/>
              <w:keepLines/>
            </w:pPr>
            <w:r>
              <w:rPr>
                <w:sz w:val="21"/>
                <w:szCs w:val="21"/>
              </w:rPr>
              <w:t xml:space="preserve">European registry, 105 transplants for HCC in non-cirrhotic liver. Nodal status recorded.</w:t>
            </w:r>
          </w:p>
        </w:tc>
        <w:tc>
          <w:tcPr>
            <w:tcW w:w="3743" w:type="dxa"/>
            <w:vAlign w:val="top"/>
            <w:shd w:fill="F1F5F8"/>
          </w:tcPr>
          <w:p>
            <w:pPr>
              <w:pStyle w:val="Normal"/>
              <w:widowControl/>
              <w:spacing w:after="55" w:line="240" w:lineRule="auto"/>
              <w:keepNext w:val="0"/>
              <w:keepLines/>
            </w:pPr>
            <w:r>
              <w:rPr>
                <w:sz w:val="21"/>
                <w:szCs w:val="21"/>
              </w:rPr>
              <w:t xml:space="preserve">Results: Lymph-node involvement associated with death (HR 2.60, 95% CI 1.28–5.28).</w:t>
            </w:r>
          </w:p>
          <w:p>
            <w:pPr>
              <w:pStyle w:val="Normal"/>
              <w:widowControl/>
              <w:spacing w:after="55" w:line="240" w:lineRule="auto"/>
              <w:keepNext w:val="0"/>
              <w:keepLines/>
            </w:pPr>
            <w:r>
              <w:rPr>
                <w:sz w:val="21"/>
                <w:szCs w:val="21"/>
              </w:rPr>
              <w:t xml:space="preserve">Limits: Non-cirrhotic HCC only; timing of nodal disease not stated.</w:t>
            </w:r>
          </w:p>
          <w:p>
            <w:pPr>
              <w:pStyle w:val="Normal"/>
              <w:widowControl/>
              <w:spacing w:after="55" w:line="240" w:lineRule="auto"/>
              <w:keepNext w:val="0"/>
              <w:keepLines/>
            </w:pPr>
            <w:r>
              <w:rPr>
                <w:sz w:val="21"/>
                <w:szCs w:val="21"/>
              </w:rPr>
              <w:t xml:space="preserve">J Hepatol 2012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</w:fldData>
              </w:fldChar>
            </w:r>
            <w:r>
              <w:instrText xml:space="preserve"> ADDIN EN.CITE.DATA </w:instrText>
            </w:r>
            <w:r>
              <w:fldChar w:fldCharType="end"/>
            </w:r>
            <w:r>
              <w:fldChar w:fldCharType="separate"/>
            </w:r>
            <w:r>
              <w:t xml:space="preserve">[V16-64]</w:t>
            </w:r>
            <w:r>
              <w:fldChar w:fldCharType="end"/>
            </w:r>
            <w:r>
              <w:br/>
            </w:r>
            <w:hyperlink r:id="rId701">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Choi 2025 · NCDB curative treatment after ICI</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US national cancer database, 4,329 patients on first-line immunotherapy. Only 15 patients with distant and 10 with nodal metastasis received any curative treatment afterwards; modality not reported.</w:t>
            </w:r>
          </w:p>
        </w:tc>
        <w:tc>
          <w:tcPr>
            <w:tcW w:w="3743" w:type="dxa"/>
            <w:vAlign w:val="top"/>
            <w:shd w:fill="FFFFFF"/>
          </w:tcPr>
          <w:p>
            <w:pPr>
              <w:pStyle w:val="Normal"/>
              <w:widowControl/>
              <w:spacing w:after="55" w:line="240" w:lineRule="auto"/>
              <w:keepNext w:val="0"/>
              <w:keepLines/>
            </w:pPr>
            <w:r>
              <w:rPr>
                <w:sz w:val="21"/>
                <w:szCs w:val="21"/>
              </w:rPr>
              <w:t xml:space="preserve">Results: Curative treatment after immunotherapy associated with longer survival (propensity-matched HR 0.22 in the main text).</w:t>
            </w:r>
          </w:p>
          <w:p>
            <w:pPr>
              <w:pStyle w:val="Normal"/>
              <w:widowControl/>
              <w:spacing w:after="55" w:line="240" w:lineRule="auto"/>
              <w:keepNext w:val="0"/>
              <w:keepLines/>
            </w:pPr>
            <w:r>
              <w:rPr>
                <w:sz w:val="21"/>
                <w:szCs w:val="21"/>
              </w:rPr>
              <w:t xml:space="preserve">Limits: Immortal-time and indication bias; no response or recurrence data; cannot inform transplantation after treated extrahepatic disease.</w:t>
            </w:r>
          </w:p>
          <w:p>
            <w:pPr>
              <w:pStyle w:val="Normal"/>
              <w:widowControl/>
              <w:spacing w:after="55" w:line="240" w:lineRule="auto"/>
              <w:keepNext w:val="0"/>
              <w:keepLines/>
            </w:pPr>
            <w:r>
              <w:rPr>
                <w:sz w:val="21"/>
                <w:szCs w:val="21"/>
              </w:rPr>
              <w:t xml:space="preserve">Liver Cancer 2025; Tables 1–3.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TU5LzAwMDU0NzIzMDwvdXJsPjwvcmVsYXRlZC11cmxzPjwvdXJscz48L3JlY29yZD48L0NpdGU+PC9FbmROb3RlPg==</w:fldData>
              </w:fldChar>
            </w:r>
            <w:r>
              <w:instrText xml:space="preserve"> ADDIN EN.CITE.DATA </w:instrText>
            </w:r>
            <w:r>
              <w:fldChar w:fldCharType="end"/>
            </w:r>
            <w:r>
              <w:fldChar w:fldCharType="separate"/>
            </w:r>
            <w:r>
              <w:t xml:space="preserve">[V16-65]</w:t>
            </w:r>
            <w:r>
              <w:fldChar w:fldCharType="end"/>
            </w:r>
            <w:r>
              <w:br/>
            </w:r>
            <w:hyperlink r:id="rId702">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Durable complete responses to immunotherapy now occur, and the single case shows transplantation is feasible. ILTS–ILCA states there is not enough evidence on whether complete responders still need transplantation or how long to observe them, so a permanent bar is a policy choice rather than a proven boundary.</w:t>
      </w:r>
    </w:p>
    <w:p>
      <w:pPr>
        <w:pStyle w:val="Normal"/>
        <w:widowControl/>
        <w:spacing w:after="120"/>
      </w:pPr>
      <w:r>
        <w:t xml:space="preserve">Certainty: Very low for transplantation after treated or completely responded extrahepatic HCC (one case). Moderate that current nodal or extrahepatic disease predicts poor post-transplant outcome.</w:t>
      </w:r>
    </w:p>
    <w:p>
      <w:pPr>
        <w:pStyle w:val="Normal"/>
        <w:widowControl/>
        <w:spacing w:after="120"/>
      </w:pPr>
      <w:r>
        <w:t xml:space="preserve">What would change the answer: A prospective series with ≥3-year post-transplant recurrence-free survival in patients whose extrahepatic disease was cleared and confirmed by PET or pathology, or an explicit ILTS/OPTN statement on previously treated disease.</w:t>
      </w:r>
    </w:p>
    <w:p>
      <w:pPr>
        <w:pStyle w:val="Normal"/>
        <w:widowControl/>
        <w:spacing w:after="120"/>
      </w:pPr>
      <w:r>
        <w:t xml:space="preserve">Meeting question HCC-B5,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14:05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Several summaries mixed baseline and ever-beyond-Milan populations, selected-recipient and entry outcomes, or excluded early deaths. </w:t>
      </w:r>
      <w:r>
        <w:rPr>
          <w:b/>
        </w:rPr>
        <w:t xml:space="preserve">Correction and reason: </w:t>
      </w:r>
      <w:r>
        <w:t xml:space="preserve">Corrected VITALITY, ImmunoXXL and PVTT denominators, time origins, rejection/retransplant harms and Soin all-recipient outcomes. Cutoffs remain OPEN local proposals, not validated safety thresholds.</w:t>
      </w:r>
    </w:p>
    <w:p>
      <w:pPr>
        <w:pStyle w:val="Normal"/>
        <w:keepNext/>
        <w:widowControl/>
        <w:keepLines/>
      </w:pPr>
      <w:r>
        <w:rPr>
          <w:b/>
        </w:rPr>
        <w:t xml:space="preserve">Problem: </w:t>
      </w:r>
      <w:r>
        <w:t xml:space="preserve">Sposito 2026 was cited from the abstract and its PDF was listed as missing; death handling, pathway attrition, surgical harms and nonuniform selection were unresolved. </w:t>
      </w:r>
      <w:r>
        <w:rPr>
          <w:b/>
        </w:rPr>
        <w:t xml:space="preserve">Correction and reason: </w:t>
      </w:r>
      <w:r>
        <w:t xml:space="preserve">Added and reviewed the 94457 full PDF. Separated 240 treated, 61 downstaged and 37 transplanted; clarified death-censored RFS, six recurrences, four perioperative deaths and 13 major complications; qualified observation/anatomy thresholds and removed the missing-PDF claim. Standard eligibility is unchanged and HCC-B2 remains OPEN.</w:t>
      </w:r>
    </w:p>
    <w:p>
      <w:pPr>
        <w:pStyle w:val="Normal"/>
        <w:keepNext/>
        <w:widowControl/>
        <w:keepLines/>
      </w:pPr>
      <w:r>
        <w:rPr>
          <w:b/>
        </w:rPr>
        <w:t xml:space="preserve">Problem: </w:t>
      </w:r>
      <w:r>
        <w:t xml:space="preserve">Full-text evidence needed to precede clinical proposals. </w:t>
      </w:r>
      <w:r>
        <w:rPr>
          <w:b/>
        </w:rPr>
        <w:t xml:space="preserve">Correction and reason: </w:t>
      </w:r>
      <w:r>
        <w:t xml:space="preserve">Retained the existing evidence-first review and blank OPEN decisions; this revision changes the Sposito/Y90 extraction, not the other HCC evidence or approved eligibility.</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Normal"/>
        <w:widowControl/>
        <w:spacing w:after="120"/>
        <w:keepLines/>
      </w:pPr>
      <w:r>
        <w:t xml:space="preserve">Revision note — balanced treatment content. 2026-10-24 18:49 CDT. Problem: duplicated general treatment review. Correction: keep transplant-specific actions and link regimen comparisons to the roadmap. Why: balanced coverage without repetition. Eligibility, allocation rules and B-decision cutoffs are unchanged.</w:t>
      </w:r>
    </w:p>
    <w:p>
      <w:pPr>
        <w:pStyle w:val="Heading1"/>
        <w:widowControl/>
        <w:keepNext/>
      </w:pPr>
      <w:r>
        <w:t xml:space="preserve">Revision history</w:t>
      </w:r>
    </w:p>
    <w:p>
      <w:pPr>
        <w:pStyle w:val="Normal"/>
        <w:widowControl/>
        <w:spacing w:after="120"/>
      </w:pPr>
      <w:r>
        <w:t xml:space="preserve">2026-10-25 04:38 CDT. Problem and correction: Integrate HCC full-text findings at the treatment/selection interface. Separate systemic cancer control from transplant eligibility and allocation. Add HCC B1.1 AFP-only review with unapproved clinical cutoffs explicitly OPEN.</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703">
        <w:r>
          <w:rPr>
            <w:color w:val="0563C1"/>
            <w:u w:val="single"/>
          </w:rPr>
          <w:t>Source</w:t>
        </w:r>
      </w:hyperlink>
      <w:r>
        <w:t xml:space="preserve"> | </w:t>
      </w:r>
      <w:hyperlink r:id="rId704">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705">
        <w:r>
          <w:rPr>
            <w:color w:val="0563C1"/>
            <w:u w:val="single"/>
          </w:rPr>
          <w:t>Source</w:t>
        </w:r>
      </w:hyperlink>
      <w:r>
        <w:t xml:space="preserve"> | </w:t>
      </w:r>
      <w:hyperlink r:id="rId706">
        <w:r>
          <w:rPr>
            <w:color w:val="0563C1"/>
            <w:u w:val="single"/>
          </w:rPr>
          <w:t>Full-text access</w:t>
        </w:r>
      </w:hyperlink>
    </w:p>
    <w:p>
      <w:pPr>
        <w:pStyle w:val="Normal"/>
        <w:widowControl/>
        <w:spacing w:after="120"/>
      </w:pPr>
      <w:r>
        <w:t xml:space="preserve"/>
      </w:r>
      <w:r>
        <w:t xml:space="preserve">[V16-3] Singal, Amit G; Llovet, Josep M; Yarchoan, Mark; et al. AASLD Practice Guidance on prevention, diagnosis, and treatment of hepatocellular carcinoma. Hepatology (Baltimore, Md.). 2023; 78(6):1922-1965. </w:t>
      </w:r>
      <w:hyperlink r:id="rId707">
        <w:r>
          <w:rPr>
            <w:color w:val="0563C1"/>
            <w:u w:val="single"/>
          </w:rPr>
          <w:t>Source</w:t>
        </w:r>
      </w:hyperlink>
      <w:r>
        <w:t xml:space="preserve"> | </w:t>
      </w:r>
      <w:hyperlink r:id="rId708">
        <w:r>
          <w:rPr>
            <w:color w:val="0563C1"/>
            <w:u w:val="single"/>
          </w:rPr>
          <w:t>Full-text access</w:t>
        </w:r>
      </w:hyperlink>
    </w:p>
    <w:p>
      <w:pPr>
        <w:pStyle w:val="Normal"/>
        <w:widowControl/>
        <w:spacing w:after="120"/>
      </w:pPr>
      <w:r>
        <w:t xml:space="preserve"/>
      </w:r>
      <w:r>
        <w:t xml:space="preserve">[V16-4] Xu, Edison; Tabrizian, Parissa; Gutierrez, Julio; et al. Downstaging of hepatocellular carcinoma before liver transplantation: Results from a national multicenter prospective cohort study. Hepatology (Baltimore, Md.). 2025; 82(3):612-625. </w:t>
      </w:r>
      <w:hyperlink r:id="rId709">
        <w:r>
          <w:rPr>
            <w:color w:val="0563C1"/>
            <w:u w:val="single"/>
          </w:rPr>
          <w:t>Source</w:t>
        </w:r>
      </w:hyperlink>
      <w:r>
        <w:t xml:space="preserve"> | </w:t>
      </w:r>
      <w:hyperlink r:id="rId710">
        <w:r>
          <w:rPr>
            <w:color w:val="0563C1"/>
            <w:u w:val="single"/>
          </w:rPr>
          <w:t>Full-text access</w:t>
        </w:r>
      </w:hyperlink>
    </w:p>
    <w:p>
      <w:pPr>
        <w:pStyle w:val="Normal"/>
        <w:widowControl/>
        <w:spacing w:after="120"/>
      </w:pPr>
      <w:r>
        <w:t xml:space="preserve"/>
      </w:r>
      <w:r>
        <w:t xml:space="preserve">[V16-5] Mazzaferro, Vincenzo; Citterio, Davide; Bhoori, Sherrie; et al. Liver transplantation in hepatocellular carcinoma after tumour downstaging (XXL): a randomised, controlled, phase 2b/3 trial. The Lancet Oncology. 2020; 21(7):947-956. </w:t>
      </w:r>
      <w:hyperlink r:id="rId711">
        <w:r>
          <w:rPr>
            <w:color w:val="0563C1"/>
            <w:u w:val="single"/>
          </w:rPr>
          <w:t>Source</w:t>
        </w:r>
      </w:hyperlink>
      <w:r>
        <w:t xml:space="preserve"> | </w:t>
      </w:r>
      <w:hyperlink r:id="rId712">
        <w:r>
          <w:rPr>
            <w:color w:val="0563C1"/>
            <w:u w:val="single"/>
          </w:rPr>
          <w:t>Full-text access</w:t>
        </w:r>
      </w:hyperlink>
    </w:p>
    <w:p>
      <w:pPr>
        <w:pStyle w:val="Normal"/>
        <w:widowControl/>
        <w:spacing w:after="120"/>
      </w:pPr>
      <w:r>
        <w:t xml:space="preserve"/>
      </w:r>
      <w:r>
        <w:t xml:space="preserve">[V16-6] Dove, Lorna; Chadha, Ryan M.; Lai, Jennifer C.; et al. AASLD AST Practice Guideline on adult liver transplantation: Candidate evaluation. Hepatology. 2026; 83(6):1609-1645. </w:t>
      </w:r>
      <w:hyperlink r:id="rId713">
        <w:r>
          <w:rPr>
            <w:color w:val="0563C1"/>
            <w:u w:val="single"/>
          </w:rPr>
          <w:t>Source</w:t>
        </w:r>
      </w:hyperlink>
      <w:r>
        <w:t xml:space="preserve"> | </w:t>
      </w:r>
      <w:hyperlink r:id="rId714">
        <w:r>
          <w:rPr>
            <w:color w:val="0563C1"/>
            <w:u w:val="single"/>
          </w:rPr>
          <w:t>Full-text access</w:t>
        </w:r>
      </w:hyperlink>
    </w:p>
    <w:p>
      <w:pPr>
        <w:pStyle w:val="Normal"/>
        <w:widowControl/>
        <w:spacing w:after="120"/>
      </w:pPr>
      <w:r>
        <w:t xml:space="preserve"/>
      </w:r>
      <w:r>
        <w:t xml:space="preserve">[V16-7] Yao, Francis Y.; Mehta, Neil; Flemming, Jennifer; et al. Downstaging of hepatocellular cancer before liver transplant: Long‐term outcome compared to tumors within Milan criteria. Hepatology. 2015; 61(6):1968-1977. </w:t>
      </w:r>
      <w:hyperlink r:id="rId715">
        <w:r>
          <w:rPr>
            <w:color w:val="0563C1"/>
            <w:u w:val="single"/>
          </w:rPr>
          <w:t>Source</w:t>
        </w:r>
      </w:hyperlink>
      <w:r>
        <w:t xml:space="preserve"> | </w:t>
      </w:r>
      <w:hyperlink r:id="rId716">
        <w:r>
          <w:rPr>
            <w:color w:val="0563C1"/>
            <w:u w:val="single"/>
          </w:rPr>
          <w:t>Full-text access</w:t>
        </w:r>
      </w:hyperlink>
    </w:p>
    <w:p>
      <w:pPr>
        <w:pStyle w:val="Normal"/>
        <w:widowControl/>
        <w:spacing w:after="120"/>
      </w:pPr>
      <w:r>
        <w:t xml:space="preserve"/>
      </w:r>
      <w:r>
        <w:t xml:space="preserve">[V16-8] Mehta, Neil; Frenette, Catherine; Tabrizian, Parissa; et al. Downstaging Outcomes for Hepatocellular Carcinoma: Results From the Multicenter Evaluation of Reduction in Tumor Size before Liver Transplantation (MERITS-LT) Consortium. Gastroenterology. 2021; 161(5):1502-1512. </w:t>
      </w:r>
      <w:hyperlink r:id="rId717">
        <w:r>
          <w:rPr>
            <w:color w:val="0563C1"/>
            <w:u w:val="single"/>
          </w:rPr>
          <w:t>Source</w:t>
        </w:r>
      </w:hyperlink>
      <w:r>
        <w:t xml:space="preserve"> | </w:t>
      </w:r>
      <w:hyperlink r:id="rId718">
        <w:r>
          <w:rPr>
            <w:color w:val="0563C1"/>
            <w:u w:val="single"/>
          </w:rPr>
          <w:t>Full-text access</w:t>
        </w:r>
      </w:hyperlink>
    </w:p>
    <w:p>
      <w:pPr>
        <w:pStyle w:val="Normal"/>
        <w:widowControl/>
        <w:spacing w:after="120"/>
      </w:pPr>
      <w:r>
        <w:t xml:space="preserve"/>
      </w:r>
      <w:r>
        <w:t xml:space="preserve">[V16-9] Sinha, Jasmine; Mehta, Neil; Dodge, Jennifer L.; et al. Are There Upper Limits in Tumor Burden for Down‐Staging of Hepatocellular Carcinoma to Liver Transplant? Analysis of the All‐Comers Protocol. Hepatology. 2019; 70(4):1185-1196. </w:t>
      </w:r>
      <w:hyperlink r:id="rId719">
        <w:r>
          <w:rPr>
            <w:color w:val="0563C1"/>
            <w:u w:val="single"/>
          </w:rPr>
          <w:t>Source</w:t>
        </w:r>
      </w:hyperlink>
      <w:r>
        <w:t xml:space="preserve"> | </w:t>
      </w:r>
      <w:hyperlink r:id="rId720">
        <w:r>
          <w:rPr>
            <w:color w:val="0563C1"/>
            <w:u w:val="single"/>
          </w:rPr>
          <w:t>Full-text access</w:t>
        </w:r>
      </w:hyperlink>
    </w:p>
    <w:p>
      <w:pPr>
        <w:pStyle w:val="Normal"/>
        <w:widowControl/>
        <w:spacing w:after="120"/>
      </w:pPr>
      <w:r>
        <w:t xml:space="preserve"/>
      </w:r>
      <w:r>
        <w:t xml:space="preserve">[V16-10] Natarajan, Brahma; Tabrizian, Parissa; Hoteit, Maarouf; et al. Downstaging hepatocellular carcinoma before liver transplantation: A multicenter analysis of the “all-comers” protocol in the Multicenter Evaluation of Reduction in Tumor Size before Liver Transplantation (MERITS-LT) consortium. American Journal of Transplantation. 2023; 23(11):1771-1780. </w:t>
      </w:r>
      <w:hyperlink r:id="rId721">
        <w:r>
          <w:rPr>
            <w:color w:val="0563C1"/>
            <w:u w:val="single"/>
          </w:rPr>
          <w:t>Source</w:t>
        </w:r>
      </w:hyperlink>
      <w:r>
        <w:t xml:space="preserve"> | </w:t>
      </w:r>
      <w:hyperlink r:id="rId722">
        <w:r>
          <w:rPr>
            <w:color w:val="0563C1"/>
            <w:u w:val="single"/>
          </w:rPr>
          <w:t>Full-text access</w:t>
        </w:r>
      </w:hyperlink>
    </w:p>
    <w:p>
      <w:pPr>
        <w:pStyle w:val="Normal"/>
        <w:widowControl/>
        <w:spacing w:after="120"/>
      </w:pPr>
      <w:r>
        <w:t xml:space="preserve"/>
      </w:r>
      <w:r>
        <w:t xml:space="preserve">[V16-11] Huang, Annsa C.; Dodge, Jennifer L.; Yao, Francis Y.; et al. National Experience on Waitlist Outcomes for Down-Staging of Hepatocellular Carcinoma: High Dropout Rate in All-Comers. Clinical Gastroenterology and Hepatology. 2023; 21(6):1581-1589. </w:t>
      </w:r>
      <w:hyperlink r:id="rId723">
        <w:r>
          <w:rPr>
            <w:color w:val="0563C1"/>
            <w:u w:val="single"/>
          </w:rPr>
          <w:t>Source</w:t>
        </w:r>
      </w:hyperlink>
      <w:r>
        <w:t xml:space="preserve"> | </w:t>
      </w:r>
      <w:hyperlink r:id="rId724">
        <w:r>
          <w:rPr>
            <w:color w:val="0563C1"/>
            <w:u w:val="single"/>
          </w:rPr>
          <w:t>Full-text access</w:t>
        </w:r>
      </w:hyperlink>
    </w:p>
    <w:p>
      <w:pPr>
        <w:pStyle w:val="Normal"/>
        <w:widowControl/>
        <w:spacing w:after="120"/>
      </w:pPr>
      <w:r>
        <w:t xml:space="preserve"/>
      </w:r>
      <w:r>
        <w:t xml:space="preserve">[V16-12] Tabrizian, Parissa; Holzner, Matthew L.; Mehta, Neil; et al. Ten-Year Outcomes of Liver Transplant and Downstaging for Hepatocellular Carcinoma. JAMA Surgery. 2022; 157(9):779-788. </w:t>
      </w:r>
      <w:hyperlink r:id="rId725">
        <w:r>
          <w:rPr>
            <w:color w:val="0563C1"/>
            <w:u w:val="single"/>
          </w:rPr>
          <w:t>Source</w:t>
        </w:r>
      </w:hyperlink>
      <w:r>
        <w:t xml:space="preserve"> | </w:t>
      </w:r>
      <w:hyperlink r:id="rId726">
        <w:r>
          <w:rPr>
            <w:color w:val="0563C1"/>
            <w:u w:val="single"/>
          </w:rPr>
          <w:t>Full-text access</w:t>
        </w:r>
      </w:hyperlink>
    </w:p>
    <w:p>
      <w:pPr>
        <w:pStyle w:val="Normal"/>
        <w:widowControl/>
        <w:spacing w:after="120"/>
      </w:pPr>
      <w:r>
        <w:t xml:space="preserve"/>
      </w:r>
      <w:r>
        <w:t xml:space="preserve">[V16-13] Llovet, Josep M; Mauro, Ezequiel; Rimassa, Lorenza; et al. Trial design and end points in hepatocellular carcinoma: an EASL-AASLD-ILCA consensus statement. Nature reviews. Clinical oncology. 2026; 23(8):619-647. </w:t>
      </w:r>
      <w:hyperlink r:id="rId727">
        <w:r>
          <w:rPr>
            <w:color w:val="0563C1"/>
            <w:u w:val="single"/>
          </w:rPr>
          <w:t>Source</w:t>
        </w:r>
      </w:hyperlink>
      <w:r>
        <w:t xml:space="preserve"> | </w:t>
      </w:r>
      <w:hyperlink r:id="rId728">
        <w:r>
          <w:rPr>
            <w:color w:val="0563C1"/>
            <w:u w:val="single"/>
          </w:rPr>
          <w:t>Full-text access</w:t>
        </w:r>
      </w:hyperlink>
    </w:p>
    <w:p>
      <w:pPr>
        <w:pStyle w:val="Normal"/>
        <w:widowControl/>
        <w:spacing w:after="120"/>
      </w:pPr>
      <w:r>
        <w:t xml:space="preserve"/>
      </w:r>
      <w:r>
        <w:t xml:space="preserve">[V16-14] Mehta N; Dodge JL; Roberts JP; et al. Alpha-Fetoprotein Decrease from &gt; 1,000 to &lt; 500 ng/mL in Patients with Hepatocellular Carcinoma Leads to Improved Posttransplant Outcomes.. Hepatology (Baltimore, Md.). 2019; 69(3):1193-1205. </w:t>
      </w:r>
      <w:hyperlink r:id="rId729">
        <w:r>
          <w:rPr>
            <w:color w:val="0563C1"/>
            <w:u w:val="single"/>
          </w:rPr>
          <w:t>Source</w:t>
        </w:r>
      </w:hyperlink>
      <w:r>
        <w:t xml:space="preserve"> | </w:t>
      </w:r>
      <w:hyperlink r:id="rId730">
        <w:r>
          <w:rPr>
            <w:color w:val="0563C1"/>
            <w:u w:val="single"/>
          </w:rPr>
          <w:t>Full-text access</w:t>
        </w:r>
      </w:hyperlink>
    </w:p>
    <w:p>
      <w:pPr>
        <w:pStyle w:val="Normal"/>
        <w:widowControl/>
        <w:spacing w:after="120"/>
      </w:pPr>
      <w:r>
        <w:t xml:space="preserve"/>
      </w:r>
      <w:r>
        <w:t xml:space="preserve">[V16-15] Halazun KJ; Rosenblatt RE; Mehta N; et al. Dynamic α-Fetoprotein Response and Outcomes After Liver Transplant for Hepatocellular Carcinoma.. JAMA surgery. 2021; 156(6):559-567. </w:t>
      </w:r>
      <w:hyperlink r:id="rId731">
        <w:r>
          <w:rPr>
            <w:color w:val="0563C1"/>
            <w:u w:val="single"/>
          </w:rPr>
          <w:t>Source</w:t>
        </w:r>
      </w:hyperlink>
      <w:r>
        <w:t xml:space="preserve"> | </w:t>
      </w:r>
      <w:hyperlink r:id="rId732">
        <w:r>
          <w:rPr>
            <w:color w:val="0563C1"/>
            <w:u w:val="single"/>
          </w:rPr>
          <w:t>Full-text access</w:t>
        </w:r>
      </w:hyperlink>
    </w:p>
    <w:p>
      <w:pPr>
        <w:pStyle w:val="Normal"/>
        <w:widowControl/>
        <w:spacing w:after="120"/>
      </w:pPr>
      <w:r>
        <w:t xml:space="preserve"/>
      </w:r>
      <w:r>
        <w:t xml:space="preserve">[V16-16] Moriyama M; Tateishi R; Matsushita Y; et al. Management and Prognosis of HCC Patients With Elevated Tumor Markers but no Imaging Recurrence After Radiofrequency Ablation.. Cancer medicine. 2026; 15(4):e71812. </w:t>
      </w:r>
      <w:hyperlink r:id="rId733">
        <w:r>
          <w:rPr>
            <w:color w:val="0563C1"/>
            <w:u w:val="single"/>
          </w:rPr>
          <w:t>Source</w:t>
        </w:r>
      </w:hyperlink>
      <w:r>
        <w:t xml:space="preserve"> | </w:t>
      </w:r>
      <w:hyperlink r:id="rId734">
        <w:r>
          <w:rPr>
            <w:color w:val="0563C1"/>
            <w:u w:val="single"/>
          </w:rPr>
          <w:t>Full-text access</w:t>
        </w:r>
      </w:hyperlink>
    </w:p>
    <w:p>
      <w:pPr>
        <w:pStyle w:val="Normal"/>
        <w:widowControl/>
        <w:spacing w:after="120"/>
      </w:pPr>
      <w:r>
        <w:t xml:space="preserve"/>
      </w:r>
      <w:r>
        <w:t xml:space="preserve">[V16-17] Goldman ML; Zhou K; Dodge JL; et al. Lower Alpha-Fetoprotein Threshold of 500 ng/mL for Liver Transplantation May Improve Posttransplant Outcomes in Patients With Hepatocellular Carcinoma.. Liver transplantation : official publication of the American Association for the Study of Liver Diseases and the International Liver Transplantation Society. 2022; 28(5):763-773. </w:t>
      </w:r>
      <w:hyperlink r:id="rId735">
        <w:r>
          <w:rPr>
            <w:color w:val="0563C1"/>
            <w:u w:val="single"/>
          </w:rPr>
          <w:t>Source</w:t>
        </w:r>
      </w:hyperlink>
      <w:r>
        <w:t xml:space="preserve"> | </w:t>
      </w:r>
      <w:hyperlink r:id="rId736">
        <w:r>
          <w:rPr>
            <w:color w:val="0563C1"/>
            <w:u w:val="single"/>
          </w:rPr>
          <w:t>Full-text access</w:t>
        </w:r>
      </w:hyperlink>
    </w:p>
    <w:p>
      <w:pPr>
        <w:pStyle w:val="Normal"/>
        <w:widowControl/>
        <w:spacing w:after="120"/>
      </w:pPr>
      <w:r>
        <w:t xml:space="preserve"/>
      </w:r>
      <w:r>
        <w:t xml:space="preserve">[V16-18] Giard JM; Mehta N; Dodge JL; et al. Alpha-Fetoprotein Slope &gt;7.5 ng/mL per Month Predicts Microvascular Invasion and Tumor Recurrence After Liver Transplantation for Hepatocellular Carcinoma.. Transplantation. 2018; 102(5):816-822. </w:t>
      </w:r>
      <w:hyperlink r:id="rId737">
        <w:r>
          <w:rPr>
            <w:color w:val="0563C1"/>
            <w:u w:val="single"/>
          </w:rPr>
          <w:t>Source</w:t>
        </w:r>
      </w:hyperlink>
      <w:r>
        <w:t xml:space="preserve"> | </w:t>
      </w:r>
      <w:hyperlink r:id="rId738">
        <w:r>
          <w:rPr>
            <w:color w:val="0563C1"/>
            <w:u w:val="single"/>
          </w:rPr>
          <w:t>Full-text access</w:t>
        </w:r>
      </w:hyperlink>
    </w:p>
    <w:p>
      <w:pPr>
        <w:pStyle w:val="Normal"/>
        <w:widowControl/>
        <w:spacing w:after="120"/>
      </w:pPr>
      <w:r>
        <w:t xml:space="preserve"/>
      </w:r>
      <w:r>
        <w:t xml:space="preserve">[V16-19] Yoon, Young-In; Moon, Deok-Bog; Lee, Sung-Gyu; et al. Living-donor liver transplantation in hepatocellular carcinoma with portal-vein tumor thrombosis. International Journal of Surgery. 2026; 112(3):7259-7270. </w:t>
      </w:r>
      <w:hyperlink r:id="rId739">
        <w:r>
          <w:rPr>
            <w:color w:val="0563C1"/>
            <w:u w:val="single"/>
          </w:rPr>
          <w:t>Source</w:t>
        </w:r>
      </w:hyperlink>
      <w:r>
        <w:t xml:space="preserve"> | </w:t>
      </w:r>
      <w:hyperlink r:id="rId740">
        <w:r>
          <w:rPr>
            <w:color w:val="0563C1"/>
            <w:u w:val="single"/>
          </w:rPr>
          <w:t>Full-text access</w:t>
        </w:r>
      </w:hyperlink>
    </w:p>
    <w:p>
      <w:pPr>
        <w:pStyle w:val="Normal"/>
        <w:widowControl/>
        <w:spacing w:after="120"/>
      </w:pPr>
      <w:r>
        <w:t xml:space="preserve"/>
      </w:r>
      <w:r>
        <w:t xml:space="preserve">[V16-20] Choi, Ho Joong; Kim, Dong Goo; Na, Gun Hyung; et al. The clinical outcomes of patients with portal vein tumor thrombi after living donor liver transplantation. Liver Transplantation. 2017; 23(8):1023-1031. </w:t>
      </w:r>
      <w:hyperlink r:id="rId741">
        <w:r>
          <w:rPr>
            <w:color w:val="0563C1"/>
            <w:u w:val="single"/>
          </w:rPr>
          <w:t>Source</w:t>
        </w:r>
      </w:hyperlink>
      <w:r>
        <w:t xml:space="preserve"> | </w:t>
      </w:r>
      <w:hyperlink r:id="rId742">
        <w:r>
          <w:rPr>
            <w:color w:val="0563C1"/>
            <w:u w:val="single"/>
          </w:rPr>
          <w:t>Full-text access</w:t>
        </w:r>
      </w:hyperlink>
    </w:p>
    <w:p>
      <w:pPr>
        <w:pStyle w:val="Normal"/>
        <w:widowControl/>
        <w:spacing w:after="120"/>
      </w:pPr>
      <w:r>
        <w:t xml:space="preserve"/>
      </w:r>
      <w:r>
        <w:t xml:space="preserve">[V16-21] Yang, Z; Luo, FZ; Wang, S; et al. Alpha-fetoprotein and 18F-FDG standard uptake value predict tumor recurrence after liver transplantation for hepatocellular carcinoma with portal vein tumor thrombosis: Preliminary experience. Hepatobiliary &amp; Pancreatic Diseases International. 2020; 19(3):229-234. </w:t>
      </w:r>
      <w:hyperlink r:id="rId743">
        <w:r>
          <w:rPr>
            <w:color w:val="0563C1"/>
            <w:u w:val="single"/>
          </w:rPr>
          <w:t>Source</w:t>
        </w:r>
      </w:hyperlink>
      <w:r>
        <w:t xml:space="preserve"> | </w:t>
      </w:r>
      <w:hyperlink r:id="rId744">
        <w:r>
          <w:rPr>
            <w:color w:val="0563C1"/>
            <w:u w:val="single"/>
          </w:rPr>
          <w:t>Full-text access</w:t>
        </w:r>
      </w:hyperlink>
    </w:p>
    <w:p>
      <w:pPr>
        <w:pStyle w:val="Normal"/>
        <w:widowControl/>
        <w:spacing w:after="120"/>
      </w:pPr>
      <w:r>
        <w:t xml:space="preserve"/>
      </w:r>
      <w:r>
        <w:t xml:space="preserve">[V16-22] Ye, Zhaodan; Zhuang, Li; Liu, Xiangyan; et al. The clinical outcomes of patients with vascular invasion after deceased donor liver transplantation. Journal of Gastrointestinal Oncology. 2024; 15(4). </w:t>
      </w:r>
      <w:hyperlink r:id="rId745">
        <w:r>
          <w:rPr>
            <w:color w:val="0563C1"/>
            <w:u w:val="single"/>
          </w:rPr>
          <w:t>Source</w:t>
        </w:r>
      </w:hyperlink>
      <w:r>
        <w:t xml:space="preserve"> | </w:t>
      </w:r>
      <w:hyperlink r:id="rId746">
        <w:r>
          <w:rPr>
            <w:color w:val="0563C1"/>
            <w:u w:val="single"/>
          </w:rPr>
          <w:t>Full-text access</w:t>
        </w:r>
      </w:hyperlink>
    </w:p>
    <w:p>
      <w:pPr>
        <w:pStyle w:val="Normal"/>
        <w:widowControl/>
        <w:spacing w:after="120"/>
      </w:pPr>
      <w:r>
        <w:t xml:space="preserve"/>
      </w:r>
      <w:r>
        <w:t xml:space="preserve">[V16-23] Soin, Arvinder S; Bhangui, Prashant; Kataria, Tejinder; et al. Experience With LDLT in Patients With Hepatocellular Carcinoma and Portal Vein Tumor Thrombosis Postdownstaging. Transplantation. 2020; 104(11):2334-2345. </w:t>
      </w:r>
      <w:hyperlink r:id="rId747">
        <w:r>
          <w:rPr>
            <w:color w:val="0563C1"/>
            <w:u w:val="single"/>
          </w:rPr>
          <w:t>Source</w:t>
        </w:r>
      </w:hyperlink>
      <w:r>
        <w:t xml:space="preserve"> | </w:t>
      </w:r>
      <w:hyperlink r:id="rId748">
        <w:r>
          <w:rPr>
            <w:color w:val="0563C1"/>
            <w:u w:val="single"/>
          </w:rPr>
          <w:t>Full-text access</w:t>
        </w:r>
      </w:hyperlink>
    </w:p>
    <w:p>
      <w:pPr>
        <w:pStyle w:val="Normal"/>
        <w:widowControl/>
        <w:spacing w:after="120"/>
      </w:pPr>
      <w:r>
        <w:t xml:space="preserve"/>
      </w:r>
      <w:r>
        <w:t xml:space="preserve">[V16-24] Assalino, Michela; Terraz, Sylvain; Grat, Michal; et al. Liver transplantation for hepatocellular carcinoma after successful treatment of macrovascular invasion – a multi‐center retrospective cohort study. Transplant International. 2020; 33(5):567-575. </w:t>
      </w:r>
      <w:hyperlink r:id="rId749">
        <w:r>
          <w:rPr>
            <w:color w:val="0563C1"/>
            <w:u w:val="single"/>
          </w:rPr>
          <w:t>Source</w:t>
        </w:r>
      </w:hyperlink>
      <w:r>
        <w:t xml:space="preserve"> | </w:t>
      </w:r>
      <w:hyperlink r:id="rId750">
        <w:r>
          <w:rPr>
            <w:color w:val="0563C1"/>
            <w:u w:val="single"/>
          </w:rPr>
          <w:t>Full-text access</w:t>
        </w:r>
      </w:hyperlink>
    </w:p>
    <w:p>
      <w:pPr>
        <w:pStyle w:val="Normal"/>
        <w:widowControl/>
        <w:spacing w:after="120"/>
      </w:pPr>
      <w:r>
        <w:t xml:space="preserve"/>
      </w:r>
      <w:r>
        <w:t xml:space="preserve">[V16-25] Sposito, Carlo; Berardi, Giammauro; Viganò, Mauro; et al. Outcomes of Y90-radioembolization as downstaging to liver transplantation in patients with hepatocellular carcinoma and tumoral portal vein thrombosis. Hepatology. 2026. </w:t>
      </w:r>
      <w:hyperlink r:id="rId751">
        <w:r>
          <w:rPr>
            <w:color w:val="0563C1"/>
            <w:u w:val="single"/>
          </w:rPr>
          <w:t>Source</w:t>
        </w:r>
      </w:hyperlink>
      <w:r>
        <w:t xml:space="preserve"> | </w:t>
      </w:r>
      <w:hyperlink r:id="rId752">
        <w:r>
          <w:rPr>
            <w:color w:val="0563C1"/>
            <w:u w:val="single"/>
          </w:rPr>
          <w:t>Full-text access</w:t>
        </w:r>
      </w:hyperlink>
    </w:p>
    <w:p>
      <w:pPr>
        <w:pStyle w:val="Normal"/>
        <w:widowControl/>
        <w:spacing w:after="120"/>
      </w:pPr>
      <w:r>
        <w:t xml:space="preserve"/>
      </w:r>
      <w:r>
        <w:t xml:space="preserve">[V16-26] Kodali, Sudha; Kulik, Laura; D'Allessio, Antonio; et al. The 2024 ILTS-ILCA consensus recommendations for liver transplantation for HCC and intrahepatic cholangiocarcinoma. Liver transplantation : official publication of the American Association for the Study of Liver Diseases and the International Liver Transplantation Society. 2025; 31(6):815-831. </w:t>
      </w:r>
      <w:hyperlink r:id="rId753">
        <w:r>
          <w:rPr>
            <w:color w:val="0563C1"/>
            <w:u w:val="single"/>
          </w:rPr>
          <w:t>Source</w:t>
        </w:r>
      </w:hyperlink>
      <w:r>
        <w:t xml:space="preserve"> | </w:t>
      </w:r>
      <w:hyperlink r:id="rId754">
        <w:r>
          <w:rPr>
            <w:color w:val="0563C1"/>
            <w:u w:val="single"/>
          </w:rPr>
          <w:t>Full-text access</w:t>
        </w:r>
      </w:hyperlink>
    </w:p>
    <w:p>
      <w:pPr>
        <w:pStyle w:val="Normal"/>
        <w:widowControl/>
        <w:spacing w:after="120"/>
      </w:pPr>
      <w:r>
        <w:t xml:space="preserve"/>
      </w:r>
      <w:r>
        <w:t xml:space="preserve">[V16-27] Sangro, Bruno; Argemi, Josepmaria; Ronot, Maxime; et al. EASL Clinical Practice Guidelines on the management of hepatocellular carcinoma. Journal of Hepatology. 2025; 82(2):315-374. </w:t>
      </w:r>
      <w:hyperlink r:id="rId755">
        <w:r>
          <w:rPr>
            <w:color w:val="0563C1"/>
            <w:u w:val="single"/>
          </w:rPr>
          <w:t>Source</w:t>
        </w:r>
      </w:hyperlink>
      <w:r>
        <w:t xml:space="preserve"> | </w:t>
      </w:r>
      <w:hyperlink r:id="rId756">
        <w:r>
          <w:rPr>
            <w:color w:val="0563C1"/>
            <w:u w:val="single"/>
          </w:rPr>
          <w:t>Full-text access</w:t>
        </w:r>
      </w:hyperlink>
    </w:p>
    <w:p>
      <w:pPr>
        <w:pStyle w:val="Normal"/>
        <w:widowControl/>
        <w:spacing w:after="120"/>
      </w:pPr>
      <w:r>
        <w:t xml:space="preserve"/>
      </w:r>
      <w:r>
        <w:t xml:space="preserve">[V16-28] Apisarnthanarax, Smith; Barry, Aisling; Cao, Minsong; et al. External Beam Radiation Therapy for Primary Liver Cancers: An ASTRO Clinical Practice Guideline. Practical Radiation Oncology. 2022; 12(1):28-51. </w:t>
      </w:r>
      <w:hyperlink r:id="rId757">
        <w:r>
          <w:rPr>
            <w:color w:val="0563C1"/>
            <w:u w:val="single"/>
          </w:rPr>
          <w:t>Source</w:t>
        </w:r>
      </w:hyperlink>
      <w:r>
        <w:t xml:space="preserve"> | </w:t>
      </w:r>
      <w:hyperlink r:id="rId758">
        <w:r>
          <w:rPr>
            <w:color w:val="0563C1"/>
            <w:u w:val="single"/>
          </w:rPr>
          <w:t>Full-text access</w:t>
        </w:r>
      </w:hyperlink>
    </w:p>
    <w:p>
      <w:pPr>
        <w:pStyle w:val="Normal"/>
        <w:widowControl/>
        <w:spacing w:after="120"/>
      </w:pPr>
      <w:r>
        <w:t xml:space="preserve"/>
      </w:r>
      <w:r>
        <w:t xml:space="preserve">[V16-29] National Comprehensive Cancer Network. NCCN Clinical Practice Guidelines in Oncology: Hepatocellular Carcinoma, Version 2.2026 (14 August 2026). . 2026. </w:t>
      </w:r>
      <w:hyperlink r:id="rId759">
        <w:r>
          <w:rPr>
            <w:color w:val="0563C1"/>
            <w:u w:val="single"/>
          </w:rPr>
          <w:t>Source</w:t>
        </w:r>
      </w:hyperlink>
      <w:r>
        <w:t xml:space="preserve"> | </w:t>
      </w:r>
      <w:hyperlink r:id="rId760">
        <w:r>
          <w:rPr>
            <w:color w:val="0563C1"/>
            <w:u w:val="single"/>
          </w:rPr>
          <w:t>Full-text access</w:t>
        </w:r>
      </w:hyperlink>
    </w:p>
    <w:p>
      <w:pPr>
        <w:pStyle w:val="Normal"/>
        <w:widowControl/>
        <w:spacing w:after="120"/>
      </w:pPr>
      <w:r>
        <w:t xml:space="preserve"/>
      </w:r>
      <w:r>
        <w:t xml:space="preserve">[V16-30] American College of Radiology. LI RADS CT MRI Radiation Treatment Response Assessment version 2024 Core. ACR. 2024. </w:t>
      </w:r>
      <w:hyperlink r:id="rId761">
        <w:r>
          <w:rPr>
            <w:color w:val="0563C1"/>
            <w:u w:val="single"/>
          </w:rPr>
          <w:t>Source</w:t>
        </w:r>
      </w:hyperlink>
      <w:r>
        <w:t xml:space="preserve"> | </w:t>
      </w:r>
      <w:hyperlink r:id="rId762">
        <w:r>
          <w:rPr>
            <w:color w:val="0563C1"/>
            <w:u w:val="single"/>
          </w:rPr>
          <w:t>Full-text access</w:t>
        </w:r>
      </w:hyperlink>
    </w:p>
    <w:p>
      <w:pPr>
        <w:pStyle w:val="Normal"/>
        <w:widowControl/>
        <w:spacing w:after="120"/>
      </w:pPr>
      <w:r>
        <w:t xml:space="preserve"/>
      </w:r>
      <w:r>
        <w:t xml:space="preserve">[V16-31] Moeckli, Beat; Wassmer, Charles-Henri; El Hajji, Sofia; et al. Determining safe washout period for immune checkpoint inhibitors prior to liver transplantation: An international retrospective cohort study. Hepatology. 2025; 82(5):1122-1137. </w:t>
      </w:r>
      <w:hyperlink r:id="rId763">
        <w:r>
          <w:rPr>
            <w:color w:val="0563C1"/>
            <w:u w:val="single"/>
          </w:rPr>
          <w:t>Source</w:t>
        </w:r>
      </w:hyperlink>
      <w:r>
        <w:t xml:space="preserve"> | </w:t>
      </w:r>
      <w:hyperlink r:id="rId764">
        <w:r>
          <w:rPr>
            <w:color w:val="0563C1"/>
            <w:u w:val="single"/>
          </w:rPr>
          <w:t>Full-text access</w:t>
        </w:r>
      </w:hyperlink>
    </w:p>
    <w:p>
      <w:pPr>
        <w:pStyle w:val="Normal"/>
        <w:widowControl/>
        <w:spacing w:after="120"/>
      </w:pPr>
      <w:r>
        <w:t xml:space="preserve"/>
      </w:r>
      <w:r>
        <w:t xml:space="preserve">[V16-32] Tabrizian, Parissa; Holzner, Matthew L.; Ajmera, Veeral; et al. Intention-to-treat outcomes of patients with hepatocellular carcinoma receiving immunotherapy before liver transplant: The multicenter VITALITY study. Journal of Hepatology. 2025; 82(3):512-522. </w:t>
      </w:r>
      <w:hyperlink r:id="rId765">
        <w:r>
          <w:rPr>
            <w:color w:val="0563C1"/>
            <w:u w:val="single"/>
          </w:rPr>
          <w:t>Source</w:t>
        </w:r>
      </w:hyperlink>
      <w:r>
        <w:t xml:space="preserve"> | </w:t>
      </w:r>
      <w:hyperlink r:id="rId766">
        <w:r>
          <w:rPr>
            <w:color w:val="0563C1"/>
            <w:u w:val="single"/>
          </w:rPr>
          <w:t>Full-text access</w:t>
        </w:r>
      </w:hyperlink>
    </w:p>
    <w:p>
      <w:pPr>
        <w:pStyle w:val="Normal"/>
        <w:widowControl/>
        <w:spacing w:after="120"/>
      </w:pPr>
      <w:r>
        <w:t xml:space="preserve"/>
      </w:r>
      <w:r>
        <w:t xml:space="preserve">[V16-33] Genentech. Avastin bevacizumab US prescribing information. US prescribing information. 2022. </w:t>
      </w:r>
      <w:hyperlink r:id="rId767">
        <w:r>
          <w:rPr>
            <w:color w:val="0563C1"/>
            <w:u w:val="single"/>
          </w:rPr>
          <w:t>Source</w:t>
        </w:r>
      </w:hyperlink>
      <w:r>
        <w:t xml:space="preserve"> | </w:t>
      </w:r>
      <w:hyperlink r:id="rId768">
        <w:r>
          <w:rPr>
            <w:color w:val="0563C1"/>
            <w:u w:val="single"/>
          </w:rPr>
          <w:t>Full-text access</w:t>
        </w:r>
      </w:hyperlink>
    </w:p>
    <w:p>
      <w:pPr>
        <w:pStyle w:val="Normal"/>
        <w:widowControl/>
        <w:spacing w:after="120"/>
      </w:pPr>
      <w:r>
        <w:t xml:space="preserve"/>
      </w:r>
      <w:r>
        <w:t xml:space="preserve">[V16-34] Wassmer, Charles-Henri; El Hajji, Sofia; Papazarkadas, Xenofon; et al. Immunotherapy and Liver Transplantation: A Narrative Review of Basic and Clinical Data. Cancers. 2023; 15(18):4574. </w:t>
      </w:r>
      <w:hyperlink r:id="rId769">
        <w:r>
          <w:rPr>
            <w:color w:val="0563C1"/>
            <w:u w:val="single"/>
          </w:rPr>
          <w:t>Source</w:t>
        </w:r>
      </w:hyperlink>
      <w:r>
        <w:t xml:space="preserve"> | </w:t>
      </w:r>
      <w:hyperlink r:id="rId770">
        <w:r>
          <w:rPr>
            <w:color w:val="0563C1"/>
            <w:u w:val="single"/>
          </w:rPr>
          <w:t>Full-text access</w:t>
        </w:r>
      </w:hyperlink>
    </w:p>
    <w:p>
      <w:pPr>
        <w:pStyle w:val="Normal"/>
        <w:widowControl/>
        <w:spacing w:after="120"/>
      </w:pPr>
      <w:r>
        <w:t xml:space="preserve"/>
      </w:r>
      <w:r>
        <w:t xml:space="preserve">[V16-35] Bhoori, Sherrie; Rivoltini, Licia; Pinato, David J.; et al. Efficacy of liver transplantation after response to atezolizumab-bevacizumab downstaging of intermediate and advanced hepatocellular carcinoma (ImmunoXXL). Journal of Hepatology. 2026; 85(1):117-129. </w:t>
      </w:r>
      <w:hyperlink r:id="rId771">
        <w:r>
          <w:rPr>
            <w:color w:val="0563C1"/>
            <w:u w:val="single"/>
          </w:rPr>
          <w:t>Source</w:t>
        </w:r>
      </w:hyperlink>
      <w:r>
        <w:t xml:space="preserve"> | </w:t>
      </w:r>
      <w:hyperlink r:id="rId772">
        <w:r>
          <w:rPr>
            <w:color w:val="0563C1"/>
            <w:u w:val="single"/>
          </w:rPr>
          <w:t>Full-text access</w:t>
        </w:r>
      </w:hyperlink>
    </w:p>
    <w:p>
      <w:pPr>
        <w:pStyle w:val="Normal"/>
        <w:widowControl/>
        <w:spacing w:after="120"/>
      </w:pPr>
      <w:r>
        <w:t xml:space="preserve"/>
      </w:r>
      <w:r>
        <w:t xml:space="preserve">[V16-36] Rezaee-Zavareh, Mohammad Saeid; Yeo, Yee Hui; Wang, Tielong; et al. Impact of pre-transplant immune checkpoint inhibitor use on post-transplant outcomes in HCC: A systematic review and individual patient data meta-analysis. Journal of Hepatology. 2025; 82(1):107-119. </w:t>
      </w:r>
      <w:hyperlink r:id="rId773">
        <w:r>
          <w:rPr>
            <w:color w:val="0563C1"/>
            <w:u w:val="single"/>
          </w:rPr>
          <w:t>Source</w:t>
        </w:r>
      </w:hyperlink>
      <w:r>
        <w:t xml:space="preserve"> | </w:t>
      </w:r>
      <w:hyperlink r:id="rId774">
        <w:r>
          <w:rPr>
            <w:color w:val="0563C1"/>
            <w:u w:val="single"/>
          </w:rPr>
          <w:t>Full-text access</w:t>
        </w:r>
      </w:hyperlink>
    </w:p>
    <w:p>
      <w:pPr>
        <w:pStyle w:val="Normal"/>
        <w:widowControl/>
        <w:spacing w:after="120"/>
      </w:pPr>
      <w:r>
        <w:t xml:space="preserve"/>
      </w:r>
      <w:r>
        <w:t xml:space="preserve">[V16-37] Fang, Jun; Zhong, Siyi; Wang, Tielong; et al. Immune-related adverse events are a potent predictor of post-transplant rejection in HCC: a multicentre retrospective cohort study. Gut. 2026; 75(6):1201-1210. </w:t>
      </w:r>
      <w:hyperlink r:id="rId775">
        <w:r>
          <w:rPr>
            <w:color w:val="0563C1"/>
            <w:u w:val="single"/>
          </w:rPr>
          <w:t>Source</w:t>
        </w:r>
      </w:hyperlink>
      <w:r>
        <w:t xml:space="preserve"> | </w:t>
      </w:r>
      <w:hyperlink r:id="rId776">
        <w:r>
          <w:rPr>
            <w:color w:val="0563C1"/>
            <w:u w:val="single"/>
          </w:rPr>
          <w:t>Full-text access</w:t>
        </w:r>
      </w:hyperlink>
    </w:p>
    <w:p>
      <w:pPr>
        <w:pStyle w:val="Normal"/>
        <w:widowControl/>
        <w:spacing w:after="120"/>
      </w:pPr>
      <w:r>
        <w:t xml:space="preserve"/>
      </w:r>
      <w:r>
        <w:t xml:space="preserve">[V16-38] Aceituno, L.; Magyar, C.; Tabrizian, P.; et al. Safety of Immune Checkpoint Inhibitors Prior to Liver Transplantation in Hepatocellular Carcinoma. Alimentary Pharmacology &amp; Therapeutics. 2026; 63(10):1369-1379. </w:t>
      </w:r>
      <w:hyperlink r:id="rId777">
        <w:r>
          <w:rPr>
            <w:color w:val="0563C1"/>
            <w:u w:val="single"/>
          </w:rPr>
          <w:t>Source</w:t>
        </w:r>
      </w:hyperlink>
      <w:r>
        <w:t xml:space="preserve"> | </w:t>
      </w:r>
      <w:hyperlink r:id="rId778">
        <w:r>
          <w:rPr>
            <w:color w:val="0563C1"/>
            <w:u w:val="single"/>
          </w:rPr>
          <w:t>Full-text access</w:t>
        </w:r>
      </w:hyperlink>
    </w:p>
    <w:p>
      <w:pPr>
        <w:pStyle w:val="Normal"/>
        <w:widowControl/>
        <w:spacing w:after="120"/>
      </w:pPr>
      <w:r>
        <w:t xml:space="preserve"/>
      </w:r>
      <w:r>
        <w:t xml:space="preserve">[V16-39] Bauer, Ulrike; Troppmair, Maria R; Khaled, Najib Ben; et al. Liver Transplantation After Immune Checkpoint Inhibition in Hepatocellular Carcinoma-Data From the Multinational LITCHI Registry. Liver international : official journal of the International Association for the Study of the Liver. 2026; 46(6):e70692. </w:t>
      </w:r>
      <w:hyperlink r:id="rId779">
        <w:r>
          <w:rPr>
            <w:color w:val="0563C1"/>
            <w:u w:val="single"/>
          </w:rPr>
          <w:t>Source</w:t>
        </w:r>
      </w:hyperlink>
      <w:r>
        <w:t xml:space="preserve"> | </w:t>
      </w:r>
      <w:hyperlink r:id="rId780">
        <w:r>
          <w:rPr>
            <w:color w:val="0563C1"/>
            <w:u w:val="single"/>
          </w:rPr>
          <w:t>Full-text access</w:t>
        </w:r>
      </w:hyperlink>
    </w:p>
    <w:p>
      <w:pPr>
        <w:pStyle w:val="Normal"/>
        <w:widowControl/>
        <w:spacing w:after="120"/>
      </w:pPr>
      <w:r>
        <w:t xml:space="preserve"/>
      </w:r>
      <w:r>
        <w:t xml:space="preserve">[V16-40] Ong, Meiching; He, Kang; Wang, Feng; et al. Immune Checkpoint Inhibitor–Based Downstaging Therapy for Hepatocellular Carcinoma. JAMA Oncology. 2026. </w:t>
      </w:r>
      <w:hyperlink r:id="rId781">
        <w:r>
          <w:rPr>
            <w:color w:val="0563C1"/>
            <w:u w:val="single"/>
          </w:rPr>
          <w:t>Source</w:t>
        </w:r>
      </w:hyperlink>
      <w:r>
        <w:t xml:space="preserve"> | </w:t>
      </w:r>
      <w:hyperlink r:id="rId782">
        <w:r>
          <w:rPr>
            <w:color w:val="0563C1"/>
            <w:u w:val="single"/>
          </w:rPr>
          <w:t>Full-text access</w:t>
        </w:r>
      </w:hyperlink>
    </w:p>
    <w:p>
      <w:pPr>
        <w:pStyle w:val="Normal"/>
        <w:widowControl/>
        <w:spacing w:after="120"/>
      </w:pPr>
      <w:r>
        <w:t xml:space="preserve"/>
      </w:r>
      <w:r>
        <w:t xml:space="preserve">[V16-41] Kulkarni, Anand V.; Singal, Amit G.; Reddy, K. Rajender. Review Article: Liver Transplantation for Hepatocellular Carcinoma in the Era of Immune Checkpoint Inhibitors. Alimentary Pharmacology &amp; Therapeutics. 2025; 62(6):585-601. </w:t>
      </w:r>
      <w:hyperlink r:id="rId783">
        <w:r>
          <w:rPr>
            <w:color w:val="0563C1"/>
            <w:u w:val="single"/>
          </w:rPr>
          <w:t>Source</w:t>
        </w:r>
      </w:hyperlink>
      <w:r>
        <w:t xml:space="preserve"> | </w:t>
      </w:r>
      <w:hyperlink r:id="rId784">
        <w:r>
          <w:rPr>
            <w:color w:val="0563C1"/>
            <w:u w:val="single"/>
          </w:rPr>
          <w:t>Full-text access</w:t>
        </w:r>
      </w:hyperlink>
    </w:p>
    <w:p>
      <w:pPr>
        <w:pStyle w:val="Normal"/>
        <w:widowControl/>
        <w:spacing w:after="120"/>
      </w:pPr>
      <w:r>
        <w:t xml:space="preserve"/>
      </w:r>
      <w:r>
        <w:t xml:space="preserve">[V16-42] Demirors, Berkay; Lin, Matthew Yu-Sheng; Spitz, Francis J.; et al. Balancing Tumor Response and Rejection Risk After Pre-Transplant Immunotherapy: A Scoping Review. Cancers. 2026; 18(8):1284. </w:t>
      </w:r>
      <w:hyperlink r:id="rId785">
        <w:r>
          <w:rPr>
            <w:color w:val="0563C1"/>
            <w:u w:val="single"/>
          </w:rPr>
          <w:t>Source</w:t>
        </w:r>
      </w:hyperlink>
      <w:r>
        <w:t xml:space="preserve"> | </w:t>
      </w:r>
      <w:hyperlink r:id="rId786">
        <w:r>
          <w:rPr>
            <w:color w:val="0563C1"/>
            <w:u w:val="single"/>
          </w:rPr>
          <w:t>Full-text access</w:t>
        </w:r>
      </w:hyperlink>
    </w:p>
    <w:p>
      <w:pPr>
        <w:pStyle w:val="Normal"/>
        <w:widowControl/>
        <w:spacing w:after="120"/>
      </w:pPr>
      <w:r>
        <w:t xml:space="preserve"/>
      </w:r>
      <w:r>
        <w:t xml:space="preserve">[V16-43] Kelly, Morgan E.; Truby, Tianna M.; Lai, Jennifer C.; et al. Three Decades of Living Liver Donor Outcomes: A National Cohort Analysis of Patterns in Mortality and Recovery. Journal of Transplantation. 2026; 2026(1):2545887. </w:t>
      </w:r>
      <w:hyperlink r:id="rId787">
        <w:r>
          <w:rPr>
            <w:color w:val="0563C1"/>
            <w:u w:val="single"/>
          </w:rPr>
          <w:t>Source</w:t>
        </w:r>
      </w:hyperlink>
      <w:r>
        <w:t xml:space="preserve"> | </w:t>
      </w:r>
      <w:hyperlink r:id="rId788">
        <w:r>
          <w:rPr>
            <w:color w:val="0563C1"/>
            <w:u w:val="single"/>
          </w:rPr>
          <w:t>Full-text access</w:t>
        </w:r>
      </w:hyperlink>
    </w:p>
    <w:p>
      <w:pPr>
        <w:pStyle w:val="Normal"/>
        <w:widowControl/>
        <w:spacing w:after="120"/>
      </w:pPr>
      <w:r>
        <w:t xml:space="preserve"/>
      </w:r>
      <w:r>
        <w:t xml:space="preserve">[V16-44] US Department of Health and Human Services. 45 CFR 46.111: Criteria for IRB approval of research. . 2018. </w:t>
      </w:r>
      <w:hyperlink r:id="rId789">
        <w:r>
          <w:rPr>
            <w:color w:val="0563C1"/>
            <w:u w:val="single"/>
          </w:rPr>
          <w:t>Source</w:t>
        </w:r>
      </w:hyperlink>
      <w:r>
        <w:t xml:space="preserve"> | Local PDF not available in this update</w:t>
      </w:r>
    </w:p>
    <w:p>
      <w:pPr>
        <w:pStyle w:val="Normal"/>
        <w:widowControl/>
        <w:spacing w:after="120"/>
      </w:pPr>
      <w:r>
        <w:t xml:space="preserve"/>
      </w:r>
      <w:r>
        <w:t xml:space="preserve">[V16-45] OPTN Ethics Committee. Ethical Principles in the Allocation of Human Organs. . 2015. </w:t>
      </w:r>
      <w:hyperlink r:id="rId790">
        <w:r>
          <w:rPr>
            <w:color w:val="0563C1"/>
            <w:u w:val="single"/>
          </w:rPr>
          <w:t>Source</w:t>
        </w:r>
      </w:hyperlink>
      <w:r>
        <w:t xml:space="preserve"> | Local PDF not available in this update</w:t>
      </w:r>
    </w:p>
    <w:p>
      <w:pPr>
        <w:pStyle w:val="Normal"/>
        <w:widowControl/>
        <w:spacing w:after="120"/>
      </w:pPr>
      <w:r>
        <w:t xml:space="preserve"/>
      </w:r>
      <w:r>
        <w:t xml:space="preserve">[V16-46]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 404(10458):1107-1118. </w:t>
      </w:r>
      <w:hyperlink r:id="rId791">
        <w:r>
          <w:rPr>
            <w:color w:val="0563C1"/>
            <w:u w:val="single"/>
          </w:rPr>
          <w:t>Source</w:t>
        </w:r>
      </w:hyperlink>
      <w:r>
        <w:t xml:space="preserve"> | </w:t>
      </w:r>
      <w:hyperlink r:id="rId792">
        <w:r>
          <w:rPr>
            <w:color w:val="0563C1"/>
            <w:u w:val="single"/>
          </w:rPr>
          <w:t>Full-text access</w:t>
        </w:r>
      </w:hyperlink>
    </w:p>
    <w:p>
      <w:pPr>
        <w:pStyle w:val="Normal"/>
        <w:widowControl/>
        <w:spacing w:after="120"/>
      </w:pPr>
      <w:r>
        <w:t xml:space="preserve"/>
      </w:r>
      <w:r>
        <w:t xml:space="preserve">[V16-47] Allen, Elisa; Taylor, Rhiannon; Gimson, Alexander; et al. Transplant benefit-based offering of deceased donor livers in the United Kingdom. Journal of Hepatology. 2024; 81(3):471-478. </w:t>
      </w:r>
      <w:hyperlink r:id="rId793">
        <w:r>
          <w:rPr>
            <w:color w:val="0563C1"/>
            <w:u w:val="single"/>
          </w:rPr>
          <w:t>Source</w:t>
        </w:r>
      </w:hyperlink>
      <w:r>
        <w:t xml:space="preserve"> | </w:t>
      </w:r>
      <w:hyperlink r:id="rId794">
        <w:r>
          <w:rPr>
            <w:color w:val="0563C1"/>
            <w:u w:val="single"/>
          </w:rPr>
          <w:t>Full-text access</w:t>
        </w:r>
      </w:hyperlink>
    </w:p>
    <w:p>
      <w:pPr>
        <w:pStyle w:val="Normal"/>
        <w:widowControl/>
        <w:spacing w:after="120"/>
      </w:pPr>
      <w:r>
        <w:t xml:space="preserve"/>
      </w:r>
      <w:r>
        <w:t xml:space="preserve">[V16-48] Abecassis, M.M.; Fisher, R.A.; Olthoff, K.M.; et al. Complications of Living Donor Hepatic Lobectomy—A Comprehensive Report. American Journal of Transplantation. 2012; 12(5):1208-1217. </w:t>
      </w:r>
      <w:hyperlink r:id="rId795">
        <w:r>
          <w:rPr>
            <w:color w:val="0563C1"/>
            <w:u w:val="single"/>
          </w:rPr>
          <w:t>Source</w:t>
        </w:r>
      </w:hyperlink>
      <w:r>
        <w:t xml:space="preserve"> | </w:t>
      </w:r>
      <w:hyperlink r:id="rId796">
        <w:r>
          <w:rPr>
            <w:color w:val="0563C1"/>
            <w:u w:val="single"/>
          </w:rPr>
          <w:t>Full-text access</w:t>
        </w:r>
      </w:hyperlink>
    </w:p>
    <w:p>
      <w:pPr>
        <w:pStyle w:val="Normal"/>
        <w:widowControl/>
        <w:spacing w:after="120"/>
      </w:pPr>
      <w:r>
        <w:t xml:space="preserve"/>
      </w:r>
      <w:r>
        <w:t xml:space="preserve">[V16-49] DiMartini, A.; Dew, M.A.; Liu, Q.; et al. Social and Financial Outcomes of Living Liver Donation: A Prospective Investigation Within the Adult-to-Adult Living Donor Liver Transplantation Cohort Study 2 (A2ALL-2). American Journal of Transplantation. 2017; 17(4):1081-1096. </w:t>
      </w:r>
      <w:hyperlink r:id="rId797">
        <w:r>
          <w:rPr>
            <w:color w:val="0563C1"/>
            <w:u w:val="single"/>
          </w:rPr>
          <w:t>Source</w:t>
        </w:r>
      </w:hyperlink>
      <w:r>
        <w:t xml:space="preserve"> | </w:t>
      </w:r>
      <w:hyperlink r:id="rId798">
        <w:r>
          <w:rPr>
            <w:color w:val="0563C1"/>
            <w:u w:val="single"/>
          </w:rPr>
          <w:t>Full-text access</w:t>
        </w:r>
      </w:hyperlink>
    </w:p>
    <w:p>
      <w:pPr>
        <w:pStyle w:val="Normal"/>
        <w:widowControl/>
        <w:spacing w:after="120"/>
      </w:pPr>
      <w:r>
        <w:t xml:space="preserve"/>
      </w:r>
      <w:r>
        <w:t xml:space="preserve">[V16-50] Xiao, Jieling; Zeng, Rebecca Wenling; Lim, Wen Hui; et al. The incidence of adverse outcome in donors after living donor liver transplantation: A meta-analysis of 60,829 donors. Liver Transplantation. 2024; 30(5):493-504. </w:t>
      </w:r>
      <w:hyperlink r:id="rId799">
        <w:r>
          <w:rPr>
            <w:color w:val="0563C1"/>
            <w:u w:val="single"/>
          </w:rPr>
          <w:t>Source</w:t>
        </w:r>
      </w:hyperlink>
      <w:r>
        <w:t xml:space="preserve"> | </w:t>
      </w:r>
      <w:hyperlink r:id="rId800">
        <w:r>
          <w:rPr>
            <w:color w:val="0563C1"/>
            <w:u w:val="single"/>
          </w:rPr>
          <w:t>Full-text access</w:t>
        </w:r>
      </w:hyperlink>
    </w:p>
    <w:p>
      <w:pPr>
        <w:pStyle w:val="Normal"/>
        <w:widowControl/>
        <w:spacing w:after="120"/>
      </w:pPr>
      <w:r>
        <w:t xml:space="preserve"/>
      </w:r>
      <w:r>
        <w:t xml:space="preserve">[V16-51] Geissler, Edward K; Schnitzbauer, Andreas A; Zülke, Carl; et al. Sirolimus Use in Liver Transplant Recipients With Hepatocellular Carcinoma: A Randomized, Multicenter, Open-Label Phase 3 Trial. Transplantation. 2016; 100(1):116-25. </w:t>
      </w:r>
      <w:hyperlink r:id="rId801">
        <w:r>
          <w:rPr>
            <w:color w:val="0563C1"/>
            <w:u w:val="single"/>
          </w:rPr>
          <w:t>Source</w:t>
        </w:r>
      </w:hyperlink>
      <w:r>
        <w:t xml:space="preserve"> | </w:t>
      </w:r>
      <w:hyperlink r:id="rId802">
        <w:r>
          <w:rPr>
            <w:color w:val="0563C1"/>
            <w:u w:val="single"/>
          </w:rPr>
          <w:t>Full-text access</w:t>
        </w:r>
      </w:hyperlink>
    </w:p>
    <w:p>
      <w:pPr>
        <w:pStyle w:val="Normal"/>
        <w:widowControl/>
        <w:spacing w:after="120"/>
      </w:pPr>
      <w:r>
        <w:t xml:space="preserve"/>
      </w:r>
      <w:r>
        <w:t xml:space="preserve">[V16-52] De Martin, Eleonora; Antonini, Teresa Maria; Uguen, Thomas; et al. Immune checkpoint inhibitors after liver transplantation: The role of immunosuppressive management. American Journal of Transplantation. 2026; 26(8):1958-1971. </w:t>
      </w:r>
      <w:hyperlink r:id="rId803">
        <w:r>
          <w:rPr>
            <w:color w:val="0563C1"/>
            <w:u w:val="single"/>
          </w:rPr>
          <w:t>Source</w:t>
        </w:r>
      </w:hyperlink>
      <w:r>
        <w:t xml:space="preserve"> | </w:t>
      </w:r>
      <w:hyperlink r:id="rId804">
        <w:r>
          <w:rPr>
            <w:color w:val="0563C1"/>
            <w:u w:val="single"/>
          </w:rPr>
          <w:t>Full-text access</w:t>
        </w:r>
      </w:hyperlink>
    </w:p>
    <w:p>
      <w:pPr>
        <w:pStyle w:val="Normal"/>
        <w:widowControl/>
        <w:spacing w:after="120"/>
      </w:pPr>
      <w:r>
        <w:t xml:space="preserve"/>
      </w:r>
      <w:r>
        <w:t xml:space="preserve">[V16-53] Eldridge, Sandra M; Chan, Claire L; Campbell, Michael J; et al. CONSORT 2010 statement: extension to randomised pilot and feasibility trials. BMJ. 2016; :i5239. </w:t>
      </w:r>
      <w:hyperlink r:id="rId805">
        <w:r>
          <w:rPr>
            <w:color w:val="0563C1"/>
            <w:u w:val="single"/>
          </w:rPr>
          <w:t>Source</w:t>
        </w:r>
      </w:hyperlink>
      <w:r>
        <w:t xml:space="preserve"> | </w:t>
      </w:r>
      <w:hyperlink r:id="rId806">
        <w:r>
          <w:rPr>
            <w:color w:val="0563C1"/>
            <w:u w:val="single"/>
          </w:rPr>
          <w:t>Full-text access</w:t>
        </w:r>
      </w:hyperlink>
    </w:p>
    <w:p>
      <w:pPr>
        <w:pStyle w:val="Normal"/>
        <w:widowControl/>
        <w:spacing w:after="120"/>
      </w:pPr>
      <w:r>
        <w:t xml:space="preserve"/>
      </w:r>
      <w:r>
        <w:t xml:space="preserve">[V16-54] Maspero, Marianna; Sposito, Carlo; Bongini, Marco A; et al. Liver Transplantation for Intrahepatic Cholangiocarcinoma After Chemotherapy and Radioembolization: An Intention-To-Treat Study. Transplant international : official journal of the European Society for Organ Transplantation. 2024; 37:13641. </w:t>
      </w:r>
      <w:hyperlink r:id="rId807">
        <w:r>
          <w:rPr>
            <w:color w:val="0563C1"/>
            <w:u w:val="single"/>
          </w:rPr>
          <w:t>Source</w:t>
        </w:r>
      </w:hyperlink>
      <w:r>
        <w:t xml:space="preserve"> | </w:t>
      </w:r>
      <w:hyperlink r:id="rId808">
        <w:r>
          <w:rPr>
            <w:color w:val="0563C1"/>
            <w:u w:val="single"/>
          </w:rPr>
          <w:t>Full-text access</w:t>
        </w:r>
      </w:hyperlink>
    </w:p>
    <w:p>
      <w:pPr>
        <w:pStyle w:val="Normal"/>
        <w:widowControl/>
        <w:spacing w:after="120"/>
      </w:pPr>
      <w:r>
        <w:t xml:space="preserve"/>
      </w:r>
      <w:r>
        <w:t xml:space="preserve">[V16-55] Yaqub, Sheraz; Busund, Sondre; Smedman, Tor Magnus; et al. Liver transplantation for locally advanced non-resectable intrahepatic cholangiocarcinoma treated with neoadjuvant therapy: early results from the TESLA trial. British Journal of Surgery. 2025. </w:t>
      </w:r>
      <w:hyperlink r:id="rId809">
        <w:r>
          <w:rPr>
            <w:color w:val="0563C1"/>
            <w:u w:val="single"/>
          </w:rPr>
          <w:t>Source</w:t>
        </w:r>
      </w:hyperlink>
      <w:r>
        <w:t xml:space="preserve"> | </w:t>
      </w:r>
      <w:hyperlink r:id="rId810">
        <w:r>
          <w:rPr>
            <w:color w:val="0563C1"/>
            <w:u w:val="single"/>
          </w:rPr>
          <w:t>Full-text access</w:t>
        </w:r>
      </w:hyperlink>
    </w:p>
    <w:p>
      <w:pPr>
        <w:pStyle w:val="Normal"/>
        <w:widowControl/>
        <w:spacing w:after="120"/>
      </w:pPr>
      <w:r>
        <w:t xml:space="preserve"/>
      </w:r>
      <w:r>
        <w:t xml:space="preserve">[V16-56] Liu, Hao; Neckermann, Isabel; Mial‐Anthony, Jason; et al. Optimizing Liver Transplant Allocation for Hepatocellular Carcinoma: Development and Validation of a Survival Benefit‐Based Model. Clinical Transplantation. 2026; 40(3):e70488. </w:t>
      </w:r>
      <w:hyperlink r:id="rId811">
        <w:r>
          <w:rPr>
            <w:color w:val="0563C1"/>
            <w:u w:val="single"/>
          </w:rPr>
          <w:t>Source</w:t>
        </w:r>
      </w:hyperlink>
      <w:r>
        <w:t xml:space="preserve"> | </w:t>
      </w:r>
      <w:hyperlink r:id="rId812">
        <w:r>
          <w:rPr>
            <w:color w:val="0563C1"/>
            <w:u w:val="single"/>
          </w:rPr>
          <w:t>Full-text access</w:t>
        </w:r>
      </w:hyperlink>
    </w:p>
    <w:p>
      <w:pPr>
        <w:pStyle w:val="Normal"/>
        <w:widowControl/>
        <w:spacing w:after="120"/>
      </w:pPr>
      <w:r>
        <w:t xml:space="preserve"/>
      </w:r>
      <w:r>
        <w:t xml:space="preserve">[V16-57] Liu, Hao; Zhang, Wei; Di, Mengyang; et al. Survival benefit associated with liver transplantation for hepatocellular carcinoma based on tumor burden scores at listing. Hepatology Communications. 2025; 9(1):e0619. </w:t>
      </w:r>
      <w:hyperlink r:id="rId813">
        <w:r>
          <w:rPr>
            <w:color w:val="0563C1"/>
            <w:u w:val="single"/>
          </w:rPr>
          <w:t>Source</w:t>
        </w:r>
      </w:hyperlink>
      <w:r>
        <w:t xml:space="preserve"> | </w:t>
      </w:r>
      <w:hyperlink r:id="rId814">
        <w:r>
          <w:rPr>
            <w:color w:val="0563C1"/>
            <w:u w:val="single"/>
          </w:rPr>
          <w:t>Full-text access</w:t>
        </w:r>
      </w:hyperlink>
    </w:p>
    <w:p>
      <w:pPr>
        <w:pStyle w:val="Normal"/>
        <w:widowControl/>
        <w:spacing w:after="120"/>
      </w:pPr>
      <w:r>
        <w:t xml:space="preserve"/>
      </w:r>
      <w:r>
        <w:t xml:space="preserve">[V16-58] Lai, Quirino; Vitale, Alessandro; Iesari, Samuele; et al. Intention-to-Treat Survival Benefit of Liver Transplantation in Patients With Hepatocellular Cancer. Hepatology. 2017; 66(6):1910-1919. </w:t>
      </w:r>
      <w:hyperlink r:id="rId815">
        <w:r>
          <w:rPr>
            <w:color w:val="0563C1"/>
            <w:u w:val="single"/>
          </w:rPr>
          <w:t>Source</w:t>
        </w:r>
      </w:hyperlink>
      <w:r>
        <w:t xml:space="preserve"> | </w:t>
      </w:r>
      <w:hyperlink r:id="rId816">
        <w:r>
          <w:rPr>
            <w:color w:val="0563C1"/>
            <w:u w:val="single"/>
          </w:rPr>
          <w:t>Full-text access</w:t>
        </w:r>
      </w:hyperlink>
    </w:p>
    <w:p>
      <w:pPr>
        <w:pStyle w:val="Normal"/>
        <w:widowControl/>
        <w:spacing w:after="120"/>
      </w:pPr>
      <w:r>
        <w:t xml:space="preserve"/>
      </w:r>
      <w:r>
        <w:t xml:space="preserve">[V16-59] Goudsmit, Ben F.J.; Ilaria Prosepe, ; Tushuizen, Maarten E.; et al. Survival benefit from liver transplantation for patients with and without hepatocellular carcinoma. JHEP Reports. 2023; 5(12):100907. </w:t>
      </w:r>
      <w:hyperlink r:id="rId817">
        <w:r>
          <w:rPr>
            <w:color w:val="0563C1"/>
            <w:u w:val="single"/>
          </w:rPr>
          <w:t>Source</w:t>
        </w:r>
      </w:hyperlink>
      <w:r>
        <w:t xml:space="preserve"> | </w:t>
      </w:r>
      <w:hyperlink r:id="rId818">
        <w:r>
          <w:rPr>
            <w:color w:val="0563C1"/>
            <w:u w:val="single"/>
          </w:rPr>
          <w:t>Full-text access</w:t>
        </w:r>
      </w:hyperlink>
    </w:p>
    <w:p>
      <w:pPr>
        <w:pStyle w:val="Normal"/>
        <w:widowControl/>
        <w:spacing w:after="120"/>
      </w:pPr>
      <w:r>
        <w:t xml:space="preserve"/>
      </w:r>
      <w:r>
        <w:t xml:space="preserve">[V16-60] Prosepe, Ilaria; van Geloven, Nan; de Ferrante, Hans; et al. Estimating conditional survival benefit for the allocation of scarce resources. Statistical Methods in Medical Research. 2026; 35(4):812-826. </w:t>
      </w:r>
      <w:hyperlink r:id="rId819">
        <w:r>
          <w:rPr>
            <w:color w:val="0563C1"/>
            <w:u w:val="single"/>
          </w:rPr>
          <w:t>Source</w:t>
        </w:r>
      </w:hyperlink>
      <w:r>
        <w:t xml:space="preserve"> | </w:t>
      </w:r>
      <w:hyperlink r:id="rId820">
        <w:r>
          <w:rPr>
            <w:color w:val="0563C1"/>
            <w:u w:val="single"/>
          </w:rPr>
          <w:t>Full-text access</w:t>
        </w:r>
      </w:hyperlink>
    </w:p>
    <w:p>
      <w:pPr>
        <w:pStyle w:val="Normal"/>
        <w:widowControl/>
        <w:spacing w:after="120"/>
      </w:pPr>
      <w:r>
        <w:t xml:space="preserve"/>
      </w:r>
      <w:r>
        <w:t xml:space="preserve">[V16-61] Pirozzi, Angelo; Hoyek, Celine; Abidoye, Oluseyi; et al. Liver transplantation in a patient with metastatic hepatocellular carcinoma after downstaging with single-agent immunotherapy: the first case report. Journal of gastrointestinal oncology. 2025; 16(3):1321-1330. </w:t>
      </w:r>
      <w:hyperlink r:id="rId821">
        <w:r>
          <w:rPr>
            <w:color w:val="0563C1"/>
            <w:u w:val="single"/>
          </w:rPr>
          <w:t>Source</w:t>
        </w:r>
      </w:hyperlink>
      <w:r>
        <w:t xml:space="preserve"> | Local PDF not available in this update</w:t>
      </w:r>
    </w:p>
    <w:p>
      <w:pPr>
        <w:pStyle w:val="Normal"/>
        <w:widowControl/>
        <w:spacing w:after="120"/>
      </w:pPr>
      <w:r>
        <w:t xml:space="preserve"/>
      </w:r>
      <w:r>
        <w:t xml:space="preserve">[V16-62] Shao, Yongjie; Yuan, Junhui; Liu, Yanwei; et al. Imaging-defined complete response to immune checkpoint inhibitors predicts durable survival in advanced hepatocellular carcinoma. Frontiers in oncology. 2026; 15:1687449. </w:t>
      </w:r>
      <w:hyperlink r:id="rId822">
        <w:r>
          <w:rPr>
            <w:color w:val="0563C1"/>
            <w:u w:val="single"/>
          </w:rPr>
          <w:t>Source</w:t>
        </w:r>
      </w:hyperlink>
      <w:r>
        <w:t xml:space="preserve"> | Local PDF not available in this update</w:t>
      </w:r>
    </w:p>
    <w:p>
      <w:pPr>
        <w:pStyle w:val="Normal"/>
        <w:widowControl/>
        <w:spacing w:after="120"/>
      </w:pPr>
      <w:r>
        <w:t xml:space="preserve"/>
      </w:r>
      <w:r>
        <w:t xml:space="preserve">[V16-63] Sotiropoulos, Georgios C; Malagó, Massimo; Molmenti, Ernesto P; et al. Hilar lymph nodes sampling at the time of liver transplantation for hepatocellular carcinoma: to do or not to do? Meta-analysis to determine the impact of hilar lymph nodes metastases on tumor recurrence and survival in patients with hepatocellular carcinoma undergoing liver transplantation. Transplant international : official journal of the European Society for Organ Transplantation. 2007; 20(2):141-6. </w:t>
      </w:r>
      <w:hyperlink r:id="rId823">
        <w:r>
          <w:rPr>
            <w:color w:val="0563C1"/>
            <w:u w:val="single"/>
          </w:rPr>
          <w:t>Source</w:t>
        </w:r>
      </w:hyperlink>
      <w:r>
        <w:t xml:space="preserve"> | Local PDF not available in this update</w:t>
      </w:r>
    </w:p>
    <w:p>
      <w:pPr>
        <w:pStyle w:val="Normal"/>
        <w:widowControl/>
        <w:spacing w:after="120"/>
      </w:pPr>
      <w:r>
        <w:t xml:space="preserve"/>
      </w:r>
      <w:r>
        <w:t xml:space="preserve">[V16-64] Mergental, Hynek; Adam, Rene; Ericzon, Bo-Goran; et al. Liver transplantation for unresectable hepatocellular carcinoma in normal livers. Journal of hepatology. 2012; 57(2):297-305. </w:t>
      </w:r>
      <w:hyperlink r:id="rId824">
        <w:r>
          <w:rPr>
            <w:color w:val="0563C1"/>
            <w:u w:val="single"/>
          </w:rPr>
          <w:t>Source</w:t>
        </w:r>
      </w:hyperlink>
      <w:r>
        <w:t xml:space="preserve"> | Local PDF not available in this update</w:t>
      </w:r>
    </w:p>
    <w:p>
      <w:pPr>
        <w:pStyle w:val="Normal"/>
        <w:widowControl/>
        <w:spacing w:after="120"/>
      </w:pPr>
      <w:r>
        <w:t xml:space="preserve"/>
      </w:r>
      <w:r>
        <w:t xml:space="preserve">[V16-65] Choi, Gwang Hyeon; Kim, Hyun-Seok; Luu, Michael; et al. Curative Treatment after Immunotherapy Leads to Excellent Outcomes in Patients with Hepatocellular Carcinoma. Liver cancer. 2025; 15(2):193-204. </w:t>
      </w:r>
      <w:hyperlink r:id="rId825">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HCC-B5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6 cited study lines rest on full-text reading (complete main text; relevant complete sections of long guidelines) and 2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6">
    <w:abstractNumId w:val="6"/>
  </w:num>
  <w:abstractNum w:abstractNumId="7">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7">
    <w:abstractNumId w:val="7"/>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FB"/>
    <w:rPr>
      <w:sz w:val="20"/>
      <w:szCs w:val="20"/>
    </w:rPr>
  </w:style>
  <w:style w:type="paragraph" w:styleId="Heading1">
    <w:name w:val="heading 1"/>
    <w:basedOn w:val="Normal"/>
    <w:next w:val="Normal"/>
    <w:link w:val="Heading1Char"/>
    <w:uiPriority w:val="9"/>
    <w:qFormat/>
    <w:rsid w:val="008C56FB"/>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fill="FFFFFF"/>
      <w:spacing w:after="0"/>
      <w:outlineLvl w:val="0"/>
    </w:pPr>
    <w:rPr>
      <w:b/>
      <w:bCs/>
      <w:caps/>
      <w:color w:val="A8470A"/>
      <w:spacing w:val="15"/>
      <w:sz w:val="22"/>
      <w:szCs w:val="22"/>
    </w:rPr>
  </w:style>
  <w:style w:type="paragraph" w:styleId="Heading2">
    <w:name w:val="heading 2"/>
    <w:basedOn w:val="Normal"/>
    <w:next w:val="Normal"/>
    <w:link w:val="Heading2Char"/>
    <w:uiPriority w:val="9"/>
    <w:unhideWhenUsed/>
    <w:qFormat/>
    <w:rsid w:val="008C56FB"/>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fill="FFFFFF"/>
      <w:spacing w:after="0"/>
      <w:outlineLvl w:val="1"/>
    </w:pPr>
    <w:rPr>
      <w:caps/>
      <w:spacing w:val="15"/>
      <w:sz w:val="22"/>
      <w:szCs w:val="22"/>
      <w:color w:val="A8470A"/>
    </w:rPr>
  </w:style>
  <w:style w:type="paragraph" w:styleId="Heading3">
    <w:name w:val="heading 3"/>
    <w:basedOn w:val="Normal"/>
    <w:next w:val="Normal"/>
    <w:link w:val="Heading3Char"/>
    <w:uiPriority w:val="9"/>
    <w:unhideWhenUsed/>
    <w:qFormat/>
    <w:rsid w:val="008C56FB"/>
    <w:pPr>
      <w:pBdr>
        <w:top w:val="single" w:sz="6" w:space="2" w:color="E84C22" w:themeColor="accent1"/>
        <w:left w:val="single" w:sz="6" w:space="2" w:color="E84C22" w:themeColor="accent1"/>
      </w:pBdr>
      <w:spacing w:before="300" w:after="0"/>
      <w:outlineLvl w:val="2"/>
    </w:pPr>
    <w:rPr>
      <w:caps/>
      <w:color w:val="A8470A"/>
      <w:spacing w:val="15"/>
      <w:sz w:val="22"/>
      <w:szCs w:val="22"/>
    </w:rPr>
  </w:style>
  <w:style w:type="paragraph" w:styleId="Heading4">
    <w:name w:val="heading 4"/>
    <w:basedOn w:val="Normal"/>
    <w:next w:val="Normal"/>
    <w:link w:val="Heading4Char"/>
    <w:uiPriority w:val="9"/>
    <w:semiHidden/>
    <w:unhideWhenUsed/>
    <w:qFormat/>
    <w:rsid w:val="008C56FB"/>
    <w:pPr>
      <w:pBdr>
        <w:top w:val="dotted" w:sz="6" w:space="2" w:color="E84C22" w:themeColor="accent1"/>
        <w:left w:val="dotted" w:sz="6" w:space="2" w:color="E84C22" w:themeColor="accent1"/>
      </w:pBdr>
      <w:spacing w:before="300" w:after="0"/>
      <w:outlineLvl w:val="3"/>
    </w:pPr>
    <w:rPr>
      <w:caps/>
      <w:color w:val="A8470A"/>
      <w:spacing w:val="10"/>
      <w:sz w:val="22"/>
      <w:szCs w:val="22"/>
    </w:rPr>
  </w:style>
  <w:style w:type="paragraph" w:styleId="Heading5">
    <w:name w:val="heading 5"/>
    <w:basedOn w:val="Normal"/>
    <w:next w:val="Normal"/>
    <w:link w:val="Heading5Char"/>
    <w:uiPriority w:val="9"/>
    <w:semiHidden/>
    <w:unhideWhenUsed/>
    <w:qFormat/>
    <w:rsid w:val="008C56FB"/>
    <w:pPr>
      <w:pBdr>
        <w:bottom w:val="single" w:sz="6" w:space="1" w:color="E84C22" w:themeColor="accent1"/>
      </w:pBdr>
      <w:spacing w:before="300" w:after="0"/>
      <w:outlineLvl w:val="4"/>
    </w:pPr>
    <w:rPr>
      <w:caps/>
      <w:color w:val="A8470A"/>
      <w:spacing w:val="10"/>
      <w:sz w:val="22"/>
      <w:szCs w:val="22"/>
    </w:rPr>
  </w:style>
  <w:style w:type="paragraph" w:styleId="Heading6">
    <w:name w:val="heading 6"/>
    <w:basedOn w:val="Normal"/>
    <w:next w:val="Normal"/>
    <w:link w:val="Heading6Char"/>
    <w:uiPriority w:val="9"/>
    <w:semiHidden/>
    <w:unhideWhenUsed/>
    <w:qFormat/>
    <w:rsid w:val="008C56FB"/>
    <w:pPr>
      <w:pBdr>
        <w:bottom w:val="dotted" w:sz="6" w:space="1" w:color="E84C22" w:themeColor="accent1"/>
      </w:pBdr>
      <w:spacing w:before="300" w:after="0"/>
      <w:outlineLvl w:val="5"/>
    </w:pPr>
    <w:rPr>
      <w:caps/>
      <w:color w:val="A8470A"/>
      <w:spacing w:val="10"/>
      <w:sz w:val="22"/>
      <w:szCs w:val="22"/>
    </w:rPr>
  </w:style>
  <w:style w:type="paragraph" w:styleId="Heading7">
    <w:name w:val="heading 7"/>
    <w:basedOn w:val="Normal"/>
    <w:next w:val="Normal"/>
    <w:link w:val="Heading7Char"/>
    <w:uiPriority w:val="9"/>
    <w:semiHidden/>
    <w:unhideWhenUsed/>
    <w:qFormat/>
    <w:rsid w:val="008C56FB"/>
    <w:pPr>
      <w:spacing w:before="300" w:after="0"/>
      <w:outlineLvl w:val="6"/>
    </w:pPr>
    <w:rPr>
      <w:caps/>
      <w:color w:val="A8470A"/>
      <w:spacing w:val="10"/>
      <w:sz w:val="22"/>
      <w:szCs w:val="22"/>
    </w:rPr>
  </w:style>
  <w:style w:type="paragraph" w:styleId="Heading8">
    <w:name w:val="heading 8"/>
    <w:basedOn w:val="Normal"/>
    <w:next w:val="Normal"/>
    <w:link w:val="Heading8Char"/>
    <w:uiPriority w:val="9"/>
    <w:semiHidden/>
    <w:unhideWhenUsed/>
    <w:qFormat/>
    <w:rsid w:val="008C56FB"/>
    <w:pPr>
      <w:spacing w:before="300" w:after="0"/>
      <w:outlineLvl w:val="7"/>
    </w:pPr>
    <w:rPr>
      <w:caps/>
      <w:spacing w:val="10"/>
      <w:sz w:val="18"/>
      <w:szCs w:val="18"/>
      <w:color w:val="A8470A"/>
    </w:rPr>
  </w:style>
  <w:style w:type="paragraph" w:styleId="Heading9">
    <w:name w:val="heading 9"/>
    <w:basedOn w:val="Normal"/>
    <w:next w:val="Normal"/>
    <w:link w:val="Heading9Char"/>
    <w:uiPriority w:val="9"/>
    <w:semiHidden/>
    <w:unhideWhenUsed/>
    <w:qFormat/>
    <w:rsid w:val="008C56FB"/>
    <w:pPr>
      <w:spacing w:before="300" w:after="0"/>
      <w:outlineLvl w:val="8"/>
    </w:pPr>
    <w:rPr>
      <w:i/>
      <w:caps/>
      <w:spacing w:val="10"/>
      <w:sz w:val="18"/>
      <w:szCs w:val="18"/>
      <w:color w:val="A847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6FB"/>
    <w:pPr>
      <w:spacing w:before="720"/>
    </w:pPr>
    <w:rPr>
      <w:caps/>
      <w:color w:val="A8470A"/>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8C56FB"/>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pPr/>
    <w:name w:val="Heading 1 Char"/>
    <w:basedOn w:val="DefaultParagraphFont"/>
    <w:link w:val="Heading1"/>
    <w:uiPriority w:val="9"/>
    <w:rsid w:val="008C56FB"/>
    <w:rPr>
      <w:b/>
      <w:bCs/>
      <w:caps/>
      <w:color w:val="A8470A"/>
      <w:spacing w:val="15"/>
      <w:shd w:val="clear" w:color="auto" w:fill="E84C22" w:themeFill="accent1"/>
    </w:rPr>
  </w:style>
  <w:style w:type="character" w:customStyle="1" w:styleId="Heading2Char">
    <w:pPr/>
    <w:name w:val="Heading 2 Char"/>
    <w:basedOn w:val="DefaultParagraphFont"/>
    <w:link w:val="Heading2"/>
    <w:uiPriority w:val="9"/>
    <w:rsid w:val="008C56FB"/>
    <w:rPr>
      <w:caps/>
      <w:spacing w:val="15"/>
      <w:shd w:val="clear" w:color="auto" w:fill="FADAD2" w:themeFill="accent1" w:themeFillTint="33"/>
      <w:color w:val="A8470A"/>
    </w:rPr>
  </w:style>
  <w:style w:type="character" w:customStyle="1" w:styleId="Heading3Char">
    <w:pPr/>
    <w:name w:val="Heading 3 Char"/>
    <w:basedOn w:val="DefaultParagraphFont"/>
    <w:link w:val="Heading3"/>
    <w:uiPriority w:val="9"/>
    <w:rsid w:val="008C56FB"/>
    <w:rPr>
      <w:caps/>
      <w:color w:val="A8470A"/>
      <w:spacing w:val="15"/>
    </w:rPr>
  </w:style>
  <w:style w:type="character" w:customStyle="1" w:styleId="Heading4Char">
    <w:pPr/>
    <w:name w:val="Heading 4 Char"/>
    <w:basedOn w:val="DefaultParagraphFont"/>
    <w:link w:val="Heading4"/>
    <w:uiPriority w:val="9"/>
    <w:semiHidden/>
    <w:rsid w:val="008C56FB"/>
    <w:rPr>
      <w:caps/>
      <w:color w:val="A8470A"/>
      <w:spacing w:val="10"/>
    </w:rPr>
  </w:style>
  <w:style w:type="character" w:customStyle="1" w:styleId="Heading5Char">
    <w:pPr/>
    <w:name w:val="Heading 5 Char"/>
    <w:basedOn w:val="DefaultParagraphFont"/>
    <w:link w:val="Heading5"/>
    <w:uiPriority w:val="9"/>
    <w:semiHidden/>
    <w:rsid w:val="008C56FB"/>
    <w:rPr>
      <w:caps/>
      <w:color w:val="A8470A"/>
      <w:spacing w:val="10"/>
    </w:rPr>
  </w:style>
  <w:style w:type="character" w:customStyle="1" w:styleId="Heading6Char">
    <w:pPr/>
    <w:name w:val="Heading 6 Char"/>
    <w:basedOn w:val="DefaultParagraphFont"/>
    <w:link w:val="Heading6"/>
    <w:uiPriority w:val="9"/>
    <w:semiHidden/>
    <w:rsid w:val="008C56FB"/>
    <w:rPr>
      <w:caps/>
      <w:color w:val="A8470A"/>
      <w:spacing w:val="10"/>
    </w:rPr>
  </w:style>
  <w:style w:type="character" w:customStyle="1" w:styleId="Heading7Char">
    <w:pPr/>
    <w:name w:val="Heading 7 Char"/>
    <w:basedOn w:val="DefaultParagraphFont"/>
    <w:link w:val="Heading7"/>
    <w:uiPriority w:val="9"/>
    <w:semiHidden/>
    <w:rsid w:val="008C56FB"/>
    <w:rPr>
      <w:caps/>
      <w:color w:val="A8470A"/>
      <w:spacing w:val="10"/>
    </w:rPr>
  </w:style>
  <w:style w:type="character" w:customStyle="1" w:styleId="Heading8Char">
    <w:pPr/>
    <w:name w:val="Heading 8 Char"/>
    <w:basedOn w:val="DefaultParagraphFont"/>
    <w:link w:val="Heading8"/>
    <w:uiPriority w:val="9"/>
    <w:semiHidden/>
    <w:rsid w:val="008C56FB"/>
    <w:rPr>
      <w:caps/>
      <w:spacing w:val="10"/>
      <w:sz w:val="18"/>
      <w:szCs w:val="18"/>
      <w:color w:val="A8470A"/>
    </w:rPr>
  </w:style>
  <w:style w:type="character" w:customStyle="1" w:styleId="Heading9Char">
    <w:pPr/>
    <w:name w:val="Heading 9 Char"/>
    <w:basedOn w:val="DefaultParagraphFont"/>
    <w:link w:val="Heading9"/>
    <w:uiPriority w:val="9"/>
    <w:semiHidden/>
    <w:rsid w:val="008C56FB"/>
    <w:rPr>
      <w:i/>
      <w:caps/>
      <w:spacing w:val="10"/>
      <w:sz w:val="18"/>
      <w:szCs w:val="18"/>
      <w:color w:val="A8470A"/>
    </w:rPr>
  </w:style>
  <w:style w:type="paragraph" w:styleId="Caption">
    <w:name w:val="caption"/>
    <w:basedOn w:val="Normal"/>
    <w:next w:val="Normal"/>
    <w:uiPriority w:val="35"/>
    <w:semiHidden/>
    <w:unhideWhenUsed/>
    <w:qFormat/>
    <w:rsid w:val="008C56FB"/>
    <w:rPr>
      <w:b/>
      <w:bCs/>
      <w:color w:val="B43412" w:themeColor="accent1" w:themeShade="BF"/>
      <w:sz w:val="16"/>
      <w:szCs w:val="16"/>
    </w:rPr>
  </w:style>
  <w:style w:type="character" w:customStyle="1" w:styleId="TitleChar">
    <w:pPr/>
    <w:name w:val="Title Char"/>
    <w:basedOn w:val="DefaultParagraphFont"/>
    <w:link w:val="Title"/>
    <w:uiPriority w:val="10"/>
    <w:rsid w:val="008C56FB"/>
    <w:rPr>
      <w:caps/>
      <w:color w:val="A8470A"/>
      <w:spacing w:val="10"/>
      <w:kern w:val="28"/>
      <w:sz w:val="52"/>
      <w:szCs w:val="52"/>
    </w:rPr>
  </w:style>
  <w:style w:type="paragraph" w:styleId="Subtitle">
    <w:name w:val="Subtitle"/>
    <w:basedOn w:val="Normal"/>
    <w:next w:val="Normal"/>
    <w:link w:val="SubtitleChar"/>
    <w:uiPriority w:val="11"/>
    <w:qFormat/>
    <w:rsid w:val="008C56FB"/>
    <w:pPr>
      <w:spacing w:after="1000" w:line="240" w:lineRule="auto"/>
    </w:pPr>
    <w:rPr>
      <w:caps/>
      <w:color w:val="A8470A"/>
      <w:spacing w:val="10"/>
      <w:sz w:val="24"/>
      <w:szCs w:val="24"/>
    </w:rPr>
  </w:style>
  <w:style w:type="character" w:customStyle="1" w:styleId="SubtitleChar">
    <w:pPr/>
    <w:name w:val="Subtitle Char"/>
    <w:basedOn w:val="DefaultParagraphFont"/>
    <w:link w:val="Subtitle"/>
    <w:uiPriority w:val="11"/>
    <w:rsid w:val="008C56FB"/>
    <w:rPr>
      <w:caps/>
      <w:color w:val="A8470A"/>
      <w:spacing w:val="10"/>
      <w:sz w:val="24"/>
      <w:szCs w:val="24"/>
    </w:rPr>
  </w:style>
  <w:style w:type="character" w:styleId="Strong">
    <w:name w:val="Strong"/>
    <w:uiPriority w:val="22"/>
    <w:qFormat/>
    <w:rsid w:val="008C56FB"/>
    <w:rPr>
      <w:b/>
      <w:bCs/>
    </w:rPr>
  </w:style>
  <w:style w:type="character" w:styleId="Emphasis">
    <w:name w:val="Emphasis"/>
    <w:uiPriority w:val="20"/>
    <w:qFormat/>
    <w:rsid w:val="008C56FB"/>
    <w:rPr>
      <w:caps/>
      <w:color w:val="77230C" w:themeColor="accent1" w:themeShade="7F"/>
      <w:spacing w:val="5"/>
    </w:rPr>
  </w:style>
  <w:style w:type="paragraph" w:styleId="NoSpacing">
    <w:name w:val="No Spacing"/>
    <w:basedOn w:val="Normal"/>
    <w:link w:val="NoSpacingChar"/>
    <w:uiPriority w:val="1"/>
    <w:qFormat/>
    <w:rsid w:val="008C56FB"/>
    <w:pPr>
      <w:spacing w:before="0" w:after="0" w:line="240" w:lineRule="auto"/>
    </w:pPr>
  </w:style>
  <w:style w:type="character" w:customStyle="1" w:styleId="NoSpacingChar">
    <w:name w:val="No Spacing Char"/>
    <w:basedOn w:val="DefaultParagraphFont"/>
    <w:link w:val="NoSpacing"/>
    <w:uiPriority w:val="1"/>
    <w:rsid w:val="008C56FB"/>
    <w:rPr>
      <w:sz w:val="20"/>
      <w:szCs w:val="20"/>
    </w:rPr>
  </w:style>
  <w:style w:type="paragraph" w:styleId="Quote">
    <w:name w:val="Quote"/>
    <w:basedOn w:val="Normal"/>
    <w:next w:val="Normal"/>
    <w:link w:val="QuoteChar"/>
    <w:uiPriority w:val="29"/>
    <w:qFormat/>
    <w:rsid w:val="008C56FB"/>
    <w:rPr>
      <w:i/>
      <w:iCs/>
    </w:rPr>
  </w:style>
  <w:style w:type="character" w:customStyle="1" w:styleId="QuoteChar">
    <w:name w:val="Quote Char"/>
    <w:basedOn w:val="DefaultParagraphFont"/>
    <w:link w:val="Quote"/>
    <w:uiPriority w:val="29"/>
    <w:rsid w:val="008C56FB"/>
    <w:rPr>
      <w:i/>
      <w:iCs/>
      <w:sz w:val="20"/>
      <w:szCs w:val="20"/>
    </w:rPr>
  </w:style>
  <w:style w:type="paragraph" w:styleId="IntenseQuote">
    <w:name w:val="Intense Quote"/>
    <w:basedOn w:val="Normal"/>
    <w:next w:val="Normal"/>
    <w:link w:val="IntenseQuoteChar"/>
    <w:uiPriority w:val="30"/>
    <w:qFormat/>
    <w:rsid w:val="008C56FB"/>
    <w:pPr>
      <w:pBdr>
        <w:top w:val="single" w:sz="4" w:space="10" w:color="E84C22" w:themeColor="accent1"/>
        <w:left w:val="single" w:sz="4" w:space="10" w:color="E84C22" w:themeColor="accent1"/>
      </w:pBdr>
      <w:spacing w:after="0"/>
      <w:ind w:left="1296" w:right="1152"/>
      <w:jc w:val="both"/>
    </w:pPr>
    <w:rPr>
      <w:i/>
      <w:iCs/>
      <w:color w:val="E84C22" w:themeColor="accent1"/>
    </w:rPr>
  </w:style>
  <w:style w:type="character" w:customStyle="1" w:styleId="IntenseQuoteChar">
    <w:name w:val="Intense Quote Char"/>
    <w:basedOn w:val="DefaultParagraphFont"/>
    <w:link w:val="IntenseQuote"/>
    <w:uiPriority w:val="30"/>
    <w:rsid w:val="008C56FB"/>
    <w:rPr>
      <w:i/>
      <w:iCs/>
      <w:color w:val="E84C22" w:themeColor="accent1"/>
      <w:sz w:val="20"/>
      <w:szCs w:val="20"/>
    </w:rPr>
  </w:style>
  <w:style w:type="character" w:styleId="SubtleEmphasis">
    <w:name w:val="Subtle Emphasis"/>
    <w:uiPriority w:val="19"/>
    <w:qFormat/>
    <w:rsid w:val="008C56FB"/>
    <w:rPr>
      <w:i/>
      <w:iCs/>
      <w:color w:val="77230C" w:themeColor="accent1" w:themeShade="7F"/>
    </w:rPr>
  </w:style>
  <w:style w:type="character" w:styleId="IntenseEmphasis">
    <w:name w:val="Intense Emphasis"/>
    <w:uiPriority w:val="21"/>
    <w:qFormat/>
    <w:rsid w:val="008C56FB"/>
    <w:rPr>
      <w:b/>
      <w:bCs/>
      <w:caps/>
      <w:color w:val="77230C" w:themeColor="accent1" w:themeShade="7F"/>
      <w:spacing w:val="10"/>
    </w:rPr>
  </w:style>
  <w:style w:type="character" w:styleId="SubtleReference">
    <w:name w:val="Subtle Reference"/>
    <w:uiPriority w:val="31"/>
    <w:qFormat/>
    <w:rsid w:val="008C56FB"/>
    <w:rPr>
      <w:b/>
      <w:bCs/>
      <w:color w:val="E84C22" w:themeColor="accent1"/>
    </w:rPr>
  </w:style>
  <w:style w:type="character" w:styleId="IntenseReference">
    <w:name w:val="Intense Reference"/>
    <w:uiPriority w:val="32"/>
    <w:qFormat/>
    <w:rsid w:val="008C56FB"/>
    <w:rPr>
      <w:b/>
      <w:bCs/>
      <w:i/>
      <w:iCs/>
      <w:caps/>
      <w:color w:val="E84C22" w:themeColor="accent1"/>
    </w:rPr>
  </w:style>
  <w:style w:type="character" w:styleId="BookTitle">
    <w:name w:val="Book Title"/>
    <w:uiPriority w:val="33"/>
    <w:qFormat/>
    <w:rsid w:val="008C56FB"/>
    <w:rPr>
      <w:b/>
      <w:bCs/>
      <w:i/>
      <w:iCs/>
      <w:spacing w:val="9"/>
    </w:rPr>
  </w:style>
  <w:style w:type="paragraph" w:styleId="TOCHeading">
    <w:name w:val="TOC Heading"/>
    <w:basedOn w:val="Heading1"/>
    <w:next w:val="Normal"/>
    <w:uiPriority w:val="39"/>
    <w:semiHidden/>
    <w:unhideWhenUsed/>
    <w:qFormat/>
    <w:rsid w:val="008C56FB"/>
    <w:pPr>
      <w:outlineLvl w:val="9"/>
    </w:pPr>
  </w:style>
  <w:style w:type="paragraph" w:styleId="Header">
    <w:rPr>
      <w:color w:val="A8470A"/>
    </w:rPr>
    <w:name w:val="header"/>
    <w:basedOn w:val="Normal"/>
    <w:link w:val="HeaderChar"/>
    <w:uiPriority w:val="99"/>
    <w:unhideWhenUsed/>
    <w:rsid w:val="008C56FB"/>
    <w:pPr>
      <w:tabs>
        <w:tab w:val="center" w:pos="4680"/>
        <w:tab w:val="right" w:pos="9360"/>
      </w:tabs>
      <w:spacing w:before="0" w:after="0" w:line="240" w:lineRule="auto"/>
    </w:pPr>
  </w:style>
  <w:style w:type="character" w:customStyle="1" w:styleId="HeaderChar">
    <w:pPr/>
    <w:name w:val="Header Char"/>
    <w:basedOn w:val="DefaultParagraphFont"/>
    <w:link w:val="Header"/>
    <w:uiPriority w:val="99"/>
    <w:rsid w:val="008C56FB"/>
    <w:rPr>
      <w:sz w:val="20"/>
      <w:szCs w:val="20"/>
      <w:color w:val="A8470A"/>
    </w:rPr>
  </w:style>
  <w:style w:type="paragraph" w:styleId="Footer">
    <w:name w:val="footer"/>
    <w:basedOn w:val="Normal"/>
    <w:link w:val="FooterChar"/>
    <w:uiPriority w:val="99"/>
    <w:unhideWhenUsed/>
    <w:rsid w:val="008C5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C56FB"/>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bgbdklqbwdpu6srlaphp" Type="http://schemas.openxmlformats.org/officeDocument/2006/relationships/hyperlink" Target="https://pubmed.ncbi.nlm.nih.gov/38831488" TargetMode="External"/><Relationship Id="rIdvqiopdj-dlpf_wuew6sma" Type="http://schemas.openxmlformats.org/officeDocument/2006/relationships/hyperlink" Target="https://onlinelibrary.wiley.com/doi/10.1111/apt.70333" TargetMode="External"/><Relationship Id="rIdsgvtca97b5xentfxnbxwg" Type="http://schemas.openxmlformats.org/officeDocument/2006/relationships/hyperlink" Target="https://pubmed.ncbi.nlm.nih.gov/39808828" TargetMode="External"/><Relationship Id="rId51_v2-vvx5blwv4riwy4l" Type="http://schemas.openxmlformats.org/officeDocument/2006/relationships/hyperlink" Target="https://pubmed.ncbi.nlm.nih.gov/42294332" TargetMode="External"/><Relationship Id="rIduzsxgw8kypuxhw6yrny6c" Type="http://schemas.openxmlformats.org/officeDocument/2006/relationships/hyperlink" Target="https://www.ncbi.nlm.nih.gov/pmc/articles/PMC10663390/" TargetMode="External"/><Relationship Id="rIdjqh792dqvekp8tfse981a" Type="http://schemas.openxmlformats.org/officeDocument/2006/relationships/hyperlink" Target="https://pubmed.ncbi.nlm.nih.gov/39993401" TargetMode="External"/><Relationship Id="rIdqikuaj7ic8ydl5r_ltc8h" Type="http://schemas.openxmlformats.org/officeDocument/2006/relationships/hyperlink" Target="https://doi.org/10.1097/HEP.0000000000001644" TargetMode="External"/><Relationship Id="rId7kp3ps1xdujb6act9y8nu" Type="http://schemas.openxmlformats.org/officeDocument/2006/relationships/hyperlink" Target="https://www.nccn.org/professionals/physician_gls/pdf/hcc.pdf#page=23" TargetMode="External"/><Relationship Id="rId_xaxgzxuvccejmhbxwmdn" Type="http://schemas.openxmlformats.org/officeDocument/2006/relationships/hyperlink" Target="https://pubmed.ncbi.nlm.nih.gov/41490475" TargetMode="External"/><Relationship Id="rId23b4a3igkc_5hbkr63vol" Type="http://schemas.openxmlformats.org/officeDocument/2006/relationships/hyperlink" Target="https://meetings.asco.org/abstracts-presentations/249709" TargetMode="External"/><Relationship Id="rIdmg_eyoyiojukfxknuoio9" Type="http://schemas.openxmlformats.org/officeDocument/2006/relationships/hyperlink" Target="https://pubmed.ncbi.nlm.nih.gov/42073607" TargetMode="External"/><Relationship Id="rIdhr5wllefnif2_6by1e6j2" Type="http://schemas.openxmlformats.org/officeDocument/2006/relationships/hyperlink" Target="https://www.fda.gov/drugs/drug-approvals-and-databases/approved-drug-products-therapeutic-equivalence-evaluations-orange-book" TargetMode="External"/><Relationship Id="rIdzkqorrjwgzr4cgmfgq3j7" Type="http://schemas.openxmlformats.org/officeDocument/2006/relationships/hyperlink" Target="https://pubmed.ncbi.nlm.nih.gov/38996924" TargetMode="External"/><Relationship Id="rIdsje1ai0t758rlttuqqcgv" Type="http://schemas.openxmlformats.org/officeDocument/2006/relationships/hyperlink" Target="https://pubmed.ncbi.nlm.nih.gov/41855385" TargetMode="External"/><Relationship Id="rIdrer_whzoq7ihici8g5kja" Type="http://schemas.openxmlformats.org/officeDocument/2006/relationships/hyperlink" Target="https://pubmed.ncbi.nlm.nih.gov/41193174" TargetMode="External"/><Relationship Id="rIddbrlhyagrkgmbfflldyuc" Type="http://schemas.openxmlformats.org/officeDocument/2006/relationships/hyperlink" Target="https://pubmed.ncbi.nlm.nih.gov/38253289" TargetMode="External"/><Relationship Id="rIdxl57ukzeuicog554_kmok" Type="http://schemas.openxmlformats.org/officeDocument/2006/relationships/hyperlink" Target="https://onlinelibrary.wiley.com/doi/10.1111/apt.70528" TargetMode="External"/><Relationship Id="rIdernyecji2ykbls1cfotvh" Type="http://schemas.openxmlformats.org/officeDocument/2006/relationships/hyperlink" Target="https://doi.org/10.1097/LVT.0000000000000715" TargetMode="External"/><Relationship Id="rIdfblbaisctpslptrrqxqoi" Type="http://schemas.openxmlformats.org/officeDocument/2006/relationships/hyperlink" Target="https://pubmed.ncbi.nlm.nih.gov/41622628" TargetMode="External"/><Relationship Id="rIdpetrdyo4wmnge9u_ch6jo" Type="http://schemas.openxmlformats.org/officeDocument/2006/relationships/hyperlink" Target="https://pubmed.ncbi.nlm.nih.gov/30568386" TargetMode="External"/><Relationship Id="rIdcodunqyocaipzgbzse7i8" Type="http://schemas.openxmlformats.org/officeDocument/2006/relationships/hyperlink" Target="https://pubmed.ncbi.nlm.nih.gov/36160651" TargetMode="External"/><Relationship Id="rIdvtp-3y5ihff9zrxhzwnil" Type="http://schemas.openxmlformats.org/officeDocument/2006/relationships/hyperlink" Target="https://pubmed.ncbi.nlm.nih.gov/42073605" TargetMode="External"/><Relationship Id="rIdkex91tmzz_vlvwq1bv-7u" Type="http://schemas.openxmlformats.org/officeDocument/2006/relationships/hyperlink" Target="https://pubmed.ncbi.nlm.nih.gov/22047762" TargetMode="External"/><Relationship Id="rId29" Type="http://schemas.openxmlformats.org/officeDocument/2006/relationships/fontTable" Target="fontTable.xml"/><Relationship Id="rId30" Type="http://schemas.openxmlformats.org/officeDocument/2006/relationships/hyperlink" Target="https://doi.org/10.1002/hep.27752" TargetMode="External"/><Relationship Id="rId31" Type="http://schemas.openxmlformats.org/officeDocument/2006/relationships/hyperlink" Target="https://drliuhao.github.io/mh-liver-pathways/evidence-libraries/" TargetMode="External"/><Relationship Id="rId32" Type="http://schemas.openxmlformats.org/officeDocument/2006/relationships/hyperlink" Target="https://doi.org/10.1053/j.gastro.2021.07.033" TargetMode="External"/><Relationship Id="rId33" Type="http://schemas.openxmlformats.org/officeDocument/2006/relationships/hyperlink" Target="https://drliuhao.github.io/mh-liver-pathways/evidence-libraries/" TargetMode="External"/><Relationship Id="rId34" Type="http://schemas.openxmlformats.org/officeDocument/2006/relationships/hyperlink" Target="https://doi.org/10.1002/hep.30570" TargetMode="External"/><Relationship Id="rId35" Type="http://schemas.openxmlformats.org/officeDocument/2006/relationships/hyperlink" Target="https://drliuhao.github.io/mh-liver-pathways/evidence-libraries/" TargetMode="External"/><Relationship Id="rId36" Type="http://schemas.openxmlformats.org/officeDocument/2006/relationships/hyperlink" Target="https://doi.org/10.1016/j.ajt.2023.07.021" TargetMode="External"/><Relationship Id="rId37" Type="http://schemas.openxmlformats.org/officeDocument/2006/relationships/hyperlink" Target="https://drliuhao.github.io/mh-liver-pathways/evidence-libraries/" TargetMode="External"/><Relationship Id="rId38" Type="http://schemas.openxmlformats.org/officeDocument/2006/relationships/hyperlink" Target="https://doi.org/10.1097/HEP.0000000000001231" TargetMode="External"/><Relationship Id="rId39" Type="http://schemas.openxmlformats.org/officeDocument/2006/relationships/hyperlink" Target="https://drliuhao.github.io/mh-liver-pathways/evidence-libraries/" TargetMode="External"/><Relationship Id="rId40" Type="http://schemas.openxmlformats.org/officeDocument/2006/relationships/hyperlink" Target="https://doi.org/10.1016/S1470-2045(20)30224-2" TargetMode="External"/><Relationship Id="rId41" Type="http://schemas.openxmlformats.org/officeDocument/2006/relationships/hyperlink" Target="https://drliuhao.github.io/mh-liver-pathways/evidence-libraries/" TargetMode="External"/><Relationship Id="rId42" Type="http://schemas.openxmlformats.org/officeDocument/2006/relationships/hyperlink" Target="https://doi.org/10.1016/j.cgh.2022.08.023" TargetMode="External"/><Relationship Id="rId43" Type="http://schemas.openxmlformats.org/officeDocument/2006/relationships/hyperlink" Target="https://drliuhao.github.io/mh-liver-pathways/evidence-libraries/" TargetMode="External"/><Relationship Id="rId44" Type="http://schemas.openxmlformats.org/officeDocument/2006/relationships/hyperlink" Target="https://doi.org/10.1001/jamasurg.2022.2800" TargetMode="External"/><Relationship Id="rId45" Type="http://schemas.openxmlformats.org/officeDocument/2006/relationships/hyperlink" Target="https://drliuhao.github.io/mh-liver-pathways/evidence-libraries/" TargetMode="External"/><Relationship Id="rId46" Type="http://schemas.openxmlformats.org/officeDocument/2006/relationships/hyperlink" Target="https://doi.org/10.1097/HEP.0000000000001231" TargetMode="External"/><Relationship Id="rId47" Type="http://schemas.openxmlformats.org/officeDocument/2006/relationships/hyperlink" Target="https://drliuhao.github.io/mh-liver-pathways/evidence-libraries/" TargetMode="External"/><Relationship Id="rId48" Type="http://schemas.openxmlformats.org/officeDocument/2006/relationships/hyperlink" Target="https://doi.org/10.1097/HEP.0000000000001231" TargetMode="External"/><Relationship Id="rId49" Type="http://schemas.openxmlformats.org/officeDocument/2006/relationships/hyperlink" Target="https://drliuhao.github.io/mh-liver-pathways/evidence-libraries/" TargetMode="External"/><Relationship Id="rId50" Type="http://schemas.openxmlformats.org/officeDocument/2006/relationships/hyperlink" Target="https://doi.org/10.1097/HEP.0000000000000466" TargetMode="External"/><Relationship Id="rId51" Type="http://schemas.openxmlformats.org/officeDocument/2006/relationships/hyperlink" Target="https://drliuhao.github.io/mh-liver-pathways/evidence-libraries/" TargetMode="External"/><Relationship Id="rId52" Type="http://schemas.openxmlformats.org/officeDocument/2006/relationships/hyperlink" Target="https://drliuhao.github.io/mh-liver-pathways/evidence-libraries/" TargetMode="External"/><Relationship Id="rId53" Type="http://schemas.openxmlformats.org/officeDocument/2006/relationships/hyperlink" Target="https://drliuhao.github.io/mh-liver-pathways/evidence-libraries/" TargetMode="External"/><Relationship Id="rId54" Type="http://schemas.openxmlformats.org/officeDocument/2006/relationships/hyperlink" Target="https://doi.org/10.1097/JS9.0000000000004077" TargetMode="External"/><Relationship Id="rId55" Type="http://schemas.openxmlformats.org/officeDocument/2006/relationships/hyperlink" Target="https://drliuhao.github.io/mh-liver-pathways/evidence-libraries/" TargetMode="External"/><Relationship Id="rId56" Type="http://schemas.openxmlformats.org/officeDocument/2006/relationships/hyperlink" Target="https://doi.org/10.1002/lt.24782" TargetMode="External"/><Relationship Id="rId57" Type="http://schemas.openxmlformats.org/officeDocument/2006/relationships/hyperlink" Target="https://drliuhao.github.io/mh-liver-pathways/evidence-libraries/" TargetMode="External"/><Relationship Id="rId58" Type="http://schemas.openxmlformats.org/officeDocument/2006/relationships/hyperlink" Target="https://doi.org/10.1016/j.hbpd.2020.03.009" TargetMode="External"/><Relationship Id="rId59" Type="http://schemas.openxmlformats.org/officeDocument/2006/relationships/hyperlink" Target="https://drliuhao.github.io/mh-liver-pathways/evidence-libraries/" TargetMode="External"/><Relationship Id="rId60" Type="http://schemas.openxmlformats.org/officeDocument/2006/relationships/hyperlink" Target="https://doi.org/10.21037/jgo-24-328"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oi.org/10.1097/TP.0000000000003162"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doi.org/10.1111/tri.13586" TargetMode="External"/><Relationship Id="rId65" Type="http://schemas.openxmlformats.org/officeDocument/2006/relationships/hyperlink" Target="https://drliuhao.github.io/mh-liver-pathways/evidence-libraries/" TargetMode="External"/><Relationship Id="rId66" Type="http://schemas.openxmlformats.org/officeDocument/2006/relationships/hyperlink" Target="https://doi.org/10.1097/HEP.0000000000001801" TargetMode="External"/><Relationship Id="rId67" Type="http://schemas.openxmlformats.org/officeDocument/2006/relationships/hyperlink" Target="https://drliuhao.github.io/mh-liver-pathways/evidence-libraries/" TargetMode="External"/><Relationship Id="rId68" Type="http://schemas.openxmlformats.org/officeDocument/2006/relationships/hyperlink" Target="https://doi.org/10.1097/JS9.0000000000004077"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oi.org/10.1002/lt.24782" TargetMode="External"/><Relationship Id="rId71" Type="http://schemas.openxmlformats.org/officeDocument/2006/relationships/hyperlink" Target="https://drliuhao.github.io/mh-liver-pathways/evidence-libraries/" TargetMode="External"/><Relationship Id="rId72" Type="http://schemas.openxmlformats.org/officeDocument/2006/relationships/hyperlink" Target="https://doi.org/10.1016/j.hbpd.2020.03.009" TargetMode="External"/><Relationship Id="rId73" Type="http://schemas.openxmlformats.org/officeDocument/2006/relationships/hyperlink" Target="https://drliuhao.github.io/mh-liver-pathways/evidence-libraries/" TargetMode="External"/><Relationship Id="rId74" Type="http://schemas.openxmlformats.org/officeDocument/2006/relationships/hyperlink" Target="https://doi.org/10.21037/jgo-24-328" TargetMode="External"/><Relationship Id="rId75" Type="http://schemas.openxmlformats.org/officeDocument/2006/relationships/hyperlink" Target="https://drliuhao.github.io/mh-liver-pathways/evidence-libraries/" TargetMode="External"/><Relationship Id="rId76" Type="http://schemas.openxmlformats.org/officeDocument/2006/relationships/hyperlink" Target="https://doi.org/10.1097/TP.0000000000003162" TargetMode="External"/><Relationship Id="rId77" Type="http://schemas.openxmlformats.org/officeDocument/2006/relationships/hyperlink" Target="https://drliuhao.github.io/mh-liver-pathways/evidence-libraries/" TargetMode="External"/><Relationship Id="rId78" Type="http://schemas.openxmlformats.org/officeDocument/2006/relationships/hyperlink" Target="https://doi.org/10.1097/JS9.0000000000004077" TargetMode="External"/><Relationship Id="rId79" Type="http://schemas.openxmlformats.org/officeDocument/2006/relationships/hyperlink" Target="https://drliuhao.github.io/mh-liver-pathways/evidence-libraries/" TargetMode="External"/><Relationship Id="rId80" Type="http://schemas.openxmlformats.org/officeDocument/2006/relationships/hyperlink" Target="https://doi.org/10.1097/JS9.0000000000004077" TargetMode="External"/><Relationship Id="rId81" Type="http://schemas.openxmlformats.org/officeDocument/2006/relationships/hyperlink" Target="https://drliuhao.github.io/mh-liver-pathways/evidence-libraries/" TargetMode="External"/><Relationship Id="rId82" Type="http://schemas.openxmlformats.org/officeDocument/2006/relationships/hyperlink" Target="https://doi.org/10.21037/jgo-24-328" TargetMode="External"/><Relationship Id="rId83" Type="http://schemas.openxmlformats.org/officeDocument/2006/relationships/hyperlink" Target="https://drliuhao.github.io/mh-liver-pathways/evidence-libraries/" TargetMode="External"/><Relationship Id="rId84" Type="http://schemas.openxmlformats.org/officeDocument/2006/relationships/hyperlink" Target="https://doi.org/10.1002/lt.24782" TargetMode="External"/><Relationship Id="rId85" Type="http://schemas.openxmlformats.org/officeDocument/2006/relationships/hyperlink" Target="https://drliuhao.github.io/mh-liver-pathways/evidence-libraries/" TargetMode="External"/><Relationship Id="rId86" Type="http://schemas.openxmlformats.org/officeDocument/2006/relationships/hyperlink" Target="https://doi.org/10.1016/j.hbpd.2020.03.009" TargetMode="External"/><Relationship Id="rId87" Type="http://schemas.openxmlformats.org/officeDocument/2006/relationships/hyperlink" Target="https://drliuhao.github.io/mh-liver-pathways/evidence-libraries/" TargetMode="External"/><Relationship Id="rId88" Type="http://schemas.openxmlformats.org/officeDocument/2006/relationships/hyperlink" Target="https://doi.org/10.1097/TP.0000000000003162" TargetMode="External"/><Relationship Id="rId89" Type="http://schemas.openxmlformats.org/officeDocument/2006/relationships/hyperlink" Target="https://drliuhao.github.io/mh-liver-pathways/evidence-libraries/" TargetMode="External"/><Relationship Id="rId90" Type="http://schemas.openxmlformats.org/officeDocument/2006/relationships/hyperlink" Target="https://doi.org/10.1097/HEP.0000000000001801" TargetMode="External"/><Relationship Id="rId91" Type="http://schemas.openxmlformats.org/officeDocument/2006/relationships/hyperlink" Target="https://drliuhao.github.io/mh-liver-pathways/evidence-libraries/" TargetMode="External"/><Relationship Id="rId92" Type="http://schemas.openxmlformats.org/officeDocument/2006/relationships/hyperlink" Target="https://doi.org/10.1097/JS9.0000000000004077" TargetMode="External"/><Relationship Id="rId93" Type="http://schemas.openxmlformats.org/officeDocument/2006/relationships/hyperlink" Target="https://drliuhao.github.io/mh-liver-pathways/evidence-libraries/" TargetMode="External"/><Relationship Id="rId94" Type="http://schemas.openxmlformats.org/officeDocument/2006/relationships/hyperlink" Target="https://doi.org/10.1097/JS9.0000000000004077" TargetMode="External"/><Relationship Id="rId95" Type="http://schemas.openxmlformats.org/officeDocument/2006/relationships/hyperlink" Target="https://drliuhao.github.io/mh-liver-pathways/evidence-libraries/" TargetMode="External"/><Relationship Id="rId96" Type="http://schemas.openxmlformats.org/officeDocument/2006/relationships/hyperlink" Target="https://doi.org/10.21037/jgo-24-328" TargetMode="External"/><Relationship Id="rId97" Type="http://schemas.openxmlformats.org/officeDocument/2006/relationships/hyperlink" Target="https://drliuhao.github.io/mh-liver-pathways/evidence-libraries/" TargetMode="External"/><Relationship Id="rId98" Type="http://schemas.openxmlformats.org/officeDocument/2006/relationships/hyperlink" Target="https://www.hrsa.gov/sites/default/files/hrsa/optn/adult-meld-exception-transplant-oncology-review-guidance.pdf" TargetMode="External"/><Relationship Id="rId99" Type="http://schemas.openxmlformats.org/officeDocument/2006/relationships/hyperlink" Target="https://drliuhao.github.io/mh-liver-pathways/evidence-libraries/" TargetMode="External"/><Relationship Id="rId100" Type="http://schemas.openxmlformats.org/officeDocument/2006/relationships/hyperlink" Target="https://doi.org/10.1097/HEP.0000000000001801" TargetMode="External"/><Relationship Id="rId101" Type="http://schemas.openxmlformats.org/officeDocument/2006/relationships/hyperlink" Target="https://drliuhao.github.io/mh-liver-pathways/evidence-libraries/" TargetMode="External"/><Relationship Id="rId102" Type="http://schemas.openxmlformats.org/officeDocument/2006/relationships/hyperlink" Target="https://doi.org/10.1097/HEP.0000000000001801" TargetMode="External"/><Relationship Id="rId103" Type="http://schemas.openxmlformats.org/officeDocument/2006/relationships/hyperlink" Target="https://drliuhao.github.io/mh-liver-pathways/evidence-libraries/" TargetMode="External"/><Relationship Id="rId104" Type="http://schemas.openxmlformats.org/officeDocument/2006/relationships/hyperlink" Target="https://drliuhao.github.io/mh-liver-pathways/evidence-libraries/" TargetMode="External"/><Relationship Id="rId105" Type="http://schemas.openxmlformats.org/officeDocument/2006/relationships/hyperlink" Target="https://drliuhao.github.io/mh-liver-pathways/evidence-libraries/" TargetMode="External"/><Relationship Id="rId106" Type="http://schemas.openxmlformats.org/officeDocument/2006/relationships/hyperlink" Target="https://doi.org/10.1016/j.jhep.2024.09.003" TargetMode="External"/><Relationship Id="rId107" Type="http://schemas.openxmlformats.org/officeDocument/2006/relationships/hyperlink" Target="https://drliuhao.github.io/mh-liver-pathways/evidence-libraries/" TargetMode="External"/><Relationship Id="rId108" Type="http://schemas.openxmlformats.org/officeDocument/2006/relationships/hyperlink" Target="https://doi.org/10.1016/j.jhep.2026.02.019" TargetMode="External"/><Relationship Id="rId109" Type="http://schemas.openxmlformats.org/officeDocument/2006/relationships/hyperlink" Target="https://drliuhao.github.io/mh-liver-pathways/evidence-libraries/" TargetMode="External"/><Relationship Id="rId110" Type="http://schemas.openxmlformats.org/officeDocument/2006/relationships/hyperlink" Target="https://doi.org/10.1097/HEP.0000000000001289" TargetMode="External"/><Relationship Id="rId111" Type="http://schemas.openxmlformats.org/officeDocument/2006/relationships/hyperlink" Target="https://drliuhao.github.io/mh-liver-pathways/evidence-libraries/" TargetMode="External"/><Relationship Id="rId112" Type="http://schemas.openxmlformats.org/officeDocument/2006/relationships/hyperlink" Target="https://doi.org/10.1016/j.jhep.2024.06.042" TargetMode="External"/><Relationship Id="rId113" Type="http://schemas.openxmlformats.org/officeDocument/2006/relationships/hyperlink" Target="https://drliuhao.github.io/mh-liver-pathways/evidence-libraries/" TargetMode="External"/><Relationship Id="rId114" Type="http://schemas.openxmlformats.org/officeDocument/2006/relationships/hyperlink" Target="https://doi.org/10.1136/gutjnl-2025-336719" TargetMode="External"/><Relationship Id="rId115" Type="http://schemas.openxmlformats.org/officeDocument/2006/relationships/hyperlink" Target="https://drliuhao.github.io/mh-liver-pathways/evidence-libraries/" TargetMode="External"/><Relationship Id="rId116" Type="http://schemas.openxmlformats.org/officeDocument/2006/relationships/hyperlink" Target="https://doi.org/10.1111/apt.70528" TargetMode="External"/><Relationship Id="rId117" Type="http://schemas.openxmlformats.org/officeDocument/2006/relationships/hyperlink" Target="https://drliuhao.github.io/mh-liver-pathways/evidence-libraries/" TargetMode="External"/><Relationship Id="rId118" Type="http://schemas.openxmlformats.org/officeDocument/2006/relationships/hyperlink" Target="https://doi.org/10.1111/liv.70692" TargetMode="External"/><Relationship Id="rId119" Type="http://schemas.openxmlformats.org/officeDocument/2006/relationships/hyperlink" Target="https://drliuhao.github.io/mh-liver-pathways/evidence-libraries/" TargetMode="External"/><Relationship Id="rId120" Type="http://schemas.openxmlformats.org/officeDocument/2006/relationships/hyperlink" Target="https://doi.org/10.1001/jamaoncol.2026.3901" TargetMode="External"/><Relationship Id="rId121" Type="http://schemas.openxmlformats.org/officeDocument/2006/relationships/hyperlink" Target="https://drliuhao.github.io/mh-liver-pathways/evidence-libraries/" TargetMode="External"/><Relationship Id="rId122" Type="http://schemas.openxmlformats.org/officeDocument/2006/relationships/hyperlink" Target="https://onlinelibrary.wiley.com/doi/10.1111/apt.70333" TargetMode="External"/><Relationship Id="rId123" Type="http://schemas.openxmlformats.org/officeDocument/2006/relationships/hyperlink" Target="https://drliuhao.github.io/mh-liver-pathways/evidence-libraries/" TargetMode="External"/><Relationship Id="rId124" Type="http://schemas.openxmlformats.org/officeDocument/2006/relationships/hyperlink" Target="https://pubmed.ncbi.nlm.nih.gov/42073607" TargetMode="External"/><Relationship Id="rId125" Type="http://schemas.openxmlformats.org/officeDocument/2006/relationships/hyperlink" Target="https://drliuhao.github.io/mh-liver-pathways/evidence-libraries/" TargetMode="External"/><Relationship Id="rId126" Type="http://schemas.openxmlformats.org/officeDocument/2006/relationships/hyperlink" Target="https://doi.org/10.1016/j.jhep.2024.06.042" TargetMode="External"/><Relationship Id="rId127" Type="http://schemas.openxmlformats.org/officeDocument/2006/relationships/hyperlink" Target="https://drliuhao.github.io/mh-liver-pathways/evidence-libraries/" TargetMode="External"/><Relationship Id="rId128" Type="http://schemas.openxmlformats.org/officeDocument/2006/relationships/hyperlink" Target="https://doi.org/10.1136/gutjnl-2025-336719" TargetMode="External"/><Relationship Id="rId129" Type="http://schemas.openxmlformats.org/officeDocument/2006/relationships/hyperlink" Target="https://drliuhao.github.io/mh-liver-pathways/evidence-libraries/" TargetMode="External"/><Relationship Id="rId130" Type="http://schemas.openxmlformats.org/officeDocument/2006/relationships/hyperlink" Target="https://drliuhao.github.io/mh-liver-pathways/evidence-libraries/" TargetMode="External"/><Relationship Id="rId131" Type="http://schemas.openxmlformats.org/officeDocument/2006/relationships/hyperlink" Target="https://drliuhao.github.io/mh-liver-pathways/evidence-libraries/" TargetMode="External"/><Relationship Id="rId132" Type="http://schemas.openxmlformats.org/officeDocument/2006/relationships/hyperlink" Target="https://drliuhao.github.io/mh-liver-pathways/evidence-libraries/" TargetMode="External"/><Relationship Id="rId133" Type="http://schemas.openxmlformats.org/officeDocument/2006/relationships/hyperlink" Target="https://drliuhao.github.io/mh-liver-pathways/evidence-libraries/" TargetMode="External"/><Relationship Id="rId134" Type="http://schemas.openxmlformats.org/officeDocument/2006/relationships/hyperlink" Target="https://drliuhao.github.io/mh-liver-pathways/evidence-libraries/" TargetMode="External"/><Relationship Id="rId135" Type="http://schemas.openxmlformats.org/officeDocument/2006/relationships/hyperlink" Target="https://drliuhao.github.io/mh-liver-pathways/evidence-libraries/" TargetMode="External"/><Relationship Id="rId136" Type="http://schemas.openxmlformats.org/officeDocument/2006/relationships/hyperlink" Target="https://drliuhao.github.io/mh-liver-pathways/evidence-libraries/" TargetMode="External"/><Relationship Id="rId137" Type="http://schemas.openxmlformats.org/officeDocument/2006/relationships/hyperlink" Target="https://drliuhao.github.io/mh-liver-pathways/evidence-libraries/" TargetMode="External"/><Relationship Id="rId138" Type="http://schemas.openxmlformats.org/officeDocument/2006/relationships/hyperlink" Target="https://drliuhao.github.io/mh-liver-pathways/evidence-libraries/" TargetMode="External"/><Relationship Id="rId139" Type="http://schemas.openxmlformats.org/officeDocument/2006/relationships/hyperlink" Target="https://drliuhao.github.io/mh-liver-pathways/evidence-libraries/" TargetMode="External"/><Relationship Id="rId140" Type="http://schemas.openxmlformats.org/officeDocument/2006/relationships/hyperlink" Target="https://doi.org/10.1111/ctr.70488" TargetMode="External"/><Relationship Id="rId141" Type="http://schemas.openxmlformats.org/officeDocument/2006/relationships/hyperlink" Target="https://drliuhao.github.io/mh-liver-pathways/evidence-libraries/" TargetMode="External"/><Relationship Id="rId142" Type="http://schemas.openxmlformats.org/officeDocument/2006/relationships/hyperlink" Target="https://doi.org/10.1097/HC9.0000000000000619" TargetMode="External"/><Relationship Id="rId143" Type="http://schemas.openxmlformats.org/officeDocument/2006/relationships/hyperlink" Target="https://drliuhao.github.io/mh-liver-pathways/evidence-libraries/" TargetMode="External"/><Relationship Id="rId144" Type="http://schemas.openxmlformats.org/officeDocument/2006/relationships/hyperlink" Target="https://doi.org/10.1002/hep.29342" TargetMode="External"/><Relationship Id="rId145" Type="http://schemas.openxmlformats.org/officeDocument/2006/relationships/hyperlink" Target="https://drliuhao.github.io/mh-liver-pathways/evidence-libraries/" TargetMode="External"/><Relationship Id="rId146" Type="http://schemas.openxmlformats.org/officeDocument/2006/relationships/hyperlink" Target="https://doi.org/10.1016/j.jhepr.2023.100907" TargetMode="External"/><Relationship Id="rId147" Type="http://schemas.openxmlformats.org/officeDocument/2006/relationships/hyperlink" Target="https://drliuhao.github.io/mh-liver-pathways/evidence-libraries/" TargetMode="External"/><Relationship Id="rId148" Type="http://schemas.openxmlformats.org/officeDocument/2006/relationships/hyperlink" Target="https://doi.org/10.1016/j.jhep.2024.03.020" TargetMode="External"/><Relationship Id="rId149" Type="http://schemas.openxmlformats.org/officeDocument/2006/relationships/hyperlink" Target="https://drliuhao.github.io/mh-liver-pathways/evidence-libraries/" TargetMode="External"/><Relationship Id="rId150" Type="http://schemas.openxmlformats.org/officeDocument/2006/relationships/hyperlink" Target="https://doi.org/10.1177/09622802261420699" TargetMode="External"/><Relationship Id="rId151" Type="http://schemas.openxmlformats.org/officeDocument/2006/relationships/hyperlink" Target="https://drliuhao.github.io/mh-liver-pathways/evidence-libraries/" TargetMode="External"/><Relationship Id="rId152" Type="http://schemas.openxmlformats.org/officeDocument/2006/relationships/hyperlink" Target="https://doi.org/10.1111/ctr.70488" TargetMode="External"/><Relationship Id="rId153" Type="http://schemas.openxmlformats.org/officeDocument/2006/relationships/hyperlink" Target="https://drliuhao.github.io/mh-liver-pathways/evidence-libraries/" TargetMode="External"/><Relationship Id="rId154" Type="http://schemas.openxmlformats.org/officeDocument/2006/relationships/hyperlink" Target="https://doi.org/10.1111/ctr.70488" TargetMode="External"/><Relationship Id="rId155" Type="http://schemas.openxmlformats.org/officeDocument/2006/relationships/hyperlink" Target="https://drliuhao.github.io/mh-liver-pathways/evidence-libraries/" TargetMode="External"/><Relationship Id="rId156" Type="http://schemas.openxmlformats.org/officeDocument/2006/relationships/hyperlink" Target="https://drliuhao.github.io/mh-liver-pathways/evidence-libraries/" TargetMode="External"/><Relationship Id="rId157" Type="http://schemas.openxmlformats.org/officeDocument/2006/relationships/hyperlink" Target="https://drliuhao.github.io/mh-liver-pathways/evidence-libraries/" TargetMode="External"/><Relationship Id="rId158" Type="http://schemas.openxmlformats.org/officeDocument/2006/relationships/hyperlink" Target="https://drliuhao.github.io/mh-liver-pathways/evidence-libraries/" TargetMode="External"/><Relationship Id="rId159" Type="http://schemas.openxmlformats.org/officeDocument/2006/relationships/hyperlink" Target="https://drliuhao.github.io/mh-liver-pathways/evidence-libraries/" TargetMode="External"/><Relationship Id="rId160" Type="http://schemas.openxmlformats.org/officeDocument/2006/relationships/hyperlink" Target="https://www.hrsa.gov/sites/default/files/hrsa/optn/optn_policies.pdf" TargetMode="External"/><Relationship Id="rId161" Type="http://schemas.openxmlformats.org/officeDocument/2006/relationships/hyperlink" Target="https://drliuhao.github.io/mh-liver-pathways/evidence-libraries/" TargetMode="External"/><Relationship Id="rId162" Type="http://schemas.openxmlformats.org/officeDocument/2006/relationships/hyperlink" Target="https://www.hrsa.gov/sites/default/files/hrsa/optn/adult-meld-exception-transplant-oncology-review-guidance.pdf" TargetMode="External"/><Relationship Id="rId163" Type="http://schemas.openxmlformats.org/officeDocument/2006/relationships/hyperlink" Target="https://drliuhao.github.io/mh-liver-pathways/evidence-libraries/" TargetMode="External"/><Relationship Id="rId164" Type="http://schemas.openxmlformats.org/officeDocument/2006/relationships/hyperlink" Target="https://doi.org/10.1097/HEP.0000000000000466" TargetMode="External"/><Relationship Id="rId165" Type="http://schemas.openxmlformats.org/officeDocument/2006/relationships/hyperlink" Target="https://drliuhao.github.io/mh-liver-pathways/evidence-libraries/" TargetMode="External"/><Relationship Id="rId166" Type="http://schemas.openxmlformats.org/officeDocument/2006/relationships/hyperlink" Target="https://doi.org/10.1097/HEP.0000000000001231" TargetMode="External"/><Relationship Id="rId167" Type="http://schemas.openxmlformats.org/officeDocument/2006/relationships/hyperlink" Target="https://drliuhao.github.io/mh-liver-pathways/evidence-libraries/" TargetMode="External"/><Relationship Id="rId168" Type="http://schemas.openxmlformats.org/officeDocument/2006/relationships/hyperlink" Target="https://doi.org/10.1016/S1470-2045(20)30224-2" TargetMode="External"/><Relationship Id="rId169" Type="http://schemas.openxmlformats.org/officeDocument/2006/relationships/hyperlink" Target="https://drliuhao.github.io/mh-liver-pathways/evidence-libraries/" TargetMode="External"/><Relationship Id="rId170" Type="http://schemas.openxmlformats.org/officeDocument/2006/relationships/hyperlink" Target="https://doi.org/10.1097/HEP.0000000000001644" TargetMode="External"/><Relationship Id="rId171" Type="http://schemas.openxmlformats.org/officeDocument/2006/relationships/hyperlink" Target="https://drliuhao.github.io/mh-liver-pathways/evidence-libraries/" TargetMode="External"/><Relationship Id="rId172" Type="http://schemas.openxmlformats.org/officeDocument/2006/relationships/hyperlink" Target="https://doi.org/10.1002/hep.27752" TargetMode="External"/><Relationship Id="rId173" Type="http://schemas.openxmlformats.org/officeDocument/2006/relationships/hyperlink" Target="https://drliuhao.github.io/mh-liver-pathways/evidence-libraries/" TargetMode="External"/><Relationship Id="rId174" Type="http://schemas.openxmlformats.org/officeDocument/2006/relationships/hyperlink" Target="https://doi.org/10.1053/j.gastro.2021.07.033" TargetMode="External"/><Relationship Id="rId175" Type="http://schemas.openxmlformats.org/officeDocument/2006/relationships/hyperlink" Target="https://drliuhao.github.io/mh-liver-pathways/evidence-libraries/" TargetMode="External"/><Relationship Id="rId176" Type="http://schemas.openxmlformats.org/officeDocument/2006/relationships/hyperlink" Target="https://doi.org/10.1002/hep.30570" TargetMode="External"/><Relationship Id="rId177" Type="http://schemas.openxmlformats.org/officeDocument/2006/relationships/hyperlink" Target="https://drliuhao.github.io/mh-liver-pathways/evidence-libraries/" TargetMode="External"/><Relationship Id="rId178" Type="http://schemas.openxmlformats.org/officeDocument/2006/relationships/hyperlink" Target="https://doi.org/10.1016/j.ajt.2023.07.021" TargetMode="External"/><Relationship Id="rId179" Type="http://schemas.openxmlformats.org/officeDocument/2006/relationships/hyperlink" Target="https://drliuhao.github.io/mh-liver-pathways/evidence-libraries/" TargetMode="External"/><Relationship Id="rId180" Type="http://schemas.openxmlformats.org/officeDocument/2006/relationships/hyperlink" Target="https://doi.org/10.1016/j.cgh.2022.08.023" TargetMode="External"/><Relationship Id="rId181" Type="http://schemas.openxmlformats.org/officeDocument/2006/relationships/hyperlink" Target="https://drliuhao.github.io/mh-liver-pathways/evidence-libraries/" TargetMode="External"/><Relationship Id="rId182" Type="http://schemas.openxmlformats.org/officeDocument/2006/relationships/hyperlink" Target="https://doi.org/10.1001/jamasurg.2022.2800" TargetMode="External"/><Relationship Id="rId183" Type="http://schemas.openxmlformats.org/officeDocument/2006/relationships/hyperlink" Target="https://drliuhao.github.io/mh-liver-pathways/evidence-libraries/" TargetMode="External"/><Relationship Id="rId184" Type="http://schemas.openxmlformats.org/officeDocument/2006/relationships/hyperlink" Target="https://doi.org/10.1038/s41571-026-01160-z" TargetMode="External"/><Relationship Id="rId185" Type="http://schemas.openxmlformats.org/officeDocument/2006/relationships/hyperlink" Target="https://drliuhao.github.io/mh-liver-pathways/evidence-libraries/" TargetMode="External"/><Relationship Id="rId186" Type="http://schemas.openxmlformats.org/officeDocument/2006/relationships/hyperlink" Target="https://doi.org/10.1097/JS9.0000000000004077" TargetMode="External"/><Relationship Id="rId187" Type="http://schemas.openxmlformats.org/officeDocument/2006/relationships/hyperlink" Target="https://drliuhao.github.io/mh-liver-pathways/evidence-libraries/" TargetMode="External"/><Relationship Id="rId188" Type="http://schemas.openxmlformats.org/officeDocument/2006/relationships/hyperlink" Target="https://doi.org/10.1002/lt.24782" TargetMode="External"/><Relationship Id="rId189" Type="http://schemas.openxmlformats.org/officeDocument/2006/relationships/hyperlink" Target="https://drliuhao.github.io/mh-liver-pathways/evidence-libraries/" TargetMode="External"/><Relationship Id="rId190" Type="http://schemas.openxmlformats.org/officeDocument/2006/relationships/hyperlink" Target="https://doi.org/10.1016/j.hbpd.2020.03.009" TargetMode="External"/><Relationship Id="rId191" Type="http://schemas.openxmlformats.org/officeDocument/2006/relationships/hyperlink" Target="https://drliuhao.github.io/mh-liver-pathways/evidence-libraries/" TargetMode="External"/><Relationship Id="rId192" Type="http://schemas.openxmlformats.org/officeDocument/2006/relationships/hyperlink" Target="https://doi.org/10.21037/jgo-24-328" TargetMode="External"/><Relationship Id="rId193" Type="http://schemas.openxmlformats.org/officeDocument/2006/relationships/hyperlink" Target="https://drliuhao.github.io/mh-liver-pathways/evidence-libraries/" TargetMode="External"/><Relationship Id="rId194" Type="http://schemas.openxmlformats.org/officeDocument/2006/relationships/hyperlink" Target="https://doi.org/10.1097/TP.0000000000003162" TargetMode="External"/><Relationship Id="rId195" Type="http://schemas.openxmlformats.org/officeDocument/2006/relationships/hyperlink" Target="https://drliuhao.github.io/mh-liver-pathways/evidence-libraries/" TargetMode="External"/><Relationship Id="rId196" Type="http://schemas.openxmlformats.org/officeDocument/2006/relationships/hyperlink" Target="https://doi.org/10.1111/tri.13586" TargetMode="External"/><Relationship Id="rId197" Type="http://schemas.openxmlformats.org/officeDocument/2006/relationships/hyperlink" Target="https://drliuhao.github.io/mh-liver-pathways/evidence-libraries/" TargetMode="External"/><Relationship Id="rId198" Type="http://schemas.openxmlformats.org/officeDocument/2006/relationships/hyperlink" Target="https://doi.org/10.1097/HEP.0000000000001801" TargetMode="External"/><Relationship Id="rId199" Type="http://schemas.openxmlformats.org/officeDocument/2006/relationships/hyperlink" Target="https://drliuhao.github.io/mh-liver-pathways/evidence-libraries/" TargetMode="External"/><Relationship Id="rId200" Type="http://schemas.openxmlformats.org/officeDocument/2006/relationships/hyperlink" Target="https://doi.org/10.1097/LVT.0000000000000589" TargetMode="External"/><Relationship Id="rId201" Type="http://schemas.openxmlformats.org/officeDocument/2006/relationships/hyperlink" Target="https://drliuhao.github.io/mh-liver-pathways/evidence-libraries/" TargetMode="External"/><Relationship Id="rId202" Type="http://schemas.openxmlformats.org/officeDocument/2006/relationships/hyperlink" Target="https://doi.org/10.1016/j.jhep.2024.09.003" TargetMode="External"/><Relationship Id="rId203" Type="http://schemas.openxmlformats.org/officeDocument/2006/relationships/hyperlink" Target="https://drliuhao.github.io/mh-liver-pathways/evidence-libraries/" TargetMode="External"/><Relationship Id="rId204" Type="http://schemas.openxmlformats.org/officeDocument/2006/relationships/hyperlink" Target="https://doi.org/10.1016/j.jhep.2026.02.019" TargetMode="External"/><Relationship Id="rId205" Type="http://schemas.openxmlformats.org/officeDocument/2006/relationships/hyperlink" Target="https://drliuhao.github.io/mh-liver-pathways/evidence-libraries/" TargetMode="External"/><Relationship Id="rId206" Type="http://schemas.openxmlformats.org/officeDocument/2006/relationships/hyperlink" Target="https://doi.org/10.1097/HEP.0000000000001289" TargetMode="External"/><Relationship Id="rId207" Type="http://schemas.openxmlformats.org/officeDocument/2006/relationships/hyperlink" Target="https://drliuhao.github.io/mh-liver-pathways/evidence-libraries/" TargetMode="External"/><Relationship Id="rId208" Type="http://schemas.openxmlformats.org/officeDocument/2006/relationships/hyperlink" Target="https://doi.org/10.1016/j.jhep.2024.06.042" TargetMode="External"/><Relationship Id="rId209" Type="http://schemas.openxmlformats.org/officeDocument/2006/relationships/hyperlink" Target="https://drliuhao.github.io/mh-liver-pathways/evidence-libraries/" TargetMode="External"/><Relationship Id="rId210" Type="http://schemas.openxmlformats.org/officeDocument/2006/relationships/hyperlink" Target="https://doi.org/10.1136/gutjnl-2025-336719" TargetMode="External"/><Relationship Id="rId211" Type="http://schemas.openxmlformats.org/officeDocument/2006/relationships/hyperlink" Target="https://drliuhao.github.io/mh-liver-pathways/evidence-libraries/" TargetMode="External"/><Relationship Id="rId212" Type="http://schemas.openxmlformats.org/officeDocument/2006/relationships/hyperlink" Target="https://doi.org/10.1111/apt.70528" TargetMode="External"/><Relationship Id="rId213" Type="http://schemas.openxmlformats.org/officeDocument/2006/relationships/hyperlink" Target="https://drliuhao.github.io/mh-liver-pathways/evidence-libraries/" TargetMode="External"/><Relationship Id="rId214" Type="http://schemas.openxmlformats.org/officeDocument/2006/relationships/hyperlink" Target="https://doi.org/10.1111/liv.70692" TargetMode="External"/><Relationship Id="rId215" Type="http://schemas.openxmlformats.org/officeDocument/2006/relationships/hyperlink" Target="https://drliuhao.github.io/mh-liver-pathways/evidence-libraries/" TargetMode="External"/><Relationship Id="rId216" Type="http://schemas.openxmlformats.org/officeDocument/2006/relationships/hyperlink" Target="https://doi.org/10.1001/jamaoncol.2026.3901" TargetMode="External"/><Relationship Id="rId217" Type="http://schemas.openxmlformats.org/officeDocument/2006/relationships/hyperlink" Target="https://drliuhao.github.io/mh-liver-pathways/evidence-libraries/" TargetMode="External"/><Relationship Id="rId218" Type="http://schemas.openxmlformats.org/officeDocument/2006/relationships/hyperlink" Target="https://onlinelibrary.wiley.com/doi/10.1111/apt.70333" TargetMode="External"/><Relationship Id="rId219" Type="http://schemas.openxmlformats.org/officeDocument/2006/relationships/hyperlink" Target="https://drliuhao.github.io/mh-liver-pathways/evidence-libraries/" TargetMode="External"/><Relationship Id="rId220" Type="http://schemas.openxmlformats.org/officeDocument/2006/relationships/hyperlink" Target="https://pubmed.ncbi.nlm.nih.gov/42073607" TargetMode="External"/><Relationship Id="rId221" Type="http://schemas.openxmlformats.org/officeDocument/2006/relationships/hyperlink" Target="https://drliuhao.github.io/mh-liver-pathways/evidence-libraries/" TargetMode="External"/><Relationship Id="rId222" Type="http://schemas.openxmlformats.org/officeDocument/2006/relationships/hyperlink" Target="https://doi.org/10.1155/joot/2545887" TargetMode="External"/><Relationship Id="rId223" Type="http://schemas.openxmlformats.org/officeDocument/2006/relationships/hyperlink" Target="https://drliuhao.github.io/mh-liver-pathways/evidence-libraries/" TargetMode="External"/><Relationship Id="rId224" Type="http://schemas.openxmlformats.org/officeDocument/2006/relationships/hyperlink" Target="https://www.ecfr.gov/current/title-45/subtitle-A/subchapter-A/part-46/subpart-A/section-46.111" TargetMode="External"/><Relationship Id="rId225" Type="http://schemas.openxmlformats.org/officeDocument/2006/relationships/hyperlink" Target="https://www.hrsa.gov/optn/professionals/resources/ethical-considerations/ethical-principles-in-the-allocation-of-human-organs" TargetMode="External"/><Relationship Id="rId226" Type="http://schemas.openxmlformats.org/officeDocument/2006/relationships/hyperlink" Target="https://doi.org/10.1016/S0140-6736(24)01595-2" TargetMode="External"/><Relationship Id="rId227" Type="http://schemas.openxmlformats.org/officeDocument/2006/relationships/hyperlink" Target="https://drliuhao.github.io/mh-liver-pathways/evidence-libraries/" TargetMode="External"/><Relationship Id="rId228" Type="http://schemas.openxmlformats.org/officeDocument/2006/relationships/hyperlink" Target="https://doi.org/10.1016/j.jhep.2024.03.020" TargetMode="External"/><Relationship Id="rId229" Type="http://schemas.openxmlformats.org/officeDocument/2006/relationships/hyperlink" Target="https://drliuhao.github.io/mh-liver-pathways/evidence-libraries/" TargetMode="External"/><Relationship Id="rId230" Type="http://schemas.openxmlformats.org/officeDocument/2006/relationships/hyperlink" Target="https://doi.org/10.1111/j.1600-6143.2011.03972.x" TargetMode="External"/><Relationship Id="rId231" Type="http://schemas.openxmlformats.org/officeDocument/2006/relationships/hyperlink" Target="https://drliuhao.github.io/mh-liver-pathways/evidence-libraries/" TargetMode="External"/><Relationship Id="rId232" Type="http://schemas.openxmlformats.org/officeDocument/2006/relationships/hyperlink" Target="https://doi.org/10.1111/ajt.14055" TargetMode="External"/><Relationship Id="rId233" Type="http://schemas.openxmlformats.org/officeDocument/2006/relationships/hyperlink" Target="https://drliuhao.github.io/mh-liver-pathways/evidence-libraries/" TargetMode="External"/><Relationship Id="rId234" Type="http://schemas.openxmlformats.org/officeDocument/2006/relationships/hyperlink" Target="https://doi.org/10.1097/LVT.0000000000000303" TargetMode="External"/><Relationship Id="rId235" Type="http://schemas.openxmlformats.org/officeDocument/2006/relationships/hyperlink" Target="https://drliuhao.github.io/mh-liver-pathways/evidence-libraries/" TargetMode="External"/><Relationship Id="rId236" Type="http://schemas.openxmlformats.org/officeDocument/2006/relationships/hyperlink" Target="https://doi.org/10.1097/TP.0000000000000965" TargetMode="External"/><Relationship Id="rId237" Type="http://schemas.openxmlformats.org/officeDocument/2006/relationships/hyperlink" Target="https://drliuhao.github.io/mh-liver-pathways/evidence-libraries/" TargetMode="External"/><Relationship Id="rId238" Type="http://schemas.openxmlformats.org/officeDocument/2006/relationships/hyperlink" Target="https://doi.org/10.1016/j.ajt.2026.02.010" TargetMode="External"/><Relationship Id="rId239" Type="http://schemas.openxmlformats.org/officeDocument/2006/relationships/hyperlink" Target="https://drliuhao.github.io/mh-liver-pathways/evidence-libraries/" TargetMode="External"/><Relationship Id="rId240" Type="http://schemas.openxmlformats.org/officeDocument/2006/relationships/hyperlink" Target="https://doi.org/10.1136/bmj.i5239" TargetMode="External"/><Relationship Id="rId241" Type="http://schemas.openxmlformats.org/officeDocument/2006/relationships/hyperlink" Target="https://drliuhao.github.io/mh-liver-pathways/evidence-libraries/" TargetMode="External"/><Relationship Id="rId242" Type="http://schemas.openxmlformats.org/officeDocument/2006/relationships/hyperlink" Target="https://doi.org/10.3389/ti.2024.13641" TargetMode="External"/><Relationship Id="rId243" Type="http://schemas.openxmlformats.org/officeDocument/2006/relationships/hyperlink" Target="https://drliuhao.github.io/mh-liver-pathways/evidence-libraries/" TargetMode="External"/><Relationship Id="rId244" Type="http://schemas.openxmlformats.org/officeDocument/2006/relationships/hyperlink" Target="https://academic.oup.com/bjs/article/112/3/znaf054/8083032" TargetMode="External"/><Relationship Id="rId245" Type="http://schemas.openxmlformats.org/officeDocument/2006/relationships/hyperlink" Target="https://drliuhao.github.io/mh-liver-pathways/evidence-libraries/" TargetMode="External"/><Relationship Id="rId246" Type="http://schemas.openxmlformats.org/officeDocument/2006/relationships/hyperlink" Target="https://doi.org/10.1111/ctr.70488" TargetMode="External"/><Relationship Id="rId247" Type="http://schemas.openxmlformats.org/officeDocument/2006/relationships/hyperlink" Target="https://drliuhao.github.io/mh-liver-pathways/evidence-libraries/" TargetMode="External"/><Relationship Id="rId248" Type="http://schemas.openxmlformats.org/officeDocument/2006/relationships/hyperlink" Target="https://doi.org/10.1097/HC9.0000000000000619" TargetMode="External"/><Relationship Id="rId249" Type="http://schemas.openxmlformats.org/officeDocument/2006/relationships/hyperlink" Target="https://drliuhao.github.io/mh-liver-pathways/evidence-libraries/" TargetMode="External"/><Relationship Id="rId250" Type="http://schemas.openxmlformats.org/officeDocument/2006/relationships/hyperlink" Target="https://doi.org/10.1002/hep.29342" TargetMode="External"/><Relationship Id="rId251" Type="http://schemas.openxmlformats.org/officeDocument/2006/relationships/hyperlink" Target="https://drliuhao.github.io/mh-liver-pathways/evidence-libraries/" TargetMode="External"/><Relationship Id="rId252" Type="http://schemas.openxmlformats.org/officeDocument/2006/relationships/hyperlink" Target="https://doi.org/10.1016/j.jhepr.2023.100907" TargetMode="External"/><Relationship Id="rId253" Type="http://schemas.openxmlformats.org/officeDocument/2006/relationships/hyperlink" Target="https://drliuhao.github.io/mh-liver-pathways/evidence-libraries/" TargetMode="External"/><Relationship Id="rId254" Type="http://schemas.openxmlformats.org/officeDocument/2006/relationships/hyperlink" Target="https://doi.org/10.1177/09622802261420699" TargetMode="External"/><Relationship Id="rId255" Type="http://schemas.openxmlformats.org/officeDocument/2006/relationships/hyperlink" Target="https://drliuhao.github.io/mh-liver-pathways/evidence-libraries/" TargetMode="External"/><Relationship Id="rId256" Type="http://schemas.openxmlformats.org/officeDocument/2006/relationships/hyperlink" Target="https://www.hrsa.gov/sites/default/files/hrsa/optn/optn_policies.pdf" TargetMode="External"/><Relationship Id="rId257" Type="http://schemas.openxmlformats.org/officeDocument/2006/relationships/hyperlink" Target="https://drliuhao.github.io/mh-liver-pathways/evidence-libraries/" TargetMode="External"/><Relationship Id="rId258" Type="http://schemas.openxmlformats.org/officeDocument/2006/relationships/hyperlink" Target="https://www.hrsa.gov/sites/default/files/hrsa/optn/adult-meld-exception-transplant-oncology-review-guidance.pdf" TargetMode="External"/><Relationship Id="rId259" Type="http://schemas.openxmlformats.org/officeDocument/2006/relationships/hyperlink" Target="https://drliuhao.github.io/mh-liver-pathways/evidence-libraries/" TargetMode="External"/><Relationship Id="rId260" Type="http://schemas.openxmlformats.org/officeDocument/2006/relationships/hyperlink" Target="https://doi.org/10.1097/HEP.0000000000000466" TargetMode="External"/><Relationship Id="rId261" Type="http://schemas.openxmlformats.org/officeDocument/2006/relationships/hyperlink" Target="https://drliuhao.github.io/mh-liver-pathways/evidence-libraries/" TargetMode="External"/><Relationship Id="rId262" Type="http://schemas.openxmlformats.org/officeDocument/2006/relationships/hyperlink" Target="https://doi.org/10.1097/HEP.0000000000001231" TargetMode="External"/><Relationship Id="rId263" Type="http://schemas.openxmlformats.org/officeDocument/2006/relationships/hyperlink" Target="https://drliuhao.github.io/mh-liver-pathways/evidence-libraries/" TargetMode="External"/><Relationship Id="rId264" Type="http://schemas.openxmlformats.org/officeDocument/2006/relationships/hyperlink" Target="https://doi.org/10.1016/S1470-2045(20)30224-2" TargetMode="External"/><Relationship Id="rId265" Type="http://schemas.openxmlformats.org/officeDocument/2006/relationships/hyperlink" Target="https://drliuhao.github.io/mh-liver-pathways/evidence-libraries/" TargetMode="External"/><Relationship Id="rId266" Type="http://schemas.openxmlformats.org/officeDocument/2006/relationships/hyperlink" Target="https://doi.org/10.1097/HEP.0000000000001644" TargetMode="External"/><Relationship Id="rId267" Type="http://schemas.openxmlformats.org/officeDocument/2006/relationships/hyperlink" Target="https://drliuhao.github.io/mh-liver-pathways/evidence-libraries/" TargetMode="External"/><Relationship Id="rId268" Type="http://schemas.openxmlformats.org/officeDocument/2006/relationships/hyperlink" Target="https://doi.org/10.1002/hep.27752" TargetMode="External"/><Relationship Id="rId269" Type="http://schemas.openxmlformats.org/officeDocument/2006/relationships/hyperlink" Target="https://drliuhao.github.io/mh-liver-pathways/evidence-libraries/" TargetMode="External"/><Relationship Id="rId270" Type="http://schemas.openxmlformats.org/officeDocument/2006/relationships/hyperlink" Target="https://doi.org/10.1053/j.gastro.2021.07.033" TargetMode="External"/><Relationship Id="rId271" Type="http://schemas.openxmlformats.org/officeDocument/2006/relationships/hyperlink" Target="https://drliuhao.github.io/mh-liver-pathways/evidence-libraries/" TargetMode="External"/><Relationship Id="rId272" Type="http://schemas.openxmlformats.org/officeDocument/2006/relationships/hyperlink" Target="https://doi.org/10.1002/hep.30570" TargetMode="External"/><Relationship Id="rId273" Type="http://schemas.openxmlformats.org/officeDocument/2006/relationships/hyperlink" Target="https://drliuhao.github.io/mh-liver-pathways/evidence-libraries/" TargetMode="External"/><Relationship Id="rId274" Type="http://schemas.openxmlformats.org/officeDocument/2006/relationships/hyperlink" Target="https://doi.org/10.1016/j.ajt.2023.07.021" TargetMode="External"/><Relationship Id="rId275" Type="http://schemas.openxmlformats.org/officeDocument/2006/relationships/hyperlink" Target="https://drliuhao.github.io/mh-liver-pathways/evidence-libraries/" TargetMode="External"/><Relationship Id="rId276" Type="http://schemas.openxmlformats.org/officeDocument/2006/relationships/hyperlink" Target="https://doi.org/10.1016/j.cgh.2022.08.023" TargetMode="External"/><Relationship Id="rId277" Type="http://schemas.openxmlformats.org/officeDocument/2006/relationships/hyperlink" Target="https://drliuhao.github.io/mh-liver-pathways/evidence-libraries/" TargetMode="External"/><Relationship Id="rId278" Type="http://schemas.openxmlformats.org/officeDocument/2006/relationships/hyperlink" Target="https://doi.org/10.1001/jamasurg.2022.2800" TargetMode="External"/><Relationship Id="rId279" Type="http://schemas.openxmlformats.org/officeDocument/2006/relationships/hyperlink" Target="https://drliuhao.github.io/mh-liver-pathways/evidence-libraries/" TargetMode="External"/><Relationship Id="rId280" Type="http://schemas.openxmlformats.org/officeDocument/2006/relationships/hyperlink" Target="https://doi.org/10.1038/s41571-026-01160-z" TargetMode="External"/><Relationship Id="rId281" Type="http://schemas.openxmlformats.org/officeDocument/2006/relationships/hyperlink" Target="https://drliuhao.github.io/mh-liver-pathways/evidence-libraries/" TargetMode="External"/><Relationship Id="rId282" Type="http://schemas.openxmlformats.org/officeDocument/2006/relationships/hyperlink" Target="https://doi.org/10.1097/JS9.0000000000004077" TargetMode="External"/><Relationship Id="rId283" Type="http://schemas.openxmlformats.org/officeDocument/2006/relationships/hyperlink" Target="https://drliuhao.github.io/mh-liver-pathways/evidence-libraries/" TargetMode="External"/><Relationship Id="rId284" Type="http://schemas.openxmlformats.org/officeDocument/2006/relationships/hyperlink" Target="https://doi.org/10.1002/lt.24782" TargetMode="External"/><Relationship Id="rId285" Type="http://schemas.openxmlformats.org/officeDocument/2006/relationships/hyperlink" Target="https://drliuhao.github.io/mh-liver-pathways/evidence-libraries/" TargetMode="External"/><Relationship Id="rId286" Type="http://schemas.openxmlformats.org/officeDocument/2006/relationships/hyperlink" Target="https://doi.org/10.1016/j.hbpd.2020.03.009" TargetMode="External"/><Relationship Id="rId287" Type="http://schemas.openxmlformats.org/officeDocument/2006/relationships/hyperlink" Target="https://drliuhao.github.io/mh-liver-pathways/evidence-libraries/" TargetMode="External"/><Relationship Id="rId288" Type="http://schemas.openxmlformats.org/officeDocument/2006/relationships/hyperlink" Target="https://doi.org/10.21037/jgo-24-328" TargetMode="External"/><Relationship Id="rId289" Type="http://schemas.openxmlformats.org/officeDocument/2006/relationships/hyperlink" Target="https://drliuhao.github.io/mh-liver-pathways/evidence-libraries/" TargetMode="External"/><Relationship Id="rId290" Type="http://schemas.openxmlformats.org/officeDocument/2006/relationships/hyperlink" Target="https://doi.org/10.1097/TP.0000000000003162" TargetMode="External"/><Relationship Id="rId291" Type="http://schemas.openxmlformats.org/officeDocument/2006/relationships/hyperlink" Target="https://drliuhao.github.io/mh-liver-pathways/evidence-libraries/" TargetMode="External"/><Relationship Id="rId292" Type="http://schemas.openxmlformats.org/officeDocument/2006/relationships/hyperlink" Target="https://doi.org/10.1111/tri.13586" TargetMode="External"/><Relationship Id="rId293" Type="http://schemas.openxmlformats.org/officeDocument/2006/relationships/hyperlink" Target="https://drliuhao.github.io/mh-liver-pathways/evidence-libraries/" TargetMode="External"/><Relationship Id="rId294" Type="http://schemas.openxmlformats.org/officeDocument/2006/relationships/hyperlink" Target="https://doi.org/10.1097/HEP.0000000000001801" TargetMode="External"/><Relationship Id="rId295" Type="http://schemas.openxmlformats.org/officeDocument/2006/relationships/hyperlink" Target="https://drliuhao.github.io/mh-liver-pathways/evidence-libraries/" TargetMode="External"/><Relationship Id="rId296" Type="http://schemas.openxmlformats.org/officeDocument/2006/relationships/hyperlink" Target="https://doi.org/10.1097/LVT.0000000000000589" TargetMode="External"/><Relationship Id="rId297" Type="http://schemas.openxmlformats.org/officeDocument/2006/relationships/hyperlink" Target="https://drliuhao.github.io/mh-liver-pathways/evidence-libraries/" TargetMode="External"/><Relationship Id="rId298" Type="http://schemas.openxmlformats.org/officeDocument/2006/relationships/hyperlink" Target="https://doi.org/10.1016/j.jhep.2024.08.028" TargetMode="External"/><Relationship Id="rId299" Type="http://schemas.openxmlformats.org/officeDocument/2006/relationships/hyperlink" Target="https://drliuhao.github.io/mh-liver-pathways/evidence-libraries/" TargetMode="External"/><Relationship Id="rId300" Type="http://schemas.openxmlformats.org/officeDocument/2006/relationships/hyperlink" Target="https://www.nccn.org/professionals/physician_gls/pdf/hcc.pdf#page=10" TargetMode="External"/><Relationship Id="rId301" Type="http://schemas.openxmlformats.org/officeDocument/2006/relationships/hyperlink" Target="https://drliuhao.github.io/mh-liver-pathways/evidence-libraries/" TargetMode="External"/><Relationship Id="rId302" Type="http://schemas.openxmlformats.org/officeDocument/2006/relationships/hyperlink" Target="https://doi.org/10.1016/S2468-1253(22)00091-7" TargetMode="External"/><Relationship Id="rId303" Type="http://schemas.openxmlformats.org/officeDocument/2006/relationships/hyperlink" Target="https://drliuhao.github.io/mh-liver-pathways/evidence-libraries/" TargetMode="External"/><Relationship Id="rId304" Type="http://schemas.openxmlformats.org/officeDocument/2006/relationships/hyperlink" Target="https://doi.org/10.1002/hep.31819" TargetMode="External"/><Relationship Id="rId305" Type="http://schemas.openxmlformats.org/officeDocument/2006/relationships/hyperlink" Target="https://drliuhao.github.io/mh-liver-pathways/evidence-libraries/" TargetMode="External"/><Relationship Id="rId306" Type="http://schemas.openxmlformats.org/officeDocument/2006/relationships/hyperlink" Target="https://doi.org/10.1016/j.prro.2021.09.004" TargetMode="External"/><Relationship Id="rId307" Type="http://schemas.openxmlformats.org/officeDocument/2006/relationships/hyperlink" Target="https://drliuhao.github.io/mh-liver-pathways/evidence-libraries/" TargetMode="External"/><Relationship Id="rId308" Type="http://schemas.openxmlformats.org/officeDocument/2006/relationships/hyperlink" Target="https://doi.org/10.1200/JCO.21.01963" TargetMode="External"/><Relationship Id="rId309" Type="http://schemas.openxmlformats.org/officeDocument/2006/relationships/hyperlink" Target="https://drliuhao.github.io/mh-liver-pathways/evidence-libraries/" TargetMode="External"/><Relationship Id="rId310" Type="http://schemas.openxmlformats.org/officeDocument/2006/relationships/hyperlink" Target="https://doi.org/10.1148/radiol.233051" TargetMode="External"/><Relationship Id="rId311" Type="http://schemas.openxmlformats.org/officeDocument/2006/relationships/hyperlink" Target="https://drliuhao.github.io/mh-liver-pathways/evidence-libraries/" TargetMode="External"/><Relationship Id="rId312" Type="http://schemas.openxmlformats.org/officeDocument/2006/relationships/hyperlink" Target="https://edge.sitecorecloud.io/americancoldf5f-acrorgf92a-productioncb02-3650/media/ACR/Files/RADS/LI-RADS/LI-RADS-CTMR-Radiation-TRA-v2024-Core.pdf" TargetMode="External"/><Relationship Id="rId313" Type="http://schemas.openxmlformats.org/officeDocument/2006/relationships/hyperlink" Target="https://drliuhao.github.io/mh-liver-pathways/evidence-libraries/" TargetMode="External"/><Relationship Id="rId314" Type="http://schemas.openxmlformats.org/officeDocument/2006/relationships/hyperlink" Target="https://www.gene.com/download/pdf/avastin_prescribing.pdf" TargetMode="External"/><Relationship Id="rId315" Type="http://schemas.openxmlformats.org/officeDocument/2006/relationships/hyperlink" Target="https://drliuhao.github.io/mh-liver-pathways/evidence-libraries/" TargetMode="External"/><Relationship Id="rId316" Type="http://schemas.openxmlformats.org/officeDocument/2006/relationships/hyperlink" Target="https://www.accessdata.fda.gov/drugsatfda_docs/label/2025/125554s129lbl.pdf" TargetMode="External"/><Relationship Id="rId317" Type="http://schemas.openxmlformats.org/officeDocument/2006/relationships/hyperlink" Target="https://drliuhao.github.io/mh-liver-pathways/evidence-libraries/" TargetMode="External"/><Relationship Id="rId318" Type="http://schemas.openxmlformats.org/officeDocument/2006/relationships/hyperlink" Target="https://doi.org/10.1056/NEJMoa1915745" TargetMode="External"/><Relationship Id="rId319" Type="http://schemas.openxmlformats.org/officeDocument/2006/relationships/hyperlink" Target="https://drliuhao.github.io/mh-liver-pathways/evidence-libraries/" TargetMode="External"/><Relationship Id="rId320" Type="http://schemas.openxmlformats.org/officeDocument/2006/relationships/hyperlink" Target="https://doi.org/10.1016/j.jhep.2021.11.030" TargetMode="External"/><Relationship Id="rId321" Type="http://schemas.openxmlformats.org/officeDocument/2006/relationships/hyperlink" Target="https://drliuhao.github.io/mh-liver-pathways/evidence-libraries/" TargetMode="External"/><Relationship Id="rId322" Type="http://schemas.openxmlformats.org/officeDocument/2006/relationships/hyperlink" Target="https://doi.org/10.1056/EVIDoa2100070" TargetMode="External"/><Relationship Id="rId323" Type="http://schemas.openxmlformats.org/officeDocument/2006/relationships/hyperlink" Target="https://drliuhao.github.io/mh-liver-pathways/evidence-libraries/" TargetMode="External"/><Relationship Id="rId324" Type="http://schemas.openxmlformats.org/officeDocument/2006/relationships/hyperlink" Target="https://doi.org/10.1016/S0140-6736(25)00403-9" TargetMode="External"/><Relationship Id="rId325" Type="http://schemas.openxmlformats.org/officeDocument/2006/relationships/hyperlink" Target="https://drliuhao.github.io/mh-liver-pathways/evidence-libraries/" TargetMode="External"/><Relationship Id="rId326" Type="http://schemas.openxmlformats.org/officeDocument/2006/relationships/hyperlink" Target="https://www.accessdata.fda.gov/drugsatfda_docs/label/2026/761232s018lbl.pdf" TargetMode="External"/><Relationship Id="rId327" Type="http://schemas.openxmlformats.org/officeDocument/2006/relationships/hyperlink" Target="https://drliuhao.github.io/mh-liver-pathways/evidence-libraries/" TargetMode="External"/><Relationship Id="rId328" Type="http://schemas.openxmlformats.org/officeDocument/2006/relationships/hyperlink" Target="https://www.accessdata.fda.gov/drugsatfda_docs/label/2025/125514s178lbl.pdf" TargetMode="External"/><Relationship Id="rId329" Type="http://schemas.openxmlformats.org/officeDocument/2006/relationships/hyperlink" Target="https://drliuhao.github.io/mh-liver-pathways/evidence-libraries/" TargetMode="External"/><Relationship Id="rId330" Type="http://schemas.openxmlformats.org/officeDocument/2006/relationships/hyperlink" Target="https://doi.org/10.1056/NEJMoa1717002" TargetMode="External"/><Relationship Id="rId331" Type="http://schemas.openxmlformats.org/officeDocument/2006/relationships/hyperlink" Target="https://drliuhao.github.io/mh-liver-pathways/evidence-libraries/" TargetMode="External"/><Relationship Id="rId332" Type="http://schemas.openxmlformats.org/officeDocument/2006/relationships/hyperlink" Target="https://doi.org/10.1016/S0140-6736(16)32453-9" TargetMode="External"/><Relationship Id="rId333" Type="http://schemas.openxmlformats.org/officeDocument/2006/relationships/hyperlink" Target="https://drliuhao.github.io/mh-liver-pathways/evidence-libraries/" TargetMode="External"/><Relationship Id="rId334" Type="http://schemas.openxmlformats.org/officeDocument/2006/relationships/hyperlink" Target="https://doi.org/10.1016/S1470-2045(18)30937-9" TargetMode="External"/><Relationship Id="rId335" Type="http://schemas.openxmlformats.org/officeDocument/2006/relationships/hyperlink" Target="https://drliuhao.github.io/mh-liver-pathways/evidence-libraries/" TargetMode="External"/><Relationship Id="rId336" Type="http://schemas.openxmlformats.org/officeDocument/2006/relationships/hyperlink" Target="https://doi.org/10.1200/JCO.22.00620" TargetMode="External"/><Relationship Id="rId337" Type="http://schemas.openxmlformats.org/officeDocument/2006/relationships/hyperlink" Target="https://drliuhao.github.io/mh-liver-pathways/evidence-libraries/" TargetMode="External"/><Relationship Id="rId338" Type="http://schemas.openxmlformats.org/officeDocument/2006/relationships/hyperlink" Target="https://doi.org/10.1016/S0140-6736(24)02575-3" TargetMode="External"/><Relationship Id="rId339" Type="http://schemas.openxmlformats.org/officeDocument/2006/relationships/hyperlink" Target="https://drliuhao.github.io/mh-liver-pathways/evidence-libraries/" TargetMode="External"/><Relationship Id="rId340" Type="http://schemas.openxmlformats.org/officeDocument/2006/relationships/hyperlink" Target="https://doi.org/10.1016/S0140-6736(24)02551-0" TargetMode="External"/><Relationship Id="rId341" Type="http://schemas.openxmlformats.org/officeDocument/2006/relationships/hyperlink" Target="https://drliuhao.github.io/mh-liver-pathways/evidence-libraries/" TargetMode="External"/><Relationship Id="rId342" Type="http://schemas.openxmlformats.org/officeDocument/2006/relationships/hyperlink" Target="https://doi.org/10.1016/S1470-2045(26)00278-0" TargetMode="External"/><Relationship Id="rId343" Type="http://schemas.openxmlformats.org/officeDocument/2006/relationships/hyperlink" Target="https://drliuhao.github.io/mh-liver-pathways/evidence-libraries/" TargetMode="External"/><Relationship Id="rId344" Type="http://schemas.openxmlformats.org/officeDocument/2006/relationships/hyperlink" Target="https://doi.org/10.1097/HEP.0000000000001269" TargetMode="External"/><Relationship Id="rId345" Type="http://schemas.openxmlformats.org/officeDocument/2006/relationships/hyperlink" Target="https://drliuhao.github.io/mh-liver-pathways/evidence-libraries/" TargetMode="External"/><Relationship Id="rId346" Type="http://schemas.openxmlformats.org/officeDocument/2006/relationships/hyperlink" Target="https://doi.org/10.1016/j.jhep.2026.01.006" TargetMode="External"/><Relationship Id="rId347" Type="http://schemas.openxmlformats.org/officeDocument/2006/relationships/hyperlink" Target="https://drliuhao.github.io/mh-liver-pathways/evidence-libraries/" TargetMode="External"/><Relationship Id="rId348" Type="http://schemas.openxmlformats.org/officeDocument/2006/relationships/hyperlink" Target="https://doi.org/10.1016/j.jhep.2024.06.042" TargetMode="External"/><Relationship Id="rId349" Type="http://schemas.openxmlformats.org/officeDocument/2006/relationships/hyperlink" Target="https://drliuhao.github.io/mh-liver-pathways/evidence-libraries/" TargetMode="External"/><Relationship Id="rId350" Type="http://schemas.openxmlformats.org/officeDocument/2006/relationships/hyperlink" Target="https://doi.org/10.1097/HEP.0000000000001289" TargetMode="External"/><Relationship Id="rId351" Type="http://schemas.openxmlformats.org/officeDocument/2006/relationships/hyperlink" Target="https://drliuhao.github.io/mh-liver-pathways/evidence-libraries/" TargetMode="External"/><Relationship Id="rId352" Type="http://schemas.openxmlformats.org/officeDocument/2006/relationships/hyperlink" Target="https://doi.org/10.1016/j.jhep.2024.09.003" TargetMode="External"/><Relationship Id="rId353" Type="http://schemas.openxmlformats.org/officeDocument/2006/relationships/hyperlink" Target="https://drliuhao.github.io/mh-liver-pathways/evidence-libraries/" TargetMode="External"/><Relationship Id="rId354" Type="http://schemas.openxmlformats.org/officeDocument/2006/relationships/hyperlink" Target="https://doi.org/10.1016/j.jhep.2026.02.019" TargetMode="External"/><Relationship Id="rId355" Type="http://schemas.openxmlformats.org/officeDocument/2006/relationships/hyperlink" Target="https://drliuhao.github.io/mh-liver-pathways/evidence-libraries/" TargetMode="External"/><Relationship Id="rId356" Type="http://schemas.openxmlformats.org/officeDocument/2006/relationships/hyperlink" Target="https://doi.org/10.1136/gutjnl-2025-336719" TargetMode="External"/><Relationship Id="rId357" Type="http://schemas.openxmlformats.org/officeDocument/2006/relationships/hyperlink" Target="https://drliuhao.github.io/mh-liver-pathways/evidence-libraries/" TargetMode="External"/><Relationship Id="rId358" Type="http://schemas.openxmlformats.org/officeDocument/2006/relationships/hyperlink" Target="https://doi.org/10.1111/apt.70528" TargetMode="External"/><Relationship Id="rId359" Type="http://schemas.openxmlformats.org/officeDocument/2006/relationships/hyperlink" Target="https://drliuhao.github.io/mh-liver-pathways/evidence-libraries/" TargetMode="External"/><Relationship Id="rId360" Type="http://schemas.openxmlformats.org/officeDocument/2006/relationships/hyperlink" Target="https://doi.org/10.1111/liv.70692" TargetMode="External"/><Relationship Id="rId361" Type="http://schemas.openxmlformats.org/officeDocument/2006/relationships/hyperlink" Target="https://drliuhao.github.io/mh-liver-pathways/evidence-libraries/" TargetMode="External"/><Relationship Id="rId362" Type="http://schemas.openxmlformats.org/officeDocument/2006/relationships/hyperlink" Target="https://doi.org/10.1001/jamaoncol.2026.3901" TargetMode="External"/><Relationship Id="rId363" Type="http://schemas.openxmlformats.org/officeDocument/2006/relationships/hyperlink" Target="https://drliuhao.github.io/mh-liver-pathways/evidence-libraries/" TargetMode="External"/><Relationship Id="rId364" Type="http://schemas.openxmlformats.org/officeDocument/2006/relationships/hyperlink" Target="https://onlinelibrary.wiley.com/doi/10.1111/apt.70333" TargetMode="External"/><Relationship Id="rId365" Type="http://schemas.openxmlformats.org/officeDocument/2006/relationships/hyperlink" Target="https://drliuhao.github.io/mh-liver-pathways/evidence-libraries/" TargetMode="External"/><Relationship Id="rId366" Type="http://schemas.openxmlformats.org/officeDocument/2006/relationships/hyperlink" Target="https://pubmed.ncbi.nlm.nih.gov/42073607" TargetMode="External"/><Relationship Id="rId367" Type="http://schemas.openxmlformats.org/officeDocument/2006/relationships/hyperlink" Target="https://drliuhao.github.io/mh-liver-pathways/evidence-libraries/" TargetMode="External"/><Relationship Id="rId368" Type="http://schemas.openxmlformats.org/officeDocument/2006/relationships/hyperlink" Target="https://doi.org/10.1155/joot/2545887" TargetMode="External"/><Relationship Id="rId369" Type="http://schemas.openxmlformats.org/officeDocument/2006/relationships/hyperlink" Target="https://drliuhao.github.io/mh-liver-pathways/evidence-libraries/" TargetMode="External"/><Relationship Id="rId370" Type="http://schemas.openxmlformats.org/officeDocument/2006/relationships/hyperlink" Target="https://www.ecfr.gov/current/title-45/subtitle-A/subchapter-A/part-46/subpart-A/section-46.111" TargetMode="External"/><Relationship Id="rId371" Type="http://schemas.openxmlformats.org/officeDocument/2006/relationships/hyperlink" Target="https://www.hrsa.gov/optn/professionals/resources/ethical-considerations/ethical-principles-in-the-allocation-of-human-organs" TargetMode="External"/><Relationship Id="rId372" Type="http://schemas.openxmlformats.org/officeDocument/2006/relationships/hyperlink" Target="https://doi.org/10.1016/S0140-6736(24)01595-2" TargetMode="External"/><Relationship Id="rId373" Type="http://schemas.openxmlformats.org/officeDocument/2006/relationships/hyperlink" Target="https://drliuhao.github.io/mh-liver-pathways/evidence-libraries/" TargetMode="External"/><Relationship Id="rId374" Type="http://schemas.openxmlformats.org/officeDocument/2006/relationships/hyperlink" Target="https://doi.org/10.1016/j.jhep.2024.03.020" TargetMode="External"/><Relationship Id="rId375" Type="http://schemas.openxmlformats.org/officeDocument/2006/relationships/hyperlink" Target="https://drliuhao.github.io/mh-liver-pathways/evidence-libraries/" TargetMode="External"/><Relationship Id="rId376" Type="http://schemas.openxmlformats.org/officeDocument/2006/relationships/hyperlink" Target="https://doi.org/10.1111/j.1600-6143.2011.03972.x" TargetMode="External"/><Relationship Id="rId377" Type="http://schemas.openxmlformats.org/officeDocument/2006/relationships/hyperlink" Target="https://drliuhao.github.io/mh-liver-pathways/evidence-libraries/" TargetMode="External"/><Relationship Id="rId378" Type="http://schemas.openxmlformats.org/officeDocument/2006/relationships/hyperlink" Target="https://doi.org/10.1111/ajt.14055" TargetMode="External"/><Relationship Id="rId379" Type="http://schemas.openxmlformats.org/officeDocument/2006/relationships/hyperlink" Target="https://drliuhao.github.io/mh-liver-pathways/evidence-libraries/" TargetMode="External"/><Relationship Id="rId380" Type="http://schemas.openxmlformats.org/officeDocument/2006/relationships/hyperlink" Target="https://doi.org/10.1097/LVT.0000000000000303" TargetMode="External"/><Relationship Id="rId381" Type="http://schemas.openxmlformats.org/officeDocument/2006/relationships/hyperlink" Target="https://drliuhao.github.io/mh-liver-pathways/evidence-libraries/" TargetMode="External"/><Relationship Id="rId382" Type="http://schemas.openxmlformats.org/officeDocument/2006/relationships/hyperlink" Target="https://doi.org/10.1097/TP.0000000000000965" TargetMode="External"/><Relationship Id="rId383" Type="http://schemas.openxmlformats.org/officeDocument/2006/relationships/hyperlink" Target="https://drliuhao.github.io/mh-liver-pathways/evidence-libraries/" TargetMode="External"/><Relationship Id="rId384" Type="http://schemas.openxmlformats.org/officeDocument/2006/relationships/hyperlink" Target="https://doi.org/10.1016/j.ajt.2026.02.010" TargetMode="External"/><Relationship Id="rId385" Type="http://schemas.openxmlformats.org/officeDocument/2006/relationships/hyperlink" Target="https://drliuhao.github.io/mh-liver-pathways/evidence-libraries/" TargetMode="External"/><Relationship Id="rId386" Type="http://schemas.openxmlformats.org/officeDocument/2006/relationships/hyperlink" Target="https://doi.org/10.1136/bmj.i5239" TargetMode="External"/><Relationship Id="rId387" Type="http://schemas.openxmlformats.org/officeDocument/2006/relationships/hyperlink" Target="https://drliuhao.github.io/mh-liver-pathways/evidence-libraries/" TargetMode="External"/><Relationship Id="rId388" Type="http://schemas.openxmlformats.org/officeDocument/2006/relationships/hyperlink" Target="https://doi.org/10.3389/ti.2024.13641" TargetMode="External"/><Relationship Id="rId389" Type="http://schemas.openxmlformats.org/officeDocument/2006/relationships/hyperlink" Target="https://drliuhao.github.io/mh-liver-pathways/evidence-libraries/" TargetMode="External"/><Relationship Id="rId390" Type="http://schemas.openxmlformats.org/officeDocument/2006/relationships/hyperlink" Target="https://academic.oup.com/bjs/article/112/3/znaf054/8083032" TargetMode="External"/><Relationship Id="rId391" Type="http://schemas.openxmlformats.org/officeDocument/2006/relationships/hyperlink" Target="https://drliuhao.github.io/mh-liver-pathways/evidence-libraries/" TargetMode="External"/><Relationship Id="rId392" Type="http://schemas.openxmlformats.org/officeDocument/2006/relationships/hyperlink" Target="https://doi.org/10.1111/ctr.70488" TargetMode="External"/><Relationship Id="rId393" Type="http://schemas.openxmlformats.org/officeDocument/2006/relationships/hyperlink" Target="https://drliuhao.github.io/mh-liver-pathways/evidence-libraries/" TargetMode="External"/><Relationship Id="rId394" Type="http://schemas.openxmlformats.org/officeDocument/2006/relationships/hyperlink" Target="https://doi.org/10.1097/HC9.0000000000000619" TargetMode="External"/><Relationship Id="rId395" Type="http://schemas.openxmlformats.org/officeDocument/2006/relationships/hyperlink" Target="https://drliuhao.github.io/mh-liver-pathways/evidence-libraries/" TargetMode="External"/><Relationship Id="rId396" Type="http://schemas.openxmlformats.org/officeDocument/2006/relationships/hyperlink" Target="https://doi.org/10.1002/hep.29342" TargetMode="External"/><Relationship Id="rId397" Type="http://schemas.openxmlformats.org/officeDocument/2006/relationships/hyperlink" Target="https://drliuhao.github.io/mh-liver-pathways/evidence-libraries/" TargetMode="External"/><Relationship Id="rId398" Type="http://schemas.openxmlformats.org/officeDocument/2006/relationships/hyperlink" Target="https://doi.org/10.1016/j.jhepr.2023.100907" TargetMode="External"/><Relationship Id="rId399" Type="http://schemas.openxmlformats.org/officeDocument/2006/relationships/hyperlink" Target="https://drliuhao.github.io/mh-liver-pathways/evidence-libraries/" TargetMode="External"/><Relationship Id="rId400" Type="http://schemas.openxmlformats.org/officeDocument/2006/relationships/hyperlink" Target="https://doi.org/10.1177/09622802261420699" TargetMode="External"/><Relationship Id="rId401" Type="http://schemas.openxmlformats.org/officeDocument/2006/relationships/hyperlink" Target="https://drliuhao.github.io/mh-liver-pathways/evidence-libraries/" TargetMode="External"/><Relationship Id="rId402" Type="http://schemas.openxmlformats.org/officeDocument/2006/relationships/hyperlink" Target="https://drliuhao.github.io/mh-liver-pathways/evidence-libraries/" TargetMode="External"/><Relationship Id="rId403" Type="http://schemas.openxmlformats.org/officeDocument/2006/relationships/hyperlink" Target="https://drliuhao.github.io/mh-liver-pathways/evidence-libraries/" TargetMode="External"/><Relationship Id="rId404" Type="http://schemas.openxmlformats.org/officeDocument/2006/relationships/hyperlink" Target="https://www.hrsa.gov/sites/default/files/hrsa/optn/optn_policies.pdf" TargetMode="External"/><Relationship Id="rId405" Type="http://schemas.openxmlformats.org/officeDocument/2006/relationships/hyperlink" Target="https://drliuhao.github.io/mh-liver-pathways/evidence-libraries/" TargetMode="External"/><Relationship Id="rId406" Type="http://schemas.openxmlformats.org/officeDocument/2006/relationships/hyperlink" Target="https://www.hrsa.gov/sites/default/files/hrsa/optn/adult-meld-exception-transplant-oncology-review-guidance.pdf" TargetMode="External"/><Relationship Id="rId407" Type="http://schemas.openxmlformats.org/officeDocument/2006/relationships/hyperlink" Target="https://drliuhao.github.io/mh-liver-pathways/evidence-libraries/" TargetMode="External"/><Relationship Id="rId408" Type="http://schemas.openxmlformats.org/officeDocument/2006/relationships/hyperlink" Target="https://doi.org/10.1097/HEP.0000000000000466" TargetMode="External"/><Relationship Id="rId409" Type="http://schemas.openxmlformats.org/officeDocument/2006/relationships/hyperlink" Target="https://drliuhao.github.io/mh-liver-pathways/evidence-libraries/" TargetMode="External"/><Relationship Id="rId410" Type="http://schemas.openxmlformats.org/officeDocument/2006/relationships/hyperlink" Target="https://doi.org/10.1097/HEP.0000000000001231" TargetMode="External"/><Relationship Id="rId411" Type="http://schemas.openxmlformats.org/officeDocument/2006/relationships/hyperlink" Target="https://drliuhao.github.io/mh-liver-pathways/evidence-libraries/" TargetMode="External"/><Relationship Id="rId412" Type="http://schemas.openxmlformats.org/officeDocument/2006/relationships/hyperlink" Target="https://doi.org/10.1016/S1470-2045(20)30224-2" TargetMode="External"/><Relationship Id="rId413" Type="http://schemas.openxmlformats.org/officeDocument/2006/relationships/hyperlink" Target="https://drliuhao.github.io/mh-liver-pathways/evidence-libraries/" TargetMode="External"/><Relationship Id="rId414" Type="http://schemas.openxmlformats.org/officeDocument/2006/relationships/hyperlink" Target="https://doi.org/10.1097/HEP.0000000000001644" TargetMode="External"/><Relationship Id="rId415" Type="http://schemas.openxmlformats.org/officeDocument/2006/relationships/hyperlink" Target="https://drliuhao.github.io/mh-liver-pathways/evidence-libraries/" TargetMode="External"/><Relationship Id="rId416" Type="http://schemas.openxmlformats.org/officeDocument/2006/relationships/hyperlink" Target="https://doi.org/10.1002/hep.27752" TargetMode="External"/><Relationship Id="rId417" Type="http://schemas.openxmlformats.org/officeDocument/2006/relationships/hyperlink" Target="https://drliuhao.github.io/mh-liver-pathways/evidence-libraries/" TargetMode="External"/><Relationship Id="rId418" Type="http://schemas.openxmlformats.org/officeDocument/2006/relationships/hyperlink" Target="https://doi.org/10.1053/j.gastro.2021.07.033" TargetMode="External"/><Relationship Id="rId419" Type="http://schemas.openxmlformats.org/officeDocument/2006/relationships/hyperlink" Target="https://drliuhao.github.io/mh-liver-pathways/evidence-libraries/" TargetMode="External"/><Relationship Id="rId420" Type="http://schemas.openxmlformats.org/officeDocument/2006/relationships/hyperlink" Target="https://doi.org/10.1002/hep.30570" TargetMode="External"/><Relationship Id="rId421" Type="http://schemas.openxmlformats.org/officeDocument/2006/relationships/hyperlink" Target="https://drliuhao.github.io/mh-liver-pathways/evidence-libraries/" TargetMode="External"/><Relationship Id="rId422" Type="http://schemas.openxmlformats.org/officeDocument/2006/relationships/hyperlink" Target="https://doi.org/10.1016/j.ajt.2023.07.021" TargetMode="External"/><Relationship Id="rId423" Type="http://schemas.openxmlformats.org/officeDocument/2006/relationships/hyperlink" Target="https://drliuhao.github.io/mh-liver-pathways/evidence-libraries/" TargetMode="External"/><Relationship Id="rId424" Type="http://schemas.openxmlformats.org/officeDocument/2006/relationships/hyperlink" Target="https://doi.org/10.1016/j.cgh.2022.08.023" TargetMode="External"/><Relationship Id="rId425" Type="http://schemas.openxmlformats.org/officeDocument/2006/relationships/hyperlink" Target="https://drliuhao.github.io/mh-liver-pathways/evidence-libraries/" TargetMode="External"/><Relationship Id="rId426" Type="http://schemas.openxmlformats.org/officeDocument/2006/relationships/hyperlink" Target="https://doi.org/10.1001/jamasurg.2022.2800" TargetMode="External"/><Relationship Id="rId427" Type="http://schemas.openxmlformats.org/officeDocument/2006/relationships/hyperlink" Target="https://drliuhao.github.io/mh-liver-pathways/evidence-libraries/" TargetMode="External"/><Relationship Id="rId428" Type="http://schemas.openxmlformats.org/officeDocument/2006/relationships/hyperlink" Target="https://doi.org/10.1038/s41571-026-01160-z" TargetMode="External"/><Relationship Id="rId429" Type="http://schemas.openxmlformats.org/officeDocument/2006/relationships/hyperlink" Target="https://drliuhao.github.io/mh-liver-pathways/evidence-libraries/" TargetMode="External"/><Relationship Id="rId430" Type="http://schemas.openxmlformats.org/officeDocument/2006/relationships/hyperlink" Target="https://doi.org/10.1097/JS9.0000000000004077" TargetMode="External"/><Relationship Id="rId431" Type="http://schemas.openxmlformats.org/officeDocument/2006/relationships/hyperlink" Target="https://drliuhao.github.io/mh-liver-pathways/evidence-libraries/" TargetMode="External"/><Relationship Id="rId432" Type="http://schemas.openxmlformats.org/officeDocument/2006/relationships/hyperlink" Target="https://doi.org/10.1002/lt.24782" TargetMode="External"/><Relationship Id="rId433" Type="http://schemas.openxmlformats.org/officeDocument/2006/relationships/hyperlink" Target="https://drliuhao.github.io/mh-liver-pathways/evidence-libraries/" TargetMode="External"/><Relationship Id="rId434" Type="http://schemas.openxmlformats.org/officeDocument/2006/relationships/hyperlink" Target="https://doi.org/10.1016/j.hbpd.2020.03.009" TargetMode="External"/><Relationship Id="rId435" Type="http://schemas.openxmlformats.org/officeDocument/2006/relationships/hyperlink" Target="https://drliuhao.github.io/mh-liver-pathways/evidence-libraries/" TargetMode="External"/><Relationship Id="rId436" Type="http://schemas.openxmlformats.org/officeDocument/2006/relationships/hyperlink" Target="https://doi.org/10.21037/jgo-24-328" TargetMode="External"/><Relationship Id="rId437" Type="http://schemas.openxmlformats.org/officeDocument/2006/relationships/hyperlink" Target="https://drliuhao.github.io/mh-liver-pathways/evidence-libraries/" TargetMode="External"/><Relationship Id="rId438" Type="http://schemas.openxmlformats.org/officeDocument/2006/relationships/hyperlink" Target="https://doi.org/10.1097/TP.0000000000003162" TargetMode="External"/><Relationship Id="rId439" Type="http://schemas.openxmlformats.org/officeDocument/2006/relationships/hyperlink" Target="https://drliuhao.github.io/mh-liver-pathways/evidence-libraries/" TargetMode="External"/><Relationship Id="rId440" Type="http://schemas.openxmlformats.org/officeDocument/2006/relationships/hyperlink" Target="https://doi.org/10.1111/tri.13586" TargetMode="External"/><Relationship Id="rId441" Type="http://schemas.openxmlformats.org/officeDocument/2006/relationships/hyperlink" Target="https://drliuhao.github.io/mh-liver-pathways/evidence-libraries/" TargetMode="External"/><Relationship Id="rId442" Type="http://schemas.openxmlformats.org/officeDocument/2006/relationships/hyperlink" Target="https://doi.org/10.1097/HEP.0000000000001801" TargetMode="External"/><Relationship Id="rId443" Type="http://schemas.openxmlformats.org/officeDocument/2006/relationships/hyperlink" Target="https://drliuhao.github.io/mh-liver-pathways/evidence-libraries/" TargetMode="External"/><Relationship Id="rId444" Type="http://schemas.openxmlformats.org/officeDocument/2006/relationships/hyperlink" Target="https://doi.org/10.1097/LVT.0000000000000589" TargetMode="External"/><Relationship Id="rId445" Type="http://schemas.openxmlformats.org/officeDocument/2006/relationships/hyperlink" Target="https://drliuhao.github.io/mh-liver-pathways/evidence-libraries/" TargetMode="External"/><Relationship Id="rId446" Type="http://schemas.openxmlformats.org/officeDocument/2006/relationships/hyperlink" Target="https://doi.org/10.1016/j.jhep.2024.08.028" TargetMode="External"/><Relationship Id="rId447" Type="http://schemas.openxmlformats.org/officeDocument/2006/relationships/hyperlink" Target="https://drliuhao.github.io/mh-liver-pathways/evidence-libraries/" TargetMode="External"/><Relationship Id="rId448" Type="http://schemas.openxmlformats.org/officeDocument/2006/relationships/hyperlink" Target="https://doi.org/10.1016/j.prro.2021.09.004" TargetMode="External"/><Relationship Id="rId449" Type="http://schemas.openxmlformats.org/officeDocument/2006/relationships/hyperlink" Target="https://drliuhao.github.io/mh-liver-pathways/evidence-libraries/" TargetMode="External"/><Relationship Id="rId450" Type="http://schemas.openxmlformats.org/officeDocument/2006/relationships/hyperlink" Target="https://www.nccn.org/professionals/physician_gls/pdf/hcc.pdf#page=10" TargetMode="External"/><Relationship Id="rId451" Type="http://schemas.openxmlformats.org/officeDocument/2006/relationships/hyperlink" Target="https://drliuhao.github.io/mh-liver-pathways/evidence-libraries/" TargetMode="External"/><Relationship Id="rId452" Type="http://schemas.openxmlformats.org/officeDocument/2006/relationships/hyperlink" Target="https://edge.sitecorecloud.io/americancoldf5f-acrorgf92a-productioncb02-3650/media/ACR/Files/RADS/LI-RADS/LI-RADS-CTMR-Radiation-TRA-v2024-Core.pdf" TargetMode="External"/><Relationship Id="rId453" Type="http://schemas.openxmlformats.org/officeDocument/2006/relationships/hyperlink" Target="https://drliuhao.github.io/mh-liver-pathways/evidence-libraries/" TargetMode="External"/><Relationship Id="rId454" Type="http://schemas.openxmlformats.org/officeDocument/2006/relationships/hyperlink" Target="https://doi.org/10.1097/HEP.0000000000001289" TargetMode="External"/><Relationship Id="rId455" Type="http://schemas.openxmlformats.org/officeDocument/2006/relationships/hyperlink" Target="https://drliuhao.github.io/mh-liver-pathways/evidence-libraries/" TargetMode="External"/><Relationship Id="rId456" Type="http://schemas.openxmlformats.org/officeDocument/2006/relationships/hyperlink" Target="https://doi.org/10.1016/j.jhep.2024.09.003" TargetMode="External"/><Relationship Id="rId457" Type="http://schemas.openxmlformats.org/officeDocument/2006/relationships/hyperlink" Target="https://drliuhao.github.io/mh-liver-pathways/evidence-libraries/" TargetMode="External"/><Relationship Id="rId458" Type="http://schemas.openxmlformats.org/officeDocument/2006/relationships/hyperlink" Target="https://www.gene.com/download/pdf/avastin_prescribing.pdf" TargetMode="External"/><Relationship Id="rId459" Type="http://schemas.openxmlformats.org/officeDocument/2006/relationships/hyperlink" Target="https://drliuhao.github.io/mh-liver-pathways/evidence-libraries/" TargetMode="External"/><Relationship Id="rId460" Type="http://schemas.openxmlformats.org/officeDocument/2006/relationships/hyperlink" Target="https://pubmed.ncbi.nlm.nih.gov/37760542" TargetMode="External"/><Relationship Id="rId461" Type="http://schemas.openxmlformats.org/officeDocument/2006/relationships/hyperlink" Target="https://drliuhao.github.io/mh-liver-pathways/evidence-libraries/" TargetMode="External"/><Relationship Id="rId462" Type="http://schemas.openxmlformats.org/officeDocument/2006/relationships/hyperlink" Target="https://doi.org/10.1016/j.jhep.2026.02.019" TargetMode="External"/><Relationship Id="rId463" Type="http://schemas.openxmlformats.org/officeDocument/2006/relationships/hyperlink" Target="https://drliuhao.github.io/mh-liver-pathways/evidence-libraries/" TargetMode="External"/><Relationship Id="rId464" Type="http://schemas.openxmlformats.org/officeDocument/2006/relationships/hyperlink" Target="https://doi.org/10.1016/j.jhep.2024.06.042" TargetMode="External"/><Relationship Id="rId465" Type="http://schemas.openxmlformats.org/officeDocument/2006/relationships/hyperlink" Target="https://drliuhao.github.io/mh-liver-pathways/evidence-libraries/" TargetMode="External"/><Relationship Id="rId466" Type="http://schemas.openxmlformats.org/officeDocument/2006/relationships/hyperlink" Target="https://doi.org/10.1136/gutjnl-2025-336719" TargetMode="External"/><Relationship Id="rId467" Type="http://schemas.openxmlformats.org/officeDocument/2006/relationships/hyperlink" Target="https://drliuhao.github.io/mh-liver-pathways/evidence-libraries/" TargetMode="External"/><Relationship Id="rId468" Type="http://schemas.openxmlformats.org/officeDocument/2006/relationships/hyperlink" Target="https://doi.org/10.1111/apt.70528" TargetMode="External"/><Relationship Id="rId469" Type="http://schemas.openxmlformats.org/officeDocument/2006/relationships/hyperlink" Target="https://drliuhao.github.io/mh-liver-pathways/evidence-libraries/" TargetMode="External"/><Relationship Id="rId470" Type="http://schemas.openxmlformats.org/officeDocument/2006/relationships/hyperlink" Target="https://doi.org/10.1111/liv.70692" TargetMode="External"/><Relationship Id="rId471" Type="http://schemas.openxmlformats.org/officeDocument/2006/relationships/hyperlink" Target="https://drliuhao.github.io/mh-liver-pathways/evidence-libraries/" TargetMode="External"/><Relationship Id="rId472" Type="http://schemas.openxmlformats.org/officeDocument/2006/relationships/hyperlink" Target="https://doi.org/10.1001/jamaoncol.2026.3901" TargetMode="External"/><Relationship Id="rId473" Type="http://schemas.openxmlformats.org/officeDocument/2006/relationships/hyperlink" Target="https://drliuhao.github.io/mh-liver-pathways/evidence-libraries/" TargetMode="External"/><Relationship Id="rId474" Type="http://schemas.openxmlformats.org/officeDocument/2006/relationships/hyperlink" Target="https://onlinelibrary.wiley.com/doi/10.1111/apt.70333" TargetMode="External"/><Relationship Id="rId475" Type="http://schemas.openxmlformats.org/officeDocument/2006/relationships/hyperlink" Target="https://drliuhao.github.io/mh-liver-pathways/evidence-libraries/" TargetMode="External"/><Relationship Id="rId476" Type="http://schemas.openxmlformats.org/officeDocument/2006/relationships/hyperlink" Target="https://pubmed.ncbi.nlm.nih.gov/42073607" TargetMode="External"/><Relationship Id="rId477" Type="http://schemas.openxmlformats.org/officeDocument/2006/relationships/hyperlink" Target="https://drliuhao.github.io/mh-liver-pathways/evidence-libraries/" TargetMode="External"/><Relationship Id="rId478" Type="http://schemas.openxmlformats.org/officeDocument/2006/relationships/hyperlink" Target="https://doi.org/10.1155/joot/2545887" TargetMode="External"/><Relationship Id="rId479" Type="http://schemas.openxmlformats.org/officeDocument/2006/relationships/hyperlink" Target="https://drliuhao.github.io/mh-liver-pathways/evidence-libraries/" TargetMode="External"/><Relationship Id="rId480" Type="http://schemas.openxmlformats.org/officeDocument/2006/relationships/hyperlink" Target="https://www.ecfr.gov/current/title-45/subtitle-A/subchapter-A/part-46/subpart-A/section-46.111" TargetMode="External"/><Relationship Id="rId481" Type="http://schemas.openxmlformats.org/officeDocument/2006/relationships/hyperlink" Target="https://www.hrsa.gov/optn/professionals/resources/ethical-considerations/ethical-principles-in-the-allocation-of-human-organs" TargetMode="External"/><Relationship Id="rId482" Type="http://schemas.openxmlformats.org/officeDocument/2006/relationships/hyperlink" Target="https://doi.org/10.1016/S0140-6736(24)01595-2" TargetMode="External"/><Relationship Id="rId483" Type="http://schemas.openxmlformats.org/officeDocument/2006/relationships/hyperlink" Target="https://drliuhao.github.io/mh-liver-pathways/evidence-libraries/" TargetMode="External"/><Relationship Id="rId484" Type="http://schemas.openxmlformats.org/officeDocument/2006/relationships/hyperlink" Target="https://doi.org/10.1016/j.jhep.2024.03.020" TargetMode="External"/><Relationship Id="rId485" Type="http://schemas.openxmlformats.org/officeDocument/2006/relationships/hyperlink" Target="https://drliuhao.github.io/mh-liver-pathways/evidence-libraries/" TargetMode="External"/><Relationship Id="rId486" Type="http://schemas.openxmlformats.org/officeDocument/2006/relationships/hyperlink" Target="https://doi.org/10.1111/j.1600-6143.2011.03972.x" TargetMode="External"/><Relationship Id="rId487" Type="http://schemas.openxmlformats.org/officeDocument/2006/relationships/hyperlink" Target="https://drliuhao.github.io/mh-liver-pathways/evidence-libraries/" TargetMode="External"/><Relationship Id="rId488" Type="http://schemas.openxmlformats.org/officeDocument/2006/relationships/hyperlink" Target="https://doi.org/10.1111/ajt.14055" TargetMode="External"/><Relationship Id="rId489" Type="http://schemas.openxmlformats.org/officeDocument/2006/relationships/hyperlink" Target="https://drliuhao.github.io/mh-liver-pathways/evidence-libraries/" TargetMode="External"/><Relationship Id="rId490" Type="http://schemas.openxmlformats.org/officeDocument/2006/relationships/hyperlink" Target="https://doi.org/10.1097/LVT.0000000000000303" TargetMode="External"/><Relationship Id="rId491" Type="http://schemas.openxmlformats.org/officeDocument/2006/relationships/hyperlink" Target="https://drliuhao.github.io/mh-liver-pathways/evidence-libraries/" TargetMode="External"/><Relationship Id="rId492" Type="http://schemas.openxmlformats.org/officeDocument/2006/relationships/hyperlink" Target="https://doi.org/10.1097/TP.0000000000000965" TargetMode="External"/><Relationship Id="rId493" Type="http://schemas.openxmlformats.org/officeDocument/2006/relationships/hyperlink" Target="https://drliuhao.github.io/mh-liver-pathways/evidence-libraries/" TargetMode="External"/><Relationship Id="rId494" Type="http://schemas.openxmlformats.org/officeDocument/2006/relationships/hyperlink" Target="https://doi.org/10.1016/j.ajt.2026.02.010" TargetMode="External"/><Relationship Id="rId495" Type="http://schemas.openxmlformats.org/officeDocument/2006/relationships/hyperlink" Target="https://drliuhao.github.io/mh-liver-pathways/evidence-libraries/" TargetMode="External"/><Relationship Id="rId496" Type="http://schemas.openxmlformats.org/officeDocument/2006/relationships/hyperlink" Target="https://doi.org/10.1136/bmj.i5239" TargetMode="External"/><Relationship Id="rId497" Type="http://schemas.openxmlformats.org/officeDocument/2006/relationships/hyperlink" Target="https://drliuhao.github.io/mh-liver-pathways/evidence-libraries/" TargetMode="External"/><Relationship Id="rId498" Type="http://schemas.openxmlformats.org/officeDocument/2006/relationships/hyperlink" Target="https://doi.org/10.3389/ti.2024.13641" TargetMode="External"/><Relationship Id="rId499" Type="http://schemas.openxmlformats.org/officeDocument/2006/relationships/hyperlink" Target="https://drliuhao.github.io/mh-liver-pathways/evidence-libraries/" TargetMode="External"/><Relationship Id="rId500" Type="http://schemas.openxmlformats.org/officeDocument/2006/relationships/hyperlink" Target="https://academic.oup.com/bjs/article/112/3/znaf054/8083032" TargetMode="External"/><Relationship Id="rId501" Type="http://schemas.openxmlformats.org/officeDocument/2006/relationships/hyperlink" Target="https://drliuhao.github.io/mh-liver-pathways/evidence-libraries/" TargetMode="External"/><Relationship Id="rId502" Type="http://schemas.openxmlformats.org/officeDocument/2006/relationships/hyperlink" Target="https://doi.org/10.1111/ctr.70488" TargetMode="External"/><Relationship Id="rId503" Type="http://schemas.openxmlformats.org/officeDocument/2006/relationships/hyperlink" Target="https://drliuhao.github.io/mh-liver-pathways/evidence-libraries/" TargetMode="External"/><Relationship Id="rId504" Type="http://schemas.openxmlformats.org/officeDocument/2006/relationships/hyperlink" Target="https://doi.org/10.1097/HC9.0000000000000619" TargetMode="External"/><Relationship Id="rId505" Type="http://schemas.openxmlformats.org/officeDocument/2006/relationships/hyperlink" Target="https://drliuhao.github.io/mh-liver-pathways/evidence-libraries/" TargetMode="External"/><Relationship Id="rId506" Type="http://schemas.openxmlformats.org/officeDocument/2006/relationships/hyperlink" Target="https://doi.org/10.1002/hep.29342" TargetMode="External"/><Relationship Id="rId507" Type="http://schemas.openxmlformats.org/officeDocument/2006/relationships/hyperlink" Target="https://drliuhao.github.io/mh-liver-pathways/evidence-libraries/" TargetMode="External"/><Relationship Id="rId508" Type="http://schemas.openxmlformats.org/officeDocument/2006/relationships/hyperlink" Target="https://doi.org/10.1016/j.jhepr.2023.100907" TargetMode="External"/><Relationship Id="rId509" Type="http://schemas.openxmlformats.org/officeDocument/2006/relationships/hyperlink" Target="https://drliuhao.github.io/mh-liver-pathways/evidence-libraries/" TargetMode="External"/><Relationship Id="rId510" Type="http://schemas.openxmlformats.org/officeDocument/2006/relationships/hyperlink" Target="https://doi.org/10.1177/09622802261420699" TargetMode="External"/><Relationship Id="rId511" Type="http://schemas.openxmlformats.org/officeDocument/2006/relationships/hyperlink" Target="https://drliuhao.github.io/mh-liver-pathways/evidence-libraries/" TargetMode="External"/><Relationship Id="rId512" Type="http://schemas.openxmlformats.org/officeDocument/2006/relationships/hyperlink" Target="https://drliuhao.github.io/mh-liver-pathways/evidence-libraries/" TargetMode="External"/><Relationship Id="rId513" Type="http://schemas.openxmlformats.org/officeDocument/2006/relationships/hyperlink" Target="https://drliuhao.github.io/mh-liver-pathways/evidence-libraries/" TargetMode="External"/><Relationship Id="rId514" Type="http://schemas.openxmlformats.org/officeDocument/2006/relationships/hyperlink" Target="https://www.hrsa.gov/sites/default/files/hrsa/optn/optn_policies.pdf" TargetMode="External"/><Relationship Id="rId515" Type="http://schemas.openxmlformats.org/officeDocument/2006/relationships/hyperlink" Target="https://drliuhao.github.io/mh-liver-pathways/evidence-libraries/" TargetMode="External"/><Relationship Id="rId516" Type="http://schemas.openxmlformats.org/officeDocument/2006/relationships/hyperlink" Target="https://www.hrsa.gov/sites/default/files/hrsa/optn/adult-meld-exception-transplant-oncology-review-guidance.pdf" TargetMode="External"/><Relationship Id="rId517" Type="http://schemas.openxmlformats.org/officeDocument/2006/relationships/hyperlink" Target="https://drliuhao.github.io/mh-liver-pathways/evidence-libraries/" TargetMode="External"/><Relationship Id="rId518" Type="http://schemas.openxmlformats.org/officeDocument/2006/relationships/hyperlink" Target="https://doi.org/10.1002/hep.30413" TargetMode="External"/><Relationship Id="rId519" Type="http://schemas.openxmlformats.org/officeDocument/2006/relationships/hyperlink" Target="https://drliuhao.github.io/mh-liver-pathways/evidence-libraries/" TargetMode="External"/><Relationship Id="rId520" Type="http://schemas.openxmlformats.org/officeDocument/2006/relationships/hyperlink" Target="https://doi.org/10.1001/jamasurg.2021.0954" TargetMode="External"/><Relationship Id="rId521" Type="http://schemas.openxmlformats.org/officeDocument/2006/relationships/hyperlink" Target="https://drliuhao.github.io/mh-liver-pathways/evidence-libraries/" TargetMode="External"/><Relationship Id="rId522" Type="http://schemas.openxmlformats.org/officeDocument/2006/relationships/hyperlink" Target="https://doi.org/10.1097/HEP.0000000000000466" TargetMode="External"/><Relationship Id="rId523" Type="http://schemas.openxmlformats.org/officeDocument/2006/relationships/hyperlink" Target="https://drliuhao.github.io/mh-liver-pathways/evidence-libraries/" TargetMode="External"/><Relationship Id="rId524" Type="http://schemas.openxmlformats.org/officeDocument/2006/relationships/hyperlink" Target="https://doi.org/10.1002/cam4.71812" TargetMode="External"/><Relationship Id="rId525" Type="http://schemas.openxmlformats.org/officeDocument/2006/relationships/hyperlink" Target="https://drliuhao.github.io/mh-liver-pathways/evidence-libraries/" TargetMode="External"/><Relationship Id="rId526" Type="http://schemas.openxmlformats.org/officeDocument/2006/relationships/hyperlink" Target="https://www.hrsa.gov/sites/default/files/hrsa/optn/optn_policies.pdf" TargetMode="External"/><Relationship Id="rId527" Type="http://schemas.openxmlformats.org/officeDocument/2006/relationships/hyperlink" Target="https://drliuhao.github.io/mh-liver-pathways/evidence-libraries/" TargetMode="External"/><Relationship Id="rId528" Type="http://schemas.openxmlformats.org/officeDocument/2006/relationships/hyperlink" Target="https://www.hrsa.gov/sites/default/files/hrsa/optn/adult-meld-exception-transplant-oncology-review-guidance.pdf" TargetMode="External"/><Relationship Id="rId529" Type="http://schemas.openxmlformats.org/officeDocument/2006/relationships/hyperlink" Target="https://drliuhao.github.io/mh-liver-pathways/evidence-libraries/" TargetMode="External"/><Relationship Id="rId530" Type="http://schemas.openxmlformats.org/officeDocument/2006/relationships/hyperlink" Target="https://doi.org/10.1002/hep.30413" TargetMode="External"/><Relationship Id="rId531" Type="http://schemas.openxmlformats.org/officeDocument/2006/relationships/hyperlink" Target="https://drliuhao.github.io/mh-liver-pathways/evidence-libraries/" TargetMode="External"/><Relationship Id="rId532" Type="http://schemas.openxmlformats.org/officeDocument/2006/relationships/hyperlink" Target="https://doi.org/10.1002/lt.26392" TargetMode="External"/><Relationship Id="rId533" Type="http://schemas.openxmlformats.org/officeDocument/2006/relationships/hyperlink" Target="https://drliuhao.github.io/mh-liver-pathways/evidence-libraries/" TargetMode="External"/><Relationship Id="rId534" Type="http://schemas.openxmlformats.org/officeDocument/2006/relationships/hyperlink" Target="https://doi.org/10.1097/TP.0000000000002094" TargetMode="External"/><Relationship Id="rId535" Type="http://schemas.openxmlformats.org/officeDocument/2006/relationships/hyperlink" Target="https://drliuhao.github.io/mh-liver-pathways/evidence-libraries/" TargetMode="External"/><Relationship Id="rId536" Type="http://schemas.openxmlformats.org/officeDocument/2006/relationships/hyperlink" Target="https://doi.org/10.1001/jamasurg.2021.0954" TargetMode="External"/><Relationship Id="rId537" Type="http://schemas.openxmlformats.org/officeDocument/2006/relationships/hyperlink" Target="https://drliuhao.github.io/mh-liver-pathways/evidence-libraries/" TargetMode="External"/><Relationship Id="rId538" Type="http://schemas.openxmlformats.org/officeDocument/2006/relationships/hyperlink" Target="https://doi.org/10.1002/cam4.71812" TargetMode="External"/><Relationship Id="rId539" Type="http://schemas.openxmlformats.org/officeDocument/2006/relationships/hyperlink" Target="https://drliuhao.github.io/mh-liver-pathways/evidence-libraries/" TargetMode="External"/><Relationship Id="rId540" Type="http://schemas.openxmlformats.org/officeDocument/2006/relationships/hyperlink" Target="https://www.hrsa.gov/sites/default/files/hrsa/optn/optn_policies.pdf" TargetMode="External"/><Relationship Id="rId541" Type="http://schemas.openxmlformats.org/officeDocument/2006/relationships/hyperlink" Target="https://drliuhao.github.io/mh-liver-pathways/evidence-libraries/" TargetMode="External"/><Relationship Id="rId542" Type="http://schemas.openxmlformats.org/officeDocument/2006/relationships/hyperlink" Target="https://www.hrsa.gov/sites/default/files/hrsa/optn/adult-meld-exception-transplant-oncology-review-guidance.pdf" TargetMode="External"/><Relationship Id="rId543" Type="http://schemas.openxmlformats.org/officeDocument/2006/relationships/hyperlink" Target="https://drliuhao.github.io/mh-liver-pathways/evidence-libraries/" TargetMode="External"/><Relationship Id="rId544" Type="http://schemas.openxmlformats.org/officeDocument/2006/relationships/hyperlink" Target="https://doi.org/10.1097/TP.0000000000002094" TargetMode="External"/><Relationship Id="rId545" Type="http://schemas.openxmlformats.org/officeDocument/2006/relationships/hyperlink" Target="https://drliuhao.github.io/mh-liver-pathways/evidence-libraries/" TargetMode="External"/><Relationship Id="rId546" Type="http://schemas.openxmlformats.org/officeDocument/2006/relationships/hyperlink" Target="https://doi.org/10.1097/HEP.0000000000000466" TargetMode="External"/><Relationship Id="rId547" Type="http://schemas.openxmlformats.org/officeDocument/2006/relationships/hyperlink" Target="https://drliuhao.github.io/mh-liver-pathways/evidence-libraries/" TargetMode="External"/><Relationship Id="rId548" Type="http://schemas.openxmlformats.org/officeDocument/2006/relationships/hyperlink" Target="https://doi.org/10.1097/HEP.0000000000000466" TargetMode="External"/><Relationship Id="rId549" Type="http://schemas.openxmlformats.org/officeDocument/2006/relationships/hyperlink" Target="https://drliuhao.github.io/mh-liver-pathways/evidence-libraries/" TargetMode="External"/><Relationship Id="rId550" Type="http://schemas.openxmlformats.org/officeDocument/2006/relationships/hyperlink" Target="https://doi.org/10.1097/HEP.0000000000000466" TargetMode="External"/><Relationship Id="rId551" Type="http://schemas.openxmlformats.org/officeDocument/2006/relationships/hyperlink" Target="https://drliuhao.github.io/mh-liver-pathways/evidence-libraries/" TargetMode="External"/><Relationship Id="rId552" Type="http://schemas.openxmlformats.org/officeDocument/2006/relationships/hyperlink" Target="https://www.hrsa.gov/sites/default/files/hrsa/optn/optn_policies.pdf" TargetMode="External"/><Relationship Id="rId553" Type="http://schemas.openxmlformats.org/officeDocument/2006/relationships/hyperlink" Target="https://drliuhao.github.io/mh-liver-pathways/evidence-libraries/" TargetMode="External"/><Relationship Id="rId554" Type="http://schemas.openxmlformats.org/officeDocument/2006/relationships/hyperlink" Target="https://www.hrsa.gov/sites/default/files/hrsa/optn/adult-meld-exception-transplant-oncology-review-guidance.pdf" TargetMode="External"/><Relationship Id="rId555" Type="http://schemas.openxmlformats.org/officeDocument/2006/relationships/hyperlink" Target="https://drliuhao.github.io/mh-liver-pathways/evidence-libraries/" TargetMode="External"/><Relationship Id="rId556" Type="http://schemas.openxmlformats.org/officeDocument/2006/relationships/hyperlink" Target="https://www.hrsa.gov/sites/default/files/hrsa/optn/optn_policies.pdf" TargetMode="External"/><Relationship Id="rId557" Type="http://schemas.openxmlformats.org/officeDocument/2006/relationships/hyperlink" Target="https://drliuhao.github.io/mh-liver-pathways/evidence-libraries/" TargetMode="External"/><Relationship Id="rId558" Type="http://schemas.openxmlformats.org/officeDocument/2006/relationships/hyperlink" Target="https://www.hrsa.gov/sites/default/files/hrsa/optn/adult-meld-exception-transplant-oncology-review-guidance.pdf" TargetMode="External"/><Relationship Id="rId559" Type="http://schemas.openxmlformats.org/officeDocument/2006/relationships/hyperlink" Target="https://drliuhao.github.io/mh-liver-pathways/evidence-libraries/" TargetMode="External"/><Relationship Id="rId560" Type="http://schemas.openxmlformats.org/officeDocument/2006/relationships/hyperlink" Target="https://doi.org/10.1002/lt.26392" TargetMode="External"/><Relationship Id="rId561" Type="http://schemas.openxmlformats.org/officeDocument/2006/relationships/hyperlink" Target="https://drliuhao.github.io/mh-liver-pathways/evidence-libraries/" TargetMode="External"/><Relationship Id="rId562" Type="http://schemas.openxmlformats.org/officeDocument/2006/relationships/hyperlink" Target="https://doi.org/10.1097/HEP.0000000000000466" TargetMode="External"/><Relationship Id="rId563" Type="http://schemas.openxmlformats.org/officeDocument/2006/relationships/hyperlink" Target="https://drliuhao.github.io/mh-liver-pathways/evidence-libraries/" TargetMode="External"/><Relationship Id="rId564" Type="http://schemas.openxmlformats.org/officeDocument/2006/relationships/hyperlink" Target="https://doi.org/10.1097/TP.0000000000002094" TargetMode="External"/><Relationship Id="rId565" Type="http://schemas.openxmlformats.org/officeDocument/2006/relationships/hyperlink" Target="https://drliuhao.github.io/mh-liver-pathways/evidence-libraries/" TargetMode="External"/><Relationship Id="rId566" Type="http://schemas.openxmlformats.org/officeDocument/2006/relationships/hyperlink" Target="https://doi.org/10.1097/TP.0000000000002094" TargetMode="External"/><Relationship Id="rId567" Type="http://schemas.openxmlformats.org/officeDocument/2006/relationships/hyperlink" Target="https://drliuhao.github.io/mh-liver-pathways/evidence-libraries/" TargetMode="External"/><Relationship Id="rId568" Type="http://schemas.openxmlformats.org/officeDocument/2006/relationships/hyperlink" Target="https://doi.org/10.1002/hep.30413" TargetMode="External"/><Relationship Id="rId569" Type="http://schemas.openxmlformats.org/officeDocument/2006/relationships/hyperlink" Target="https://drliuhao.github.io/mh-liver-pathways/evidence-libraries/" TargetMode="External"/><Relationship Id="rId570" Type="http://schemas.openxmlformats.org/officeDocument/2006/relationships/hyperlink" Target="https://doi.org/10.1002/lt.26392" TargetMode="External"/><Relationship Id="rId571" Type="http://schemas.openxmlformats.org/officeDocument/2006/relationships/hyperlink" Target="https://drliuhao.github.io/mh-liver-pathways/evidence-libraries/" TargetMode="External"/><Relationship Id="rId572" Type="http://schemas.openxmlformats.org/officeDocument/2006/relationships/hyperlink" Target="https://doi.org/10.1097/HEP.0000000000000466" TargetMode="External"/><Relationship Id="rId573" Type="http://schemas.openxmlformats.org/officeDocument/2006/relationships/hyperlink" Target="https://drliuhao.github.io/mh-liver-pathways/evidence-libraries/" TargetMode="External"/><Relationship Id="rId574" Type="http://schemas.openxmlformats.org/officeDocument/2006/relationships/hyperlink" Target="https://www.hrsa.gov/sites/default/files/hrsa/optn/optn_policies.pdf" TargetMode="External"/><Relationship Id="rId575" Type="http://schemas.openxmlformats.org/officeDocument/2006/relationships/hyperlink" Target="https://drliuhao.github.io/mh-liver-pathways/evidence-libraries/" TargetMode="External"/><Relationship Id="rId576" Type="http://schemas.openxmlformats.org/officeDocument/2006/relationships/hyperlink" Target="https://www.hrsa.gov/sites/default/files/hrsa/optn/adult-meld-exception-transplant-oncology-review-guidance.pdf" TargetMode="External"/><Relationship Id="rId577" Type="http://schemas.openxmlformats.org/officeDocument/2006/relationships/hyperlink" Target="https://drliuhao.github.io/mh-liver-pathways/evidence-libraries/" TargetMode="External"/><Relationship Id="rId578" Type="http://schemas.openxmlformats.org/officeDocument/2006/relationships/hyperlink" Target="https://doi.org/10.1097/HEP.0000000000000466" TargetMode="External"/><Relationship Id="rId579" Type="http://schemas.openxmlformats.org/officeDocument/2006/relationships/hyperlink" Target="https://drliuhao.github.io/mh-liver-pathways/evidence-libraries/" TargetMode="External"/><Relationship Id="rId580" Type="http://schemas.openxmlformats.org/officeDocument/2006/relationships/hyperlink" Target="https://doi.org/10.1097/HEP.0000000000001231" TargetMode="External"/><Relationship Id="rId581" Type="http://schemas.openxmlformats.org/officeDocument/2006/relationships/hyperlink" Target="https://drliuhao.github.io/mh-liver-pathways/evidence-libraries/" TargetMode="External"/><Relationship Id="rId582" Type="http://schemas.openxmlformats.org/officeDocument/2006/relationships/hyperlink" Target="https://doi.org/10.1016/S1470-2045(20)30224-2" TargetMode="External"/><Relationship Id="rId583" Type="http://schemas.openxmlformats.org/officeDocument/2006/relationships/hyperlink" Target="https://drliuhao.github.io/mh-liver-pathways/evidence-libraries/" TargetMode="External"/><Relationship Id="rId584" Type="http://schemas.openxmlformats.org/officeDocument/2006/relationships/hyperlink" Target="https://doi.org/10.1097/HEP.0000000000001644" TargetMode="External"/><Relationship Id="rId585" Type="http://schemas.openxmlformats.org/officeDocument/2006/relationships/hyperlink" Target="https://drliuhao.github.io/mh-liver-pathways/evidence-libraries/" TargetMode="External"/><Relationship Id="rId586" Type="http://schemas.openxmlformats.org/officeDocument/2006/relationships/hyperlink" Target="https://doi.org/10.1002/hep.27752" TargetMode="External"/><Relationship Id="rId587" Type="http://schemas.openxmlformats.org/officeDocument/2006/relationships/hyperlink" Target="https://drliuhao.github.io/mh-liver-pathways/evidence-libraries/" TargetMode="External"/><Relationship Id="rId588" Type="http://schemas.openxmlformats.org/officeDocument/2006/relationships/hyperlink" Target="https://doi.org/10.1053/j.gastro.2021.07.033" TargetMode="External"/><Relationship Id="rId589" Type="http://schemas.openxmlformats.org/officeDocument/2006/relationships/hyperlink" Target="https://drliuhao.github.io/mh-liver-pathways/evidence-libraries/" TargetMode="External"/><Relationship Id="rId590" Type="http://schemas.openxmlformats.org/officeDocument/2006/relationships/hyperlink" Target="https://doi.org/10.1002/hep.30570" TargetMode="External"/><Relationship Id="rId591" Type="http://schemas.openxmlformats.org/officeDocument/2006/relationships/hyperlink" Target="https://drliuhao.github.io/mh-liver-pathways/evidence-libraries/" TargetMode="External"/><Relationship Id="rId592" Type="http://schemas.openxmlformats.org/officeDocument/2006/relationships/hyperlink" Target="https://doi.org/10.1016/j.ajt.2023.07.021" TargetMode="External"/><Relationship Id="rId593" Type="http://schemas.openxmlformats.org/officeDocument/2006/relationships/hyperlink" Target="https://drliuhao.github.io/mh-liver-pathways/evidence-libraries/" TargetMode="External"/><Relationship Id="rId594" Type="http://schemas.openxmlformats.org/officeDocument/2006/relationships/hyperlink" Target="https://doi.org/10.1016/j.cgh.2022.08.023" TargetMode="External"/><Relationship Id="rId595" Type="http://schemas.openxmlformats.org/officeDocument/2006/relationships/hyperlink" Target="https://drliuhao.github.io/mh-liver-pathways/evidence-libraries/" TargetMode="External"/><Relationship Id="rId596" Type="http://schemas.openxmlformats.org/officeDocument/2006/relationships/hyperlink" Target="https://doi.org/10.1001/jamasurg.2022.2800" TargetMode="External"/><Relationship Id="rId597" Type="http://schemas.openxmlformats.org/officeDocument/2006/relationships/hyperlink" Target="https://drliuhao.github.io/mh-liver-pathways/evidence-libraries/" TargetMode="External"/><Relationship Id="rId598" Type="http://schemas.openxmlformats.org/officeDocument/2006/relationships/hyperlink" Target="https://doi.org/10.1038/s41571-026-01160-z" TargetMode="External"/><Relationship Id="rId599" Type="http://schemas.openxmlformats.org/officeDocument/2006/relationships/hyperlink" Target="https://drliuhao.github.io/mh-liver-pathways/evidence-libraries/" TargetMode="External"/><Relationship Id="rId600" Type="http://schemas.openxmlformats.org/officeDocument/2006/relationships/hyperlink" Target="https://doi.org/10.1097/JS9.0000000000004077" TargetMode="External"/><Relationship Id="rId601" Type="http://schemas.openxmlformats.org/officeDocument/2006/relationships/hyperlink" Target="https://drliuhao.github.io/mh-liver-pathways/evidence-libraries/" TargetMode="External"/><Relationship Id="rId602" Type="http://schemas.openxmlformats.org/officeDocument/2006/relationships/hyperlink" Target="https://doi.org/10.1002/lt.24782" TargetMode="External"/><Relationship Id="rId603" Type="http://schemas.openxmlformats.org/officeDocument/2006/relationships/hyperlink" Target="https://drliuhao.github.io/mh-liver-pathways/evidence-libraries/" TargetMode="External"/><Relationship Id="rId604" Type="http://schemas.openxmlformats.org/officeDocument/2006/relationships/hyperlink" Target="https://doi.org/10.1016/j.hbpd.2020.03.009" TargetMode="External"/><Relationship Id="rId605" Type="http://schemas.openxmlformats.org/officeDocument/2006/relationships/hyperlink" Target="https://drliuhao.github.io/mh-liver-pathways/evidence-libraries/" TargetMode="External"/><Relationship Id="rId606" Type="http://schemas.openxmlformats.org/officeDocument/2006/relationships/hyperlink" Target="https://doi.org/10.21037/jgo-24-328" TargetMode="External"/><Relationship Id="rId607" Type="http://schemas.openxmlformats.org/officeDocument/2006/relationships/hyperlink" Target="https://drliuhao.github.io/mh-liver-pathways/evidence-libraries/" TargetMode="External"/><Relationship Id="rId608" Type="http://schemas.openxmlformats.org/officeDocument/2006/relationships/hyperlink" Target="https://doi.org/10.1097/TP.0000000000003162" TargetMode="External"/><Relationship Id="rId609" Type="http://schemas.openxmlformats.org/officeDocument/2006/relationships/hyperlink" Target="https://drliuhao.github.io/mh-liver-pathways/evidence-libraries/" TargetMode="External"/><Relationship Id="rId610" Type="http://schemas.openxmlformats.org/officeDocument/2006/relationships/hyperlink" Target="https://doi.org/10.1111/tri.13586" TargetMode="External"/><Relationship Id="rId611" Type="http://schemas.openxmlformats.org/officeDocument/2006/relationships/hyperlink" Target="https://drliuhao.github.io/mh-liver-pathways/evidence-libraries/" TargetMode="External"/><Relationship Id="rId612" Type="http://schemas.openxmlformats.org/officeDocument/2006/relationships/hyperlink" Target="https://doi.org/10.1097/HEP.0000000000001801" TargetMode="External"/><Relationship Id="rId613" Type="http://schemas.openxmlformats.org/officeDocument/2006/relationships/hyperlink" Target="https://drliuhao.github.io/mh-liver-pathways/evidence-libraries/" TargetMode="External"/><Relationship Id="rId614" Type="http://schemas.openxmlformats.org/officeDocument/2006/relationships/hyperlink" Target="https://doi.org/10.1097/LVT.0000000000000589" TargetMode="External"/><Relationship Id="rId615" Type="http://schemas.openxmlformats.org/officeDocument/2006/relationships/hyperlink" Target="https://drliuhao.github.io/mh-liver-pathways/evidence-libraries/" TargetMode="External"/><Relationship Id="rId616" Type="http://schemas.openxmlformats.org/officeDocument/2006/relationships/hyperlink" Target="https://doi.org/10.1002/hep.30413" TargetMode="External"/><Relationship Id="rId617" Type="http://schemas.openxmlformats.org/officeDocument/2006/relationships/hyperlink" Target="https://drliuhao.github.io/mh-liver-pathways/evidence-libraries/" TargetMode="External"/><Relationship Id="rId618" Type="http://schemas.openxmlformats.org/officeDocument/2006/relationships/hyperlink" Target="https://doi.org/10.1001/jamasurg.2021.0954" TargetMode="External"/><Relationship Id="rId619" Type="http://schemas.openxmlformats.org/officeDocument/2006/relationships/hyperlink" Target="https://drliuhao.github.io/mh-liver-pathways/evidence-libraries/" TargetMode="External"/><Relationship Id="rId620" Type="http://schemas.openxmlformats.org/officeDocument/2006/relationships/hyperlink" Target="https://doi.org/10.1002/cam4.71812" TargetMode="External"/><Relationship Id="rId621" Type="http://schemas.openxmlformats.org/officeDocument/2006/relationships/hyperlink" Target="https://drliuhao.github.io/mh-liver-pathways/evidence-libraries/" TargetMode="External"/><Relationship Id="rId622" Type="http://schemas.openxmlformats.org/officeDocument/2006/relationships/hyperlink" Target="https://doi.org/10.1002/lt.26392" TargetMode="External"/><Relationship Id="rId623" Type="http://schemas.openxmlformats.org/officeDocument/2006/relationships/hyperlink" Target="https://drliuhao.github.io/mh-liver-pathways/evidence-libraries/" TargetMode="External"/><Relationship Id="rId624" Type="http://schemas.openxmlformats.org/officeDocument/2006/relationships/hyperlink" Target="https://doi.org/10.1097/TP.0000000000002094" TargetMode="External"/><Relationship Id="rId625" Type="http://schemas.openxmlformats.org/officeDocument/2006/relationships/hyperlink" Target="https://drliuhao.github.io/mh-liver-pathways/evidence-libraries/" TargetMode="External"/><Relationship Id="rId626" Type="http://schemas.openxmlformats.org/officeDocument/2006/relationships/hyperlink" Target="https://doi.org/10.1016/j.jhep.2024.08.028" TargetMode="External"/><Relationship Id="rId627" Type="http://schemas.openxmlformats.org/officeDocument/2006/relationships/hyperlink" Target="https://drliuhao.github.io/mh-liver-pathways/evidence-libraries/" TargetMode="External"/><Relationship Id="rId628" Type="http://schemas.openxmlformats.org/officeDocument/2006/relationships/hyperlink" Target="https://doi.org/10.1016/j.prro.2021.09.004" TargetMode="External"/><Relationship Id="rId629" Type="http://schemas.openxmlformats.org/officeDocument/2006/relationships/hyperlink" Target="https://drliuhao.github.io/mh-liver-pathways/evidence-libraries/" TargetMode="External"/><Relationship Id="rId630" Type="http://schemas.openxmlformats.org/officeDocument/2006/relationships/hyperlink" Target="https://www.nccn.org/professionals/physician_gls/pdf/hcc.pdf#page=10" TargetMode="External"/><Relationship Id="rId631" Type="http://schemas.openxmlformats.org/officeDocument/2006/relationships/hyperlink" Target="https://drliuhao.github.io/mh-liver-pathways/evidence-libraries/" TargetMode="External"/><Relationship Id="rId632" Type="http://schemas.openxmlformats.org/officeDocument/2006/relationships/hyperlink" Target="https://edge.sitecorecloud.io/americancoldf5f-acrorgf92a-productioncb02-3650/media/ACR/Files/RADS/LI-RADS/LI-RADS-CTMR-Radiation-TRA-v2024-Core.pdf" TargetMode="External"/><Relationship Id="rId633" Type="http://schemas.openxmlformats.org/officeDocument/2006/relationships/hyperlink" Target="https://drliuhao.github.io/mh-liver-pathways/evidence-libraries/" TargetMode="External"/><Relationship Id="rId634" Type="http://schemas.openxmlformats.org/officeDocument/2006/relationships/hyperlink" Target="https://doi.org/10.1097/HEP.0000000000001289" TargetMode="External"/><Relationship Id="rId635" Type="http://schemas.openxmlformats.org/officeDocument/2006/relationships/hyperlink" Target="https://drliuhao.github.io/mh-liver-pathways/evidence-libraries/" TargetMode="External"/><Relationship Id="rId636" Type="http://schemas.openxmlformats.org/officeDocument/2006/relationships/hyperlink" Target="https://doi.org/10.1016/j.jhep.2024.09.003" TargetMode="External"/><Relationship Id="rId637" Type="http://schemas.openxmlformats.org/officeDocument/2006/relationships/hyperlink" Target="https://drliuhao.github.io/mh-liver-pathways/evidence-libraries/" TargetMode="External"/><Relationship Id="rId638" Type="http://schemas.openxmlformats.org/officeDocument/2006/relationships/hyperlink" Target="https://www.gene.com/download/pdf/avastin_prescribing.pdf" TargetMode="External"/><Relationship Id="rId639" Type="http://schemas.openxmlformats.org/officeDocument/2006/relationships/hyperlink" Target="https://drliuhao.github.io/mh-liver-pathways/evidence-libraries/" TargetMode="External"/><Relationship Id="rId640" Type="http://schemas.openxmlformats.org/officeDocument/2006/relationships/hyperlink" Target="https://pubmed.ncbi.nlm.nih.gov/37760542" TargetMode="External"/><Relationship Id="rId641" Type="http://schemas.openxmlformats.org/officeDocument/2006/relationships/hyperlink" Target="https://drliuhao.github.io/mh-liver-pathways/evidence-libraries/" TargetMode="External"/><Relationship Id="rId642" Type="http://schemas.openxmlformats.org/officeDocument/2006/relationships/hyperlink" Target="https://doi.org/10.1016/j.jhep.2026.02.019" TargetMode="External"/><Relationship Id="rId643" Type="http://schemas.openxmlformats.org/officeDocument/2006/relationships/hyperlink" Target="https://drliuhao.github.io/mh-liver-pathways/evidence-libraries/" TargetMode="External"/><Relationship Id="rId644" Type="http://schemas.openxmlformats.org/officeDocument/2006/relationships/hyperlink" Target="https://doi.org/10.1016/j.jhep.2024.06.042" TargetMode="External"/><Relationship Id="rId645" Type="http://schemas.openxmlformats.org/officeDocument/2006/relationships/hyperlink" Target="https://drliuhao.github.io/mh-liver-pathways/evidence-libraries/" TargetMode="External"/><Relationship Id="rId646" Type="http://schemas.openxmlformats.org/officeDocument/2006/relationships/hyperlink" Target="https://doi.org/10.1136/gutjnl-2025-336719" TargetMode="External"/><Relationship Id="rId647" Type="http://schemas.openxmlformats.org/officeDocument/2006/relationships/hyperlink" Target="https://drliuhao.github.io/mh-liver-pathways/evidence-libraries/" TargetMode="External"/><Relationship Id="rId648" Type="http://schemas.openxmlformats.org/officeDocument/2006/relationships/hyperlink" Target="https://doi.org/10.1111/apt.70528" TargetMode="External"/><Relationship Id="rId649" Type="http://schemas.openxmlformats.org/officeDocument/2006/relationships/hyperlink" Target="https://drliuhao.github.io/mh-liver-pathways/evidence-libraries/" TargetMode="External"/><Relationship Id="rId650" Type="http://schemas.openxmlformats.org/officeDocument/2006/relationships/hyperlink" Target="https://doi.org/10.1111/liv.70692" TargetMode="External"/><Relationship Id="rId651" Type="http://schemas.openxmlformats.org/officeDocument/2006/relationships/hyperlink" Target="https://drliuhao.github.io/mh-liver-pathways/evidence-libraries/" TargetMode="External"/><Relationship Id="rId652" Type="http://schemas.openxmlformats.org/officeDocument/2006/relationships/hyperlink" Target="https://doi.org/10.1001/jamaoncol.2026.3901" TargetMode="External"/><Relationship Id="rId653" Type="http://schemas.openxmlformats.org/officeDocument/2006/relationships/hyperlink" Target="https://drliuhao.github.io/mh-liver-pathways/evidence-libraries/" TargetMode="External"/><Relationship Id="rId654" Type="http://schemas.openxmlformats.org/officeDocument/2006/relationships/hyperlink" Target="https://onlinelibrary.wiley.com/doi/10.1111/apt.70333" TargetMode="External"/><Relationship Id="rId655" Type="http://schemas.openxmlformats.org/officeDocument/2006/relationships/hyperlink" Target="https://drliuhao.github.io/mh-liver-pathways/evidence-libraries/" TargetMode="External"/><Relationship Id="rId656" Type="http://schemas.openxmlformats.org/officeDocument/2006/relationships/hyperlink" Target="https://pubmed.ncbi.nlm.nih.gov/42073607" TargetMode="External"/><Relationship Id="rId657" Type="http://schemas.openxmlformats.org/officeDocument/2006/relationships/hyperlink" Target="https://drliuhao.github.io/mh-liver-pathways/evidence-libraries/" TargetMode="External"/><Relationship Id="rId658" Type="http://schemas.openxmlformats.org/officeDocument/2006/relationships/hyperlink" Target="https://doi.org/10.1155/joot/2545887" TargetMode="External"/><Relationship Id="rId659" Type="http://schemas.openxmlformats.org/officeDocument/2006/relationships/hyperlink" Target="https://drliuhao.github.io/mh-liver-pathways/evidence-libraries/" TargetMode="External"/><Relationship Id="rId660" Type="http://schemas.openxmlformats.org/officeDocument/2006/relationships/hyperlink" Target="https://www.ecfr.gov/current/title-45/subtitle-A/subchapter-A/part-46/subpart-A/section-46.111" TargetMode="External"/><Relationship Id="rId661" Type="http://schemas.openxmlformats.org/officeDocument/2006/relationships/hyperlink" Target="https://www.hrsa.gov/optn/professionals/resources/ethical-considerations/ethical-principles-in-the-allocation-of-human-organs" TargetMode="External"/><Relationship Id="rId662" Type="http://schemas.openxmlformats.org/officeDocument/2006/relationships/hyperlink" Target="https://doi.org/10.1016/S0140-6736(24)01595-2" TargetMode="External"/><Relationship Id="rId663" Type="http://schemas.openxmlformats.org/officeDocument/2006/relationships/hyperlink" Target="https://drliuhao.github.io/mh-liver-pathways/evidence-libraries/" TargetMode="External"/><Relationship Id="rId664" Type="http://schemas.openxmlformats.org/officeDocument/2006/relationships/hyperlink" Target="https://doi.org/10.1016/j.jhep.2024.03.020" TargetMode="External"/><Relationship Id="rId665" Type="http://schemas.openxmlformats.org/officeDocument/2006/relationships/hyperlink" Target="https://drliuhao.github.io/mh-liver-pathways/evidence-libraries/" TargetMode="External"/><Relationship Id="rId666" Type="http://schemas.openxmlformats.org/officeDocument/2006/relationships/hyperlink" Target="https://doi.org/10.1111/j.1600-6143.2011.03972.x" TargetMode="External"/><Relationship Id="rId667" Type="http://schemas.openxmlformats.org/officeDocument/2006/relationships/hyperlink" Target="https://drliuhao.github.io/mh-liver-pathways/evidence-libraries/" TargetMode="External"/><Relationship Id="rId668" Type="http://schemas.openxmlformats.org/officeDocument/2006/relationships/hyperlink" Target="https://doi.org/10.1111/ajt.14055" TargetMode="External"/><Relationship Id="rId669" Type="http://schemas.openxmlformats.org/officeDocument/2006/relationships/hyperlink" Target="https://drliuhao.github.io/mh-liver-pathways/evidence-libraries/" TargetMode="External"/><Relationship Id="rId670" Type="http://schemas.openxmlformats.org/officeDocument/2006/relationships/hyperlink" Target="https://doi.org/10.1097/LVT.0000000000000303" TargetMode="External"/><Relationship Id="rId671" Type="http://schemas.openxmlformats.org/officeDocument/2006/relationships/hyperlink" Target="https://drliuhao.github.io/mh-liver-pathways/evidence-libraries/" TargetMode="External"/><Relationship Id="rId672" Type="http://schemas.openxmlformats.org/officeDocument/2006/relationships/hyperlink" Target="https://doi.org/10.1097/TP.0000000000000965" TargetMode="External"/><Relationship Id="rId673" Type="http://schemas.openxmlformats.org/officeDocument/2006/relationships/hyperlink" Target="https://drliuhao.github.io/mh-liver-pathways/evidence-libraries/" TargetMode="External"/><Relationship Id="rId674" Type="http://schemas.openxmlformats.org/officeDocument/2006/relationships/hyperlink" Target="https://doi.org/10.1016/j.ajt.2026.02.010" TargetMode="External"/><Relationship Id="rId675" Type="http://schemas.openxmlformats.org/officeDocument/2006/relationships/hyperlink" Target="https://drliuhao.github.io/mh-liver-pathways/evidence-libraries/" TargetMode="External"/><Relationship Id="rId676" Type="http://schemas.openxmlformats.org/officeDocument/2006/relationships/hyperlink" Target="https://doi.org/10.1136/bmj.i5239" TargetMode="External"/><Relationship Id="rId677" Type="http://schemas.openxmlformats.org/officeDocument/2006/relationships/hyperlink" Target="https://drliuhao.github.io/mh-liver-pathways/evidence-libraries/" TargetMode="External"/><Relationship Id="rId678" Type="http://schemas.openxmlformats.org/officeDocument/2006/relationships/hyperlink" Target="https://doi.org/10.3389/ti.2024.13641" TargetMode="External"/><Relationship Id="rId679" Type="http://schemas.openxmlformats.org/officeDocument/2006/relationships/hyperlink" Target="https://drliuhao.github.io/mh-liver-pathways/evidence-libraries/" TargetMode="External"/><Relationship Id="rId680" Type="http://schemas.openxmlformats.org/officeDocument/2006/relationships/hyperlink" Target="https://academic.oup.com/bjs/article/112/3/znaf054/8083032" TargetMode="External"/><Relationship Id="rId681" Type="http://schemas.openxmlformats.org/officeDocument/2006/relationships/hyperlink" Target="https://drliuhao.github.io/mh-liver-pathways/evidence-libraries/" TargetMode="External"/><Relationship Id="rId682" Type="http://schemas.openxmlformats.org/officeDocument/2006/relationships/hyperlink" Target="https://doi.org/10.1111/ctr.70488" TargetMode="External"/><Relationship Id="rId683" Type="http://schemas.openxmlformats.org/officeDocument/2006/relationships/hyperlink" Target="https://drliuhao.github.io/mh-liver-pathways/evidence-libraries/" TargetMode="External"/><Relationship Id="rId684" Type="http://schemas.openxmlformats.org/officeDocument/2006/relationships/hyperlink" Target="https://doi.org/10.1097/HC9.0000000000000619" TargetMode="External"/><Relationship Id="rId685" Type="http://schemas.openxmlformats.org/officeDocument/2006/relationships/hyperlink" Target="https://drliuhao.github.io/mh-liver-pathways/evidence-libraries/" TargetMode="External"/><Relationship Id="rId686" Type="http://schemas.openxmlformats.org/officeDocument/2006/relationships/hyperlink" Target="https://doi.org/10.1002/hep.29342" TargetMode="External"/><Relationship Id="rId687" Type="http://schemas.openxmlformats.org/officeDocument/2006/relationships/hyperlink" Target="https://drliuhao.github.io/mh-liver-pathways/evidence-libraries/" TargetMode="External"/><Relationship Id="rId688" Type="http://schemas.openxmlformats.org/officeDocument/2006/relationships/hyperlink" Target="https://doi.org/10.1016/j.jhepr.2023.100907" TargetMode="External"/><Relationship Id="rId689" Type="http://schemas.openxmlformats.org/officeDocument/2006/relationships/hyperlink" Target="https://drliuhao.github.io/mh-liver-pathways/evidence-libraries/" TargetMode="External"/><Relationship Id="rId690" Type="http://schemas.openxmlformats.org/officeDocument/2006/relationships/hyperlink" Target="https://doi.org/10.1177/09622802261420699" TargetMode="External"/><Relationship Id="rId691" Type="http://schemas.openxmlformats.org/officeDocument/2006/relationships/hyperlink" Target="https://drliuhao.github.io/mh-liver-pathways/evidence-libraries/" TargetMode="External"/><Relationship Id="rId692" Type="http://schemas.openxmlformats.org/officeDocument/2006/relationships/hyperlink" Target="https://doi.org/10.1097/LVT.0000000000000589" TargetMode="External"/><Relationship Id="rId693" Type="http://schemas.openxmlformats.org/officeDocument/2006/relationships/hyperlink" Target="https://drliuhao.github.io/mh-liver-pathways/evidence-libraries/" TargetMode="External"/><Relationship Id="rId694" Type="http://schemas.openxmlformats.org/officeDocument/2006/relationships/hyperlink" Target="https://doi.org/10.1097/HEP.0000000000000466" TargetMode="External"/><Relationship Id="rId695" Type="http://schemas.openxmlformats.org/officeDocument/2006/relationships/hyperlink" Target="https://drliuhao.github.io/mh-liver-pathways/evidence-libraries/" TargetMode="External"/><Relationship Id="rId696" Type="http://schemas.openxmlformats.org/officeDocument/2006/relationships/hyperlink" Target="https://doi.org/10.21037/jgo-24-764" TargetMode="External"/><Relationship Id="rId697" Type="http://schemas.openxmlformats.org/officeDocument/2006/relationships/hyperlink" Target="https://doi.org/10.3389/fonc.2025.1687449" TargetMode="External"/><Relationship Id="rId698" Type="http://schemas.openxmlformats.org/officeDocument/2006/relationships/hyperlink" Target="https://doi.org/10.1001/jamaoncol.2026.3901" TargetMode="External"/><Relationship Id="rId699" Type="http://schemas.openxmlformats.org/officeDocument/2006/relationships/hyperlink" Target="https://drliuhao.github.io/mh-liver-pathways/evidence-libraries/" TargetMode="External"/><Relationship Id="rId700" Type="http://schemas.openxmlformats.org/officeDocument/2006/relationships/hyperlink" Target="https://doi.org/10.1111/j.1432-2277.2006.00412.x" TargetMode="External"/><Relationship Id="rId701" Type="http://schemas.openxmlformats.org/officeDocument/2006/relationships/hyperlink" Target="https://doi.org/10.1016/j.jhep.2012.03.022" TargetMode="External"/><Relationship Id="rId702" Type="http://schemas.openxmlformats.org/officeDocument/2006/relationships/hyperlink" Target="https://doi.org/10.1159/000547230" TargetMode="External"/><Relationship Id="rId703" Type="http://schemas.openxmlformats.org/officeDocument/2006/relationships/hyperlink" Target="https://www.hrsa.gov/sites/default/files/hrsa/optn/optn_policies.pdf" TargetMode="External"/><Relationship Id="rId704" Type="http://schemas.openxmlformats.org/officeDocument/2006/relationships/hyperlink" Target="https://drliuhao.github.io/mh-liver-pathways/evidence-libraries/" TargetMode="External"/><Relationship Id="rId705" Type="http://schemas.openxmlformats.org/officeDocument/2006/relationships/hyperlink" Target="https://www.hrsa.gov/sites/default/files/hrsa/optn/adult-meld-exception-transplant-oncology-review-guidance.pdf" TargetMode="External"/><Relationship Id="rId706" Type="http://schemas.openxmlformats.org/officeDocument/2006/relationships/hyperlink" Target="https://drliuhao.github.io/mh-liver-pathways/evidence-libraries/" TargetMode="External"/><Relationship Id="rId707" Type="http://schemas.openxmlformats.org/officeDocument/2006/relationships/hyperlink" Target="https://doi.org/10.1097/HEP.0000000000000466" TargetMode="External"/><Relationship Id="rId708" Type="http://schemas.openxmlformats.org/officeDocument/2006/relationships/hyperlink" Target="https://drliuhao.github.io/mh-liver-pathways/evidence-libraries/" TargetMode="External"/><Relationship Id="rId709" Type="http://schemas.openxmlformats.org/officeDocument/2006/relationships/hyperlink" Target="https://doi.org/10.1097/HEP.0000000000001231" TargetMode="External"/><Relationship Id="rId710" Type="http://schemas.openxmlformats.org/officeDocument/2006/relationships/hyperlink" Target="https://drliuhao.github.io/mh-liver-pathways/evidence-libraries/" TargetMode="External"/><Relationship Id="rId711" Type="http://schemas.openxmlformats.org/officeDocument/2006/relationships/hyperlink" Target="https://doi.org/10.1016/S1470-2045(20)30224-2" TargetMode="External"/><Relationship Id="rId712" Type="http://schemas.openxmlformats.org/officeDocument/2006/relationships/hyperlink" Target="https://drliuhao.github.io/mh-liver-pathways/evidence-libraries/" TargetMode="External"/><Relationship Id="rId713" Type="http://schemas.openxmlformats.org/officeDocument/2006/relationships/hyperlink" Target="https://doi.org/10.1097/HEP.0000000000001644" TargetMode="External"/><Relationship Id="rId714" Type="http://schemas.openxmlformats.org/officeDocument/2006/relationships/hyperlink" Target="https://drliuhao.github.io/mh-liver-pathways/evidence-libraries/" TargetMode="External"/><Relationship Id="rId715" Type="http://schemas.openxmlformats.org/officeDocument/2006/relationships/hyperlink" Target="https://doi.org/10.1002/hep.27752" TargetMode="External"/><Relationship Id="rId716" Type="http://schemas.openxmlformats.org/officeDocument/2006/relationships/hyperlink" Target="https://drliuhao.github.io/mh-liver-pathways/evidence-libraries/" TargetMode="External"/><Relationship Id="rId717" Type="http://schemas.openxmlformats.org/officeDocument/2006/relationships/hyperlink" Target="https://doi.org/10.1053/j.gastro.2021.07.033" TargetMode="External"/><Relationship Id="rId718" Type="http://schemas.openxmlformats.org/officeDocument/2006/relationships/hyperlink" Target="https://drliuhao.github.io/mh-liver-pathways/evidence-libraries/" TargetMode="External"/><Relationship Id="rId719" Type="http://schemas.openxmlformats.org/officeDocument/2006/relationships/hyperlink" Target="https://doi.org/10.1002/hep.30570" TargetMode="External"/><Relationship Id="rId720" Type="http://schemas.openxmlformats.org/officeDocument/2006/relationships/hyperlink" Target="https://drliuhao.github.io/mh-liver-pathways/evidence-libraries/" TargetMode="External"/><Relationship Id="rId721" Type="http://schemas.openxmlformats.org/officeDocument/2006/relationships/hyperlink" Target="https://doi.org/10.1016/j.ajt.2023.07.021" TargetMode="External"/><Relationship Id="rId722" Type="http://schemas.openxmlformats.org/officeDocument/2006/relationships/hyperlink" Target="https://drliuhao.github.io/mh-liver-pathways/evidence-libraries/" TargetMode="External"/><Relationship Id="rId723" Type="http://schemas.openxmlformats.org/officeDocument/2006/relationships/hyperlink" Target="https://doi.org/10.1016/j.cgh.2022.08.023" TargetMode="External"/><Relationship Id="rId724" Type="http://schemas.openxmlformats.org/officeDocument/2006/relationships/hyperlink" Target="https://drliuhao.github.io/mh-liver-pathways/evidence-libraries/" TargetMode="External"/><Relationship Id="rId725" Type="http://schemas.openxmlformats.org/officeDocument/2006/relationships/hyperlink" Target="https://doi.org/10.1001/jamasurg.2022.2800" TargetMode="External"/><Relationship Id="rId726" Type="http://schemas.openxmlformats.org/officeDocument/2006/relationships/hyperlink" Target="https://drliuhao.github.io/mh-liver-pathways/evidence-libraries/" TargetMode="External"/><Relationship Id="rId727" Type="http://schemas.openxmlformats.org/officeDocument/2006/relationships/hyperlink" Target="https://doi.org/10.1038/s41571-026-01160-z" TargetMode="External"/><Relationship Id="rId728" Type="http://schemas.openxmlformats.org/officeDocument/2006/relationships/hyperlink" Target="https://drliuhao.github.io/mh-liver-pathways/evidence-libraries/" TargetMode="External"/><Relationship Id="rId729" Type="http://schemas.openxmlformats.org/officeDocument/2006/relationships/hyperlink" Target="https://doi.org/10.1002/hep.30413" TargetMode="External"/><Relationship Id="rId730" Type="http://schemas.openxmlformats.org/officeDocument/2006/relationships/hyperlink" Target="https://drliuhao.github.io/mh-liver-pathways/evidence-libraries/" TargetMode="External"/><Relationship Id="rId731" Type="http://schemas.openxmlformats.org/officeDocument/2006/relationships/hyperlink" Target="https://doi.org/10.1001/jamasurg.2021.0954" TargetMode="External"/><Relationship Id="rId732" Type="http://schemas.openxmlformats.org/officeDocument/2006/relationships/hyperlink" Target="https://drliuhao.github.io/mh-liver-pathways/evidence-libraries/" TargetMode="External"/><Relationship Id="rId733" Type="http://schemas.openxmlformats.org/officeDocument/2006/relationships/hyperlink" Target="https://doi.org/10.1002/cam4.71812" TargetMode="External"/><Relationship Id="rId734" Type="http://schemas.openxmlformats.org/officeDocument/2006/relationships/hyperlink" Target="https://drliuhao.github.io/mh-liver-pathways/evidence-libraries/" TargetMode="External"/><Relationship Id="rId735" Type="http://schemas.openxmlformats.org/officeDocument/2006/relationships/hyperlink" Target="https://doi.org/10.1002/lt.26392" TargetMode="External"/><Relationship Id="rId736" Type="http://schemas.openxmlformats.org/officeDocument/2006/relationships/hyperlink" Target="https://drliuhao.github.io/mh-liver-pathways/evidence-libraries/" TargetMode="External"/><Relationship Id="rId737" Type="http://schemas.openxmlformats.org/officeDocument/2006/relationships/hyperlink" Target="https://doi.org/10.1097/TP.0000000000002094" TargetMode="External"/><Relationship Id="rId738" Type="http://schemas.openxmlformats.org/officeDocument/2006/relationships/hyperlink" Target="https://drliuhao.github.io/mh-liver-pathways/evidence-libraries/" TargetMode="External"/><Relationship Id="rId739" Type="http://schemas.openxmlformats.org/officeDocument/2006/relationships/hyperlink" Target="https://doi.org/10.1097/JS9.0000000000004077" TargetMode="External"/><Relationship Id="rId740" Type="http://schemas.openxmlformats.org/officeDocument/2006/relationships/hyperlink" Target="https://drliuhao.github.io/mh-liver-pathways/evidence-libraries/" TargetMode="External"/><Relationship Id="rId741" Type="http://schemas.openxmlformats.org/officeDocument/2006/relationships/hyperlink" Target="https://doi.org/10.1002/lt.24782" TargetMode="External"/><Relationship Id="rId742" Type="http://schemas.openxmlformats.org/officeDocument/2006/relationships/hyperlink" Target="https://drliuhao.github.io/mh-liver-pathways/evidence-libraries/" TargetMode="External"/><Relationship Id="rId743" Type="http://schemas.openxmlformats.org/officeDocument/2006/relationships/hyperlink" Target="https://doi.org/10.1016/j.hbpd.2020.03.009" TargetMode="External"/><Relationship Id="rId744" Type="http://schemas.openxmlformats.org/officeDocument/2006/relationships/hyperlink" Target="https://drliuhao.github.io/mh-liver-pathways/evidence-libraries/" TargetMode="External"/><Relationship Id="rId745" Type="http://schemas.openxmlformats.org/officeDocument/2006/relationships/hyperlink" Target="https://doi.org/10.21037/jgo-24-328" TargetMode="External"/><Relationship Id="rId746" Type="http://schemas.openxmlformats.org/officeDocument/2006/relationships/hyperlink" Target="https://drliuhao.github.io/mh-liver-pathways/evidence-libraries/" TargetMode="External"/><Relationship Id="rId747" Type="http://schemas.openxmlformats.org/officeDocument/2006/relationships/hyperlink" Target="https://doi.org/10.1097/TP.0000000000003162" TargetMode="External"/><Relationship Id="rId748" Type="http://schemas.openxmlformats.org/officeDocument/2006/relationships/hyperlink" Target="https://drliuhao.github.io/mh-liver-pathways/evidence-libraries/" TargetMode="External"/><Relationship Id="rId749" Type="http://schemas.openxmlformats.org/officeDocument/2006/relationships/hyperlink" Target="https://doi.org/10.1111/tri.13586" TargetMode="External"/><Relationship Id="rId750" Type="http://schemas.openxmlformats.org/officeDocument/2006/relationships/hyperlink" Target="https://drliuhao.github.io/mh-liver-pathways/evidence-libraries/" TargetMode="External"/><Relationship Id="rId751" Type="http://schemas.openxmlformats.org/officeDocument/2006/relationships/hyperlink" Target="https://doi.org/10.1097/HEP.0000000000001801" TargetMode="External"/><Relationship Id="rId752" Type="http://schemas.openxmlformats.org/officeDocument/2006/relationships/hyperlink" Target="https://drliuhao.github.io/mh-liver-pathways/evidence-libraries/" TargetMode="External"/><Relationship Id="rId753" Type="http://schemas.openxmlformats.org/officeDocument/2006/relationships/hyperlink" Target="https://doi.org/10.1097/LVT.0000000000000589" TargetMode="External"/><Relationship Id="rId754" Type="http://schemas.openxmlformats.org/officeDocument/2006/relationships/hyperlink" Target="https://drliuhao.github.io/mh-liver-pathways/evidence-libraries/" TargetMode="External"/><Relationship Id="rId755" Type="http://schemas.openxmlformats.org/officeDocument/2006/relationships/hyperlink" Target="https://doi.org/10.1016/j.jhep.2024.08.028" TargetMode="External"/><Relationship Id="rId756" Type="http://schemas.openxmlformats.org/officeDocument/2006/relationships/hyperlink" Target="https://drliuhao.github.io/mh-liver-pathways/evidence-libraries/" TargetMode="External"/><Relationship Id="rId757" Type="http://schemas.openxmlformats.org/officeDocument/2006/relationships/hyperlink" Target="https://doi.org/10.1016/j.prro.2021.09.004" TargetMode="External"/><Relationship Id="rId758" Type="http://schemas.openxmlformats.org/officeDocument/2006/relationships/hyperlink" Target="https://drliuhao.github.io/mh-liver-pathways/evidence-libraries/" TargetMode="External"/><Relationship Id="rId759" Type="http://schemas.openxmlformats.org/officeDocument/2006/relationships/hyperlink" Target="https://www.nccn.org/professionals/physician_gls/pdf/hcc.pdf#page=10" TargetMode="External"/><Relationship Id="rId760" Type="http://schemas.openxmlformats.org/officeDocument/2006/relationships/hyperlink" Target="https://drliuhao.github.io/mh-liver-pathways/evidence-libraries/" TargetMode="External"/><Relationship Id="rId761" Type="http://schemas.openxmlformats.org/officeDocument/2006/relationships/hyperlink" Target="https://edge.sitecorecloud.io/americancoldf5f-acrorgf92a-productioncb02-3650/media/ACR/Files/RADS/LI-RADS/LI-RADS-CTMR-Radiation-TRA-v2024-Core.pdf" TargetMode="External"/><Relationship Id="rId762" Type="http://schemas.openxmlformats.org/officeDocument/2006/relationships/hyperlink" Target="https://drliuhao.github.io/mh-liver-pathways/evidence-libraries/" TargetMode="External"/><Relationship Id="rId763" Type="http://schemas.openxmlformats.org/officeDocument/2006/relationships/hyperlink" Target="https://doi.org/10.1097/HEP.0000000000001289" TargetMode="External"/><Relationship Id="rId764" Type="http://schemas.openxmlformats.org/officeDocument/2006/relationships/hyperlink" Target="https://drliuhao.github.io/mh-liver-pathways/evidence-libraries/" TargetMode="External"/><Relationship Id="rId765" Type="http://schemas.openxmlformats.org/officeDocument/2006/relationships/hyperlink" Target="https://doi.org/10.1016/j.jhep.2024.09.003" TargetMode="External"/><Relationship Id="rId766" Type="http://schemas.openxmlformats.org/officeDocument/2006/relationships/hyperlink" Target="https://drliuhao.github.io/mh-liver-pathways/evidence-libraries/" TargetMode="External"/><Relationship Id="rId767" Type="http://schemas.openxmlformats.org/officeDocument/2006/relationships/hyperlink" Target="https://www.gene.com/download/pdf/avastin_prescribing.pdf" TargetMode="External"/><Relationship Id="rId768" Type="http://schemas.openxmlformats.org/officeDocument/2006/relationships/hyperlink" Target="https://drliuhao.github.io/mh-liver-pathways/evidence-libraries/" TargetMode="External"/><Relationship Id="rId769" Type="http://schemas.openxmlformats.org/officeDocument/2006/relationships/hyperlink" Target="https://pubmed.ncbi.nlm.nih.gov/37760542" TargetMode="External"/><Relationship Id="rId770" Type="http://schemas.openxmlformats.org/officeDocument/2006/relationships/hyperlink" Target="https://drliuhao.github.io/mh-liver-pathways/evidence-libraries/" TargetMode="External"/><Relationship Id="rId771" Type="http://schemas.openxmlformats.org/officeDocument/2006/relationships/hyperlink" Target="https://doi.org/10.1016/j.jhep.2026.02.019" TargetMode="External"/><Relationship Id="rId772" Type="http://schemas.openxmlformats.org/officeDocument/2006/relationships/hyperlink" Target="https://drliuhao.github.io/mh-liver-pathways/evidence-libraries/" TargetMode="External"/><Relationship Id="rId773" Type="http://schemas.openxmlformats.org/officeDocument/2006/relationships/hyperlink" Target="https://doi.org/10.1016/j.jhep.2024.06.042" TargetMode="External"/><Relationship Id="rId774" Type="http://schemas.openxmlformats.org/officeDocument/2006/relationships/hyperlink" Target="https://drliuhao.github.io/mh-liver-pathways/evidence-libraries/" TargetMode="External"/><Relationship Id="rId775" Type="http://schemas.openxmlformats.org/officeDocument/2006/relationships/hyperlink" Target="https://doi.org/10.1136/gutjnl-2025-336719" TargetMode="External"/><Relationship Id="rId776" Type="http://schemas.openxmlformats.org/officeDocument/2006/relationships/hyperlink" Target="https://drliuhao.github.io/mh-liver-pathways/evidence-libraries/" TargetMode="External"/><Relationship Id="rId777" Type="http://schemas.openxmlformats.org/officeDocument/2006/relationships/hyperlink" Target="https://doi.org/10.1111/apt.70528" TargetMode="External"/><Relationship Id="rId778" Type="http://schemas.openxmlformats.org/officeDocument/2006/relationships/hyperlink" Target="https://drliuhao.github.io/mh-liver-pathways/evidence-libraries/" TargetMode="External"/><Relationship Id="rId779" Type="http://schemas.openxmlformats.org/officeDocument/2006/relationships/hyperlink" Target="https://doi.org/10.1111/liv.70692" TargetMode="External"/><Relationship Id="rId780" Type="http://schemas.openxmlformats.org/officeDocument/2006/relationships/hyperlink" Target="https://drliuhao.github.io/mh-liver-pathways/evidence-libraries/" TargetMode="External"/><Relationship Id="rId781" Type="http://schemas.openxmlformats.org/officeDocument/2006/relationships/hyperlink" Target="https://doi.org/10.1001/jamaoncol.2026.3901" TargetMode="External"/><Relationship Id="rId782" Type="http://schemas.openxmlformats.org/officeDocument/2006/relationships/hyperlink" Target="https://drliuhao.github.io/mh-liver-pathways/evidence-libraries/" TargetMode="External"/><Relationship Id="rId783" Type="http://schemas.openxmlformats.org/officeDocument/2006/relationships/hyperlink" Target="https://onlinelibrary.wiley.com/doi/10.1111/apt.70333" TargetMode="External"/><Relationship Id="rId784" Type="http://schemas.openxmlformats.org/officeDocument/2006/relationships/hyperlink" Target="https://drliuhao.github.io/mh-liver-pathways/evidence-libraries/" TargetMode="External"/><Relationship Id="rId785" Type="http://schemas.openxmlformats.org/officeDocument/2006/relationships/hyperlink" Target="https://pubmed.ncbi.nlm.nih.gov/42073607" TargetMode="External"/><Relationship Id="rId786" Type="http://schemas.openxmlformats.org/officeDocument/2006/relationships/hyperlink" Target="https://drliuhao.github.io/mh-liver-pathways/evidence-libraries/" TargetMode="External"/><Relationship Id="rId787" Type="http://schemas.openxmlformats.org/officeDocument/2006/relationships/hyperlink" Target="https://doi.org/10.1155/joot/2545887" TargetMode="External"/><Relationship Id="rId788" Type="http://schemas.openxmlformats.org/officeDocument/2006/relationships/hyperlink" Target="https://drliuhao.github.io/mh-liver-pathways/evidence-libraries/" TargetMode="External"/><Relationship Id="rId789" Type="http://schemas.openxmlformats.org/officeDocument/2006/relationships/hyperlink" Target="https://www.ecfr.gov/current/title-45/subtitle-A/subchapter-A/part-46/subpart-A/section-46.111" TargetMode="External"/><Relationship Id="rId790" Type="http://schemas.openxmlformats.org/officeDocument/2006/relationships/hyperlink" Target="https://www.hrsa.gov/optn/professionals/resources/ethical-considerations/ethical-principles-in-the-allocation-of-human-organs" TargetMode="External"/><Relationship Id="rId791" Type="http://schemas.openxmlformats.org/officeDocument/2006/relationships/hyperlink" Target="https://doi.org/10.1016/S0140-6736(24)01595-2" TargetMode="External"/><Relationship Id="rId792" Type="http://schemas.openxmlformats.org/officeDocument/2006/relationships/hyperlink" Target="https://drliuhao.github.io/mh-liver-pathways/evidence-libraries/" TargetMode="External"/><Relationship Id="rId793" Type="http://schemas.openxmlformats.org/officeDocument/2006/relationships/hyperlink" Target="https://doi.org/10.1016/j.jhep.2024.03.020" TargetMode="External"/><Relationship Id="rId794" Type="http://schemas.openxmlformats.org/officeDocument/2006/relationships/hyperlink" Target="https://drliuhao.github.io/mh-liver-pathways/evidence-libraries/" TargetMode="External"/><Relationship Id="rId795" Type="http://schemas.openxmlformats.org/officeDocument/2006/relationships/hyperlink" Target="https://doi.org/10.1111/j.1600-6143.2011.03972.x" TargetMode="External"/><Relationship Id="rId796" Type="http://schemas.openxmlformats.org/officeDocument/2006/relationships/hyperlink" Target="https://drliuhao.github.io/mh-liver-pathways/evidence-libraries/" TargetMode="External"/><Relationship Id="rId797" Type="http://schemas.openxmlformats.org/officeDocument/2006/relationships/hyperlink" Target="https://doi.org/10.1111/ajt.14055" TargetMode="External"/><Relationship Id="rId798" Type="http://schemas.openxmlformats.org/officeDocument/2006/relationships/hyperlink" Target="https://drliuhao.github.io/mh-liver-pathways/evidence-libraries/" TargetMode="External"/><Relationship Id="rId799" Type="http://schemas.openxmlformats.org/officeDocument/2006/relationships/hyperlink" Target="https://doi.org/10.1097/LVT.0000000000000303" TargetMode="External"/><Relationship Id="rId800" Type="http://schemas.openxmlformats.org/officeDocument/2006/relationships/hyperlink" Target="https://drliuhao.github.io/mh-liver-pathways/evidence-libraries/" TargetMode="External"/><Relationship Id="rId801" Type="http://schemas.openxmlformats.org/officeDocument/2006/relationships/hyperlink" Target="https://doi.org/10.1097/TP.0000000000000965" TargetMode="External"/><Relationship Id="rId802" Type="http://schemas.openxmlformats.org/officeDocument/2006/relationships/hyperlink" Target="https://drliuhao.github.io/mh-liver-pathways/evidence-libraries/" TargetMode="External"/><Relationship Id="rId803" Type="http://schemas.openxmlformats.org/officeDocument/2006/relationships/hyperlink" Target="https://doi.org/10.1016/j.ajt.2026.02.010" TargetMode="External"/><Relationship Id="rId804" Type="http://schemas.openxmlformats.org/officeDocument/2006/relationships/hyperlink" Target="https://drliuhao.github.io/mh-liver-pathways/evidence-libraries/" TargetMode="External"/><Relationship Id="rId805" Type="http://schemas.openxmlformats.org/officeDocument/2006/relationships/hyperlink" Target="https://doi.org/10.1136/bmj.i5239" TargetMode="External"/><Relationship Id="rId806" Type="http://schemas.openxmlformats.org/officeDocument/2006/relationships/hyperlink" Target="https://drliuhao.github.io/mh-liver-pathways/evidence-libraries/" TargetMode="External"/><Relationship Id="rId807" Type="http://schemas.openxmlformats.org/officeDocument/2006/relationships/hyperlink" Target="https://doi.org/10.3389/ti.2024.13641" TargetMode="External"/><Relationship Id="rId808" Type="http://schemas.openxmlformats.org/officeDocument/2006/relationships/hyperlink" Target="https://drliuhao.github.io/mh-liver-pathways/evidence-libraries/" TargetMode="External"/><Relationship Id="rId809" Type="http://schemas.openxmlformats.org/officeDocument/2006/relationships/hyperlink" Target="https://academic.oup.com/bjs/article/112/3/znaf054/8083032" TargetMode="External"/><Relationship Id="rId810" Type="http://schemas.openxmlformats.org/officeDocument/2006/relationships/hyperlink" Target="https://drliuhao.github.io/mh-liver-pathways/evidence-libraries/" TargetMode="External"/><Relationship Id="rId811" Type="http://schemas.openxmlformats.org/officeDocument/2006/relationships/hyperlink" Target="https://doi.org/10.1111/ctr.70488" TargetMode="External"/><Relationship Id="rId812" Type="http://schemas.openxmlformats.org/officeDocument/2006/relationships/hyperlink" Target="https://drliuhao.github.io/mh-liver-pathways/evidence-libraries/" TargetMode="External"/><Relationship Id="rId813" Type="http://schemas.openxmlformats.org/officeDocument/2006/relationships/hyperlink" Target="https://doi.org/10.1097/HC9.0000000000000619" TargetMode="External"/><Relationship Id="rId814" Type="http://schemas.openxmlformats.org/officeDocument/2006/relationships/hyperlink" Target="https://drliuhao.github.io/mh-liver-pathways/evidence-libraries/" TargetMode="External"/><Relationship Id="rId815" Type="http://schemas.openxmlformats.org/officeDocument/2006/relationships/hyperlink" Target="https://doi.org/10.1002/hep.29342" TargetMode="External"/><Relationship Id="rId816" Type="http://schemas.openxmlformats.org/officeDocument/2006/relationships/hyperlink" Target="https://drliuhao.github.io/mh-liver-pathways/evidence-libraries/" TargetMode="External"/><Relationship Id="rId817" Type="http://schemas.openxmlformats.org/officeDocument/2006/relationships/hyperlink" Target="https://doi.org/10.1016/j.jhepr.2023.100907" TargetMode="External"/><Relationship Id="rId818" Type="http://schemas.openxmlformats.org/officeDocument/2006/relationships/hyperlink" Target="https://drliuhao.github.io/mh-liver-pathways/evidence-libraries/" TargetMode="External"/><Relationship Id="rId819" Type="http://schemas.openxmlformats.org/officeDocument/2006/relationships/hyperlink" Target="https://doi.org/10.1177/09622802261420699" TargetMode="External"/><Relationship Id="rId820" Type="http://schemas.openxmlformats.org/officeDocument/2006/relationships/hyperlink" Target="https://drliuhao.github.io/mh-liver-pathways/evidence-libraries/" TargetMode="External"/><Relationship Id="rId821" Type="http://schemas.openxmlformats.org/officeDocument/2006/relationships/hyperlink" Target="https://doi.org/10.21037/jgo-24-764" TargetMode="External"/><Relationship Id="rId822" Type="http://schemas.openxmlformats.org/officeDocument/2006/relationships/hyperlink" Target="https://doi.org/10.3389/fonc.2025.1687449" TargetMode="External"/><Relationship Id="rId823" Type="http://schemas.openxmlformats.org/officeDocument/2006/relationships/hyperlink" Target="https://doi.org/10.1111/j.1432-2277.2006.00412.x" TargetMode="External"/><Relationship Id="rId824" Type="http://schemas.openxmlformats.org/officeDocument/2006/relationships/hyperlink" Target="https://doi.org/10.1016/j.jhep.2012.03.022" TargetMode="External"/><Relationship Id="rId825" Type="http://schemas.openxmlformats.org/officeDocument/2006/relationships/hyperlink" Target="https://doi.org/10.1159/000547230"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2026-07-15T23:23:12.542Z</dcterms:created>
  <dcterms:modified xsi:type="dcterms:W3CDTF">2026-10-29T14:21:23Z</dcterms:modified>
  <dc:title>UTHealth Houston and Memorial Hermann High Risk Liver Transplant Protocol for Hepatocellular Carcinoma V8</dc:title>
  <dc:subject>Investigational HCC pathway outside standardized criteria</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