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line="252" w:lineRule="auto" w:after="120"/>
      </w:pPr>
      <w:r>
        <w:rPr>
          <w:b w:val="0"/>
          <w:i w:val="0"/>
          <w:sz w:val="44"/>
        </w:rPr>
        <w:t>Hepatocellular carcinoma — High-risk pathway: questions for consensus</w:t>
      </w:r>
    </w:p>
    <w:p>
      <w:pPr>
        <w:spacing w:after="80"/>
      </w:pPr>
      <w:r>
        <w:rPr>
          <w:b w:val="0"/>
          <w:i w:val="0"/>
          <w:color w:val="5A6069"/>
          <w:sz w:val="18"/>
        </w:rPr>
        <w:t>UTHealth Houston and Memorial Hermann · HPB oncology · 29 October 2026 · V17 standardized documents</w:t>
      </w:r>
    </w:p>
    <w:p>
      <w:pPr>
        <w:spacing w:after="80"/>
      </w:pPr>
      <w:r>
        <w:rPr>
          <w:b w:val="0"/>
          <w:i w:val="0"/>
        </w:rPr>
        <w:t>Every question in the high-risk pathway that still needs a consensus answer. Each one shows what guidelines, trials and papers say, our proposed selection, and space for the group decision. All proposals are OPEN; nothing in this document is activated or approved.</w:t>
      </w:r>
    </w:p>
    <w:p>
      <w:pPr>
        <w:spacing w:after="80"/>
      </w:pPr>
      <w:r>
        <w:rPr>
          <w:b w:val="0"/>
          <w:i w:val="0"/>
        </w:rPr>
        <w:t>Web page: https://drliuhao.github.io/mh-liver-pathways/transplant/hcc/#high-risk</w:t>
      </w:r>
    </w:p>
    <w:p>
      <w:pPr>
        <w:spacing w:after="160"/>
      </w:pPr>
      <w:r>
        <w:rPr>
          <w:b/>
          <w:i w:val="0"/>
        </w:rPr>
        <w:t xml:space="preserve">Companion files: </w:t>
      </w:r>
      <w:r>
        <w:rPr>
          <w:b w:val="0"/>
          <w:i w:val="0"/>
          <w:sz w:val="20"/>
        </w:rPr>
        <w:t xml:space="preserve">Full content: </w:t>
      </w:r>
      <w:r>
        <w:rPr>
          <w:b w:val="0"/>
          <w:i/>
        </w:rPr>
        <w:t>HCC_5_High_Risk_Pathway.docx</w:t>
      </w:r>
      <w:r>
        <w:rPr>
          <w:b w:val="0"/>
          <w:i w:val="0"/>
          <w:sz w:val="20"/>
        </w:rPr>
        <w:t xml:space="preserve"> · Decision discussion for all settings: </w:t>
      </w:r>
      <w:r>
        <w:rPr>
          <w:b w:val="0"/>
          <w:i/>
        </w:rPr>
        <w:t>HCC_7_Decision_Discussion.docx</w:t>
      </w:r>
    </w:p>
    <w:p>
      <w:pPr>
        <w:pStyle w:val="Heading1"/>
        <w:keepNext/>
        <w:spacing w:before="280" w:after="80"/>
      </w:pPr>
      <w:r>
        <w:rPr>
          <w:b w:val="0"/>
          <w:i w:val="0"/>
        </w:rPr>
        <w:t>Summary</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1300"/>
        <w:gridCol w:w="3500"/>
        <w:gridCol w:w="3780"/>
        <w:gridCol w:w="1500"/>
      </w:tblGrid>
      <w:tr>
        <w:trPr>
          <w:tblHeader/>
        </w:trPr>
        <w:tc>
          <w:tcPr>
            <w:tcW w:type="dxa" w:w="2520"/>
            <w:tcW w:w="1300" w:type="dxa"/>
            <w:shd w:val="clear" w:color="auto" w:fill="17365D"/>
          </w:tcPr>
          <w:p>
            <w:r>
              <w:rPr>
                <w:b/>
                <w:i w:val="0"/>
                <w:color w:val="FFFFFF"/>
                <w:sz w:val="19"/>
              </w:rPr>
              <w:t>ID</w:t>
            </w:r>
          </w:p>
        </w:tc>
        <w:tc>
          <w:tcPr>
            <w:tcW w:type="dxa" w:w="2520"/>
            <w:tcW w:w="3500" w:type="dxa"/>
            <w:shd w:val="clear" w:color="auto" w:fill="17365D"/>
          </w:tcPr>
          <w:p>
            <w:r>
              <w:rPr>
                <w:b/>
                <w:i w:val="0"/>
                <w:color w:val="FFFFFF"/>
                <w:sz w:val="19"/>
              </w:rPr>
              <w:t>Question</w:t>
            </w:r>
          </w:p>
        </w:tc>
        <w:tc>
          <w:tcPr>
            <w:tcW w:type="dxa" w:w="2520"/>
            <w:tcW w:w="3780" w:type="dxa"/>
            <w:shd w:val="clear" w:color="auto" w:fill="17365D"/>
          </w:tcPr>
          <w:p>
            <w:r>
              <w:rPr>
                <w:b/>
                <w:i w:val="0"/>
                <w:color w:val="FFFFFF"/>
                <w:sz w:val="19"/>
              </w:rPr>
              <w:t>Proposed selection (summary)</w:t>
            </w:r>
          </w:p>
        </w:tc>
        <w:tc>
          <w:tcPr>
            <w:tcW w:type="dxa" w:w="2520"/>
            <w:tcW w:w="1500" w:type="dxa"/>
            <w:shd w:val="clear" w:color="auto" w:fill="17365D"/>
          </w:tcPr>
          <w:p>
            <w:r>
              <w:rPr>
                <w:b/>
                <w:i w:val="0"/>
                <w:color w:val="FFFFFF"/>
                <w:sz w:val="19"/>
              </w:rPr>
              <w:t>Status</w:t>
            </w:r>
          </w:p>
        </w:tc>
      </w:tr>
      <w:tr>
        <w:trPr>
          <w:cantSplit/>
        </w:trPr>
        <w:tc>
          <w:tcPr>
            <w:tcW w:type="dxa" w:w="2520"/>
            <w:tcW w:w="1300" w:type="dxa"/>
            <w:shd w:val="clear" w:color="auto" w:fill="F1F5F8"/>
          </w:tcPr>
          <w:p>
            <w:pPr>
              <w:spacing w:after="0"/>
            </w:pPr>
            <w:r>
              <w:rPr>
                <w:b/>
                <w:i w:val="0"/>
                <w:sz w:val="19"/>
              </w:rPr>
              <w:t>HCC-B1</w:t>
            </w:r>
          </w:p>
        </w:tc>
        <w:tc>
          <w:tcPr>
            <w:tcW w:type="dxa" w:w="2520"/>
            <w:tcW w:w="3500" w:type="dxa"/>
            <w:shd w:val="clear" w:color="auto" w:fill="F1F5F8"/>
          </w:tcPr>
          <w:p>
            <w:pPr>
              <w:spacing w:after="0"/>
            </w:pPr>
            <w:r>
              <w:rPr>
                <w:b w:val="0"/>
                <w:i w:val="0"/>
                <w:sz w:val="19"/>
              </w:rPr>
              <w:t>How far beyond UNOS-DS should the program attempt downstaging?</w:t>
            </w:r>
          </w:p>
        </w:tc>
        <w:tc>
          <w:tcPr>
            <w:tcW w:type="dxa" w:w="2520"/>
            <w:tcW w:w="3780" w:type="dxa"/>
            <w:shd w:val="clear" w:color="auto" w:fill="F1F5F8"/>
          </w:tcPr>
          <w:p>
            <w:pPr>
              <w:spacing w:after="0"/>
            </w:pPr>
            <w:r>
              <w:rPr>
                <w:b w:val="0"/>
                <w:i w:val="0"/>
                <w:sz w:val="19"/>
              </w:rPr>
              <w:t>Open a bounded prospective beyond-UNOS downstaging cohort, not an unrestricted all-comers pathway.</w:t>
            </w:r>
          </w:p>
        </w:tc>
        <w:tc>
          <w:tcPr>
            <w:tcW w:type="dxa" w:w="2520"/>
            <w:tcW w:w="1500" w:type="dxa"/>
            <w:shd w:val="clear" w:color="auto" w:fill="F1F5F8"/>
          </w:tcPr>
          <w:p>
            <w:pPr>
              <w:spacing w:after="0"/>
            </w:pPr>
            <w:r>
              <w:rPr>
                <w:b w:val="0"/>
                <w:i w:val="0"/>
                <w:color w:val="5A6069"/>
                <w:sz w:val="18"/>
              </w:rPr>
              <w:t>OPEN proposal · not activated</w:t>
            </w:r>
          </w:p>
        </w:tc>
      </w:tr>
      <w:tr>
        <w:trPr>
          <w:cantSplit/>
        </w:trPr>
        <w:tc>
          <w:tcPr>
            <w:tcW w:type="dxa" w:w="2520"/>
            <w:tcW w:w="1300" w:type="dxa"/>
            <w:shd w:val="clear" w:color="auto" w:fill="FFFFFF"/>
          </w:tcPr>
          <w:p>
            <w:pPr>
              <w:spacing w:after="0"/>
            </w:pPr>
            <w:r>
              <w:rPr>
                <w:b/>
                <w:i w:val="0"/>
                <w:sz w:val="19"/>
              </w:rPr>
              <w:t>HCC-B1.1</w:t>
            </w:r>
          </w:p>
        </w:tc>
        <w:tc>
          <w:tcPr>
            <w:tcW w:type="dxa" w:w="2520"/>
            <w:tcW w:w="3500" w:type="dxa"/>
            <w:shd w:val="clear" w:color="auto" w:fill="FFFFFF"/>
          </w:tcPr>
          <w:p>
            <w:pPr>
              <w:spacing w:after="0"/>
            </w:pPr>
            <w:r>
              <w:rPr>
                <w:b w:val="0"/>
                <w:i w:val="0"/>
                <w:sz w:val="19"/>
              </w:rPr>
              <w:t>AFP-only failure or discordance with imaging</w:t>
            </w:r>
          </w:p>
        </w:tc>
        <w:tc>
          <w:tcPr>
            <w:tcW w:type="dxa" w:w="2520"/>
            <w:tcW w:w="3780" w:type="dxa"/>
            <w:shd w:val="clear" w:color="auto" w:fill="FFFFFF"/>
          </w:tcPr>
          <w:p>
            <w:pPr>
              <w:spacing w:after="0"/>
            </w:pPr>
            <w:r>
              <w:rPr>
                <w:b w:val="0"/>
                <w:i w:val="0"/>
                <w:sz w:val="19"/>
              </w:rPr>
              <w:t>Use a distinct biological-risk review; confirm the signal and restage. Do not permanently delist or treat a nonexistent target based on one AFP result.</w:t>
            </w:r>
          </w:p>
        </w:tc>
        <w:tc>
          <w:tcPr>
            <w:tcW w:type="dxa" w:w="2520"/>
            <w:tcW w:w="1500" w:type="dxa"/>
            <w:shd w:val="clear" w:color="auto" w:fill="FFFFFF"/>
          </w:tcPr>
          <w:p>
            <w:pPr>
              <w:spacing w:after="0"/>
            </w:pPr>
            <w:r>
              <w:rPr>
                <w:b w:val="0"/>
                <w:i w:val="0"/>
                <w:color w:val="5A6069"/>
                <w:sz w:val="18"/>
              </w:rPr>
              <w:t>AFP-only review · OPEN · not activated</w:t>
            </w:r>
          </w:p>
        </w:tc>
      </w:tr>
      <w:tr>
        <w:trPr>
          <w:cantSplit/>
        </w:trPr>
        <w:tc>
          <w:tcPr>
            <w:tcW w:type="dxa" w:w="2520"/>
            <w:tcW w:w="1300" w:type="dxa"/>
            <w:shd w:val="clear" w:color="auto" w:fill="F1F5F8"/>
          </w:tcPr>
          <w:p>
            <w:pPr>
              <w:spacing w:after="0"/>
            </w:pPr>
            <w:r>
              <w:rPr>
                <w:b/>
                <w:i w:val="0"/>
                <w:sz w:val="19"/>
              </w:rPr>
              <w:t>HCC-B2</w:t>
            </w:r>
          </w:p>
        </w:tc>
        <w:tc>
          <w:tcPr>
            <w:tcW w:type="dxa" w:w="2520"/>
            <w:tcW w:w="3500" w:type="dxa"/>
            <w:shd w:val="clear" w:color="auto" w:fill="F1F5F8"/>
          </w:tcPr>
          <w:p>
            <w:pPr>
              <w:spacing w:after="0"/>
            </w:pPr>
            <w:r>
              <w:rPr>
                <w:b w:val="0"/>
                <w:i w:val="0"/>
                <w:sz w:val="19"/>
              </w:rPr>
              <w:t>Which PVTT anatomy could enter a transplanting study?</w:t>
            </w:r>
          </w:p>
        </w:tc>
        <w:tc>
          <w:tcPr>
            <w:tcW w:type="dxa" w:w="2520"/>
            <w:tcW w:w="3780" w:type="dxa"/>
            <w:shd w:val="clear" w:color="auto" w:fill="F1F5F8"/>
          </w:tcPr>
          <w:p>
            <w:pPr>
              <w:spacing w:after="0"/>
            </w:pPr>
            <w:r>
              <w:rPr>
                <w:b w:val="0"/>
                <w:i w:val="0"/>
                <w:sz w:val="19"/>
              </w:rPr>
              <w:t>Develop an initial Vp1–2-only transplanting study; keep Vp3 registry-first and Vp4/hepatic-vein expansion closed.</w:t>
            </w:r>
          </w:p>
        </w:tc>
        <w:tc>
          <w:tcPr>
            <w:tcW w:type="dxa" w:w="2520"/>
            <w:tcW w:w="1500" w:type="dxa"/>
            <w:shd w:val="clear" w:color="auto" w:fill="F1F5F8"/>
          </w:tcPr>
          <w:p>
            <w:pPr>
              <w:spacing w:after="0"/>
            </w:pPr>
            <w:r>
              <w:rPr>
                <w:b w:val="0"/>
                <w:i w:val="0"/>
                <w:color w:val="5A6069"/>
                <w:sz w:val="18"/>
              </w:rPr>
              <w:t>Different limits by invasion level · not activated</w:t>
            </w:r>
          </w:p>
        </w:tc>
      </w:tr>
      <w:tr>
        <w:trPr>
          <w:cantSplit/>
        </w:trPr>
        <w:tc>
          <w:tcPr>
            <w:tcW w:type="dxa" w:w="2520"/>
            <w:tcW w:w="1300" w:type="dxa"/>
            <w:shd w:val="clear" w:color="auto" w:fill="FFFFFF"/>
          </w:tcPr>
          <w:p>
            <w:pPr>
              <w:spacing w:after="0"/>
            </w:pPr>
            <w:r>
              <w:rPr>
                <w:b/>
                <w:i w:val="0"/>
                <w:sz w:val="19"/>
              </w:rPr>
              <w:t>HCC-B3</w:t>
            </w:r>
          </w:p>
        </w:tc>
        <w:tc>
          <w:tcPr>
            <w:tcW w:type="dxa" w:w="2520"/>
            <w:tcW w:w="3500" w:type="dxa"/>
            <w:shd w:val="clear" w:color="auto" w:fill="FFFFFF"/>
          </w:tcPr>
          <w:p>
            <w:pPr>
              <w:spacing w:after="0"/>
            </w:pPr>
            <w:r>
              <w:rPr>
                <w:b w:val="0"/>
                <w:i w:val="0"/>
                <w:sz w:val="19"/>
              </w:rPr>
              <w:t>How should prior ICI alter activation and consent?</w:t>
            </w:r>
          </w:p>
        </w:tc>
        <w:tc>
          <w:tcPr>
            <w:tcW w:type="dxa" w:w="2520"/>
            <w:tcW w:w="3780" w:type="dxa"/>
            <w:shd w:val="clear" w:color="auto" w:fill="FFFFFF"/>
          </w:tcPr>
          <w:p>
            <w:pPr>
              <w:spacing w:after="0"/>
            </w:pPr>
            <w:r>
              <w:rPr>
                <w:b w:val="0"/>
                <w:i w:val="0"/>
                <w:sz w:val="19"/>
              </w:rPr>
              <w:t>Use ≥90 days after the last ICI dose as the elective LT planning threshold, with a separate assessment of immune toxicity.</w:t>
            </w:r>
          </w:p>
        </w:tc>
        <w:tc>
          <w:tcPr>
            <w:tcW w:type="dxa" w:w="2520"/>
            <w:tcW w:w="1500" w:type="dxa"/>
            <w:shd w:val="clear" w:color="auto" w:fill="FFFFFF"/>
          </w:tcPr>
          <w:p>
            <w:pPr>
              <w:spacing w:after="0"/>
            </w:pPr>
            <w:r>
              <w:rPr>
                <w:b w:val="0"/>
                <w:i w:val="0"/>
                <w:color w:val="5A6069"/>
                <w:sz w:val="18"/>
              </w:rPr>
              <w:t>OPEN proposal · not activated</w:t>
            </w:r>
          </w:p>
        </w:tc>
      </w:tr>
      <w:tr>
        <w:trPr>
          <w:cantSplit/>
        </w:trPr>
        <w:tc>
          <w:tcPr>
            <w:tcW w:type="dxa" w:w="2520"/>
            <w:tcW w:w="1300" w:type="dxa"/>
            <w:shd w:val="clear" w:color="auto" w:fill="F1F5F8"/>
          </w:tcPr>
          <w:p>
            <w:pPr>
              <w:spacing w:after="0"/>
            </w:pPr>
            <w:r>
              <w:rPr>
                <w:b/>
                <w:i w:val="0"/>
                <w:sz w:val="19"/>
              </w:rPr>
              <w:t>HCC-B4</w:t>
            </w:r>
          </w:p>
        </w:tc>
        <w:tc>
          <w:tcPr>
            <w:tcW w:type="dxa" w:w="2520"/>
            <w:tcW w:w="3500" w:type="dxa"/>
            <w:shd w:val="clear" w:color="auto" w:fill="F1F5F8"/>
          </w:tcPr>
          <w:p>
            <w:pPr>
              <w:spacing w:after="0"/>
            </w:pPr>
            <w:r>
              <w:rPr>
                <w:b w:val="0"/>
                <w:i w:val="0"/>
                <w:sz w:val="19"/>
              </w:rPr>
              <w:t>Can a survival-benefit score influence organ priority?</w:t>
            </w:r>
          </w:p>
        </w:tc>
        <w:tc>
          <w:tcPr>
            <w:tcW w:type="dxa" w:w="2520"/>
            <w:tcW w:w="3780" w:type="dxa"/>
            <w:shd w:val="clear" w:color="auto" w:fill="F1F5F8"/>
          </w:tcPr>
          <w:p>
            <w:pPr>
              <w:spacing w:after="0"/>
            </w:pPr>
            <w:r>
              <w:rPr>
                <w:b w:val="0"/>
                <w:i w:val="0"/>
                <w:sz w:val="19"/>
              </w:rPr>
              <w:t>Give the survival-benefit score zero clinical or allocation weight now; evaluate it in research-only evaluation only.</w:t>
            </w:r>
          </w:p>
        </w:tc>
        <w:tc>
          <w:tcPr>
            <w:tcW w:type="dxa" w:w="2520"/>
            <w:tcW w:w="1500" w:type="dxa"/>
            <w:shd w:val="clear" w:color="auto" w:fill="F1F5F8"/>
          </w:tcPr>
          <w:p>
            <w:pPr>
              <w:spacing w:after="0"/>
            </w:pPr>
            <w:r>
              <w:rPr>
                <w:b w:val="0"/>
                <w:i w:val="0"/>
                <w:color w:val="5A6069"/>
                <w:sz w:val="18"/>
              </w:rPr>
              <w:t>Research use only · not activated</w:t>
            </w:r>
          </w:p>
        </w:tc>
      </w:tr>
      <w:tr>
        <w:trPr>
          <w:cantSplit/>
        </w:trPr>
        <w:tc>
          <w:tcPr>
            <w:tcW w:type="dxa" w:w="2520"/>
            <w:tcW w:w="1300" w:type="dxa"/>
            <w:shd w:val="clear" w:color="auto" w:fill="FFFFFF"/>
          </w:tcPr>
          <w:p>
            <w:pPr>
              <w:spacing w:after="0"/>
            </w:pPr>
            <w:r>
              <w:rPr>
                <w:b/>
                <w:i w:val="0"/>
                <w:sz w:val="19"/>
              </w:rPr>
              <w:t>HCC-B5</w:t>
            </w:r>
          </w:p>
        </w:tc>
        <w:tc>
          <w:tcPr>
            <w:tcW w:type="dxa" w:w="2520"/>
            <w:tcW w:w="3500" w:type="dxa"/>
            <w:shd w:val="clear" w:color="auto" w:fill="FFFFFF"/>
          </w:tcPr>
          <w:p>
            <w:pPr>
              <w:spacing w:after="0"/>
            </w:pPr>
            <w:r>
              <w:rPr>
                <w:b w:val="0"/>
                <w:i w:val="0"/>
                <w:sz w:val="19"/>
              </w:rPr>
              <w:t>May a patient whose extrahepatic HCC (including proven lymph-node metastasis) was treated and has responded completely ever enter a transplant route, or does this history close transplantation?</w:t>
            </w:r>
          </w:p>
        </w:tc>
        <w:tc>
          <w:tcPr>
            <w:tcW w:type="dxa" w:w="2520"/>
            <w:tcW w:w="3780" w:type="dxa"/>
            <w:shd w:val="clear" w:color="auto" w:fill="FFFFFF"/>
          </w:tcPr>
          <w:p>
            <w:pPr>
              <w:spacing w:after="0"/>
            </w:pPr>
            <w:r>
              <w:rPr>
                <w:b w:val="0"/>
                <w:i w:val="0"/>
                <w:sz w:val="19"/>
              </w:rPr>
              <w:t>Keep closed. Previous extrahepatic metastasis is outside the standard pathway and every HCC high-risk cohort, even after local treatment or a complete response to immunotherapy. Record durable complete responders in…</w:t>
            </w:r>
          </w:p>
        </w:tc>
        <w:tc>
          <w:tcPr>
            <w:tcW w:type="dxa" w:w="2520"/>
            <w:tcW w:w="1500" w:type="dxa"/>
            <w:shd w:val="clear" w:color="auto" w:fill="FFFFFF"/>
          </w:tcPr>
          <w:p>
            <w:pPr>
              <w:spacing w:after="0"/>
            </w:pPr>
            <w:r>
              <w:rPr>
                <w:b w:val="0"/>
                <w:i w:val="0"/>
                <w:color w:val="5A6069"/>
                <w:sz w:val="18"/>
              </w:rPr>
              <w:t>Closed · registry only · not activated</w:t>
            </w:r>
          </w:p>
        </w:tc>
      </w:tr>
    </w:tbl>
    <w:p>
      <w:pPr>
        <w:spacing w:after="40"/>
      </w:pPr>
    </w:p>
    <w:p>
      <w:pPr>
        <w:pStyle w:val="Heading1"/>
        <w:keepNext/>
        <w:spacing w:before="280" w:after="80"/>
      </w:pPr>
      <w:r>
        <w:rPr>
          <w:b w:val="0"/>
          <w:i w:val="0"/>
        </w:rPr>
        <w:t>Questions</w:t>
      </w:r>
    </w:p>
    <w:p>
      <w:pPr>
        <w:pStyle w:val="Heading2"/>
        <w:keepNext/>
        <w:spacing w:before="200" w:after="80"/>
      </w:pPr>
      <w:r>
        <w:rPr>
          <w:b w:val="0"/>
          <w:i w:val="0"/>
        </w:rPr>
        <w:t>HCC-B1 — Tumor burden beyond UNOS downstaging criteria</w:t>
      </w:r>
    </w:p>
    <w:p>
      <w:pPr>
        <w:spacing w:after="80"/>
      </w:pPr>
      <w:r>
        <w:rPr>
          <w:b w:val="0"/>
          <w:i w:val="0"/>
          <w:color w:val="5A6069"/>
          <w:sz w:val="18"/>
        </w:rPr>
        <w:t>OPEN proposal · not activated · High-risk review</w:t>
      </w:r>
    </w:p>
    <w:p>
      <w:pPr>
        <w:spacing w:after="80"/>
      </w:pPr>
      <w:r>
        <w:rPr>
          <w:b/>
          <w:i w:val="0"/>
        </w:rPr>
        <w:t xml:space="preserve">Question: </w:t>
      </w:r>
      <w:r>
        <w:rPr>
          <w:b w:val="0"/>
          <w:i w:val="0"/>
        </w:rPr>
        <w:t>How far beyond UNOS-DS should the program attempt downstaging?</w:t>
      </w:r>
    </w:p>
    <w:p>
      <w:pPr>
        <w:spacing w:after="80"/>
      </w:pPr>
      <w:r>
        <w:rPr>
          <w:b/>
          <w:i w:val="0"/>
        </w:rPr>
        <w:t xml:space="preserve">When it applies: </w:t>
      </w:r>
      <w:r>
        <w:rPr>
          <w:b w:val="0"/>
          <w:i w:val="0"/>
        </w:rPr>
        <w:t>Consider this review when the original tumor burden exceeded UNOS downstaging entry criteria.</w:t>
      </w:r>
    </w:p>
    <w:p>
      <w:pPr>
        <w:spacing w:after="80"/>
      </w:pPr>
      <w:r>
        <w:rPr>
          <w:b/>
          <w:i w:val="0"/>
        </w:rPr>
        <w:t xml:space="preserve">Where it is decided: </w:t>
      </w:r>
      <w:hyperlink r:id="rId6">
        <w:r>
          <w:rPr>
            <w:color w:val="0563C1"/>
            <w:u w:val="single"/>
          </w:rPr>
          <w:t xml:space="preserve">Check MELD-exception criteria</w:t>
        </w:r>
      </w:hyperlink>
      <w:r>
        <w:rPr>
          <w:b w:val="0"/>
          <w:i w:val="0"/>
        </w:rPr>
        <w:t xml:space="preserve"> · </w:t>
      </w:r>
      <w:hyperlink r:id="rId9">
        <w:r>
          <w:rPr>
            <w:color w:val="0563C1"/>
            <w:u w:val="single"/>
          </w:rPr>
          <w:t xml:space="preserve">Plan bridging or downstaging treatment</w:t>
        </w:r>
      </w:hyperlink>
    </w:p>
    <w:p>
      <w:pPr>
        <w:spacing w:after="120"/>
      </w:pPr>
      <w:r>
        <w:rPr>
          <w:b/>
          <w:i w:val="0"/>
          <w:sz w:val="18"/>
        </w:rPr>
        <w:t xml:space="preserve">Web page: </w:t>
      </w:r>
      <w:hyperlink r:id="rId1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Xu 2025 · all-comers</w:t>
            </w:r>
          </w:p>
        </w:tc>
        <w:tc>
          <w:tcPr>
            <w:tcW w:type="dxa" w:w="3360"/>
            <w:tcW w:w="5480" w:type="dxa"/>
            <w:shd w:val="clear" w:color="auto" w:fill="F1F5F8"/>
          </w:tcPr>
          <w:p>
            <w:pPr>
              <w:spacing w:after="0"/>
            </w:pPr>
            <w:r>
              <w:rPr>
                <w:b w:val="0"/>
                <w:i w:val="0"/>
                <w:sz w:val="19"/>
              </w:rPr>
              <w:t>“sum of tumor number and largest tumor diameter ≤12” Observationally proposed upper burden boundary, not an externally validated treatment-benefit rule.</w:t>
            </w:r>
          </w:p>
        </w:tc>
        <w:tc>
          <w:tcPr>
            <w:tcW w:type="dxa" w:w="3360"/>
            <w:tcW w:w="2400" w:type="dxa"/>
            <w:shd w:val="clear" w:color="auto" w:fill="F1F5F8"/>
          </w:tcPr>
          <w:p>
            <w:pPr>
              <w:spacing w:after="0"/>
            </w:pPr>
            <w:r>
              <w:rPr>
                <w:b w:val="0"/>
                <w:i w:val="0"/>
                <w:color w:val="5A6069"/>
                <w:sz w:val="18"/>
              </w:rPr>
              <w:t>Author-manuscript PDF p11, conclusion</w:t>
            </w:r>
          </w:p>
        </w:tc>
      </w:tr>
      <w:tr>
        <w:trPr>
          <w:cantSplit/>
        </w:trPr>
        <w:tc>
          <w:tcPr>
            <w:tcW w:type="dxa" w:w="3360"/>
            <w:tcW w:w="2200" w:type="dxa"/>
            <w:shd w:val="clear" w:color="auto" w:fill="FFFFFF"/>
          </w:tcPr>
          <w:p>
            <w:pPr>
              <w:spacing w:after="0"/>
            </w:pPr>
            <w:r>
              <w:rPr>
                <w:b/>
                <w:i w:val="0"/>
                <w:sz w:val="19"/>
              </w:rPr>
              <w:t>Xu 2025 · all-comers</w:t>
            </w:r>
          </w:p>
        </w:tc>
        <w:tc>
          <w:tcPr>
            <w:tcW w:type="dxa" w:w="3360"/>
            <w:tcW w:w="5480" w:type="dxa"/>
            <w:shd w:val="clear" w:color="auto" w:fill="FFFFFF"/>
          </w:tcPr>
          <w:p>
            <w:pPr>
              <w:spacing w:after="0"/>
            </w:pPr>
            <w:r>
              <w:rPr>
                <w:b w:val="0"/>
                <w:i w:val="0"/>
                <w:sz w:val="19"/>
              </w:rPr>
              <w:t>“exclusion criteria of AFP ≥100 and Child Pugh B/C” Supports a narrower initial cohort; does not establish that all excluded patients cannot benefit.</w:t>
            </w:r>
          </w:p>
        </w:tc>
        <w:tc>
          <w:tcPr>
            <w:tcW w:type="dxa" w:w="3360"/>
            <w:tcW w:w="2400" w:type="dxa"/>
            <w:shd w:val="clear" w:color="auto" w:fill="FFFFFF"/>
          </w:tcPr>
          <w:p>
            <w:pPr>
              <w:spacing w:after="0"/>
            </w:pPr>
            <w:r>
              <w:rPr>
                <w:b w:val="0"/>
                <w:i w:val="0"/>
                <w:color w:val="5A6069"/>
                <w:sz w:val="18"/>
              </w:rPr>
              <w:t>Author-manuscript PDF p11, conclusion</w:t>
            </w:r>
          </w:p>
        </w:tc>
      </w:tr>
      <w:tr>
        <w:trPr>
          <w:cantSplit/>
        </w:trPr>
        <w:tc>
          <w:tcPr>
            <w:tcW w:type="dxa" w:w="3360"/>
            <w:tcW w:w="2200" w:type="dxa"/>
            <w:shd w:val="clear" w:color="auto" w:fill="F1F5F8"/>
          </w:tcPr>
          <w:p>
            <w:pPr>
              <w:spacing w:after="0"/>
            </w:pPr>
            <w:r>
              <w:rPr>
                <w:b/>
                <w:i w:val="0"/>
                <w:sz w:val="19"/>
              </w:rPr>
              <w:t>AASLD HCC 2023</w:t>
            </w:r>
          </w:p>
        </w:tc>
        <w:tc>
          <w:tcPr>
            <w:tcW w:type="dxa" w:w="3360"/>
            <w:tcW w:w="5480" w:type="dxa"/>
            <w:shd w:val="clear" w:color="auto" w:fill="F1F5F8"/>
          </w:tcPr>
          <w:p>
            <w:pPr>
              <w:spacing w:after="0"/>
            </w:pPr>
            <w:r>
              <w:rPr>
                <w:b w:val="0"/>
                <w:i w:val="0"/>
                <w:sz w:val="19"/>
              </w:rPr>
              <w:t>“3-to-6-month period of observation” Six months selects the conservative end of this guidance range; it is not a guarantee of favorable biology.</w:t>
            </w:r>
          </w:p>
        </w:tc>
        <w:tc>
          <w:tcPr>
            <w:tcW w:type="dxa" w:w="3360"/>
            <w:tcW w:w="2400" w:type="dxa"/>
            <w:shd w:val="clear" w:color="auto" w:fill="F1F5F8"/>
          </w:tcPr>
          <w:p>
            <w:pPr>
              <w:spacing w:after="0"/>
            </w:pPr>
            <w:r>
              <w:rPr>
                <w:b w:val="0"/>
                <w:i w:val="0"/>
                <w:color w:val="5A6069"/>
                <w:sz w:val="18"/>
              </w:rPr>
              <w:t>Author-manuscript PDF p56, guidance statement 36</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Yao 2015</w:t>
            </w:r>
          </w:p>
        </w:tc>
        <w:tc>
          <w:tcPr>
            <w:tcW w:type="dxa" w:w="3360"/>
            <w:tcW w:w="3900" w:type="dxa"/>
            <w:shd w:val="clear" w:color="auto" w:fill="F1F5F8"/>
          </w:tcPr>
          <w:p>
            <w:pPr>
              <w:spacing w:after="0"/>
            </w:pPr>
            <w:r>
              <w:rPr>
                <w:b w:val="0"/>
                <w:i w:val="0"/>
                <w:sz w:val="19"/>
              </w:rPr>
              <w:t>Single-center prospective downstaging protocol; 118 downstaging patients versus 488 initially T2 controls, treated in 2002–January 2012. Entry: one lesion ≤8 cm; two/three lesions each ≤5 cm and total ≤8 cm; or four/five each ≤3 cm and total ≤8 cm; no macrovascular invasion; ≥3 months observation after successful downstaging.</w:t>
            </w:r>
          </w:p>
        </w:tc>
        <w:tc>
          <w:tcPr>
            <w:tcW w:type="dxa" w:w="3360"/>
            <w:tcW w:w="4180" w:type="dxa"/>
            <w:shd w:val="clear" w:color="auto" w:fill="F1F5F8"/>
          </w:tcPr>
          <w:p>
            <w:pPr>
              <w:spacing w:after="0"/>
            </w:pPr>
            <w:r>
              <w:rPr>
                <w:b w:val="0"/>
                <w:i w:val="0"/>
                <w:sz w:val="19"/>
              </w:rPr>
              <w:t>Downstaging succeeded in 77/118 (65.3%); 64/118 (54.2%) underwent LT. Five-year post-LT survival was 77.8% versus 81.0%; recurrence-free probability 90.8% versus 88.0%. Five-year intention-to-treat survival was 56.1% versus 63.3%; two-year dropout 34.2% versus 25.6%. Five transplanted downstaging patients developed recurrence.</w:t>
            </w:r>
          </w:p>
          <w:p>
            <w:pPr>
              <w:spacing w:after="0"/>
            </w:pPr>
            <w:r>
              <w:rPr>
                <w:b w:val="0"/>
                <w:i/>
                <w:sz w:val="19"/>
              </w:rPr>
              <w:t>Limits: Bounded protocol, older treatments and selected recipients; recipient survival excludes downstaging failure. Recurrence-free probability is not automatically a death-inclusive DFS endpoint.</w:t>
            </w:r>
          </w:p>
          <w:p>
            <w:pPr>
              <w:spacing w:after="0"/>
            </w:pPr>
            <w:r>
              <w:rPr>
                <w:b w:val="0"/>
                <w:i w:val="0"/>
                <w:color w:val="5A6069"/>
                <w:sz w:val="18"/>
              </w:rPr>
              <w:t>Primary PMC full text: Methods, Results and survival figures; DOI 10.1002/hep.27752. Complete PDF not saved.</w:t>
            </w:r>
          </w:p>
        </w:tc>
      </w:tr>
      <w:tr>
        <w:trPr>
          <w:cantSplit/>
        </w:trPr>
        <w:tc>
          <w:tcPr>
            <w:tcW w:type="dxa" w:w="3360"/>
            <w:tcW w:w="2000" w:type="dxa"/>
            <w:shd w:val="clear" w:color="auto" w:fill="FFFFFF"/>
          </w:tcPr>
          <w:p>
            <w:pPr>
              <w:spacing w:after="0"/>
            </w:pPr>
            <w:r>
              <w:rPr>
                <w:b/>
                <w:i w:val="0"/>
                <w:sz w:val="19"/>
              </w:rPr>
              <w:t>Mehta 2021</w:t>
            </w:r>
          </w:p>
        </w:tc>
        <w:tc>
          <w:tcPr>
            <w:tcW w:type="dxa" w:w="3360"/>
            <w:tcW w:w="3900" w:type="dxa"/>
            <w:shd w:val="clear" w:color="auto" w:fill="FFFFFF"/>
          </w:tcPr>
          <w:p>
            <w:pPr>
              <w:spacing w:after="0"/>
            </w:pPr>
            <w:r>
              <w:rPr>
                <w:b w:val="0"/>
                <w:i w:val="0"/>
                <w:sz w:val="19"/>
              </w:rPr>
              <w:t>Prospective MERITS-LT cohort: 209 UNOS-DS patients at seven centers in four US regions, 2016–2019. UNOS-DS entry limits; predominantly Child-Pugh A/B; bilirubin ≤4 mg/dL; Child-Pugh B/C with AFP &gt;1,000 excluded. Initial TACE versus Y90 was not randomized.</w:t>
            </w:r>
          </w:p>
        </w:tc>
        <w:tc>
          <w:tcPr>
            <w:tcW w:type="dxa" w:w="3360"/>
            <w:tcW w:w="4180" w:type="dxa"/>
            <w:shd w:val="clear" w:color="auto" w:fill="FFFFFF"/>
          </w:tcPr>
          <w:p>
            <w:pPr>
              <w:spacing w:after="0"/>
            </w:pPr>
            <w:r>
              <w:rPr>
                <w:b w:val="0"/>
                <w:i w:val="0"/>
                <w:sz w:val="19"/>
              </w:rPr>
              <w:t>174/209 (83.3%) achieved downstaging; two-year estimated success 87.7%. Observed dropout was 75/209, including 51 tumor progressions and nine liver-related deaths; two-year competing-risk dropout 37.3%. LT occurred in 63/209 by cutoff; three-year LT probability 46.6%. Median post-LT follow-up 1.7 years; two-year recipient survival 95%, three-year 83.1%; recurrence 5/63. Three-year treatment-entry survival 73%. Explants exceeded Milan in 42.8%, with microvascular invasion in 17.5%.</w:t>
            </w:r>
          </w:p>
          <w:p>
            <w:pPr>
              <w:spacing w:after="0"/>
            </w:pPr>
            <w:r>
              <w:rPr>
                <w:b w:val="0"/>
                <w:i/>
                <w:sz w:val="19"/>
              </w:rPr>
              <w:t>Limits: Early post-LT follow-up and substantial radiology/explant discordance; success of an imaging endpoint does not establish absence of viable cancer. Overlaps later MERITS expansions.</w:t>
            </w:r>
          </w:p>
          <w:p>
            <w:pPr>
              <w:spacing w:after="0"/>
            </w:pPr>
            <w:r>
              <w:rPr>
                <w:b w:val="0"/>
                <w:i w:val="0"/>
                <w:color w:val="5A6069"/>
                <w:sz w:val="18"/>
              </w:rPr>
              <w:t>Complete local author manuscript, PDF pp6–9, Table 3.</w:t>
            </w:r>
          </w:p>
        </w:tc>
      </w:tr>
      <w:tr>
        <w:trPr>
          <w:cantSplit/>
        </w:trPr>
        <w:tc>
          <w:tcPr>
            <w:tcW w:type="dxa" w:w="3360"/>
            <w:tcW w:w="2000" w:type="dxa"/>
            <w:shd w:val="clear" w:color="auto" w:fill="F1F5F8"/>
          </w:tcPr>
          <w:p>
            <w:pPr>
              <w:spacing w:after="0"/>
            </w:pPr>
            <w:r>
              <w:rPr>
                <w:b/>
                <w:i w:val="0"/>
                <w:sz w:val="19"/>
              </w:rPr>
              <w:t>Sinha 2019</w:t>
            </w:r>
          </w:p>
        </w:tc>
        <w:tc>
          <w:tcPr>
            <w:tcW w:type="dxa" w:w="3360"/>
            <w:tcW w:w="3900" w:type="dxa"/>
            <w:shd w:val="clear" w:color="auto" w:fill="F1F5F8"/>
          </w:tcPr>
          <w:p>
            <w:pPr>
              <w:spacing w:after="0"/>
            </w:pPr>
            <w:r>
              <w:rPr>
                <w:b w:val="0"/>
                <w:i w:val="0"/>
                <w:sz w:val="19"/>
              </w:rPr>
              <w:t>Single-center all-comers analysis: 74 beyond-UCSF-DS patients versus 133 bounded UCSF-DS patients. All-comers exceeded the established downstaging burden limits; full-text confirmation of era and entry exclusions remains pending.</w:t>
            </w:r>
          </w:p>
        </w:tc>
        <w:tc>
          <w:tcPr>
            <w:tcW w:type="dxa" w:w="3360"/>
            <w:tcW w:w="4180" w:type="dxa"/>
            <w:shd w:val="clear" w:color="auto" w:fill="F1F5F8"/>
          </w:tcPr>
          <w:p>
            <w:pPr>
              <w:spacing w:after="0"/>
            </w:pPr>
            <w:r>
              <w:rPr>
                <w:b w:val="0"/>
                <w:i w:val="0"/>
                <w:sz w:val="19"/>
              </w:rPr>
              <w:t>Downstaging success: 64.8% versus 84.2%. Three-year dropout: 80.0% versus 36.1%. LT: 10/74 (13.5%) all-comers versus 59.0% of bounded patients. Five-year intention-to-treat survival: 21.1% versus 56.0%; three of ten all-comer recipients recurred. Number plus largest diameter &gt;8 and Child-Pugh B/C predicted dropout.</w:t>
            </w:r>
          </w:p>
          <w:p>
            <w:pPr>
              <w:spacing w:after="0"/>
            </w:pPr>
            <w:r>
              <w:rPr>
                <w:b w:val="0"/>
                <w:i/>
                <w:sz w:val="19"/>
              </w:rPr>
              <w:t>Limits: Strong counterevidence to unlimited entry, but small historical single-center cohort. Primary abstract only; treatment-entry timing and endpoint definitions require full text. Not a validation of a ≤12 cutoff.</w:t>
            </w:r>
          </w:p>
          <w:p>
            <w:pPr>
              <w:spacing w:after="0"/>
            </w:pPr>
            <w:r>
              <w:rPr>
                <w:b w:val="0"/>
                <w:i w:val="0"/>
                <w:color w:val="5A6069"/>
                <w:sz w:val="18"/>
              </w:rPr>
              <w:t>Published primary abstract, PMID 30779440, Results.</w:t>
            </w:r>
          </w:p>
        </w:tc>
      </w:tr>
      <w:tr>
        <w:trPr>
          <w:cantSplit/>
        </w:trPr>
        <w:tc>
          <w:tcPr>
            <w:tcW w:type="dxa" w:w="3360"/>
            <w:tcW w:w="2000" w:type="dxa"/>
            <w:shd w:val="clear" w:color="auto" w:fill="FFFFFF"/>
          </w:tcPr>
          <w:p>
            <w:pPr>
              <w:spacing w:after="0"/>
            </w:pPr>
            <w:r>
              <w:rPr>
                <w:b/>
                <w:i w:val="0"/>
                <w:sz w:val="19"/>
              </w:rPr>
              <w:t>Natarajan 2023</w:t>
            </w:r>
          </w:p>
        </w:tc>
        <w:tc>
          <w:tcPr>
            <w:tcW w:type="dxa" w:w="3360"/>
            <w:tcW w:w="3900" w:type="dxa"/>
            <w:shd w:val="clear" w:color="auto" w:fill="FFFFFF"/>
          </w:tcPr>
          <w:p>
            <w:pPr>
              <w:spacing w:after="0"/>
            </w:pPr>
            <w:r>
              <w:rPr>
                <w:b w:val="0"/>
                <w:i w:val="0"/>
                <w:sz w:val="19"/>
              </w:rPr>
              <w:t>Prospective MERITS-LT expansion: 82 all-comers versus 229 UNOS-DS patients, seven centers, 2015–2020. All-comers exceeded UNOS-DS. Liver reserve and AFP identified poor-prognosis subgroups rather than a randomized selection rule.</w:t>
            </w:r>
          </w:p>
        </w:tc>
        <w:tc>
          <w:tcPr>
            <w:tcW w:type="dxa" w:w="3360"/>
            <w:tcW w:w="4180" w:type="dxa"/>
            <w:shd w:val="clear" w:color="auto" w:fill="FFFFFF"/>
          </w:tcPr>
          <w:p>
            <w:pPr>
              <w:spacing w:after="0"/>
            </w:pPr>
            <w:r>
              <w:rPr>
                <w:b w:val="0"/>
                <w:i w:val="0"/>
                <w:sz w:val="19"/>
              </w:rPr>
              <w:t>Twelve-month downstaging: 67% versus 83%. Three-year entry survival: 58% versus 69%; approximately 30% in all-comers with Child-Pugh B/C or AFP ≥500. LT occurred in 20/82 versus 85/229; five-year LT probability 42.2% versus 73.6%. Recipient three-year survival: 90.9% versus 80.6%; recurrence 1/20 versus 7/85. Median post-LT follow-up was only about 18.5 months. All-comer dropouts numbered 39: 25 before and 14 after downstaging.</w:t>
            </w:r>
          </w:p>
          <w:p>
            <w:pPr>
              <w:spacing w:after="0"/>
            </w:pPr>
            <w:r>
              <w:rPr>
                <w:b w:val="0"/>
                <w:i/>
                <w:sz w:val="19"/>
              </w:rPr>
              <w:t>Limits: Immature recipient estimates and substantial attrition. Cohort overlaps earlier MERITS and Xu 2025; do not sum patients or treat as independent validation.</w:t>
            </w:r>
          </w:p>
          <w:p>
            <w:pPr>
              <w:spacing w:after="0"/>
            </w:pPr>
            <w:r>
              <w:rPr>
                <w:b w:val="0"/>
                <w:i w:val="0"/>
                <w:color w:val="5A6069"/>
                <w:sz w:val="18"/>
              </w:rPr>
              <w:t>Primary PMC full text, Results §3.5 and outcome tables, PMC10998692; PDF pending.</w:t>
            </w:r>
          </w:p>
        </w:tc>
      </w:tr>
      <w:tr>
        <w:trPr>
          <w:cantSplit/>
        </w:trPr>
        <w:tc>
          <w:tcPr>
            <w:tcW w:type="dxa" w:w="3360"/>
            <w:tcW w:w="2000" w:type="dxa"/>
            <w:shd w:val="clear" w:color="auto" w:fill="F1F5F8"/>
          </w:tcPr>
          <w:p>
            <w:pPr>
              <w:spacing w:after="0"/>
            </w:pPr>
            <w:r>
              <w:rPr>
                <w:b/>
                <w:i w:val="0"/>
                <w:sz w:val="19"/>
              </w:rPr>
              <w:t>Xu 2025 · all-comers</w:t>
            </w:r>
          </w:p>
        </w:tc>
        <w:tc>
          <w:tcPr>
            <w:tcW w:type="dxa" w:w="3360"/>
            <w:tcW w:w="3900" w:type="dxa"/>
            <w:shd w:val="clear" w:color="auto" w:fill="F1F5F8"/>
          </w:tcPr>
          <w:p>
            <w:pPr>
              <w:spacing w:after="0"/>
            </w:pPr>
            <w:r>
              <w:rPr>
                <w:b w:val="0"/>
                <w:i w:val="0"/>
                <w:sz w:val="19"/>
              </w:rPr>
              <w:t>National prospective cohort, nine centers, 2015–2023: 190 all-comers and 326 UNOS-DS patients; intention-to-treat clock starts at first locoregional treatment. No extrahepatic disease or macrovascular invasion; all-comers exceeded UNOS-DS. Proposed burden and biologic refinements were derived from this cohort, not prospectively locked eligibility criteria.</w:t>
            </w:r>
          </w:p>
        </w:tc>
        <w:tc>
          <w:tcPr>
            <w:tcW w:type="dxa" w:w="3360"/>
            <w:tcW w:w="4180" w:type="dxa"/>
            <w:shd w:val="clear" w:color="auto" w:fill="F1F5F8"/>
          </w:tcPr>
          <w:p>
            <w:pPr>
              <w:spacing w:after="0"/>
            </w:pPr>
            <w:r>
              <w:rPr>
                <w:b w:val="0"/>
                <w:i w:val="0"/>
                <w:sz w:val="19"/>
              </w:rPr>
              <w:t>Two-year downstaging: 66% versus 82%. Among all-comers, number plus largest diameter &lt;10, 10–12 and &gt;12 had success of 72%, 51% and 39%. Five-year treatment-entry survival: 45.0% versus 58.8%. LT occurred in 76/190 versus 155/326; median downstaging-to-LT 10.6 months. Five-year recipient survival: 71.5% versus 73.6%; recurrence: 29.8% versus 13.7%, with median post-LT follow-up 27.4 months. AFP ≥100 and Child-Pugh B predicted worse entry survival.</w:t>
            </w:r>
          </w:p>
          <w:p>
            <w:pPr>
              <w:spacing w:after="0"/>
            </w:pPr>
            <w:r>
              <w:rPr>
                <w:b w:val="0"/>
                <w:i/>
                <w:sz w:val="19"/>
              </w:rPr>
              <w:t>Limits: Selected-recipient success cannot replace entry survival; five-year tails are immature. Y90/TACE comparisons were observational. The proposed number-plus-diameter ≤12, AFP &lt;100 and Child-Pugh A combination remains unvalidated.</w:t>
            </w:r>
          </w:p>
          <w:p>
            <w:pPr>
              <w:spacing w:after="0"/>
            </w:pPr>
            <w:r>
              <w:rPr>
                <w:b w:val="0"/>
                <w:i w:val="0"/>
                <w:color w:val="5A6069"/>
                <w:sz w:val="18"/>
              </w:rPr>
              <w:t>Complete local PDF, Results pp6–9, Tables 3–4; proposed refinements in Discussion pp9–11.</w:t>
            </w:r>
          </w:p>
        </w:tc>
      </w:tr>
      <w:tr>
        <w:trPr>
          <w:cantSplit/>
        </w:trPr>
        <w:tc>
          <w:tcPr>
            <w:tcW w:type="dxa" w:w="3360"/>
            <w:tcW w:w="2000" w:type="dxa"/>
            <w:shd w:val="clear" w:color="auto" w:fill="FFFFFF"/>
          </w:tcPr>
          <w:p>
            <w:pPr>
              <w:spacing w:after="0"/>
            </w:pPr>
            <w:r>
              <w:rPr>
                <w:b/>
                <w:i w:val="0"/>
                <w:sz w:val="19"/>
              </w:rPr>
              <w:t>XXL 2020</w:t>
            </w:r>
          </w:p>
        </w:tc>
        <w:tc>
          <w:tcPr>
            <w:tcW w:type="dxa" w:w="3360"/>
            <w:tcW w:w="3900" w:type="dxa"/>
            <w:shd w:val="clear" w:color="auto" w:fill="FFFFFF"/>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FFFFF"/>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1F5F8"/>
          </w:tcPr>
          <w:p>
            <w:pPr>
              <w:spacing w:after="0"/>
            </w:pPr>
            <w:r>
              <w:rPr>
                <w:b/>
                <w:i w:val="0"/>
                <w:sz w:val="19"/>
              </w:rPr>
              <w:t>Huang 2023</w:t>
            </w:r>
          </w:p>
        </w:tc>
        <w:tc>
          <w:tcPr>
            <w:tcW w:type="dxa" w:w="3360"/>
            <w:tcW w:w="3900" w:type="dxa"/>
            <w:shd w:val="clear" w:color="auto" w:fill="F1F5F8"/>
          </w:tcPr>
          <w:p>
            <w:pPr>
              <w:spacing w:after="0"/>
            </w:pPr>
            <w:r>
              <w:rPr>
                <w:b w:val="0"/>
                <w:i w:val="0"/>
                <w:sz w:val="19"/>
              </w:rPr>
              <w:t>UNOS national cohort, 2010–2019: 23,398 HCC exception applicants—20,579 initially Milan, 2,151 UNOS-DS, 668 all-comers. Time zero was first HCC exception application, not first downstaging treatment. Patients had already reached the allocation/application stage.</w:t>
            </w:r>
          </w:p>
        </w:tc>
        <w:tc>
          <w:tcPr>
            <w:tcW w:type="dxa" w:w="3360"/>
            <w:tcW w:w="4180" w:type="dxa"/>
            <w:shd w:val="clear" w:color="auto" w:fill="F1F5F8"/>
          </w:tcPr>
          <w:p>
            <w:pPr>
              <w:spacing w:after="0"/>
            </w:pPr>
            <w:r>
              <w:rPr>
                <w:b w:val="0"/>
                <w:i w:val="0"/>
                <w:sz w:val="19"/>
              </w:rPr>
              <w:t>Two-year dropout: 19.3%, 25.3% and 29.7%, respectively; the direct all-comer versus UNOS-DS difference was not significant (P=.07). In all-comers with initial AFP &gt;100, two-year dropout was 52%, versus 26% in the comparison beyond-Milan patients. Higher MELD and total tumor diameter predicted dropout.</w:t>
            </w:r>
          </w:p>
          <w:p>
            <w:pPr>
              <w:spacing w:after="0"/>
            </w:pPr>
            <w:r>
              <w:rPr>
                <w:b w:val="0"/>
                <w:i/>
                <w:sz w:val="19"/>
              </w:rPr>
              <w:t>Limits: Useful real-world waitlist counterevidence, but excludes patients lost before exception application and cannot supply first-LRT intention-to-treat survival. National registry overlaps other US registry studies.</w:t>
            </w:r>
          </w:p>
          <w:p>
            <w:pPr>
              <w:spacing w:after="0"/>
            </w:pPr>
            <w:r>
              <w:rPr>
                <w:b w:val="0"/>
                <w:i w:val="0"/>
                <w:color w:val="5A6069"/>
                <w:sz w:val="18"/>
              </w:rPr>
              <w:t>Primary abstract plus publisher Methods/Results, DOI 10.1016/j.cgh.2022.08.023; complete PDF pending.</w:t>
            </w:r>
          </w:p>
        </w:tc>
      </w:tr>
      <w:tr>
        <w:trPr>
          <w:cantSplit/>
        </w:trPr>
        <w:tc>
          <w:tcPr>
            <w:tcW w:type="dxa" w:w="3360"/>
            <w:tcW w:w="2000" w:type="dxa"/>
            <w:shd w:val="clear" w:color="auto" w:fill="FFFFFF"/>
          </w:tcPr>
          <w:p>
            <w:pPr>
              <w:spacing w:after="0"/>
            </w:pPr>
            <w:r>
              <w:rPr>
                <w:b/>
                <w:i w:val="0"/>
                <w:sz w:val="19"/>
              </w:rPr>
              <w:t>Tabrizian 2022</w:t>
            </w:r>
          </w:p>
        </w:tc>
        <w:tc>
          <w:tcPr>
            <w:tcW w:type="dxa" w:w="3360"/>
            <w:tcW w:w="3900" w:type="dxa"/>
            <w:shd w:val="clear" w:color="auto" w:fill="FFFFFF"/>
          </w:tcPr>
          <w:p>
            <w:pPr>
              <w:spacing w:after="0"/>
            </w:pPr>
            <w:r>
              <w:rPr>
                <w:b w:val="0"/>
                <w:i w:val="0"/>
                <w:sz w:val="19"/>
              </w:rPr>
              <w:t>Five-center US recipient cohort, 2001–2015: 2,645 transplanted patients, including 2,122 always within Milan, 341 downstaged and 182 still beyond Milan. Only 168 of the 341 downstaged patients originally met UNOS-DS limits. All analyses start with patients who actually received a graft.</w:t>
            </w:r>
          </w:p>
        </w:tc>
        <w:tc>
          <w:tcPr>
            <w:tcW w:type="dxa" w:w="3360"/>
            <w:tcW w:w="4180" w:type="dxa"/>
            <w:shd w:val="clear" w:color="auto" w:fill="FFFFFF"/>
          </w:tcPr>
          <w:p>
            <w:pPr>
              <w:spacing w:after="0"/>
            </w:pPr>
            <w:r>
              <w:rPr>
                <w:b w:val="0"/>
                <w:i w:val="0"/>
                <w:sz w:val="19"/>
              </w:rPr>
              <w:t>Ten-year post-LT overall survival was 61.5%, 52.1% and 43.3%; ten-year recurrence was 13.3%, 20.6% and 41.1%, respectively. Median follow-up was 55.3 months.</w:t>
            </w:r>
          </w:p>
          <w:p>
            <w:pPr>
              <w:spacing w:after="0"/>
            </w:pPr>
            <w:r>
              <w:rPr>
                <w:b w:val="0"/>
                <w:i/>
                <w:sz w:val="19"/>
              </w:rPr>
              <w:t>Limits: Longer-term cancer risk persists after successful downstaging. Recipient-only retrospective data do not estimate entry survival or probability of ever reaching LT; long-term tails have fewer patients.</w:t>
            </w:r>
          </w:p>
          <w:p>
            <w:pPr>
              <w:spacing w:after="0"/>
            </w:pPr>
            <w:r>
              <w:rPr>
                <w:b w:val="0"/>
                <w:i w:val="0"/>
                <w:color w:val="5A6069"/>
                <w:sz w:val="18"/>
              </w:rPr>
              <w:t>Primary PMC Methods/Results and survival tables, PMC9301590; complete PDF pending.</w:t>
            </w:r>
          </w:p>
        </w:tc>
      </w:tr>
    </w:tbl>
    <w:p>
      <w:pPr>
        <w:spacing w:after="40"/>
      </w:pPr>
    </w:p>
    <w:p>
      <w:pPr>
        <w:pStyle w:val="Heading3"/>
        <w:keepNext/>
        <w:spacing w:before="120" w:after="80"/>
      </w:pPr>
      <w:r>
        <w:rPr>
          <w:b w:val="0"/>
          <w:i w:val="0"/>
        </w:rPr>
        <w:t>Our proposed selection (OPEN)</w:t>
      </w:r>
    </w:p>
    <w:p>
      <w:pPr>
        <w:spacing w:after="80"/>
      </w:pPr>
      <w:r>
        <w:rPr>
          <w:b w:val="0"/>
          <w:i w:val="0"/>
        </w:rPr>
        <w:t>Open a bounded prospective beyond-UNOS downstaging cohort, not an unrestricted all-comers pathway.</w:t>
      </w:r>
    </w:p>
    <w:p>
      <w:pPr>
        <w:numPr>
          <w:ilvl w:val="0"/>
          <w:numId w:val="5"/>
        </w:numPr>
        <w:spacing w:after="40"/>
      </w:pPr>
      <w:r>
        <w:rPr>
          <w:b w:val="0"/>
          <w:i w:val="0"/>
        </w:rPr>
        <w:t>Proposed entry ceiling: original pretreatment tumor count plus largest tumor diameter in cm ≤12; AFP &lt;100 ng/mL; Child-Pugh A; no macrovascular invasion, current or previous extrahepatic disease (HCC-B5) or unmeasurable infiltrative tumor. These restrictions apply to the expanded arm, not to otherwise standard-eligible HCC.</w:t>
      </w:r>
    </w:p>
    <w:p>
      <w:pPr>
        <w:numPr>
          <w:ilvl w:val="0"/>
          <w:numId w:val="5"/>
        </w:numPr>
        <w:spacing w:after="40"/>
      </w:pPr>
      <w:r>
        <w:rPr>
          <w:b w:val="0"/>
          <w:i w:val="0"/>
        </w:rPr>
        <w:t>Before LT: viable tumor burden within Milan, or complete nonviability, with at least six months of documented stability from the first assessment meeting that target. Repeat liver CT/MRI and AFP at least every three months; confirmed progression holds the route and resets the study control clock after new successful downstaging.</w:t>
      </w:r>
    </w:p>
    <w:p>
      <w:pPr>
        <w:numPr>
          <w:ilvl w:val="0"/>
          <w:numId w:val="5"/>
        </w:numPr>
        <w:spacing w:after="40"/>
      </w:pPr>
      <w:r>
        <w:rPr>
          <w:b w:val="0"/>
          <w:i w:val="0"/>
        </w:rPr>
        <w:t>Preserve baseline measurements and AFP. A prior AFP ≥100 or Child-Pugh B/C at expanded-arm entry belongs to a separately approved stratum; do not erase that history after response. Do not combine this expansion with the portal-vein tumor invasion study.</w:t>
      </w:r>
    </w:p>
    <w:p>
      <w:pPr>
        <w:spacing w:after="80"/>
      </w:pPr>
      <w:r>
        <w:rPr>
          <w:b/>
          <w:i w:val="0"/>
        </w:rPr>
        <w:t xml:space="preserve">Why: </w:t>
      </w:r>
      <w:r>
        <w:rPr>
          <w:b w:val="0"/>
          <w:i w:val="0"/>
        </w:rPr>
        <w:t>Evidence supports offering a bounded downstaging pathway to selected beyond-UNOS patients, not unrestricted transplantation. Attrition before LT materially changes the counseling estimate: survival among recipients is consistently better than survival from treatment entry. Randomized XXL supports LT after sustained response but does not validate the proposed baseline burden/AFP/reserve combination. The ≤12, AFP &lt;100, Child-Pugh A pilot envelope is a deliberately conservative candidate rule derived from observational risk signals. Observation is a test of behavior, not proof that dormant metastases are absent.</w:t>
      </w:r>
    </w:p>
    <w:p>
      <w:pPr>
        <w:spacing w:after="80"/>
      </w:pPr>
      <w:r>
        <w:rPr>
          <w:b/>
          <w:i w:val="0"/>
        </w:rPr>
        <w:t xml:space="preserve">Against, or uncertain: </w:t>
      </w:r>
      <w:r>
        <w:rPr>
          <w:b w:val="0"/>
          <w:i w:val="0"/>
        </w:rPr>
        <w:t>Favorable MERITS recipient survival and the randomized responder benefit argue against declaring all beyond-UNOS disease futile. Conversely, high dropout in historical all-comers, worse entry survival, increased long-term recurrence and explant understaging argue against accepting a radiographic Milan endpoint alone. Child-Pugh B/C patients may need transplantation most, yet poorer downstaging tolerance makes an initial Child-Pugh-A-only pilot a local safety restriction rather than a universal oncologic exclusion.</w:t>
      </w:r>
    </w:p>
    <w:p>
      <w:pPr>
        <w:spacing w:after="80"/>
      </w:pPr>
      <w:r>
        <w:rPr>
          <w:b/>
          <w:i w:val="0"/>
        </w:rPr>
        <w:t xml:space="preserve">Certainty: </w:t>
      </w:r>
      <w:r>
        <w:rPr>
          <w:b w:val="0"/>
          <w:i w:val="0"/>
        </w:rPr>
        <w:t>Moderate for a benefit of LT in carefully selected sustained responders, limited by one small responder-randomized trial; low for the exact expanded-entry limits; very low for a jointly validated ≤12/AFP &lt;100/Child-Pugh A/six-month rule. This is an informal certainty assessment, not a formal GRADE exercise.</w:t>
      </w:r>
    </w:p>
    <w:p>
      <w:pPr>
        <w:spacing w:after="80"/>
      </w:pPr>
      <w:r>
        <w:rPr>
          <w:b/>
          <w:i w:val="0"/>
        </w:rPr>
        <w:t xml:space="preserve">Tests and records: </w:t>
      </w:r>
      <w:r>
        <w:rPr>
          <w:b w:val="0"/>
          <w:i w:val="0"/>
        </w:rPr>
        <w:t>Central review of pretreatment and current multiphasic CT/MRI; chest CT; dated AFP series; Child-Pugh components; resection/ablation assessment; dated response and progression record. Record first treatment, first successful downstaging, latest progression, listing, first exception request and LT dates separately; report all-entry, waitlist and recipient outcomes with their own time origins.</w:t>
      </w:r>
    </w:p>
    <w:p>
      <w:pPr>
        <w:spacing w:after="80"/>
      </w:pPr>
      <w:r>
        <w:rPr>
          <w:b/>
          <w:i w:val="0"/>
        </w:rPr>
        <w:t xml:space="preserve">Allocation: </w:t>
      </w:r>
      <w:r>
        <w:rPr>
          <w:b w:val="0"/>
          <w:i w:val="0"/>
        </w:rPr>
        <w:t>Reaching Milan/T2 does not retrospectively create standardized downstaging entry eligibility. A nonstandard exception request, calculated-MELD route or LDLT review remains separate; apply the actual allocation clock.</w:t>
      </w:r>
    </w:p>
    <w:p>
      <w:pPr>
        <w:spacing w:after="40"/>
      </w:pPr>
      <w:r>
        <w:rPr>
          <w:b/>
          <w:i w:val="0"/>
        </w:rPr>
        <w:t xml:space="preserve">Basis for the proposed thresholds: </w:t>
      </w:r>
    </w:p>
    <w:p>
      <w:pPr>
        <w:numPr>
          <w:ilvl w:val="0"/>
          <w:numId w:val="5"/>
        </w:numPr>
        <w:spacing w:after="40"/>
      </w:pPr>
      <w:r>
        <w:rPr>
          <w:b w:val="0"/>
          <w:i w:val="0"/>
        </w:rPr>
        <w:t>Number-plus-largest-diameter ≤12 and AFP &lt;100/Child-Pugh A: cohort-derived risk refinement, not validated cutoff. Six months: proposed conservative operational observation period; studies used differing clocks and intervals. Imaging/AFP every three months: proposed monitoring cadence. A five-year ≥60% intention-to-treat target is a research-design benchmark, not an achieved or validated eligibility estimate for this pilot. The clinical stability clock must remain separate from OPTN/NLRB exception timing.</w:t>
      </w:r>
    </w:p>
    <w:p>
      <w:pPr>
        <w:pStyle w:val="Heading3"/>
        <w:keepNext/>
        <w:spacing w:before="120" w:after="80"/>
      </w:pPr>
      <w:r>
        <w:rPr>
          <w:b w:val="0"/>
          <w:i w:val="0"/>
        </w:rPr>
        <w:t>HCC-B1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HCC-B1.1 — AFP-only failure or discordance with imaging</w:t>
      </w:r>
    </w:p>
    <w:p>
      <w:pPr>
        <w:spacing w:after="80"/>
      </w:pPr>
      <w:r>
        <w:rPr>
          <w:b w:val="0"/>
          <w:i w:val="0"/>
          <w:color w:val="5A6069"/>
          <w:sz w:val="18"/>
        </w:rPr>
        <w:t>AFP-only review · OPEN · not activated · High-risk review</w:t>
      </w:r>
    </w:p>
    <w:p>
      <w:pPr>
        <w:spacing w:after="80"/>
      </w:pPr>
      <w:r>
        <w:rPr>
          <w:b/>
          <w:i w:val="0"/>
        </w:rPr>
        <w:t xml:space="preserve">When it applies: </w:t>
      </w:r>
      <w:r>
        <w:rPr>
          <w:b w:val="0"/>
          <w:i w:val="0"/>
        </w:rPr>
        <w:t>High or rising AFP despite controlled/uncertain imaging, including patients otherwise within Milan. Do not inherit B1 expanded-burden AFP &lt;100.</w:t>
      </w:r>
    </w:p>
    <w:p>
      <w:pPr>
        <w:spacing w:after="80"/>
      </w:pPr>
      <w:r>
        <w:rPr>
          <w:b/>
          <w:i w:val="0"/>
        </w:rPr>
        <w:t xml:space="preserve">Where it is decided: </w:t>
      </w:r>
      <w:hyperlink r:id="rId6">
        <w:r>
          <w:rPr>
            <w:color w:val="0563C1"/>
            <w:u w:val="single"/>
          </w:rPr>
          <w:t xml:space="preserve">Check MELD-exception criteria</w:t>
        </w:r>
      </w:hyperlink>
      <w:r>
        <w:rPr>
          <w:b w:val="0"/>
          <w:i w:val="0"/>
        </w:rPr>
        <w:t xml:space="preserve"> · </w:t>
      </w:r>
      <w:hyperlink r:id="rId9">
        <w:r>
          <w:rPr>
            <w:color w:val="0563C1"/>
            <w:u w:val="single"/>
          </w:rPr>
          <w:t xml:space="preserve">Plan bridging or downstaging treatment</w:t>
        </w:r>
      </w:hyperlink>
      <w:r>
        <w:rPr>
          <w:b w:val="0"/>
          <w:i w:val="0"/>
        </w:rPr>
        <w:t xml:space="preserve"> · </w:t>
      </w:r>
      <w:hyperlink r:id="rId11">
        <w:r>
          <w:rPr>
            <w:color w:val="0563C1"/>
            <w:u w:val="single"/>
          </w:rPr>
          <w:t xml:space="preserve">Review listing and MELD-exception request</w:t>
        </w:r>
      </w:hyperlink>
      <w:r>
        <w:rPr>
          <w:b w:val="0"/>
          <w:i w:val="0"/>
        </w:rPr>
        <w:t xml:space="preserve"> · </w:t>
      </w:r>
      <w:hyperlink r:id="rId12">
        <w:r>
          <w:rPr>
            <w:color w:val="0563C1"/>
            <w:u w:val="single"/>
          </w:rPr>
          <w:t xml:space="preserve">Reassess while awaiting transplant</w:t>
        </w:r>
      </w:hyperlink>
    </w:p>
    <w:p>
      <w:pPr>
        <w:spacing w:after="120"/>
      </w:pPr>
      <w:r>
        <w:rPr>
          <w:b/>
          <w:i w:val="0"/>
          <w:sz w:val="18"/>
        </w:rPr>
        <w:t xml:space="preserve">Web page: </w:t>
      </w:r>
      <w:hyperlink r:id="rId13">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Mehta 2019: AFP response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Five-year post-LT OS: 48.8% with final AFP &gt;1000, 67.0% at 101–499, and 88.4% at ≤100. Corresponding Kaplan–Meier recurrence estimates: 35.0%, 13.3%, and 7.2%. The 500–1000 group had only 17 patients. Differences between ≤100 and 101–499 were not statistically significant.</w:t>
            </w:r>
          </w:p>
          <w:p>
            <w:pPr>
              <w:spacing w:after="0"/>
            </w:pPr>
            <w:r>
              <w:rPr>
                <w:b w:val="0"/>
                <w:i w:val="0"/>
                <w:sz w:val="19"/>
              </w:rPr>
            </w:r>
          </w:p>
          <w:p>
            <w:pPr>
              <w:spacing w:after="0"/>
            </w:pPr>
            <w:r>
              <w:rPr>
                <w:b w:val="0"/>
                <w:i w:val="0"/>
                <w:color w:val="5A6069"/>
                <w:sz w:val="18"/>
              </w:rPr>
              <w:t>Main PDF pp 3–9; Tables 1–3 and Figures 1–3.</w:t>
            </w:r>
          </w:p>
        </w:tc>
      </w:tr>
      <w:tr>
        <w:trPr>
          <w:cantSplit/>
        </w:trPr>
        <w:tc>
          <w:tcPr>
            <w:tcW w:type="dxa" w:w="3360"/>
            <w:tcW w:w="2000" w:type="dxa"/>
            <w:shd w:val="clear" w:color="auto" w:fill="FFFFFF"/>
          </w:tcPr>
          <w:p>
            <w:pPr>
              <w:spacing w:after="0"/>
            </w:pPr>
            <w:r>
              <w:rPr>
                <w:b/>
                <w:i w:val="0"/>
                <w:sz w:val="19"/>
              </w:rPr>
              <w:t>Goldman 2022: final AFP ≥500</w:t>
            </w:r>
          </w:p>
        </w:tc>
        <w:tc>
          <w:tcPr>
            <w:tcW w:type="dxa" w:w="3360"/>
            <w:tcW w:w="3900" w:type="dxa"/>
            <w:shd w:val="clear" w:color="auto" w:fill="FFFFFF"/>
          </w:tcPr>
          <w:p>
            <w:pPr>
              <w:spacing w:after="0"/>
            </w:pPr>
            <w:r>
              <w:rPr>
                <w:b w:val="0"/>
                <w:i w:val="0"/>
                <w:sz w:val="19"/>
              </w:rPr>
            </w:r>
          </w:p>
        </w:tc>
        <w:tc>
          <w:tcPr>
            <w:tcW w:type="dxa" w:w="3360"/>
            <w:tcW w:w="4180" w:type="dxa"/>
            <w:shd w:val="clear" w:color="auto" w:fill="FFFFFF"/>
          </w:tcPr>
          <w:p>
            <w:pPr>
              <w:spacing w:after="0"/>
            </w:pPr>
            <w:r>
              <w:rPr>
                <w:b w:val="0"/>
                <w:i w:val="0"/>
                <w:sz w:val="19"/>
              </w:rPr>
              <w:t>Five-year OS at final AFP &lt;100 / 100–499 / ≥500: 72.7% / 70.4% / 56.1%; recurrence: 13.1% / 18.7% / 24.2%. Final AFP ≥500: adjusted mortality HR 1.50 (95% CI 1.07–2.10), recurrence HR 1.88 (1.13–3.14).</w:t>
            </w:r>
          </w:p>
          <w:p>
            <w:pPr>
              <w:spacing w:after="0"/>
            </w:pPr>
            <w:r>
              <w:rPr>
                <w:b w:val="0"/>
                <w:i w:val="0"/>
                <w:sz w:val="19"/>
              </w:rPr>
            </w:r>
          </w:p>
          <w:p>
            <w:pPr>
              <w:spacing w:after="0"/>
            </w:pPr>
            <w:r>
              <w:rPr>
                <w:b w:val="0"/>
                <w:i w:val="0"/>
                <w:color w:val="5A6069"/>
                <w:sz w:val="18"/>
              </w:rPr>
              <w:t>Main PDF pp 4–9; Tables 1–3 and Figures 1–3.</w:t>
            </w:r>
          </w:p>
        </w:tc>
      </w:tr>
      <w:tr>
        <w:trPr>
          <w:cantSplit/>
        </w:trPr>
        <w:tc>
          <w:tcPr>
            <w:tcW w:type="dxa" w:w="3360"/>
            <w:tcW w:w="2000" w:type="dxa"/>
            <w:shd w:val="clear" w:color="auto" w:fill="F1F5F8"/>
          </w:tcPr>
          <w:p>
            <w:pPr>
              <w:spacing w:after="0"/>
            </w:pPr>
            <w:r>
              <w:rPr>
                <w:b/>
                <w:i w:val="0"/>
                <w:sz w:val="19"/>
              </w:rPr>
              <w:t>Giard 2018: AFP slope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AFP slope &gt;7.5 ng/mL/month: adjusted recurrence HR 3.0 (1.1–8.1), microvascular invasion OR 6.8 (1.6–28.7). Five-year recurrence-free probability 69.8% versus 87.4%; survival without recurrence 59.5% versus 75.3%. These are different endpoints, neither pair should be labeled overall survival.</w:t>
            </w:r>
          </w:p>
          <w:p>
            <w:pPr>
              <w:spacing w:after="0"/>
            </w:pPr>
            <w:r>
              <w:rPr>
                <w:b w:val="0"/>
                <w:i w:val="0"/>
                <w:sz w:val="19"/>
              </w:rPr>
            </w:r>
          </w:p>
          <w:p>
            <w:pPr>
              <w:spacing w:after="0"/>
            </w:pPr>
            <w:r>
              <w:rPr>
                <w:b w:val="0"/>
                <w:i w:val="0"/>
                <w:color w:val="5A6069"/>
                <w:sz w:val="18"/>
              </w:rPr>
              <w:t>Main PDF pp 2–6; Tables 1–4 and Figure 1.</w:t>
            </w:r>
          </w:p>
        </w:tc>
      </w:tr>
      <w:tr>
        <w:trPr>
          <w:cantSplit/>
        </w:trPr>
        <w:tc>
          <w:tcPr>
            <w:tcW w:type="dxa" w:w="3360"/>
            <w:tcW w:w="2000" w:type="dxa"/>
            <w:shd w:val="clear" w:color="auto" w:fill="FFFFFF"/>
          </w:tcPr>
          <w:p>
            <w:pPr>
              <w:spacing w:after="0"/>
            </w:pPr>
            <w:r>
              <w:rPr>
                <w:b/>
                <w:i w:val="0"/>
                <w:sz w:val="19"/>
              </w:rPr>
              <w:t>Halazun 2021: dynamic AFP/NYCA</w:t>
            </w:r>
          </w:p>
        </w:tc>
        <w:tc>
          <w:tcPr>
            <w:tcW w:type="dxa" w:w="3360"/>
            <w:tcW w:w="3900" w:type="dxa"/>
            <w:shd w:val="clear" w:color="auto" w:fill="FFFFFF"/>
          </w:tcPr>
          <w:p>
            <w:pPr>
              <w:spacing w:after="0"/>
            </w:pPr>
            <w:r>
              <w:rPr>
                <w:b w:val="0"/>
                <w:i w:val="0"/>
                <w:sz w:val="19"/>
              </w:rPr>
            </w:r>
          </w:p>
        </w:tc>
        <w:tc>
          <w:tcPr>
            <w:tcW w:type="dxa" w:w="3360"/>
            <w:tcW w:w="4180" w:type="dxa"/>
            <w:shd w:val="clear" w:color="auto" w:fill="FFFFFF"/>
          </w:tcPr>
          <w:p>
            <w:pPr>
              <w:spacing w:after="0"/>
            </w:pPr>
            <w:r>
              <w:rPr>
                <w:b w:val="0"/>
                <w:i w:val="0"/>
                <w:sz w:val="19"/>
              </w:rPr>
              <w:t>Five-year competing-risk cumulative recurrence: 9.5%, 20.5%, 40.5% for low/intermediate/high NYCA categories. Discrimination C statistic 0.66. These are composite-score categories, not isolated AFP ranges.</w:t>
            </w:r>
          </w:p>
          <w:p>
            <w:pPr>
              <w:spacing w:after="0"/>
            </w:pPr>
            <w:r>
              <w:rPr>
                <w:b w:val="0"/>
                <w:i w:val="0"/>
                <w:sz w:val="19"/>
              </w:rPr>
            </w:r>
          </w:p>
          <w:p>
            <w:pPr>
              <w:spacing w:after="0"/>
            </w:pPr>
            <w:r>
              <w:rPr>
                <w:b w:val="0"/>
                <w:i w:val="0"/>
                <w:color w:val="5A6069"/>
                <w:sz w:val="18"/>
              </w:rPr>
              <w:t>Main PDF pp 1–8; Table 1, Figures 1–3. Trailing commentary is not a separate reviewed study.</w:t>
            </w:r>
          </w:p>
        </w:tc>
      </w:tr>
      <w:tr>
        <w:trPr>
          <w:cantSplit/>
        </w:trPr>
        <w:tc>
          <w:tcPr>
            <w:tcW w:type="dxa" w:w="3360"/>
            <w:tcW w:w="2000" w:type="dxa"/>
            <w:shd w:val="clear" w:color="auto" w:fill="F1F5F8"/>
          </w:tcPr>
          <w:p>
            <w:pPr>
              <w:spacing w:after="0"/>
            </w:pPr>
            <w:r>
              <w:rPr>
                <w:b/>
                <w:i w:val="0"/>
                <w:sz w:val="19"/>
              </w:rPr>
              <w:t>Moriyama 2026: markers before imaging recurrence</w:t>
            </w:r>
          </w:p>
        </w:tc>
        <w:tc>
          <w:tcPr>
            <w:tcW w:type="dxa" w:w="3360"/>
            <w:tcW w:w="3900" w:type="dxa"/>
            <w:shd w:val="clear" w:color="auto" w:fill="F1F5F8"/>
          </w:tcPr>
          <w:p>
            <w:pPr>
              <w:spacing w:after="0"/>
            </w:pPr>
            <w:r>
              <w:rPr>
                <w:b w:val="0"/>
                <w:i w:val="0"/>
                <w:sz w:val="19"/>
              </w:rPr>
            </w:r>
          </w:p>
        </w:tc>
        <w:tc>
          <w:tcPr>
            <w:tcW w:type="dxa" w:w="3360"/>
            <w:tcW w:w="4180" w:type="dxa"/>
            <w:shd w:val="clear" w:color="auto" w:fill="F1F5F8"/>
          </w:tcPr>
          <w:p>
            <w:pPr>
              <w:spacing w:after="0"/>
            </w:pPr>
            <w:r>
              <w:rPr>
                <w:b w:val="0"/>
                <w:i w:val="0"/>
                <w:sz w:val="19"/>
              </w:rPr>
              <w:t>Recurrence was subsequently identified in 886 episodes; median detection interval 89 days. Local curative treatment 83.5% versus 78.8% and post-recurrence OS 3.55 versus 3.31 years for detection ≤180 versus &gt;180 days; differences were not statistically significant.</w:t>
            </w:r>
          </w:p>
          <w:p>
            <w:pPr>
              <w:spacing w:after="0"/>
            </w:pPr>
            <w:r>
              <w:rPr>
                <w:b w:val="0"/>
                <w:i w:val="0"/>
                <w:sz w:val="19"/>
              </w:rPr>
            </w:r>
          </w:p>
          <w:p>
            <w:pPr>
              <w:spacing w:after="0"/>
            </w:pPr>
            <w:r>
              <w:rPr>
                <w:b w:val="0"/>
                <w:i w:val="0"/>
                <w:color w:val="5A6069"/>
                <w:sz w:val="18"/>
              </w:rPr>
              <w:t>All nine main-PDF pages; methods, Tables 2–4, Figures 1–3. External Tables S1/S2 not supplied.</w:t>
            </w:r>
          </w:p>
        </w:tc>
      </w:tr>
    </w:tbl>
    <w:p>
      <w:pPr>
        <w:spacing w:after="40"/>
      </w:pPr>
    </w:p>
    <w:p>
      <w:pPr>
        <w:pStyle w:val="Heading3"/>
        <w:keepNext/>
        <w:spacing w:before="120" w:after="80"/>
      </w:pPr>
      <w:r>
        <w:rPr>
          <w:b w:val="0"/>
          <w:i w:val="0"/>
        </w:rPr>
        <w:t>Our proposed selection (OPEN)</w:t>
      </w:r>
    </w:p>
    <w:p>
      <w:pPr>
        <w:spacing w:after="80"/>
      </w:pPr>
      <w:r>
        <w:rPr>
          <w:b w:val="0"/>
          <w:i w:val="0"/>
        </w:rPr>
        <w:t>Use a distinct biological-risk review; confirm the signal and restage. Do not permanently delist or treat a nonexistent target based on one AFP result.</w:t>
      </w:r>
    </w:p>
    <w:p>
      <w:pPr>
        <w:numPr>
          <w:ilvl w:val="0"/>
          <w:numId w:val="5"/>
        </w:numPr>
        <w:spacing w:after="40"/>
      </w:pPr>
      <w:r>
        <w:rPr>
          <w:b w:val="0"/>
          <w:i w:val="0"/>
        </w:rPr>
        <w:t>Repeat AFP using the same laboratory/assay in 2–4 weeks, sooner for a major jump or clinical concern. Review all dated prior values, baseline and peak AFP, treatment dates and the current response scan. The 2–4 week interval is an OPEN local operational proposal.</w:t>
      </w:r>
    </w:p>
    <w:p>
      <w:pPr>
        <w:numPr>
          <w:ilvl w:val="0"/>
          <w:numId w:val="5"/>
        </w:numPr>
        <w:spacing w:after="40"/>
      </w:pPr>
      <w:r>
        <w:rPr>
          <w:b w:val="0"/>
          <w:i w:val="0"/>
        </w:rPr>
        <w:t>Check ALT/AST, bilirubin and active viral hepatitis or other plausible hepatic inflammation. Consider assay interference or an extrahepatic AFP source when clinically indicated; do not order indiscriminate tests without a differential diagnosis.</w:t>
      </w:r>
    </w:p>
    <w:p>
      <w:pPr>
        <w:numPr>
          <w:ilvl w:val="0"/>
          <w:numId w:val="5"/>
        </w:numPr>
        <w:spacing w:after="40"/>
      </w:pPr>
      <w:r>
        <w:rPr>
          <w:b w:val="0"/>
          <w:i w:val="0"/>
        </w:rPr>
        <w:t>Have transplant radiology re-review adequate multiphasic CT/MRI and the treatment-specific response category. With a persistent unexplained rise, consider the alternate contrast modality and chest/pelvic evaluation. PET is selective after unrevealing evaluation, not routine proof of no HCC.</w:t>
      </w:r>
    </w:p>
    <w:p>
      <w:pPr>
        <w:numPr>
          <w:ilvl w:val="0"/>
          <w:numId w:val="5"/>
        </w:numPr>
        <w:spacing w:after="40"/>
      </w:pPr>
      <w:r>
        <w:rPr>
          <w:b w:val="0"/>
          <w:i w:val="0"/>
        </w:rPr>
        <w:t>The governing allocation rule is met, or an individual review outcome is documented; technically adequate imaging shows no exclusionary progression, vascular invasion or extrahepatic disease; no unresolved alternative cause or unexplained accelerating AFP remains.</w:t>
      </w:r>
    </w:p>
    <w:p>
      <w:pPr>
        <w:numPr>
          <w:ilvl w:val="0"/>
          <w:numId w:val="5"/>
        </w:numPr>
        <w:spacing w:after="40"/>
      </w:pPr>
      <w:r>
        <w:rPr>
          <w:b w:val="0"/>
          <w:i w:val="0"/>
        </w:rPr>
        <w:t>OPEN proposal after a biochemical hold: at least two AFP values at least 4 weeks apart showing a stable or falling trajectory below the applicable threshold, with contemporaneous reviewed imaging. Do not require AFP normalization or below 100 for every within-Milan patient. This confirmation interval is not prospectively validated.</w:t>
      </w:r>
    </w:p>
    <w:p>
      <w:pPr>
        <w:numPr>
          <w:ilvl w:val="0"/>
          <w:numId w:val="5"/>
        </w:numPr>
        <w:spacing w:after="40"/>
      </w:pPr>
      <w:r>
        <w:rPr>
          <w:b w:val="0"/>
          <w:i w:val="0"/>
        </w:rPr>
        <w:t>All other observation requirements remain in force. B1 expanded-burden patients retain the separately proposed AFP below 100 and longer biology observation; satisfying B1.1 does not shorten B1, ICI washout, or OPTN waiting requirements.</w:t>
      </w:r>
    </w:p>
    <w:p>
      <w:pPr>
        <w:numPr>
          <w:ilvl w:val="0"/>
          <w:numId w:val="5"/>
        </w:numPr>
        <w:spacing w:after="40"/>
      </w:pPr>
      <w:r>
        <w:rPr>
          <w:b w:val="0"/>
          <w:i w:val="0"/>
        </w:rPr>
        <w:t>POLICY: after any prior AFP above 1000, AFP at least 500 after treatment prevents automatic advancement through the standardized exception route and requires NLRB consideration. The team should not promise exception approval.</w:t>
      </w:r>
    </w:p>
    <w:p>
      <w:pPr>
        <w:numPr>
          <w:ilvl w:val="0"/>
          <w:numId w:val="5"/>
        </w:numPr>
        <w:spacing w:after="40"/>
      </w:pPr>
      <w:r>
        <w:rPr>
          <w:b w:val="0"/>
          <w:i w:val="0"/>
        </w:rPr>
        <w:t>OPEN clinical proposal: confirmed AFP at least 500 is a high-risk LT hold pending biological and allocation review even if AFP never exceeded 1000. This deliberately conservative local rule is supported by retrospective outcomes, not mandated by OPTN for every candidate.</w:t>
      </w:r>
    </w:p>
    <w:p>
      <w:pPr>
        <w:numPr>
          <w:ilvl w:val="0"/>
          <w:numId w:val="5"/>
        </w:numPr>
        <w:spacing w:after="40"/>
      </w:pPr>
      <w:r>
        <w:rPr>
          <w:b w:val="0"/>
          <w:i w:val="0"/>
        </w:rPr>
        <w:t>OPEN clinical proposal below 500: AFP at least 200 with two consecutive increases or a confirmed doubling prompts temporary hold and expedited restaging if the rise is unexplained. Lesser rises prompt repeat testing and MDT review, not automatic delisting. These combined thresholds are operational proposals, not a validated prediction rule.</w:t>
      </w:r>
    </w:p>
    <w:p>
      <w:pPr>
        <w:numPr>
          <w:ilvl w:val="0"/>
          <w:numId w:val="5"/>
        </w:numPr>
        <w:spacing w:after="40"/>
      </w:pPr>
      <w:r>
        <w:rPr>
          <w:b w:val="0"/>
          <w:i w:val="0"/>
        </w:rPr>
        <w:t>A fitted slope above 7.5 ng/mL per month is an additional warning, not a stand-alone stop. Review multiple dated values, timing of LRT and inflammation; do not extrapolate a long-term slope model from two closely spaced noisy measurements.</w:t>
      </w:r>
    </w:p>
    <w:p>
      <w:pPr>
        <w:numPr>
          <w:ilvl w:val="0"/>
          <w:numId w:val="5"/>
        </w:numPr>
        <w:spacing w:after="40"/>
      </w:pPr>
      <w:r>
        <w:rPr>
          <w:b w:val="0"/>
          <w:i w:val="0"/>
        </w:rPr>
        <w:t>Do not permanently exclude for one AFP result. Persistent biochemical nonresponse after adequate evaluation may lead the group to decline the current transplant plan, but the rationale and possibility of reassessment must be documented.</w:t>
      </w:r>
    </w:p>
    <w:p>
      <w:pPr>
        <w:numPr>
          <w:ilvl w:val="0"/>
          <w:numId w:val="5"/>
        </w:numPr>
        <w:spacing w:after="40"/>
      </w:pPr>
      <w:r>
        <w:rPr>
          <w:b w:val="0"/>
          <w:i w:val="0"/>
        </w:rPr>
        <w:t>Do not call AFP-only rise RECIST or LI-RADS treatment progression. Do not give empiric LRT without an identified target, or add systemic therapy solely to make the AFP cross an allocation threshold without a justified oncologic indication.</w:t>
      </w:r>
    </w:p>
    <w:p>
      <w:pPr>
        <w:numPr>
          <w:ilvl w:val="0"/>
          <w:numId w:val="5"/>
        </w:numPr>
        <w:spacing w:after="40"/>
      </w:pPr>
      <w:r>
        <w:rPr>
          <w:b w:val="0"/>
          <w:i w:val="0"/>
        </w:rPr>
        <w:t>Do not treat LDLT as an automatic escape from unfavorable tumor biology. Donor risk, recipient benefit and recurrence must be reviewed independently. New ICI use requires the separate B3 transplant safety decision.</w:t>
      </w:r>
    </w:p>
    <w:p>
      <w:pPr>
        <w:spacing w:after="80"/>
      </w:pPr>
      <w:r>
        <w:rPr>
          <w:b/>
          <w:i w:val="0"/>
        </w:rPr>
        <w:t xml:space="preserve">Why: </w:t>
      </w:r>
      <w:r>
        <w:rPr>
          <w:b w:val="0"/>
          <w:i w:val="0"/>
        </w:rPr>
        <w:t>AFP level and trajectory add risk information to imaging. Selected recipient cohorts support concern, not a validated AFP-only transplant-benefit cutoff.</w:t>
      </w:r>
    </w:p>
    <w:p>
      <w:pPr>
        <w:spacing w:after="80"/>
      </w:pPr>
      <w:r>
        <w:rPr>
          <w:b/>
          <w:i w:val="0"/>
        </w:rPr>
        <w:t xml:space="preserve">Against, or uncertain: </w:t>
      </w:r>
      <w:r>
        <w:rPr>
          <w:b w:val="0"/>
          <w:i w:val="0"/>
        </w:rPr>
        <w:t>Most studies excluded waitlist dropout; NYCA is a composite and excluded early deaths. Post-RFA marker episodes are not AFP-only transplant candidates.</w:t>
      </w:r>
    </w:p>
    <w:p>
      <w:pPr>
        <w:spacing w:after="80"/>
      </w:pPr>
      <w:r>
        <w:rPr>
          <w:b/>
          <w:i w:val="0"/>
        </w:rPr>
        <w:t xml:space="preserve">Certainty: </w:t>
      </w:r>
      <w:r>
        <w:rPr>
          <w:b w:val="0"/>
          <w:i w:val="0"/>
        </w:rPr>
        <w:t>Observational association; very low certainty for the proposed hold/release combination.</w:t>
      </w:r>
    </w:p>
    <w:p>
      <w:pPr>
        <w:spacing w:after="80"/>
      </w:pPr>
      <w:r>
        <w:rPr>
          <w:b/>
          <w:i w:val="0"/>
        </w:rPr>
        <w:t xml:space="preserve">Tests and records: </w:t>
      </w:r>
      <w:r>
        <w:rPr>
          <w:b w:val="0"/>
          <w:i w:val="0"/>
        </w:rPr>
        <w:t>Dated AFP series and peak; repeat same assay, liver inflammation/viral activity review; expert multiphasic CT/MRI review and alternate imaging when indicated; current allocation route; all treatment dates. Proposed 2–4-week repeat and 4-week confirmation intervals are unvalidated local choices.</w:t>
      </w:r>
    </w:p>
    <w:p>
      <w:pPr>
        <w:spacing w:after="80"/>
      </w:pPr>
      <w:r>
        <w:rPr>
          <w:b/>
          <w:i w:val="0"/>
        </w:rPr>
        <w:t xml:space="preserve">Allocation: </w:t>
      </w:r>
      <w:r>
        <w:rPr>
          <w:b w:val="0"/>
          <w:i w:val="0"/>
        </w:rPr>
        <w:t>After prior AFP &gt;1000, standardized exception requires AFP &lt;500 and remaining &lt;500. Persistent failure requires individual NLRB review, without a promise of approval. LDLT does not bypass unfavorable biology or donor-risk review.</w:t>
      </w:r>
    </w:p>
    <w:p>
      <w:pPr>
        <w:spacing w:after="40"/>
      </w:pPr>
      <w:r>
        <w:rPr>
          <w:b/>
          <w:i w:val="0"/>
        </w:rPr>
        <w:t xml:space="preserve">Basis for the proposed thresholds: </w:t>
      </w:r>
    </w:p>
    <w:p>
      <w:pPr>
        <w:numPr>
          <w:ilvl w:val="0"/>
          <w:numId w:val="5"/>
        </w:numPr>
        <w:spacing w:after="40"/>
      </w:pPr>
      <w:r>
        <w:rPr>
          <w:b w:val="0"/>
          <w:i w:val="0"/>
        </w:rPr>
        <w:t>Confirmed AFP ≥500 clinical hold; AFP ≥200 plus two rises or confirmed doubling; release after two stable/falling values ≥4 weeks apart: OPEN proposals, not validated rules.</w:t>
      </w:r>
    </w:p>
    <w:p>
      <w:pPr>
        <w:pStyle w:val="Heading3"/>
        <w:keepNext/>
        <w:spacing w:before="120" w:after="80"/>
      </w:pPr>
      <w:r>
        <w:rPr>
          <w:b w:val="0"/>
          <w:i w:val="0"/>
        </w:rPr>
        <w:t>HCC-B1.1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HCC-B2 — Previously treated portal-vein tumor invasion</w:t>
      </w:r>
    </w:p>
    <w:p>
      <w:pPr>
        <w:spacing w:after="80"/>
      </w:pPr>
      <w:r>
        <w:rPr>
          <w:b w:val="0"/>
          <w:i w:val="0"/>
          <w:color w:val="5A6069"/>
          <w:sz w:val="18"/>
        </w:rPr>
        <w:t>Different limits by invasion level · not activated · High-risk review</w:t>
      </w:r>
    </w:p>
    <w:p>
      <w:pPr>
        <w:spacing w:after="80"/>
      </w:pPr>
      <w:r>
        <w:rPr>
          <w:b/>
          <w:i w:val="0"/>
        </w:rPr>
        <w:t xml:space="preserve">Question: </w:t>
      </w:r>
      <w:r>
        <w:rPr>
          <w:b w:val="0"/>
          <w:i w:val="0"/>
        </w:rPr>
        <w:t>Which PVTT anatomy could enter a transplanting study?</w:t>
      </w:r>
    </w:p>
    <w:p>
      <w:pPr>
        <w:spacing w:after="80"/>
      </w:pPr>
      <w:r>
        <w:rPr>
          <w:b/>
          <w:i w:val="0"/>
        </w:rPr>
        <w:t xml:space="preserve">When it applies: </w:t>
      </w:r>
      <w:r>
        <w:rPr>
          <w:b w:val="0"/>
          <w:i w:val="0"/>
        </w:rPr>
        <w:t>A history of tumor invasion into the portal vein requires a separate assessment, even after a radiographic response.</w:t>
      </w:r>
    </w:p>
    <w:p>
      <w:pPr>
        <w:spacing w:after="80"/>
      </w:pPr>
      <w:r>
        <w:rPr>
          <w:b/>
          <w:i w:val="0"/>
        </w:rPr>
        <w:t xml:space="preserve">Where it is decided: </w:t>
      </w:r>
      <w:hyperlink r:id="rId14">
        <w:r>
          <w:rPr>
            <w:color w:val="0563C1"/>
            <w:u w:val="single"/>
          </w:rPr>
          <w:t xml:space="preserve">Choose treatment with curative intent</w:t>
        </w:r>
      </w:hyperlink>
    </w:p>
    <w:p>
      <w:pPr>
        <w:spacing w:after="120"/>
      </w:pPr>
      <w:r>
        <w:rPr>
          <w:b/>
          <w:i w:val="0"/>
          <w:sz w:val="18"/>
        </w:rPr>
        <w:t xml:space="preserve">Web page: </w:t>
      </w:r>
      <w:hyperlink r:id="rId15">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Yoon 2026</w:t>
            </w:r>
          </w:p>
        </w:tc>
        <w:tc>
          <w:tcPr>
            <w:tcW w:type="dxa" w:w="3360"/>
            <w:tcW w:w="5480" w:type="dxa"/>
            <w:shd w:val="clear" w:color="auto" w:fill="F1F5F8"/>
          </w:tcPr>
          <w:p>
            <w:pPr>
              <w:spacing w:after="0"/>
            </w:pPr>
            <w:r>
              <w:rPr>
                <w:b w:val="0"/>
                <w:i w:val="0"/>
                <w:sz w:val="19"/>
              </w:rPr>
              <w:t>“Those with CR or PR were defined as DS responders” Yoon did not require the complete vascular clearance proposed here; 65/83 responders still had viable PVTT on explant.</w:t>
            </w:r>
          </w:p>
        </w:tc>
        <w:tc>
          <w:tcPr>
            <w:tcW w:type="dxa" w:w="3360"/>
            <w:tcW w:w="2400" w:type="dxa"/>
            <w:shd w:val="clear" w:color="auto" w:fill="F1F5F8"/>
          </w:tcPr>
          <w:p>
            <w:pPr>
              <w:spacing w:after="0"/>
            </w:pPr>
            <w:r>
              <w:rPr>
                <w:b w:val="0"/>
                <w:i w:val="0"/>
                <w:color w:val="5A6069"/>
                <w:sz w:val="18"/>
              </w:rPr>
              <w:t>Published PDF p2 / journal p7260, response assessment</w:t>
            </w:r>
          </w:p>
        </w:tc>
      </w:tr>
      <w:tr>
        <w:trPr>
          <w:cantSplit/>
        </w:trPr>
        <w:tc>
          <w:tcPr>
            <w:tcW w:type="dxa" w:w="3360"/>
            <w:tcW w:w="2200" w:type="dxa"/>
            <w:shd w:val="clear" w:color="auto" w:fill="FFFFFF"/>
          </w:tcPr>
          <w:p>
            <w:pPr>
              <w:spacing w:after="0"/>
            </w:pPr>
            <w:r>
              <w:rPr>
                <w:b/>
                <w:i w:val="0"/>
                <w:sz w:val="19"/>
              </w:rPr>
              <w:t>Yoon 2026</w:t>
            </w:r>
          </w:p>
        </w:tc>
        <w:tc>
          <w:tcPr>
            <w:tcW w:type="dxa" w:w="3360"/>
            <w:tcW w:w="5480" w:type="dxa"/>
            <w:shd w:val="clear" w:color="auto" w:fill="FFFFFF"/>
          </w:tcPr>
          <w:p>
            <w:pPr>
              <w:spacing w:after="0"/>
            </w:pPr>
            <w:r>
              <w:rPr>
                <w:b w:val="0"/>
                <w:i w:val="0"/>
                <w:sz w:val="19"/>
              </w:rPr>
              <w:t>“our study did not identify it as an independent predictor of survival.” The selected cohort did not establish a sharp anatomical survival cutoff. Vp4 five-year OS was 50.0%; small numbers and non-intention-to-treat selection prevent an equivalence claim.</w:t>
            </w:r>
          </w:p>
        </w:tc>
        <w:tc>
          <w:tcPr>
            <w:tcW w:type="dxa" w:w="3360"/>
            <w:tcW w:w="2400" w:type="dxa"/>
            <w:shd w:val="clear" w:color="auto" w:fill="FFFFFF"/>
          </w:tcPr>
          <w:p>
            <w:pPr>
              <w:spacing w:after="0"/>
            </w:pPr>
            <w:r>
              <w:rPr>
                <w:b w:val="0"/>
                <w:i w:val="0"/>
                <w:color w:val="5A6069"/>
                <w:sz w:val="18"/>
              </w:rPr>
              <w:t>Published PDF p10 / journal p7268, discussion of PVTT grade</w:t>
            </w:r>
          </w:p>
        </w:tc>
      </w:tr>
      <w:tr>
        <w:trPr>
          <w:cantSplit/>
        </w:trPr>
        <w:tc>
          <w:tcPr>
            <w:tcW w:type="dxa" w:w="3360"/>
            <w:tcW w:w="2200" w:type="dxa"/>
            <w:shd w:val="clear" w:color="auto" w:fill="F1F5F8"/>
          </w:tcPr>
          <w:p>
            <w:pPr>
              <w:spacing w:after="0"/>
            </w:pPr>
            <w:r>
              <w:rPr>
                <w:b/>
                <w:i w:val="0"/>
                <w:sz w:val="19"/>
              </w:rPr>
              <w:t>Ye 2024</w:t>
            </w:r>
          </w:p>
        </w:tc>
        <w:tc>
          <w:tcPr>
            <w:tcW w:type="dxa" w:w="3360"/>
            <w:tcW w:w="5480" w:type="dxa"/>
            <w:shd w:val="clear" w:color="auto" w:fill="F1F5F8"/>
          </w:tcPr>
          <w:p>
            <w:pPr>
              <w:spacing w:after="0"/>
            </w:pPr>
            <w:r>
              <w:rPr>
                <w:b w:val="0"/>
                <w:i w:val="0"/>
                <w:sz w:val="19"/>
              </w:rPr>
              <w:t>“lobar PVTT: tumor thrombi involving left and right branches or main portal vein” This poor-outcome group combines first-order and main-portal involvement. Its recurrence cannot be attributed to Vp3 alone; perioperative deaths were excluded.</w:t>
            </w:r>
          </w:p>
        </w:tc>
        <w:tc>
          <w:tcPr>
            <w:tcW w:type="dxa" w:w="3360"/>
            <w:tcW w:w="2400" w:type="dxa"/>
            <w:shd w:val="clear" w:color="auto" w:fill="F1F5F8"/>
          </w:tcPr>
          <w:p>
            <w:pPr>
              <w:spacing w:after="0"/>
            </w:pPr>
            <w:r>
              <w:rPr>
                <w:b w:val="0"/>
                <w:i w:val="0"/>
                <w:color w:val="5A6069"/>
                <w:sz w:val="18"/>
              </w:rPr>
              <w:t>Complete early-online PDF p3, Diagnosis of PVTT</w:t>
            </w:r>
          </w:p>
        </w:tc>
      </w:tr>
      <w:tr>
        <w:trPr>
          <w:cantSplit/>
        </w:trPr>
        <w:tc>
          <w:tcPr>
            <w:tcW w:type="dxa" w:w="3360"/>
            <w:tcW w:w="2200" w:type="dxa"/>
            <w:shd w:val="clear" w:color="auto" w:fill="FFFFFF"/>
          </w:tcPr>
          <w:p>
            <w:pPr>
              <w:spacing w:after="0"/>
            </w:pPr>
            <w:r>
              <w:rPr>
                <w:b/>
                <w:i w:val="0"/>
                <w:sz w:val="19"/>
              </w:rPr>
              <w:t>NLRB oncology guidance</w:t>
            </w:r>
          </w:p>
        </w:tc>
        <w:tc>
          <w:tcPr>
            <w:tcW w:type="dxa" w:w="3360"/>
            <w:tcW w:w="5480" w:type="dxa"/>
            <w:shd w:val="clear" w:color="auto" w:fill="FFFFFF"/>
          </w:tcPr>
          <w:p>
            <w:pPr>
              <w:spacing w:after="0"/>
            </w:pPr>
            <w:r>
              <w:rPr>
                <w:b w:val="0"/>
                <w:i w:val="0"/>
                <w:sz w:val="19"/>
              </w:rPr>
              <w:t>“minimum of 12 months” Applies to specified case-by-case exception considerations; applying this duration to every Vp1–2 study candidate is local conservatism.</w:t>
            </w:r>
          </w:p>
        </w:tc>
        <w:tc>
          <w:tcPr>
            <w:tcW w:type="dxa" w:w="3360"/>
            <w:tcW w:w="2400" w:type="dxa"/>
            <w:shd w:val="clear" w:color="auto" w:fill="FFFFFF"/>
          </w:tcPr>
          <w:p>
            <w:pPr>
              <w:spacing w:after="0"/>
            </w:pPr>
            <w:r>
              <w:rPr>
                <w:b w:val="0"/>
                <w:i w:val="0"/>
                <w:color w:val="5A6069"/>
                <w:sz w:val="18"/>
              </w:rPr>
              <w:t>December 2025 guidance p3, treated primary-branch invasion/rupture discussion</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Yoon 2026</w:t>
            </w:r>
          </w:p>
        </w:tc>
        <w:tc>
          <w:tcPr>
            <w:tcW w:type="dxa" w:w="3360"/>
            <w:tcW w:w="3900" w:type="dxa"/>
            <w:shd w:val="clear" w:color="auto" w:fill="F1F5F8"/>
          </w:tcPr>
          <w:p>
            <w:pPr>
              <w:spacing w:after="0"/>
            </w:pPr>
            <w:r>
              <w:rPr>
                <w:b w:val="0"/>
                <w:i w:val="0"/>
                <w:sz w:val="19"/>
              </w:rPr>
              <w:t>Retrospective Asan LDLT cohort, 1997–2022, 137 selected PVTT recipients; median follow-up 38.3 months. Original Vp1/Vp2/Vp3/Vp4 counts were 51/36/36/14. Overall mRECIST CR/PR defined responders, not necessarily complete vascular response.</w:t>
            </w:r>
          </w:p>
        </w:tc>
        <w:tc>
          <w:tcPr>
            <w:tcW w:type="dxa" w:w="3360"/>
            <w:tcW w:w="4180" w:type="dxa"/>
            <w:shd w:val="clear" w:color="auto" w:fill="F1F5F8"/>
          </w:tcPr>
          <w:p>
            <w:pPr>
              <w:spacing w:after="0"/>
            </w:pPr>
            <w:r>
              <w:rPr>
                <w:b w:val="0"/>
                <w:i w:val="0"/>
                <w:sz w:val="19"/>
              </w:rPr>
              <w:t>Vp1 five-year OS 69.5%, DFS 56.2%; Vp4 OS 50.0%, DFS 34.3%. Exact Vp2/Vp3 five-year values were not tabulated. Vp4 recurrence was 9/14 (64.3%) by Table 2 count, not a five-year risk. Responders: 83 patients, five-year OS 66.6%, DFS 64.7%, recurrence 28/83; nonresponders: 54, OS 35.1%, DFS 19.7%, recurrence 42/54. Viable PVTT remained in 65/83 responder explants.</w:t>
            </w:r>
          </w:p>
          <w:p>
            <w:pPr>
              <w:spacing w:after="0"/>
            </w:pPr>
            <w:r>
              <w:rPr>
                <w:b w:val="0"/>
                <w:i/>
                <w:sz w:val="19"/>
              </w:rPr>
              <w:t>Limits: Recipient-only, heterogeneous treatment eras and small grade subgroups. Nonsignificant grade comparisons do not prove equivalence. Discussion/conclusion transpose responder OS and DFS; retain Results/Figure 1 values.</w:t>
            </w:r>
          </w:p>
          <w:p>
            <w:pPr>
              <w:spacing w:after="0"/>
            </w:pPr>
            <w:r>
              <w:rPr>
                <w:b w:val="0"/>
                <w:i w:val="0"/>
                <w:color w:val="5A6069"/>
                <w:sz w:val="18"/>
              </w:rPr>
              <w:t>Complete PDF: Table 1; Results p7261; Table 2 p7264; Figure 1 p7265; Discussion p7268. Preserve source/pvtt_outcomes.py values.</w:t>
            </w:r>
          </w:p>
        </w:tc>
      </w:tr>
      <w:tr>
        <w:trPr>
          <w:cantSplit/>
        </w:trPr>
        <w:tc>
          <w:tcPr>
            <w:tcW w:type="dxa" w:w="3360"/>
            <w:tcW w:w="2000" w:type="dxa"/>
            <w:shd w:val="clear" w:color="auto" w:fill="FFFFFF"/>
          </w:tcPr>
          <w:p>
            <w:pPr>
              <w:spacing w:after="0"/>
            </w:pPr>
            <w:r>
              <w:rPr>
                <w:b/>
                <w:i w:val="0"/>
                <w:sz w:val="19"/>
              </w:rPr>
              <w:t>Choi 2017</w:t>
            </w:r>
          </w:p>
        </w:tc>
        <w:tc>
          <w:tcPr>
            <w:tcW w:type="dxa" w:w="3360"/>
            <w:tcW w:w="3900" w:type="dxa"/>
            <w:shd w:val="clear" w:color="auto" w:fill="FFFFFF"/>
          </w:tcPr>
          <w:p>
            <w:pPr>
              <w:spacing w:after="0"/>
            </w:pPr>
            <w:r>
              <w:rPr>
                <w:b w:val="0"/>
                <w:i w:val="0"/>
                <w:sz w:val="19"/>
              </w:rPr>
              <w:t>Retrospective selected LDLT recipients with PVTT, n=34. Segmental involvement n=27; first-order/lobar involvement n=7. These are study-defined anatomical groups.</w:t>
            </w:r>
          </w:p>
        </w:tc>
        <w:tc>
          <w:tcPr>
            <w:tcW w:type="dxa" w:w="3360"/>
            <w:tcW w:w="4180" w:type="dxa"/>
            <w:shd w:val="clear" w:color="auto" w:fill="FFFFFF"/>
          </w:tcPr>
          <w:p>
            <w:pPr>
              <w:spacing w:after="0"/>
            </w:pPr>
            <w:r>
              <w:rPr>
                <w:b w:val="0"/>
                <w:i w:val="0"/>
                <w:sz w:val="19"/>
              </w:rPr>
              <w:t>Five-year OS was 50.3% for segmental and 14.3% for first-order/lobar involvement. Segmental five-year DFS was 63.9%; a numeric lobar DFS estimate was not available in the verified primary abstract.</w:t>
            </w:r>
          </w:p>
          <w:p>
            <w:pPr>
              <w:spacing w:after="0"/>
            </w:pPr>
            <w:r>
              <w:rPr>
                <w:b w:val="0"/>
                <w:i/>
                <w:sz w:val="19"/>
              </w:rPr>
              <w:t>Limits: Very small lobar group, retrospective recipient selection and no all-downstaging-entry denominator. OS and DFS are retained as reported, not converted into recurrence risk.</w:t>
            </w:r>
          </w:p>
          <w:p>
            <w:pPr>
              <w:spacing w:after="0"/>
            </w:pPr>
            <w:r>
              <w:rPr>
                <w:b w:val="0"/>
                <w:i w:val="0"/>
                <w:color w:val="5A6069"/>
                <w:sz w:val="18"/>
              </w:rPr>
              <w:t>Primary published abstract, PMID 28480517; full text required for endpoint definitions and patient selection.</w:t>
            </w:r>
          </w:p>
        </w:tc>
      </w:tr>
      <w:tr>
        <w:trPr>
          <w:cantSplit/>
        </w:trPr>
        <w:tc>
          <w:tcPr>
            <w:tcW w:type="dxa" w:w="3360"/>
            <w:tcW w:w="2000" w:type="dxa"/>
            <w:shd w:val="clear" w:color="auto" w:fill="F1F5F8"/>
          </w:tcPr>
          <w:p>
            <w:pPr>
              <w:spacing w:after="0"/>
            </w:pPr>
            <w:r>
              <w:rPr>
                <w:b/>
                <w:i w:val="0"/>
                <w:sz w:val="19"/>
              </w:rPr>
              <w:t>Yang 2020</w:t>
            </w:r>
          </w:p>
        </w:tc>
        <w:tc>
          <w:tcPr>
            <w:tcW w:type="dxa" w:w="3360"/>
            <w:tcW w:w="3900" w:type="dxa"/>
            <w:shd w:val="clear" w:color="auto" w:fill="F1F5F8"/>
          </w:tcPr>
          <w:p>
            <w:pPr>
              <w:spacing w:after="0"/>
            </w:pPr>
            <w:r>
              <w:rPr>
                <w:b w:val="0"/>
                <w:i w:val="0"/>
                <w:sz w:val="19"/>
              </w:rPr>
              <w:t>Retrospective 75-recipient PVTT cohort. Vp2 and Vp3 were combined; Vp4 was separately analyzed. Subgroup sample sizes remain unverified without complete text.</w:t>
            </w:r>
          </w:p>
        </w:tc>
        <w:tc>
          <w:tcPr>
            <w:tcW w:type="dxa" w:w="3360"/>
            <w:tcW w:w="4180" w:type="dxa"/>
            <w:shd w:val="clear" w:color="auto" w:fill="F1F5F8"/>
          </w:tcPr>
          <w:p>
            <w:pPr>
              <w:spacing w:after="0"/>
            </w:pPr>
            <w:r>
              <w:rPr>
                <w:b w:val="0"/>
                <w:i w:val="0"/>
                <w:sz w:val="19"/>
              </w:rPr>
              <w:t>Three-year OS/RFS were 65.4%/40.0% for Vp2–3 combined and 30.6%/21.4% for Vp4.</w:t>
            </w:r>
          </w:p>
          <w:p>
            <w:pPr>
              <w:spacing w:after="0"/>
            </w:pPr>
            <w:r>
              <w:rPr>
                <w:b w:val="0"/>
                <w:i/>
                <w:sz w:val="19"/>
              </w:rPr>
              <w:t>Limits: Do not split combined Vp2–3 results into invented grade-specific estimates. No verified all-entry denominator or grade-specific recurrence counts; endpoint death handling needs full text.</w:t>
            </w:r>
          </w:p>
          <w:p>
            <w:pPr>
              <w:spacing w:after="0"/>
            </w:pPr>
            <w:r>
              <w:rPr>
                <w:b w:val="0"/>
                <w:i w:val="0"/>
                <w:color w:val="5A6069"/>
                <w:sz w:val="18"/>
              </w:rPr>
              <w:t>Primary journal abstract, PMID 32303439, Results.</w:t>
            </w:r>
          </w:p>
        </w:tc>
      </w:tr>
      <w:tr>
        <w:trPr>
          <w:cantSplit/>
        </w:trPr>
        <w:tc>
          <w:tcPr>
            <w:tcW w:type="dxa" w:w="3360"/>
            <w:tcW w:w="2000" w:type="dxa"/>
            <w:shd w:val="clear" w:color="auto" w:fill="FFFFFF"/>
          </w:tcPr>
          <w:p>
            <w:pPr>
              <w:spacing w:after="0"/>
            </w:pPr>
            <w:r>
              <w:rPr>
                <w:b/>
                <w:i w:val="0"/>
                <w:sz w:val="19"/>
              </w:rPr>
              <w:t>Ye 2024</w:t>
            </w:r>
          </w:p>
        </w:tc>
        <w:tc>
          <w:tcPr>
            <w:tcW w:type="dxa" w:w="3360"/>
            <w:tcW w:w="3900" w:type="dxa"/>
            <w:shd w:val="clear" w:color="auto" w:fill="FFFFFF"/>
          </w:tcPr>
          <w:p>
            <w:pPr>
              <w:spacing w:after="0"/>
            </w:pPr>
            <w:r>
              <w:rPr>
                <w:b w:val="0"/>
                <w:i w:val="0"/>
                <w:sz w:val="19"/>
              </w:rPr>
              <w:t>Retrospective DDLT cohort of 141 vascular-invasion recipients: 13 segmental PVTT, 68 lobar PVTT, 60 microvascular invasion. All had HBV. Lobar PVTT included first-order branches or main portal vein; perioperative deaths and early follow-up losses were excluded.</w:t>
            </w:r>
          </w:p>
        </w:tc>
        <w:tc>
          <w:tcPr>
            <w:tcW w:type="dxa" w:w="3360"/>
            <w:tcW w:w="4180" w:type="dxa"/>
            <w:shd w:val="clear" w:color="auto" w:fill="FFFFFF"/>
          </w:tcPr>
          <w:p>
            <w:pPr>
              <w:spacing w:after="0"/>
            </w:pPr>
            <w:r>
              <w:rPr>
                <w:b w:val="0"/>
                <w:i w:val="0"/>
                <w:sz w:val="19"/>
              </w:rPr>
              <w:t>Segmental three-year OS 75.0%, RFS 58.3%, crude recurrence 4/13. Lobar three-year OS 45.9%, RFS 9.1%, crude recurrence 60/68.</w:t>
            </w:r>
          </w:p>
          <w:p>
            <w:pPr>
              <w:spacing w:after="0"/>
            </w:pPr>
            <w:r>
              <w:rPr>
                <w:b w:val="0"/>
                <w:i/>
                <w:sz w:val="19"/>
              </w:rPr>
              <w:t>Limits: Exclusion of early deaths biases recipient survival upward. Lobar is not an isolated Vp3 group. Crude recurrence and RFS are distinct measures; the cohort is not directly transportable to Western mixed-etiology candidates.</w:t>
            </w:r>
          </w:p>
          <w:p>
            <w:pPr>
              <w:spacing w:after="0"/>
            </w:pPr>
            <w:r>
              <w:rPr>
                <w:b w:val="0"/>
                <w:i w:val="0"/>
                <w:color w:val="5A6069"/>
                <w:sz w:val="18"/>
              </w:rPr>
              <w:t>Complete 12-page PDF: Methods p3, Tables 1–2 p6, Figure 4 p7.</w:t>
            </w:r>
          </w:p>
        </w:tc>
      </w:tr>
      <w:tr>
        <w:trPr>
          <w:cantSplit/>
        </w:trPr>
        <w:tc>
          <w:tcPr>
            <w:tcW w:type="dxa" w:w="3360"/>
            <w:tcW w:w="2000" w:type="dxa"/>
            <w:shd w:val="clear" w:color="auto" w:fill="F1F5F8"/>
          </w:tcPr>
          <w:p>
            <w:pPr>
              <w:spacing w:after="0"/>
            </w:pPr>
            <w:r>
              <w:rPr>
                <w:b/>
                <w:i w:val="0"/>
                <w:sz w:val="19"/>
              </w:rPr>
              <w:t>Soin 2020</w:t>
            </w:r>
          </w:p>
        </w:tc>
        <w:tc>
          <w:tcPr>
            <w:tcW w:type="dxa" w:w="3360"/>
            <w:tcW w:w="3900" w:type="dxa"/>
            <w:shd w:val="clear" w:color="auto" w:fill="F1F5F8"/>
          </w:tcPr>
          <w:p>
            <w:pPr>
              <w:spacing w:after="0"/>
            </w:pPr>
            <w:r>
              <w:rPr>
                <w:b w:val="0"/>
                <w:i w:val="0"/>
                <w:sz w:val="19"/>
              </w:rPr>
              <w:t>Cohort following a PVTT downstaging protocol: 43 treated, 27 responders, 25 LDLT recipients. Among recipients, Vp1/Vp2/Vp3/Vp4 counts were 1/12/11/1. Transplant was conditional on successful downstaging.</w:t>
            </w:r>
          </w:p>
        </w:tc>
        <w:tc>
          <w:tcPr>
            <w:tcW w:type="dxa" w:w="3360"/>
            <w:tcW w:w="4180" w:type="dxa"/>
            <w:shd w:val="clear" w:color="auto" w:fill="F1F5F8"/>
          </w:tcPr>
          <w:p>
            <w:pPr>
              <w:spacing w:after="0"/>
            </w:pPr>
            <w:r>
              <w:rPr>
                <w:b w:val="0"/>
                <w:i w:val="0"/>
                <w:sz w:val="19"/>
              </w:rPr>
              <w:t>Reported five-year OS 57% and RFS 51% exclude two postoperative deaths, leaving a 23-recipient survival subset. Recurrence occurred in 6/25 (24%) of the whole transplanted group.</w:t>
            </w:r>
          </w:p>
          <w:p>
            <w:pPr>
              <w:spacing w:after="0"/>
            </w:pPr>
            <w:r>
              <w:rPr>
                <w:b w:val="0"/>
                <w:i/>
                <w:sz w:val="19"/>
              </w:rPr>
              <w:t>Limits: Neither reported survival curve represents all 25 recipients or all 43 treatment entrants. Small selected cohort without randomized control; grade-specific outcomes unavailable.</w:t>
            </w:r>
          </w:p>
          <w:p>
            <w:pPr>
              <w:spacing w:after="0"/>
            </w:pPr>
            <w:r>
              <w:rPr>
                <w:b w:val="0"/>
                <w:i w:val="0"/>
                <w:color w:val="5A6069"/>
                <w:sz w:val="18"/>
              </w:rPr>
              <w:t>Primary publisher HTML Methods/Results and abstract, DOI 10.1097/TP.0000000000003162; complete PDF pending.</w:t>
            </w:r>
          </w:p>
        </w:tc>
      </w:tr>
      <w:tr>
        <w:trPr>
          <w:cantSplit/>
        </w:trPr>
        <w:tc>
          <w:tcPr>
            <w:tcW w:type="dxa" w:w="3360"/>
            <w:tcW w:w="2000" w:type="dxa"/>
            <w:shd w:val="clear" w:color="auto" w:fill="FFFFFF"/>
          </w:tcPr>
          <w:p>
            <w:pPr>
              <w:spacing w:after="0"/>
            </w:pPr>
            <w:r>
              <w:rPr>
                <w:b/>
                <w:i w:val="0"/>
                <w:sz w:val="19"/>
              </w:rPr>
              <w:t>Assalino 2020 · vascular invasion</w:t>
            </w:r>
          </w:p>
        </w:tc>
        <w:tc>
          <w:tcPr>
            <w:tcW w:type="dxa" w:w="3360"/>
            <w:tcW w:w="3900" w:type="dxa"/>
            <w:shd w:val="clear" w:color="auto" w:fill="FFFFFF"/>
          </w:tcPr>
          <w:p>
            <w:pPr>
              <w:spacing w:after="0"/>
            </w:pPr>
            <w:r>
              <w:rPr>
                <w:b w:val="0"/>
                <w:i w:val="0"/>
                <w:sz w:val="19"/>
              </w:rPr>
              <w:t>Multicenter retrospective series: 45 transplanted patients reviewed, 30 with centrally validated macrovascular invasion retained; 11 centers, 2004–2018. Vascular radiologic disappearance after treatment; 24 portal and six hepatic-vein cases. Portal groups: seven Vp1, 12 Vp2, five study-defined Vp3. Its Vp3 included first-order branch OR main trunk. Median downstaging-to-LT 11.4 months (range 0.8–43.3; timing available in 27).</w:t>
            </w:r>
          </w:p>
        </w:tc>
        <w:tc>
          <w:tcPr>
            <w:tcW w:type="dxa" w:w="3360"/>
            <w:tcW w:w="4180" w:type="dxa"/>
            <w:shd w:val="clear" w:color="auto" w:fill="FFFFFF"/>
          </w:tcPr>
          <w:p>
            <w:pPr>
              <w:spacing w:after="0"/>
            </w:pPr>
            <w:r>
              <w:rPr>
                <w:b w:val="0"/>
                <w:i w:val="0"/>
                <w:sz w:val="19"/>
              </w:rPr>
              <w:t>Median post-LT follow-up 39 months; one/three/five-year OS 76.7%/66.2%/59.6%; DFS 63.3%/56.3%/56.3%. Recurrence 8/30, median 6.5 months after LT. Three explants retained major vascular invasion despite radiologic clearance. An exploratory AFP &lt;10 subgroup had 11% recurrence and five-year OS 83.3%.</w:t>
            </w:r>
          </w:p>
          <w:p>
            <w:pPr>
              <w:spacing w:after="0"/>
            </w:pPr>
            <w:r>
              <w:rPr>
                <w:b w:val="0"/>
                <w:i/>
                <w:sz w:val="19"/>
              </w:rPr>
              <w:t>Limits: The 15 excluded records are not downstaging failures. No all-treated denominator. AFP threshold was post hoc; subgroup denominator not verified. Neither median waiting time nor the mixed Vp3 label validates a 12-month or modern Vp3 cutoff.</w:t>
            </w:r>
          </w:p>
          <w:p>
            <w:pPr>
              <w:spacing w:after="0"/>
            </w:pPr>
            <w:r>
              <w:rPr>
                <w:b w:val="0"/>
                <w:i w:val="0"/>
                <w:color w:val="5A6069"/>
                <w:sz w:val="18"/>
              </w:rPr>
              <w:t>New complete publisher PDF pp569–573: Methods, Table 1, explant findings and limitations.</w:t>
            </w:r>
          </w:p>
        </w:tc>
      </w:tr>
      <w:tr>
        <w:trPr>
          <w:cantSplit/>
        </w:trPr>
        <w:tc>
          <w:tcPr>
            <w:tcW w:type="dxa" w:w="3360"/>
            <w:tcW w:w="2000" w:type="dxa"/>
            <w:shd w:val="clear" w:color="auto" w:fill="F1F5F8"/>
          </w:tcPr>
          <w:p>
            <w:pPr>
              <w:spacing w:after="0"/>
            </w:pPr>
            <w:r>
              <w:rPr>
                <w:b/>
                <w:i w:val="0"/>
                <w:sz w:val="19"/>
              </w:rPr>
              <w:t>Sposito 2026</w:t>
            </w:r>
          </w:p>
        </w:tc>
        <w:tc>
          <w:tcPr>
            <w:tcW w:type="dxa" w:w="3360"/>
            <w:tcW w:w="3900" w:type="dxa"/>
            <w:shd w:val="clear" w:color="auto" w:fill="F1F5F8"/>
          </w:tcPr>
          <w:p>
            <w:pPr>
              <w:spacing w:after="0"/>
            </w:pPr>
            <w:r>
              <w:rPr>
                <w:b w:val="0"/>
                <w:i w:val="0"/>
                <w:sz w:val="19"/>
              </w:rPr>
              <w:t>Five-center Italian Y90 cohort, 2010–2023: 240 consecutive HCC/PVTT patients; 61 downstaged, 37 transplanted. Sustained vascular CR or PR for ≥6 months plus center-specific morphology/AFP requirements. Median Y90-to-LT interval 17 months.</w:t>
            </w:r>
          </w:p>
        </w:tc>
        <w:tc>
          <w:tcPr>
            <w:tcW w:type="dxa" w:w="3360"/>
            <w:tcW w:w="4180" w:type="dxa"/>
            <w:shd w:val="clear" w:color="auto" w:fill="F1F5F8"/>
          </w:tcPr>
          <w:p>
            <w:pPr>
              <w:spacing w:after="0"/>
            </w:pPr>
            <w:r>
              <w:rPr>
                <w:b w:val="0"/>
                <w:i w:val="0"/>
                <w:sz w:val="19"/>
              </w:rPr>
              <w:t>Downstaging: 61/240 (25.4%); LT: 37/240 (15.4%). Among downstaged patients, 60-month cancer death was 15.8% with LT versus 45.2% without LT (subdistribution HR .221, 95% CI .071–.683). Recipients had three/five-year OS 67.2%/61.6% and RFS 79.3%/79.3%; complete explant necrosis 56.7%.</w:t>
            </w:r>
          </w:p>
          <w:p>
            <w:pPr>
              <w:spacing w:after="0"/>
            </w:pPr>
            <w:r>
              <w:rPr>
                <w:b w:val="0"/>
                <w:i/>
                <w:sz w:val="19"/>
              </w:rPr>
              <w:t>Limits: Abstract-only verification. Grade denominators, landmark/selection adjustment and RFS death handling require full text; RFS exceeding OS must not be converted to recurrence as 1−RFS. No verified all-240 survival estimate.</w:t>
            </w:r>
          </w:p>
          <w:p>
            <w:pPr>
              <w:spacing w:after="0"/>
            </w:pPr>
            <w:r>
              <w:rPr>
                <w:b w:val="0"/>
                <w:i w:val="0"/>
                <w:color w:val="5A6069"/>
                <w:sz w:val="18"/>
              </w:rPr>
              <w:t>Published primary abstract, PMID 42228945, DOI 10.1097/HEP.0000000000001801.</w:t>
            </w:r>
          </w:p>
        </w:tc>
      </w:tr>
    </w:tbl>
    <w:p>
      <w:pPr>
        <w:spacing w:after="40"/>
      </w:pPr>
    </w:p>
    <w:p>
      <w:pPr>
        <w:pStyle w:val="Heading3"/>
        <w:keepNext/>
        <w:spacing w:before="120" w:after="80"/>
      </w:pPr>
      <w:r>
        <w:rPr>
          <w:b w:val="0"/>
          <w:i w:val="0"/>
        </w:rPr>
        <w:t>Our proposed selection (OPEN)</w:t>
      </w:r>
    </w:p>
    <w:p>
      <w:pPr>
        <w:spacing w:after="80"/>
      </w:pPr>
      <w:r>
        <w:rPr>
          <w:b w:val="0"/>
          <w:i w:val="0"/>
        </w:rPr>
        <w:t>Develop an initial Vp1–2-only transplanting study; keep Vp3 registry-first and Vp4/hepatic-vein expansion closed.</w:t>
      </w:r>
    </w:p>
    <w:p>
      <w:pPr>
        <w:numPr>
          <w:ilvl w:val="0"/>
          <w:numId w:val="5"/>
        </w:numPr>
        <w:spacing w:after="40"/>
      </w:pPr>
      <w:r>
        <w:rPr>
          <w:b w:val="0"/>
          <w:i w:val="0"/>
        </w:rPr>
        <w:t>Proposed anatomy: original Vp1 or Vp2 only, centrally confirmed. Exclude Vp3, Vp4/main or contralateral branch, hepatic-vein tumor invasion, previous tumor rupture and combined expanded-burden risk from the initial pilot. These are study boundaries, not universal declarations of futility.</w:t>
      </w:r>
    </w:p>
    <w:p>
      <w:pPr>
        <w:numPr>
          <w:ilvl w:val="0"/>
          <w:numId w:val="5"/>
        </w:numPr>
        <w:spacing w:after="40"/>
      </w:pPr>
      <w:r>
        <w:rPr>
          <w:b w:val="0"/>
          <w:i w:val="0"/>
        </w:rPr>
        <w:t>Require complete absence of enhancing viable vascular tumor, remaining viable parenchymal disease within Milan or completely nonviable, no current or previous extrahepatic disease (HCC-B5), and ≥12 continuous months meeting these conditions. Scan approximately every three months; count from the first qualifying scan.</w:t>
      </w:r>
    </w:p>
    <w:p>
      <w:pPr>
        <w:numPr>
          <w:ilvl w:val="0"/>
          <w:numId w:val="5"/>
        </w:numPr>
        <w:spacing w:after="40"/>
      </w:pPr>
      <w:r>
        <w:rPr>
          <w:b w:val="0"/>
          <w:i w:val="0"/>
        </w:rPr>
        <w:t>Any recurrent vascular enhancement or new metastasis stops progression to LT. Indeterminate thrombus or imaging discordance is a hold, not automatic clearance.</w:t>
      </w:r>
    </w:p>
    <w:p>
      <w:pPr>
        <w:spacing w:after="80"/>
      </w:pPr>
      <w:r>
        <w:rPr>
          <w:b/>
          <w:i w:val="0"/>
        </w:rPr>
        <w:t xml:space="preserve">Why: </w:t>
      </w:r>
      <w:r>
        <w:rPr>
          <w:b w:val="0"/>
          <w:i w:val="0"/>
        </w:rPr>
        <w:t>Anatomy, treatment response and biology all matter, but the available cohorts do not validate a sharp universal Vp2/Vp3 boundary or a single control-duration requirement. Several selected branch or even main-trunk recipients survived long term; this argues against a blanket futility claim. Conversely, small anatomy strata, highly selective transplantation, exclusion of perioperative deaths in some cohorts and absent entry denominators prevent a routine-policy expansion. Overall mRECIST response is not synonymous with vascular sterilization, and imaging disappearance can coexist with viable explant PVTT.</w:t>
      </w:r>
    </w:p>
    <w:p>
      <w:pPr>
        <w:spacing w:after="80"/>
      </w:pPr>
      <w:r>
        <w:rPr>
          <w:b/>
          <w:i w:val="0"/>
        </w:rPr>
        <w:t xml:space="preserve">Against, or uncertain: </w:t>
      </w:r>
      <w:r>
        <w:rPr>
          <w:b w:val="0"/>
          <w:i w:val="0"/>
        </w:rPr>
        <w:t>Poorer outcomes for lobar/main-trunk groups in Choi, Yang and Ye favor caution, while Yoon's selected Vp4 survivors and Sposito's downstaged cohort show that advanced anatomy is not invariably fatal. Assalino included hepatic-vein and mixed first-order/main-trunk disease, but its selected-recipient results cannot establish that these groups should enter an initial US pilot. Differences in anatomical definitions prevent a valid pooled Vp-grade survival estimate.</w:t>
      </w:r>
    </w:p>
    <w:p>
      <w:pPr>
        <w:spacing w:after="80"/>
      </w:pPr>
      <w:r>
        <w:rPr>
          <w:b/>
          <w:i w:val="0"/>
        </w:rPr>
        <w:t xml:space="preserve">Certainty: </w:t>
      </w:r>
      <w:r>
        <w:rPr>
          <w:b w:val="0"/>
          <w:i w:val="0"/>
        </w:rPr>
        <w:t>Very low for a specific anatomy or waiting-time threshold; low for an association between response/biologic selection and better recipient outcomes. No reviewed randomized study directly established the transplant strategy's net benefit from confirmed-PVTT treatment entry.</w:t>
      </w:r>
    </w:p>
    <w:p>
      <w:pPr>
        <w:spacing w:after="80"/>
      </w:pPr>
      <w:r>
        <w:rPr>
          <w:b/>
          <w:i w:val="0"/>
        </w:rPr>
        <w:t xml:space="preserve">Tests and records: </w:t>
      </w:r>
      <w:r>
        <w:rPr>
          <w:b w:val="0"/>
          <w:i w:val="0"/>
        </w:rPr>
        <w:t>Original vessel-by-vessel map with Vp grade; expert serial contrast CT/MRI; chest staging; AFP; separate vascular and parenchymal response; resection options. Crosswalk the original study/anatomic vascular definition to current Vp grade. Record vascular response separately from overall mRECIST response; neither excludes microscopic viable PVTT.</w:t>
      </w:r>
    </w:p>
    <w:p>
      <w:pPr>
        <w:spacing w:after="80"/>
      </w:pPr>
      <w:r>
        <w:rPr>
          <w:b/>
          <w:i w:val="0"/>
        </w:rPr>
        <w:t xml:space="preserve">Allocation: </w:t>
      </w:r>
      <w:r>
        <w:rPr>
          <w:b w:val="0"/>
          <w:i w:val="0"/>
        </w:rPr>
        <w:t>Clinical study eligibility cannot override the main-portal/hepatic-vein exception contraindications or grant priority. Obtain a separate documented organ route.</w:t>
      </w:r>
    </w:p>
    <w:p>
      <w:pPr>
        <w:spacing w:after="40"/>
      </w:pPr>
      <w:r>
        <w:rPr>
          <w:b/>
          <w:i w:val="0"/>
        </w:rPr>
        <w:t xml:space="preserve">Basis for the proposed thresholds: </w:t>
      </w:r>
    </w:p>
    <w:p>
      <w:pPr>
        <w:numPr>
          <w:ilvl w:val="0"/>
          <w:numId w:val="5"/>
        </w:numPr>
        <w:spacing w:after="40"/>
      </w:pPr>
      <w:r>
        <w:rPr>
          <w:b w:val="0"/>
          <w:i w:val="0"/>
        </w:rPr>
        <w:t>Vp1–2 restriction, complete vascular radiographic response and 12-month control are proposed local safeguards, not a jointly tested published rule. Sposito accepted sustained vascular CR/PR for ≥6 months; Assalino reported a median, not a minimum, 11.4-month interval. NLRB guidance permits selected branch-invasion/rupture cases after prolonged stability but does not mandate clinical acceptance or convert main-trunk/hepatic-vein disease into a standard exception. Preserve separate original and current vascular extent.</w:t>
      </w:r>
    </w:p>
    <w:p>
      <w:pPr>
        <w:pStyle w:val="Heading3"/>
        <w:keepNext/>
        <w:spacing w:before="120" w:after="80"/>
      </w:pPr>
      <w:r>
        <w:rPr>
          <w:b w:val="0"/>
          <w:i w:val="0"/>
        </w:rPr>
        <w:t>HCC-B2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HCC-B3 — Previous checkpoint immunotherapy</w:t>
      </w:r>
    </w:p>
    <w:p>
      <w:pPr>
        <w:spacing w:after="80"/>
      </w:pPr>
      <w:r>
        <w:rPr>
          <w:b w:val="0"/>
          <w:i w:val="0"/>
          <w:color w:val="5A6069"/>
          <w:sz w:val="18"/>
        </w:rPr>
        <w:t>OPEN proposal · not activated · High-risk review</w:t>
      </w:r>
    </w:p>
    <w:p>
      <w:pPr>
        <w:spacing w:after="80"/>
      </w:pPr>
      <w:r>
        <w:rPr>
          <w:b/>
          <w:i w:val="0"/>
        </w:rPr>
        <w:t xml:space="preserve">Question: </w:t>
      </w:r>
      <w:r>
        <w:rPr>
          <w:b w:val="0"/>
          <w:i w:val="0"/>
        </w:rPr>
        <w:t>How should prior ICI alter activation and consent?</w:t>
      </w:r>
    </w:p>
    <w:p>
      <w:pPr>
        <w:spacing w:after="80"/>
      </w:pPr>
      <w:r>
        <w:rPr>
          <w:b/>
          <w:i w:val="0"/>
        </w:rPr>
        <w:t xml:space="preserve">When it applies: </w:t>
      </w:r>
      <w:r>
        <w:rPr>
          <w:b w:val="0"/>
          <w:i w:val="0"/>
        </w:rPr>
        <w:t>Review checkpoint-inhibitor exposure before treatment selection and again before transplantation.</w:t>
      </w:r>
    </w:p>
    <w:p>
      <w:pPr>
        <w:spacing w:after="80"/>
      </w:pPr>
      <w:r>
        <w:rPr>
          <w:b/>
          <w:i w:val="0"/>
        </w:rPr>
        <w:t xml:space="preserve">Where it is decided: </w:t>
      </w:r>
      <w:hyperlink r:id="rId9">
        <w:r>
          <w:rPr>
            <w:color w:val="0563C1"/>
            <w:u w:val="single"/>
          </w:rPr>
          <w:t xml:space="preserve">Plan bridging or downstaging treatment</w:t>
        </w:r>
      </w:hyperlink>
      <w:r>
        <w:rPr>
          <w:b w:val="0"/>
          <w:i w:val="0"/>
        </w:rPr>
        <w:t xml:space="preserve"> · </w:t>
      </w:r>
      <w:hyperlink r:id="rId12">
        <w:r>
          <w:rPr>
            <w:color w:val="0563C1"/>
            <w:u w:val="single"/>
          </w:rPr>
          <w:t xml:space="preserve">Reassess while awaiting transplant</w:t>
        </w:r>
      </w:hyperlink>
    </w:p>
    <w:p>
      <w:pPr>
        <w:spacing w:after="120"/>
      </w:pPr>
      <w:r>
        <w:rPr>
          <w:b/>
          <w:i w:val="0"/>
          <w:sz w:val="18"/>
        </w:rPr>
        <w:t xml:space="preserve">Web page: </w:t>
      </w:r>
      <w:hyperlink r:id="rId16">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Rezaee-Zavareh · IPD</w:t>
            </w:r>
          </w:p>
        </w:tc>
        <w:tc>
          <w:tcPr>
            <w:tcW w:type="dxa" w:w="3360"/>
            <w:tcW w:w="5480" w:type="dxa"/>
            <w:shd w:val="clear" w:color="auto" w:fill="F1F5F8"/>
          </w:tcPr>
          <w:p>
            <w:pPr>
              <w:spacing w:after="0"/>
            </w:pPr>
            <w:r>
              <w:rPr>
                <w:b w:val="0"/>
                <w:i w:val="0"/>
                <w:sz w:val="19"/>
              </w:rPr>
              <w:t>“a 3-month washout may reduce it” A risk-reduction suggestion from largely retrospective data, not a safe minimum.</w:t>
            </w:r>
          </w:p>
        </w:tc>
        <w:tc>
          <w:tcPr>
            <w:tcW w:type="dxa" w:w="3360"/>
            <w:tcW w:w="2400" w:type="dxa"/>
            <w:shd w:val="clear" w:color="auto" w:fill="F1F5F8"/>
          </w:tcPr>
          <w:p>
            <w:pPr>
              <w:spacing w:after="0"/>
            </w:pPr>
            <w:r>
              <w:rPr>
                <w:b w:val="0"/>
                <w:i w:val="0"/>
                <w:color w:val="5A6069"/>
                <w:sz w:val="18"/>
              </w:rPr>
              <w:t>Accepted PDF p10 / manuscript p7, abstract conclusion</w:t>
            </w:r>
          </w:p>
        </w:tc>
      </w:tr>
      <w:tr>
        <w:trPr>
          <w:cantSplit/>
        </w:trPr>
        <w:tc>
          <w:tcPr>
            <w:tcW w:type="dxa" w:w="3360"/>
            <w:tcW w:w="2200" w:type="dxa"/>
            <w:shd w:val="clear" w:color="auto" w:fill="FFFFFF"/>
          </w:tcPr>
          <w:p>
            <w:pPr>
              <w:spacing w:after="0"/>
            </w:pPr>
            <w:r>
              <w:rPr>
                <w:b/>
                <w:i w:val="0"/>
                <w:sz w:val="19"/>
              </w:rPr>
              <w:t>Fang · irAEs</w:t>
            </w:r>
          </w:p>
        </w:tc>
        <w:tc>
          <w:tcPr>
            <w:tcW w:type="dxa" w:w="3360"/>
            <w:tcW w:w="5480" w:type="dxa"/>
            <w:shd w:val="clear" w:color="auto" w:fill="FFFFFF"/>
          </w:tcPr>
          <w:p>
            <w:pPr>
              <w:spacing w:after="0"/>
            </w:pPr>
            <w:r>
              <w:rPr>
                <w:b w:val="0"/>
                <w:i w:val="0"/>
                <w:sz w:val="19"/>
              </w:rPr>
              <w:t>“irAEs (any grade vs non)” Prior irAEs were associated with rejection; the study did not validate the specific grade-based activation rule proposed here.</w:t>
            </w:r>
          </w:p>
        </w:tc>
        <w:tc>
          <w:tcPr>
            <w:tcW w:type="dxa" w:w="3360"/>
            <w:tcW w:w="2400" w:type="dxa"/>
            <w:shd w:val="clear" w:color="auto" w:fill="FFFFFF"/>
          </w:tcPr>
          <w:p>
            <w:pPr>
              <w:spacing w:after="0"/>
            </w:pPr>
            <w:r>
              <w:rPr>
                <w:b w:val="0"/>
                <w:i w:val="0"/>
                <w:color w:val="5A6069"/>
                <w:sz w:val="18"/>
              </w:rPr>
              <w:t>Published PDF p6, Table 4</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VITALITY · Tabrizian</w:t>
            </w:r>
          </w:p>
        </w:tc>
        <w:tc>
          <w:tcPr>
            <w:tcW w:type="dxa" w:w="3360"/>
            <w:tcW w:w="3900" w:type="dxa"/>
            <w:shd w:val="clear" w:color="auto" w:fill="F1F5F8"/>
          </w:tcPr>
          <w:p>
            <w:pPr>
              <w:spacing w:after="0"/>
            </w:pPr>
            <w:r>
              <w:rPr>
                <w:b w:val="0"/>
                <w:i w:val="0"/>
                <w:sz w:val="19"/>
              </w:rPr>
              <w:t>Multicenter observational US cohort: 117 consecutive ICI-treated HCC patients assessed for LT, 2016–2023. 86 were initially beyond Milan; 94% also received locoregional treatment. Patients were selected for transplant evaluation rather than representing all advanced HCC treated with ICI.</w:t>
            </w:r>
          </w:p>
        </w:tc>
        <w:tc>
          <w:tcPr>
            <w:tcW w:type="dxa" w:w="3360"/>
            <w:tcW w:w="4180" w:type="dxa"/>
            <w:shd w:val="clear" w:color="auto" w:fill="F1F5F8"/>
          </w:tcPr>
          <w:p>
            <w:pPr>
              <w:spacing w:after="0"/>
            </w:pPr>
            <w:r>
              <w:rPr>
                <w:b w:val="0"/>
                <w:i w:val="0"/>
                <w:sz w:val="19"/>
              </w:rPr>
              <w:t>65/86 (75.6%) beyond-Milan patients downstaged, median 5.6 months; 43/117 (36.7%) received LT. Three-year intention-to-treat survival was 71.1%; three-year recipient survival 85%. Rejection occurred in 7/43; six had last ICI &lt;3 months before LT; one rejection-associated graft loss.</w:t>
            </w:r>
          </w:p>
          <w:p>
            <w:pPr>
              <w:spacing w:after="0"/>
            </w:pPr>
            <w:r>
              <w:rPr>
                <w:b w:val="0"/>
                <w:i/>
                <w:sz w:val="19"/>
              </w:rPr>
              <w:t>Limits: The abstract's categories—18 initially within Milan plus 23 downstaged recipients—sum to 41, not 43; the two-patient discrepancy awaits full flow-diagram review. Multimodal treatment prevents attribution to ICI alone; full paper unavailable.</w:t>
            </w:r>
          </w:p>
          <w:p>
            <w:pPr>
              <w:spacing w:after="0"/>
            </w:pPr>
            <w:r>
              <w:rPr>
                <w:b w:val="0"/>
                <w:i w:val="0"/>
                <w:color w:val="5A6069"/>
                <w:sz w:val="18"/>
              </w:rPr>
              <w:t>Primary published abstract and accessible publisher material, PMID 39255928; full PDF pending.</w:t>
            </w:r>
          </w:p>
        </w:tc>
      </w:tr>
      <w:tr>
        <w:trPr>
          <w:cantSplit/>
        </w:trPr>
        <w:tc>
          <w:tcPr>
            <w:tcW w:type="dxa" w:w="3360"/>
            <w:tcW w:w="2000" w:type="dxa"/>
            <w:shd w:val="clear" w:color="auto" w:fill="FFFFFF"/>
          </w:tcPr>
          <w:p>
            <w:pPr>
              <w:spacing w:after="0"/>
            </w:pPr>
            <w:r>
              <w:rPr>
                <w:b/>
                <w:i w:val="0"/>
                <w:sz w:val="19"/>
              </w:rPr>
              <w:t>ImmunoXXL 2026</w:t>
            </w:r>
          </w:p>
        </w:tc>
        <w:tc>
          <w:tcPr>
            <w:tcW w:type="dxa" w:w="3360"/>
            <w:tcW w:w="3900" w:type="dxa"/>
            <w:shd w:val="clear" w:color="auto" w:fill="FFFFFF"/>
          </w:tcPr>
          <w:p>
            <w:pPr>
              <w:spacing w:after="0"/>
            </w:pPr>
            <w:r>
              <w:rPr>
                <w:b w:val="0"/>
                <w:i w:val="0"/>
                <w:sz w:val="19"/>
              </w:rPr>
              <w:t>Prospective phase II experience: 61 potentially eligible atezolizumab–bevacizumab-treated patients; 16 enrolled/listed/transplanted responders. The 45 not included comprised 25 treatment discontinuations (15 progression, four adverse events, six decompensation) and 20 failing downstaging criteria. Eight of 16 had portal thrombosis, grades not verified; 15 had prior locoregional treatment.</w:t>
            </w:r>
          </w:p>
        </w:tc>
        <w:tc>
          <w:tcPr>
            <w:tcW w:type="dxa" w:w="3360"/>
            <w:tcW w:w="4180" w:type="dxa"/>
            <w:shd w:val="clear" w:color="auto" w:fill="FFFFFF"/>
          </w:tcPr>
          <w:p>
            <w:pPr>
              <w:spacing w:after="0"/>
            </w:pPr>
            <w:r>
              <w:rPr>
                <w:b w:val="0"/>
                <w:i w:val="0"/>
                <w:sz w:val="19"/>
              </w:rPr>
              <w:t>Median washout 57.5 days (IQR 29–87), median follow-up 16 months. Acute rejection 4/16 (25%); three irAEs. Ninety-day morbidity 62.5%, mortality 1/16. Explants: ten complete and six partial responses; one recurrence. Two-year recipient OS 94%, RFS 90%.</w:t>
            </w:r>
          </w:p>
          <w:p>
            <w:pPr>
              <w:spacing w:after="0"/>
            </w:pPr>
            <w:r>
              <w:rPr>
                <w:b w:val="0"/>
                <w:i/>
                <w:sz w:val="19"/>
              </w:rPr>
              <w:t>Limits: These are selected-16 outcomes, not 61-patient ITT efficacy. Small, nonrandomized, short follow-up; a shorter median washout does not establish safety. Retransplantation count was not independently extractable from accessible primary text and is not asserted.</w:t>
            </w:r>
          </w:p>
          <w:p>
            <w:pPr>
              <w:spacing w:after="0"/>
            </w:pPr>
            <w:r>
              <w:rPr>
                <w:b w:val="0"/>
                <w:i w:val="0"/>
                <w:color w:val="5A6069"/>
                <w:sz w:val="18"/>
              </w:rPr>
              <w:t>Published abstract plus accessible publisher Results, PMID 41763363; full PDF needed for eligibility, flow and adverse-event denominators.</w:t>
            </w:r>
          </w:p>
        </w:tc>
      </w:tr>
      <w:tr>
        <w:trPr>
          <w:cantSplit/>
        </w:trPr>
        <w:tc>
          <w:tcPr>
            <w:tcW w:type="dxa" w:w="3360"/>
            <w:tcW w:w="2000" w:type="dxa"/>
            <w:shd w:val="clear" w:color="auto" w:fill="F1F5F8"/>
          </w:tcPr>
          <w:p>
            <w:pPr>
              <w:spacing w:after="0"/>
            </w:pPr>
            <w:r>
              <w:rPr>
                <w:b/>
                <w:i w:val="0"/>
                <w:sz w:val="19"/>
              </w:rPr>
              <w:t>Moeckli 2025</w:t>
            </w:r>
          </w:p>
        </w:tc>
        <w:tc>
          <w:tcPr>
            <w:tcW w:type="dxa" w:w="3360"/>
            <w:tcW w:w="3900" w:type="dxa"/>
            <w:shd w:val="clear" w:color="auto" w:fill="F1F5F8"/>
          </w:tcPr>
          <w:p>
            <w:pPr>
              <w:spacing w:after="0"/>
            </w:pPr>
            <w:r>
              <w:rPr>
                <w:b w:val="0"/>
                <w:i w:val="0"/>
                <w:sz w:val="19"/>
              </w:rPr>
              <w:t>International retrospective series of 119 ICI-exposed LT recipients. Only transplanted patients; washout categories &lt;30, 30–50 and &gt;50 days.</w:t>
            </w:r>
          </w:p>
        </w:tc>
        <w:tc>
          <w:tcPr>
            <w:tcW w:type="dxa" w:w="3360"/>
            <w:tcW w:w="4180" w:type="dxa"/>
            <w:shd w:val="clear" w:color="auto" w:fill="F1F5F8"/>
          </w:tcPr>
          <w:p>
            <w:pPr>
              <w:spacing w:after="0"/>
            </w:pPr>
            <w:r>
              <w:rPr>
                <w:b w:val="0"/>
                <w:i w:val="0"/>
                <w:sz w:val="19"/>
              </w:rPr>
              <w:t>Rejection occurred in 24/119 (20.2%), median nine days after LT. Six of 24 rejection cases lost the graft—6/119 (5.0%) of all recipients. Relative to &gt;50 days, univariate rejection odds ratios were 21.3 (95% CI 5.93–103) for &lt;30 days and 9.48 (2.47–46.8) for 30–50 days.</w:t>
            </w:r>
          </w:p>
          <w:p>
            <w:pPr>
              <w:spacing w:after="0"/>
            </w:pPr>
            <w:r>
              <w:rPr>
                <w:b w:val="0"/>
                <w:i/>
                <w:sz w:val="19"/>
              </w:rPr>
              <w:t>Limits: Retrospective association, broad confidence intervals and selection by transplant timing; no untreated comparator or all-ICI-treatment denominator. &gt;50 days is not a prospectively validated safe threshold.</w:t>
            </w:r>
          </w:p>
          <w:p>
            <w:pPr>
              <w:spacing w:after="0"/>
            </w:pPr>
            <w:r>
              <w:rPr>
                <w:b w:val="0"/>
                <w:i w:val="0"/>
                <w:color w:val="5A6069"/>
                <w:sz w:val="18"/>
              </w:rPr>
              <w:t>Primary abstract, PMID 40042053; complete publisher PDF inaccessible.</w:t>
            </w:r>
          </w:p>
        </w:tc>
      </w:tr>
      <w:tr>
        <w:trPr>
          <w:cantSplit/>
        </w:trPr>
        <w:tc>
          <w:tcPr>
            <w:tcW w:type="dxa" w:w="3360"/>
            <w:tcW w:w="2000" w:type="dxa"/>
            <w:shd w:val="clear" w:color="auto" w:fill="FFFFFF"/>
          </w:tcPr>
          <w:p>
            <w:pPr>
              <w:spacing w:after="0"/>
            </w:pPr>
            <w:r>
              <w:rPr>
                <w:b/>
                <w:i w:val="0"/>
                <w:sz w:val="19"/>
              </w:rPr>
              <w:t>Rezaee-Zavareh · IPD</w:t>
            </w:r>
          </w:p>
        </w:tc>
        <w:tc>
          <w:tcPr>
            <w:tcW w:type="dxa" w:w="3360"/>
            <w:tcW w:w="3900" w:type="dxa"/>
            <w:shd w:val="clear" w:color="auto" w:fill="FFFFFF"/>
          </w:tcPr>
          <w:p>
            <w:pPr>
              <w:spacing w:after="0"/>
            </w:pPr>
            <w:r>
              <w:rPr>
                <w:b w:val="0"/>
                <w:i w:val="0"/>
                <w:sz w:val="19"/>
              </w:rPr>
              <w:t>Secondary systematic review and individual-patient-data analysis: 91 recipients from 30 predominantly case reports/series and cohorts. Published ICI-exposed transplanted cases; not a randomized or consecutive all-treated population.</w:t>
            </w:r>
          </w:p>
        </w:tc>
        <w:tc>
          <w:tcPr>
            <w:tcW w:type="dxa" w:w="3360"/>
            <w:tcW w:w="4180" w:type="dxa"/>
            <w:shd w:val="clear" w:color="auto" w:fill="FFFFFF"/>
          </w:tcPr>
          <w:p>
            <w:pPr>
              <w:spacing w:after="0"/>
            </w:pPr>
            <w:r>
              <w:rPr>
                <w:b w:val="0"/>
                <w:i w:val="0"/>
                <w:sz w:val="19"/>
              </w:rPr>
              <w:t>24/91 rejections (26.4%), nine recurrences and nine deaths; median follow-up 690 days. Adjusted rejection hazard ratio per additional washout week .92 (95% CI .86–.99). Ninety-four days was the median washout among modeled patients with predicted rejection probability ≤20%, not an observed universal safety cutoff.</w:t>
            </w:r>
          </w:p>
          <w:p>
            <w:pPr>
              <w:spacing w:after="0"/>
            </w:pPr>
            <w:r>
              <w:rPr>
                <w:b w:val="0"/>
                <w:i/>
                <w:sz w:val="19"/>
              </w:rPr>
              <w:t>Limits: Publication/selection bias, heterogeneous regimens, small events and overlap with later cohorts. A modeled ≤20% probability does not justify telling an individual that three months eliminates rejection risk.</w:t>
            </w:r>
          </w:p>
          <w:p>
            <w:pPr>
              <w:spacing w:after="0"/>
            </w:pPr>
            <w:r>
              <w:rPr>
                <w:b w:val="0"/>
                <w:i w:val="0"/>
                <w:color w:val="5A6069"/>
                <w:sz w:val="18"/>
              </w:rPr>
              <w:t>Complete local author manuscript: Results/washout model; PDF p10 (manuscript p7) conclusion. Existing V6 quotation ledger retained.</w:t>
            </w:r>
          </w:p>
        </w:tc>
      </w:tr>
      <w:tr>
        <w:trPr>
          <w:cantSplit/>
        </w:trPr>
        <w:tc>
          <w:tcPr>
            <w:tcW w:type="dxa" w:w="3360"/>
            <w:tcW w:w="2000" w:type="dxa"/>
            <w:shd w:val="clear" w:color="auto" w:fill="F1F5F8"/>
          </w:tcPr>
          <w:p>
            <w:pPr>
              <w:spacing w:after="0"/>
            </w:pPr>
            <w:r>
              <w:rPr>
                <w:b/>
                <w:i w:val="0"/>
                <w:sz w:val="19"/>
              </w:rPr>
              <w:t>Fang · irAEs</w:t>
            </w:r>
          </w:p>
        </w:tc>
        <w:tc>
          <w:tcPr>
            <w:tcW w:type="dxa" w:w="3360"/>
            <w:tcW w:w="3900" w:type="dxa"/>
            <w:shd w:val="clear" w:color="auto" w:fill="F1F5F8"/>
          </w:tcPr>
          <w:p>
            <w:pPr>
              <w:spacing w:after="0"/>
            </w:pPr>
            <w:r>
              <w:rPr>
                <w:b w:val="0"/>
                <w:i w:val="0"/>
                <w:sz w:val="19"/>
              </w:rPr>
              <w:t>Multicenter Chinese retrospective cohort, 2018–2024: 209 ICI-exposed LT recipients. Prior irAEs of any grade were recorded; six patients had grade 3–4 events.</w:t>
            </w:r>
          </w:p>
        </w:tc>
        <w:tc>
          <w:tcPr>
            <w:tcW w:type="dxa" w:w="3360"/>
            <w:tcW w:w="4180" w:type="dxa"/>
            <w:shd w:val="clear" w:color="auto" w:fill="F1F5F8"/>
          </w:tcPr>
          <w:p>
            <w:pPr>
              <w:spacing w:after="0"/>
            </w:pPr>
            <w:r>
              <w:rPr>
                <w:b w:val="0"/>
                <w:i w:val="0"/>
                <w:sz w:val="19"/>
              </w:rPr>
              <w:t>Rejection occurred in 36/209 (17.2%); 61.1% biopsy proven, median ten days after LT. Correct risks from Table 3: 21/44 (47.7%) with prior irAE versus 15/165 (9.1%) without. Any irAE adjusted OR 9.17 (95% CI 4.00–21.02); washout &lt;30 days OR 3.071 (1.211–7.787). The six grade 3–4 cases split three with and three without rejection.</w:t>
            </w:r>
          </w:p>
          <w:p>
            <w:pPr>
              <w:spacing w:after="0"/>
            </w:pPr>
            <w:r>
              <w:rPr>
                <w:b w:val="0"/>
                <w:i/>
                <w:sz w:val="19"/>
              </w:rPr>
              <w:t>Limits: The discussion's 58.3%/13.3% are irAE prevalence within rejection/nonrejection groups, not rejection probabilities. Too few severe irAEs to validate a grade-specific exclusion or a recovery interval.</w:t>
            </w:r>
          </w:p>
          <w:p>
            <w:pPr>
              <w:spacing w:after="0"/>
            </w:pPr>
            <w:r>
              <w:rPr>
                <w:b w:val="0"/>
                <w:i w:val="0"/>
                <w:color w:val="5A6069"/>
                <w:sz w:val="18"/>
              </w:rPr>
              <w:t>Complete local PDF pp5–6, Tables 3–4; avoid reversed conditional denominators.</w:t>
            </w:r>
          </w:p>
        </w:tc>
      </w:tr>
      <w:tr>
        <w:trPr>
          <w:cantSplit/>
        </w:trPr>
        <w:tc>
          <w:tcPr>
            <w:tcW w:type="dxa" w:w="3360"/>
            <w:tcW w:w="2000" w:type="dxa"/>
            <w:shd w:val="clear" w:color="auto" w:fill="FFFFFF"/>
          </w:tcPr>
          <w:p>
            <w:pPr>
              <w:spacing w:after="0"/>
            </w:pPr>
            <w:r>
              <w:rPr>
                <w:b/>
                <w:i w:val="0"/>
                <w:sz w:val="19"/>
              </w:rPr>
              <w:t>Aceituno 2026</w:t>
            </w:r>
          </w:p>
        </w:tc>
        <w:tc>
          <w:tcPr>
            <w:tcW w:type="dxa" w:w="3360"/>
            <w:tcW w:w="3900" w:type="dxa"/>
            <w:shd w:val="clear" w:color="auto" w:fill="FFFFFF"/>
          </w:tcPr>
          <w:p>
            <w:pPr>
              <w:spacing w:after="0"/>
            </w:pPr>
            <w:r>
              <w:rPr>
                <w:b w:val="0"/>
                <w:i w:val="0"/>
                <w:sz w:val="19"/>
              </w:rPr>
              <w:t>Ten-center ICI series, 48 recipients, propensity matched with 144 Toronto non-ICI controls; 20/48 exposed cases previously published. Matching used age, sex, liver disease and LT year, not tumor burden or immunosuppression. Prior ICI adverse events were not captured.</w:t>
            </w:r>
          </w:p>
        </w:tc>
        <w:tc>
          <w:tcPr>
            <w:tcW w:type="dxa" w:w="3360"/>
            <w:tcW w:w="4180" w:type="dxa"/>
            <w:shd w:val="clear" w:color="auto" w:fill="FFFFFF"/>
          </w:tcPr>
          <w:p>
            <w:pPr>
              <w:spacing w:after="0"/>
            </w:pPr>
            <w:r>
              <w:rPr>
                <w:b w:val="0"/>
                <w:i w:val="0"/>
                <w:sz w:val="19"/>
              </w:rPr>
              <w:t>Biopsy-proven rejection 9/48 (18.8%) versus 28/144 (19.4%), P=.916. Two exposed cases were steroid resistant; one rejection-related graft failure required retransplant. Overall graft failure 2/48 versus 3/144, retransplant 2 versus zero, recurrence 5/48 versus 15/144, death 7/48 versus 21/144. Median follow-up 2.6 versus 3.2 years. Table 1 washout median 60 days, IQR 22–196.</w:t>
            </w:r>
          </w:p>
          <w:p>
            <w:pPr>
              <w:spacing w:after="0"/>
            </w:pPr>
            <w:r>
              <w:rPr>
                <w:b w:val="0"/>
                <w:i/>
                <w:sz w:val="19"/>
              </w:rPr>
              <w:t>Limits: No detected difference is not equivalence. Substantial tumor-risk imbalance and published-case overlap. Abstract washout IQR 13–96 conflicts with Table 1 and appears to match rejection-onset timing; use table and flag discrepancy. It cannot reassure about prior irAE risk.</w:t>
            </w:r>
          </w:p>
          <w:p>
            <w:pPr>
              <w:spacing w:after="0"/>
            </w:pPr>
            <w:r>
              <w:rPr>
                <w:b w:val="0"/>
                <w:i w:val="0"/>
                <w:color w:val="5A6069"/>
                <w:sz w:val="18"/>
              </w:rPr>
              <w:t>Complete local PDF pp2–5, Methods and Tables 1–2.</w:t>
            </w:r>
          </w:p>
        </w:tc>
      </w:tr>
      <w:tr>
        <w:trPr>
          <w:cantSplit/>
        </w:trPr>
        <w:tc>
          <w:tcPr>
            <w:tcW w:type="dxa" w:w="3360"/>
            <w:tcW w:w="2000" w:type="dxa"/>
            <w:shd w:val="clear" w:color="auto" w:fill="F1F5F8"/>
          </w:tcPr>
          <w:p>
            <w:pPr>
              <w:spacing w:after="0"/>
            </w:pPr>
            <w:r>
              <w:rPr>
                <w:b/>
                <w:i w:val="0"/>
                <w:sz w:val="19"/>
              </w:rPr>
              <w:t>LITCHI 2026</w:t>
            </w:r>
          </w:p>
        </w:tc>
        <w:tc>
          <w:tcPr>
            <w:tcW w:type="dxa" w:w="3360"/>
            <w:tcW w:w="3900" w:type="dxa"/>
            <w:shd w:val="clear" w:color="auto" w:fill="F1F5F8"/>
          </w:tcPr>
          <w:p>
            <w:pPr>
              <w:spacing w:after="0"/>
            </w:pPr>
            <w:r>
              <w:rPr>
                <w:b w:val="0"/>
                <w:i w:val="0"/>
                <w:sz w:val="19"/>
              </w:rPr>
              <w:t>Multinational European registry, ten centers, 18 recipients, 2018–2024. 15 received atezolizumab–bevacizumab; 14/18 had washout &gt;100 days. Only two centers used routine biopsy; others used clinical/LFT triggers.</w:t>
            </w:r>
          </w:p>
        </w:tc>
        <w:tc>
          <w:tcPr>
            <w:tcW w:type="dxa" w:w="3360"/>
            <w:tcW w:w="4180" w:type="dxa"/>
            <w:shd w:val="clear" w:color="auto" w:fill="F1F5F8"/>
          </w:tcPr>
          <w:p>
            <w:pPr>
              <w:spacing w:after="0"/>
            </w:pPr>
            <w:r>
              <w:rPr>
                <w:b w:val="0"/>
                <w:i w:val="0"/>
                <w:sz w:val="19"/>
              </w:rPr>
              <w:t>Four of 18 developed biopsy-confirmed rejection (22%; 95% CI 6.4–47.6). One fatal rejection occurred 21 days after LT following 13-day washout; three other events responded to intensified immunosuppression. One HCC recurrence; one-year overall survival 77%.</w:t>
            </w:r>
          </w:p>
          <w:p>
            <w:pPr>
              <w:spacing w:after="0"/>
            </w:pPr>
            <w:r>
              <w:rPr>
                <w:b w:val="0"/>
                <w:i/>
                <w:sz w:val="19"/>
              </w:rPr>
              <w:t>Limits: Small, noncomparative and largely long-washout cohort. Late rejection and incomplete protocol-biopsy surveillance preclude a guaranteed safe interval or extrapolation of the aggregate rate to short-washout patients.</w:t>
            </w:r>
          </w:p>
          <w:p>
            <w:pPr>
              <w:spacing w:after="0"/>
            </w:pPr>
            <w:r>
              <w:rPr>
                <w:b w:val="0"/>
                <w:i w:val="0"/>
                <w:color w:val="5A6069"/>
                <w:sz w:val="18"/>
              </w:rPr>
              <w:t>Primary full HTML and indexed publisher PDF Methods/Results, DOI 10.1111/liv.70692. Complete PDF download remains blocked.</w:t>
            </w:r>
          </w:p>
        </w:tc>
      </w:tr>
      <w:tr>
        <w:trPr>
          <w:cantSplit/>
        </w:trPr>
        <w:tc>
          <w:tcPr>
            <w:tcW w:type="dxa" w:w="3360"/>
            <w:tcW w:w="2000" w:type="dxa"/>
            <w:shd w:val="clear" w:color="auto" w:fill="FFFFFF"/>
          </w:tcPr>
          <w:p>
            <w:pPr>
              <w:spacing w:after="0"/>
            </w:pPr>
            <w:r>
              <w:rPr>
                <w:b/>
                <w:i w:val="0"/>
                <w:sz w:val="19"/>
              </w:rPr>
              <w:t>HCC ICI cohort · JAMA 2026</w:t>
            </w:r>
          </w:p>
        </w:tc>
        <w:tc>
          <w:tcPr>
            <w:tcW w:type="dxa" w:w="3360"/>
            <w:tcW w:w="3900" w:type="dxa"/>
            <w:shd w:val="clear" w:color="auto" w:fill="FFFFFF"/>
          </w:tcPr>
          <w:p>
            <w:pPr>
              <w:spacing w:after="0"/>
            </w:pPr>
            <w:r>
              <w:rPr>
                <w:b w:val="0"/>
                <w:i w:val="0"/>
                <w:sz w:val="19"/>
              </w:rPr>
              <w:t>Eight-center Chinese recipient cohort, 2019–2024; initially beyond Milan; 208 ICI recipients propensity matched to 208 non-ICI recipients. Downstaging followed by actual transplantation; not treatment-entry randomization. Treatment was multimodal.</w:t>
            </w:r>
          </w:p>
        </w:tc>
        <w:tc>
          <w:tcPr>
            <w:tcW w:type="dxa" w:w="3360"/>
            <w:tcW w:w="4180" w:type="dxa"/>
            <w:shd w:val="clear" w:color="auto" w:fill="FFFFFF"/>
          </w:tcPr>
          <w:p>
            <w:pPr>
              <w:spacing w:after="0"/>
            </w:pPr>
            <w:r>
              <w:rPr>
                <w:b w:val="0"/>
                <w:i w:val="0"/>
                <w:sz w:val="19"/>
              </w:rPr>
              <w:t>Median post-LT OS 4.57 versus 2.53 years, HR .63 (95% CI .43–.92); RFS 1.47 versus .89 years, HR .59 (.44–.80); recurrence subdistribution HR .54 (.40–.72). Ninety-day rejection was 34/208 (16.3%) versus 17/208 (8.2%).</w:t>
            </w:r>
          </w:p>
          <w:p>
            <w:pPr>
              <w:spacing w:after="0"/>
            </w:pPr>
            <w:r>
              <w:rPr>
                <w:b w:val="0"/>
                <w:i/>
                <w:sz w:val="19"/>
              </w:rPr>
              <w:t>Limits: Favorable oncologic association coexists with greater rejection. Residual confounding and selection remain; there is no all-downstaging-entry ITT comparison. Possible center/year overlap with Fang and other Chinese cohorts must be checked before pooling. Abstract-only verification.</w:t>
            </w:r>
          </w:p>
          <w:p>
            <w:pPr>
              <w:spacing w:after="0"/>
            </w:pPr>
            <w:r>
              <w:rPr>
                <w:b w:val="0"/>
                <w:i w:val="0"/>
                <w:color w:val="5A6069"/>
                <w:sz w:val="18"/>
              </w:rPr>
              <w:t>Primary October 2026 JAMA Oncology abstract, PMID 42821267; full PDF pending.</w:t>
            </w:r>
          </w:p>
        </w:tc>
      </w:tr>
    </w:tbl>
    <w:p>
      <w:pPr>
        <w:spacing w:after="40"/>
      </w:pPr>
    </w:p>
    <w:p>
      <w:pPr>
        <w:pStyle w:val="Heading3"/>
        <w:keepNext/>
        <w:spacing w:before="120" w:after="80"/>
      </w:pPr>
      <w:r>
        <w:rPr>
          <w:b w:val="0"/>
          <w:i w:val="0"/>
        </w:rPr>
        <w:t>Our proposed selection (OPEN)</w:t>
      </w:r>
    </w:p>
    <w:p>
      <w:pPr>
        <w:spacing w:after="80"/>
      </w:pPr>
      <w:r>
        <w:rPr>
          <w:b w:val="0"/>
          <w:i w:val="0"/>
        </w:rPr>
        <w:t>Use ≥90 days after the last ICI dose as the elective LT planning threshold, with a separate assessment of immune toxicity.</w:t>
      </w:r>
    </w:p>
    <w:p>
      <w:pPr>
        <w:numPr>
          <w:ilvl w:val="0"/>
          <w:numId w:val="5"/>
        </w:numPr>
        <w:spacing w:after="40"/>
      </w:pPr>
      <w:r>
        <w:rPr>
          <w:b w:val="0"/>
          <w:i w:val="0"/>
        </w:rPr>
        <w:t>Proposed elective cutoff: ≥90 days from last ICI dose to LT. No interval is proven safe; a longer interval does not eliminate rejection or graft-loss risk.</w:t>
      </w:r>
    </w:p>
    <w:p>
      <w:pPr>
        <w:numPr>
          <w:ilvl w:val="0"/>
          <w:numId w:val="5"/>
        </w:numPr>
        <w:spacing w:after="40"/>
      </w:pPr>
      <w:r>
        <w:rPr>
          <w:b w:val="0"/>
          <w:i w:val="0"/>
        </w:rPr>
        <w:t>Require no active clinically significant non-endocrine immune toxicity: grade ≤1 and no escalating immunosuppression for toxicity. Stable endocrine replacement may qualify. Prior grade 3–4 non-endocrine toxicity or myocarditis is excluded from the initial pilot pending separate specialist review.</w:t>
      </w:r>
    </w:p>
    <w:p>
      <w:pPr>
        <w:numPr>
          <w:ilvl w:val="0"/>
          <w:numId w:val="5"/>
        </w:numPr>
        <w:spacing w:after="40"/>
      </w:pPr>
      <w:r>
        <w:rPr>
          <w:b w:val="0"/>
          <w:i w:val="0"/>
        </w:rPr>
        <w:t>A shorter interval has no automatic urgency waiver. An exceptional-care decision must document near-term mortality without LT, alternatives, donor/graft risk, consent and rescue capability. Biology, ICI and allocation clocks may overlap; do not add them mechanically.</w:t>
      </w:r>
    </w:p>
    <w:p>
      <w:pPr>
        <w:numPr>
          <w:ilvl w:val="0"/>
          <w:numId w:val="5"/>
        </w:numPr>
        <w:spacing w:after="40"/>
      </w:pPr>
      <w:r>
        <w:rPr>
          <w:b w:val="0"/>
          <w:i w:val="0"/>
        </w:rPr>
        <w:t>Consent must address rejection, graft loss, uncertain comparative oncologic benefit and progression during washout. Neither elapsed time nor complete radiological response guarantees immune safety. Obtain the missing primary full texts before ratifying these provisional thresholds.</w:t>
      </w:r>
    </w:p>
    <w:p>
      <w:pPr>
        <w:spacing w:after="80"/>
      </w:pPr>
      <w:r>
        <w:rPr>
          <w:b/>
          <w:i w:val="0"/>
        </w:rPr>
        <w:t xml:space="preserve">Why: </w:t>
      </w:r>
      <w:r>
        <w:rPr>
          <w:b w:val="0"/>
          <w:i w:val="0"/>
        </w:rPr>
        <w:t>ICI can help some selected patients reach transplantation, but efficacy and safety denominators must be kept separate: response among treated patients, probability of reaching LT, and rejection among recipients answer different questions. Very short washout is consistently concerning; evidence does not establish an interval at which risk becomes zero. Prior irAE adds information beyond elapsed time. Neither the apparent safety of some matched cohorts nor promising recipient survival cancels the graft-loss signal.</w:t>
      </w:r>
    </w:p>
    <w:p>
      <w:pPr>
        <w:spacing w:after="80"/>
      </w:pPr>
      <w:r>
        <w:rPr>
          <w:b/>
          <w:i w:val="0"/>
        </w:rPr>
        <w:t xml:space="preserve">Against, or uncertain: </w:t>
      </w:r>
      <w:r>
        <w:rPr>
          <w:b w:val="0"/>
          <w:i w:val="0"/>
        </w:rPr>
        <w:t>ImmunoXXL demonstrates feasibility with intervals shorter than 90 days, and Aceituno found similar rejection proportions in matched groups; these challenge a claim that &lt;90 days is an absolute biological contraindication. They do not prove equivalence or validate elective shortening. Ong suggests oncologic benefit but also higher rejection, while Fang highlights risk missed by washout alone. The literature supports individualized exceptional review, not automatic urgency-based exemption.</w:t>
      </w:r>
    </w:p>
    <w:p>
      <w:pPr>
        <w:spacing w:after="80"/>
      </w:pPr>
      <w:r>
        <w:rPr>
          <w:b/>
          <w:i w:val="0"/>
        </w:rPr>
        <w:t xml:space="preserve">Certainty: </w:t>
      </w:r>
      <w:r>
        <w:rPr>
          <w:b w:val="0"/>
          <w:i w:val="0"/>
        </w:rPr>
        <w:t>Low for the association between shorter washout and rejection; low for prior-any-irAE risk; very low for a precise safe interval, a grade-specific irAE exclusion, an optimal immunosuppression regimen or an ICI-caused treatment-entry survival benefit. No reviewed trial randomized washout or transplant versus continued systemic therapy after ICI.</w:t>
      </w:r>
    </w:p>
    <w:p>
      <w:pPr>
        <w:spacing w:after="80"/>
      </w:pPr>
      <w:r>
        <w:rPr>
          <w:b/>
          <w:i w:val="0"/>
        </w:rPr>
        <w:t xml:space="preserve">Tests and records: </w:t>
      </w:r>
      <w:r>
        <w:rPr>
          <w:b w:val="0"/>
          <w:i w:val="0"/>
        </w:rPr>
        <w:t>Drug and last-dose dates; complete irAE history and grade; treatment and recovery; graft-risk review by hepatology, oncology and pharmacy; current staging.</w:t>
      </w:r>
    </w:p>
    <w:p>
      <w:pPr>
        <w:spacing w:after="80"/>
      </w:pPr>
      <w:r>
        <w:rPr>
          <w:b/>
          <w:i w:val="0"/>
        </w:rPr>
        <w:t xml:space="preserve">Allocation: </w:t>
      </w:r>
      <w:r>
        <w:rPr>
          <w:b w:val="0"/>
          <w:i w:val="0"/>
        </w:rPr>
        <w:t>Prior ICI alone is not an automatic HCC exception exclusion. The proposed clinical timing requirement is separate from tumor eligibility and allocation waiting time.</w:t>
      </w:r>
    </w:p>
    <w:p>
      <w:pPr>
        <w:spacing w:after="40"/>
      </w:pPr>
      <w:r>
        <w:rPr>
          <w:b/>
          <w:i w:val="0"/>
        </w:rPr>
        <w:t xml:space="preserve">Basis for the proposed thresholds: </w:t>
      </w:r>
    </w:p>
    <w:p>
      <w:pPr>
        <w:numPr>
          <w:ilvl w:val="0"/>
          <w:numId w:val="5"/>
        </w:numPr>
        <w:spacing w:after="40"/>
      </w:pPr>
      <w:r>
        <w:rPr>
          <w:b w:val="0"/>
          <w:i w:val="0"/>
        </w:rPr>
        <w:t>Ninety days: conservative local planning rule informed by retrospective timing associations and IPD modeling, not a validated threshold. Grade ≤1 recovery and exclusion of prior severe nonendocrine/myocarditis cases: proposed operational safety judgment, not a proven transplant-specific cutoff; Fang's severe-event sample is only six. No laboratory or immune assay identified in this review validates clearance for LT. Center-specific immunosuppression should not be portrayed as evidence-proven protection from ICI-associated rejection.</w:t>
      </w:r>
    </w:p>
    <w:p>
      <w:pPr>
        <w:pStyle w:val="Heading3"/>
        <w:keepNext/>
        <w:spacing w:before="120" w:after="80"/>
      </w:pPr>
      <w:r>
        <w:rPr>
          <w:b w:val="0"/>
          <w:i w:val="0"/>
        </w:rPr>
        <w:t>HCC-B3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HCC-B4 — Survival-benefit prediction: research use only</w:t>
      </w:r>
    </w:p>
    <w:p>
      <w:pPr>
        <w:spacing w:after="80"/>
      </w:pPr>
      <w:r>
        <w:rPr>
          <w:b w:val="0"/>
          <w:i w:val="0"/>
          <w:color w:val="5A6069"/>
          <w:sz w:val="18"/>
        </w:rPr>
        <w:t>Research use only · not activated · High-risk review</w:t>
      </w:r>
    </w:p>
    <w:p>
      <w:pPr>
        <w:spacing w:after="80"/>
      </w:pPr>
      <w:r>
        <w:rPr>
          <w:b/>
          <w:i w:val="0"/>
        </w:rPr>
        <w:t xml:space="preserve">Question: </w:t>
      </w:r>
      <w:r>
        <w:rPr>
          <w:b w:val="0"/>
          <w:i w:val="0"/>
        </w:rPr>
        <w:t>Can a survival-benefit score influence organ priority?</w:t>
      </w:r>
    </w:p>
    <w:p>
      <w:pPr>
        <w:spacing w:after="80"/>
      </w:pPr>
      <w:r>
        <w:rPr>
          <w:b/>
          <w:i w:val="0"/>
        </w:rPr>
        <w:t xml:space="preserve">When it applies: </w:t>
      </w:r>
      <w:r>
        <w:rPr>
          <w:b w:val="0"/>
          <w:i w:val="0"/>
        </w:rPr>
        <w:t>Prediction models may inform research; they do not currently determine access to a graft in this proposal.</w:t>
      </w:r>
    </w:p>
    <w:p>
      <w:pPr>
        <w:spacing w:after="80"/>
      </w:pPr>
      <w:r>
        <w:rPr>
          <w:b/>
          <w:i w:val="0"/>
        </w:rPr>
        <w:t xml:space="preserve">Where it is decided: </w:t>
      </w:r>
      <w:hyperlink r:id="rId11">
        <w:r>
          <w:rPr>
            <w:color w:val="0563C1"/>
            <w:u w:val="single"/>
          </w:rPr>
          <w:t xml:space="preserve">Review listing and MELD-exception request</w:t>
        </w:r>
      </w:hyperlink>
    </w:p>
    <w:p>
      <w:pPr>
        <w:spacing w:after="120"/>
      </w:pPr>
      <w:r>
        <w:rPr>
          <w:b/>
          <w:i w:val="0"/>
          <w:sz w:val="18"/>
        </w:rPr>
        <w:t xml:space="preserve">Web page: </w:t>
      </w:r>
      <w:hyperlink r:id="rId17">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Liu 2026</w:t>
            </w:r>
          </w:p>
        </w:tc>
        <w:tc>
          <w:tcPr>
            <w:tcW w:type="dxa" w:w="3360"/>
            <w:tcW w:w="5480" w:type="dxa"/>
            <w:shd w:val="clear" w:color="auto" w:fill="F1F5F8"/>
          </w:tcPr>
          <w:p>
            <w:pPr>
              <w:spacing w:after="0"/>
            </w:pPr>
            <w:r>
              <w:rPr>
                <w:b w:val="0"/>
                <w:i w:val="0"/>
                <w:sz w:val="19"/>
              </w:rPr>
              <w:t>“developed and internally validated” A split-sample internal assessment is not independent external validation.</w:t>
            </w:r>
          </w:p>
        </w:tc>
        <w:tc>
          <w:tcPr>
            <w:tcW w:type="dxa" w:w="3360"/>
            <w:tcW w:w="2400" w:type="dxa"/>
            <w:shd w:val="clear" w:color="auto" w:fill="F1F5F8"/>
          </w:tcPr>
          <w:p>
            <w:pPr>
              <w:spacing w:after="0"/>
            </w:pPr>
            <w:r>
              <w:rPr>
                <w:b w:val="0"/>
                <w:i w:val="0"/>
                <w:color w:val="5A6069"/>
                <w:sz w:val="18"/>
              </w:rPr>
              <w:t>Published PDF p2, introduction</w:t>
            </w:r>
          </w:p>
        </w:tc>
      </w:tr>
      <w:tr>
        <w:trPr>
          <w:cantSplit/>
        </w:trPr>
        <w:tc>
          <w:tcPr>
            <w:tcW w:type="dxa" w:w="3360"/>
            <w:tcW w:w="2200" w:type="dxa"/>
            <w:shd w:val="clear" w:color="auto" w:fill="FFFFFF"/>
          </w:tcPr>
          <w:p>
            <w:pPr>
              <w:spacing w:after="0"/>
            </w:pPr>
            <w:r>
              <w:rPr>
                <w:b/>
                <w:i w:val="0"/>
                <w:sz w:val="19"/>
              </w:rPr>
              <w:t>Liu 2026</w:t>
            </w:r>
          </w:p>
        </w:tc>
        <w:tc>
          <w:tcPr>
            <w:tcW w:type="dxa" w:w="3360"/>
            <w:tcW w:w="5480" w:type="dxa"/>
            <w:shd w:val="clear" w:color="auto" w:fill="FFFFFF"/>
          </w:tcPr>
          <w:p>
            <w:pPr>
              <w:spacing w:after="0"/>
            </w:pPr>
            <w:r>
              <w:rPr>
                <w:b w:val="0"/>
                <w:i w:val="0"/>
                <w:sz w:val="19"/>
              </w:rPr>
              <w:t>“Recipients of living donor liver transplantation (LDLT) were excluded” LDLT decisions are outside this model’s evaluated population.</w:t>
            </w:r>
          </w:p>
        </w:tc>
        <w:tc>
          <w:tcPr>
            <w:tcW w:type="dxa" w:w="3360"/>
            <w:tcW w:w="2400" w:type="dxa"/>
            <w:shd w:val="clear" w:color="auto" w:fill="FFFFFF"/>
          </w:tcPr>
          <w:p>
            <w:pPr>
              <w:spacing w:after="0"/>
            </w:pPr>
            <w:r>
              <w:rPr>
                <w:b w:val="0"/>
                <w:i w:val="0"/>
                <w:color w:val="5A6069"/>
                <w:sz w:val="18"/>
              </w:rPr>
              <w:t>Published PDF p2, section 1.3</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Liu 2026</w:t>
            </w:r>
          </w:p>
        </w:tc>
        <w:tc>
          <w:tcPr>
            <w:tcW w:type="dxa" w:w="3360"/>
            <w:tcW w:w="3900" w:type="dxa"/>
            <w:shd w:val="clear" w:color="auto" w:fill="F1F5F8"/>
          </w:tcPr>
          <w:p>
            <w:pPr>
              <w:spacing w:after="0"/>
            </w:pPr>
            <w:r>
              <w:rPr>
                <w:b w:val="0"/>
                <w:i w:val="0"/>
                <w:sz w:val="19"/>
              </w:rPr>
              <w:t>SRTR 2002–2022 HCC cohort restricted to Milan: 30,565 candidates, randomly split into development 15,282 and internal validation 15,283. Table 1 records 19,997 LT and 8,249 dropout events. DDLT pathway; LDLT excluded. The 30,565 are not all transplanted recipients despite inconsistent Methods wording.</w:t>
            </w:r>
          </w:p>
        </w:tc>
        <w:tc>
          <w:tcPr>
            <w:tcW w:type="dxa" w:w="3360"/>
            <w:tcW w:w="4180" w:type="dxa"/>
            <w:shd w:val="clear" w:color="auto" w:fill="F1F5F8"/>
          </w:tcPr>
          <w:p>
            <w:pPr>
              <w:spacing w:after="0"/>
            </w:pPr>
            <w:r>
              <w:rPr>
                <w:b w:val="0"/>
                <w:i w:val="0"/>
                <w:sz w:val="19"/>
              </w:rPr>
              <w:t>Proposed score: 0.65×(C-MELD−6)+1.99×(TBS−2.25)+0.68×log2(AFP). Reported internal correlation .93, R² .87 and C-index .91.</w:t>
            </w:r>
          </w:p>
          <w:p>
            <w:pPr>
              <w:spacing w:after="0"/>
            </w:pPr>
            <w:r>
              <w:rPr>
                <w:b w:val="0"/>
                <w:i/>
                <w:sz w:val="19"/>
              </w:rPr>
              <w:t>Limits: Internal split is not external validation. Abstract refers to MELD 3.0 while Methods §1.6 gives an original-MELD formulation; authors/code clarification is needed. Listing versus post-LT time origins, benefit units and model implementation require reproducibility audit. These are audit questions, not proof of a specific bias. No validated transport to PVTT, LDLT or other cancers.</w:t>
            </w:r>
          </w:p>
          <w:p>
            <w:pPr>
              <w:spacing w:after="0"/>
            </w:pPr>
            <w:r>
              <w:rPr>
                <w:b w:val="0"/>
                <w:i w:val="0"/>
                <w:color w:val="5A6069"/>
                <w:sz w:val="18"/>
              </w:rPr>
              <w:t>Complete local PDF pp2–5, §§1.3, 1.6, 1.8 and 2.3, Table 1.</w:t>
            </w:r>
          </w:p>
        </w:tc>
      </w:tr>
      <w:tr>
        <w:trPr>
          <w:cantSplit/>
        </w:trPr>
        <w:tc>
          <w:tcPr>
            <w:tcW w:type="dxa" w:w="3360"/>
            <w:tcW w:w="2000" w:type="dxa"/>
            <w:shd w:val="clear" w:color="auto" w:fill="FFFFFF"/>
          </w:tcPr>
          <w:p>
            <w:pPr>
              <w:spacing w:after="0"/>
            </w:pPr>
            <w:r>
              <w:rPr>
                <w:b/>
                <w:i w:val="0"/>
                <w:sz w:val="19"/>
              </w:rPr>
              <w:t>Liu 2025</w:t>
            </w:r>
          </w:p>
        </w:tc>
        <w:tc>
          <w:tcPr>
            <w:tcW w:type="dxa" w:w="3360"/>
            <w:tcW w:w="3900" w:type="dxa"/>
            <w:shd w:val="clear" w:color="auto" w:fill="FFFFFF"/>
          </w:tcPr>
          <w:p>
            <w:pPr>
              <w:spacing w:after="0"/>
            </w:pPr>
            <w:r>
              <w:rPr>
                <w:b w:val="0"/>
                <w:i w:val="0"/>
                <w:sz w:val="19"/>
              </w:rPr>
              <w:t>SRTR HCC-exception candidates 2002–2019, follow-up to December 2023: 36,634 candidates; 24,457 transplanted, 9,582 dropout. Tumor burden score is √(largest diameter²+number²), grouped ≤3, 3.1–5 and &gt;5. At listing, 91% were within Milan, 5.3% within UCSF but outside Milan, 3.6% beyond UCSF.</w:t>
            </w:r>
          </w:p>
        </w:tc>
        <w:tc>
          <w:tcPr>
            <w:tcW w:type="dxa" w:w="3360"/>
            <w:tcW w:w="4180" w:type="dxa"/>
            <w:shd w:val="clear" w:color="auto" w:fill="FFFFFF"/>
          </w:tcPr>
          <w:p>
            <w:pPr>
              <w:spacing w:after="0"/>
            </w:pPr>
            <w:r>
              <w:rPr>
                <w:b w:val="0"/>
                <w:i w:val="0"/>
                <w:sz w:val="19"/>
              </w:rPr>
              <w:t>Five-year unadjusted restricted-mean survival benefit was 15.7/22.1/25.0 months across increasing TBS groups. Adjusted five-year survival-probability differences were 21.9/34.5/39.4 percentage points. These are different measures, not interchangeable units.</w:t>
            </w:r>
          </w:p>
          <w:p>
            <w:pPr>
              <w:spacing w:after="0"/>
            </w:pPr>
            <w:r>
              <w:rPr>
                <w:b w:val="0"/>
                <w:i/>
                <w:sz w:val="19"/>
              </w:rPr>
              <w:t>Limits: Overlapping SRTR population is not independent validation of the 2026 score. Methods explicitly report time-dependent LT modeling; do not falsely accuse the study of ignoring treatment timing. Counterfactual assumptions and differing clocks still require scrutiny.</w:t>
            </w:r>
          </w:p>
          <w:p>
            <w:pPr>
              <w:spacing w:after="0"/>
            </w:pPr>
            <w:r>
              <w:rPr>
                <w:b w:val="0"/>
                <w:i w:val="0"/>
                <w:color w:val="5A6069"/>
                <w:sz w:val="18"/>
              </w:rPr>
              <w:t>Complete local 13-page PDF, pp4–6, cohort/Table 1 and statistical methods.</w:t>
            </w:r>
          </w:p>
        </w:tc>
      </w:tr>
      <w:tr>
        <w:trPr>
          <w:cantSplit/>
        </w:trPr>
        <w:tc>
          <w:tcPr>
            <w:tcW w:type="dxa" w:w="3360"/>
            <w:tcW w:w="2000" w:type="dxa"/>
            <w:shd w:val="clear" w:color="auto" w:fill="F1F5F8"/>
          </w:tcPr>
          <w:p>
            <w:pPr>
              <w:spacing w:after="0"/>
            </w:pPr>
            <w:r>
              <w:rPr>
                <w:b/>
                <w:i w:val="0"/>
                <w:sz w:val="19"/>
              </w:rPr>
              <w:t>Lai 2017</w:t>
            </w:r>
          </w:p>
        </w:tc>
        <w:tc>
          <w:tcPr>
            <w:tcW w:type="dxa" w:w="3360"/>
            <w:tcW w:w="3900" w:type="dxa"/>
            <w:shd w:val="clear" w:color="auto" w:fill="F1F5F8"/>
          </w:tcPr>
          <w:p>
            <w:pPr>
              <w:spacing w:after="0"/>
            </w:pPr>
            <w:r>
              <w:rPr>
                <w:b w:val="0"/>
                <w:i w:val="0"/>
                <w:sz w:val="19"/>
              </w:rPr>
              <w:t>European ten-center HCC listing cohort, 1987–2015: 2,103 listed, 1,857 transplanted; 636 outside Milan at listing. Benefit stratification used MELD, AFP, Milan status and radiological response.</w:t>
            </w:r>
          </w:p>
        </w:tc>
        <w:tc>
          <w:tcPr>
            <w:tcW w:type="dxa" w:w="3360"/>
            <w:tcW w:w="4180" w:type="dxa"/>
            <w:shd w:val="clear" w:color="auto" w:fill="F1F5F8"/>
          </w:tcPr>
          <w:p>
            <w:pPr>
              <w:spacing w:after="0"/>
            </w:pPr>
            <w:r>
              <w:rPr>
                <w:b w:val="0"/>
                <w:i w:val="0"/>
                <w:sz w:val="19"/>
              </w:rPr>
              <w:t>The model classified 405/2,103 (19.2%) as no-benefit and 108/2,103 (5.1%) as large-benefit, the latter with a modeled 60-month difference.</w:t>
            </w:r>
          </w:p>
          <w:p>
            <w:pPr>
              <w:spacing w:after="0"/>
            </w:pPr>
            <w:r>
              <w:rPr>
                <w:b w:val="0"/>
                <w:i/>
                <w:sz w:val="19"/>
              </w:rPr>
              <w:t>Limits: Non-LT counterfactual survival was imputed using MESIAH at the final LT/dropout assessment, not observed in a comparable randomized untreated group. Historical treatment eras and modeling assumptions limit transport. The paper's proposal to delist the no-benefit group is not independently validated clinical utility.</w:t>
            </w:r>
          </w:p>
          <w:p>
            <w:pPr>
              <w:spacing w:after="0"/>
            </w:pPr>
            <w:r>
              <w:rPr>
                <w:b w:val="0"/>
                <w:i w:val="0"/>
                <w:color w:val="5A6069"/>
                <w:sz w:val="18"/>
              </w:rPr>
              <w:t>New complete 10-page PDF, Methods pp1911–1913, especially p1912 (PDF p3), outcome tables.</w:t>
            </w:r>
          </w:p>
        </w:tc>
      </w:tr>
      <w:tr>
        <w:trPr>
          <w:cantSplit/>
        </w:trPr>
        <w:tc>
          <w:tcPr>
            <w:tcW w:type="dxa" w:w="3360"/>
            <w:tcW w:w="2000" w:type="dxa"/>
            <w:shd w:val="clear" w:color="auto" w:fill="FFFFFF"/>
          </w:tcPr>
          <w:p>
            <w:pPr>
              <w:spacing w:after="0"/>
            </w:pPr>
            <w:r>
              <w:rPr>
                <w:b/>
                <w:i w:val="0"/>
                <w:sz w:val="19"/>
              </w:rPr>
              <w:t>Goudsmit 2023</w:t>
            </w:r>
          </w:p>
        </w:tc>
        <w:tc>
          <w:tcPr>
            <w:tcW w:type="dxa" w:w="3360"/>
            <w:tcW w:w="3900" w:type="dxa"/>
            <w:shd w:val="clear" w:color="auto" w:fill="FFFFFF"/>
          </w:tcPr>
          <w:p>
            <w:pPr>
              <w:spacing w:after="0"/>
            </w:pPr>
            <w:r>
              <w:rPr>
                <w:b w:val="0"/>
                <w:i w:val="0"/>
                <w:sz w:val="19"/>
              </w:rPr>
              <w:t>UNOS 2010–April 2019, adult first-LT population; recipient table: 24,503 non-HCC, 6,922 T2 and 5,448 initially outside criteria. Excluded LDLT and non-HCC exceptions; longitudinal two-week sequential-trial approach with inverse-probability censoring weights; 67%/33% internal split.</w:t>
            </w:r>
          </w:p>
        </w:tc>
        <w:tc>
          <w:tcPr>
            <w:tcW w:type="dxa" w:w="3360"/>
            <w:tcW w:w="4180" w:type="dxa"/>
            <w:shd w:val="clear" w:color="auto" w:fill="FFFFFF"/>
          </w:tcPr>
          <w:p>
            <w:pPr>
              <w:spacing w:after="0"/>
            </w:pPr>
            <w:r>
              <w:rPr>
                <w:b w:val="0"/>
                <w:i w:val="0"/>
                <w:sz w:val="19"/>
              </w:rPr>
              <w:t>Estimated mean benefit over five years from LT was 2.30 years for non-HCC, 1.19 for T2 and 1.45 for initially outside-criteria HCC.</w:t>
            </w:r>
          </w:p>
          <w:p>
            <w:pPr>
              <w:spacing w:after="0"/>
            </w:pPr>
            <w:r>
              <w:rPr>
                <w:b w:val="0"/>
                <w:i/>
                <w:sz w:val="19"/>
              </w:rPr>
              <w:t>Limits: The calculator is explicitly for patients who actually underwent transplant and met study criteria; it does not directly validate prioritizing every waiting candidate. No external test in PVTT or high-risk LDLT. Do not equate an average-on-treated estimand with conditional benefit for the whole waiting list.</w:t>
            </w:r>
          </w:p>
          <w:p>
            <w:pPr>
              <w:spacing w:after="0"/>
            </w:pPr>
            <w:r>
              <w:rPr>
                <w:b w:val="0"/>
                <w:i w:val="0"/>
                <w:color w:val="5A6069"/>
                <w:sz w:val="18"/>
              </w:rPr>
              <w:t>Primary full HTML, Methods and Tables 1–2, PMC10685016; PDF download unavailable.</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r>
        <w:trPr>
          <w:cantSplit/>
        </w:trPr>
        <w:tc>
          <w:tcPr>
            <w:tcW w:type="dxa" w:w="3360"/>
            <w:tcW w:w="2000" w:type="dxa"/>
            <w:shd w:val="clear" w:color="auto" w:fill="FFFFFF"/>
          </w:tcPr>
          <w:p>
            <w:pPr>
              <w:spacing w:after="0"/>
            </w:pPr>
            <w:r>
              <w:rPr>
                <w:b/>
                <w:i w:val="0"/>
                <w:sz w:val="19"/>
              </w:rPr>
              <w:t>Prosepe 2026</w:t>
            </w:r>
          </w:p>
        </w:tc>
        <w:tc>
          <w:tcPr>
            <w:tcW w:type="dxa" w:w="3360"/>
            <w:tcW w:w="3900" w:type="dxa"/>
            <w:shd w:val="clear" w:color="auto" w:fill="FFFFFF"/>
          </w:tcPr>
          <w:p>
            <w:pPr>
              <w:spacing w:after="0"/>
            </w:pPr>
            <w:r>
              <w:rPr>
                <w:b w:val="0"/>
                <w:i w:val="0"/>
                <w:sz w:val="19"/>
              </w:rPr>
              <w:t>Methods study with simulation and Eurotransplant cirrhosis cohort, 2007–2019: 9,868 candidates; 4,998 LT, 3,013 deaths before LT, 1,361 deaths within three years after LT. Conditional three-year restricted-mean benefit at each available graft; sequential marginal structural models and time-varying treatment weighting account for candidate and donor characteristics.</w:t>
            </w:r>
          </w:p>
        </w:tc>
        <w:tc>
          <w:tcPr>
            <w:tcW w:type="dxa" w:w="3360"/>
            <w:tcW w:w="4180" w:type="dxa"/>
            <w:shd w:val="clear" w:color="auto" w:fill="FFFFFF"/>
          </w:tcPr>
          <w:p>
            <w:pPr>
              <w:spacing w:after="0"/>
            </w:pPr>
            <w:r>
              <w:rPr>
                <w:b w:val="0"/>
                <w:i w:val="0"/>
                <w:sz w:val="19"/>
              </w:rPr>
              <w:t>The in-sample allocation exercise estimated 0.46 additional life-years per graft versus MELD allocation.</w:t>
            </w:r>
          </w:p>
          <w:p>
            <w:pPr>
              <w:spacing w:after="0"/>
            </w:pPr>
            <w:r>
              <w:rPr>
                <w:b w:val="0"/>
                <w:i/>
                <w:sz w:val="19"/>
              </w:rPr>
              <w:t>Limits: Modeled, not observed implementation benefit; not HCC-specific validation. Identification requires consistency, exchangeability, positivity and correct models. The whole-waitlist conditional estimand differs from average benefit among actual recipients.</w:t>
            </w:r>
          </w:p>
          <w:p>
            <w:pPr>
              <w:spacing w:after="0"/>
            </w:pPr>
            <w:r>
              <w:rPr>
                <w:b w:val="0"/>
                <w:i w:val="0"/>
                <w:color w:val="5A6069"/>
                <w:sz w:val="18"/>
              </w:rPr>
              <w:t>Complete local 15-page PDF, §§4–5, pp9–12; DOI 10.1177/09622802261420699.</w:t>
            </w:r>
          </w:p>
        </w:tc>
      </w:tr>
    </w:tbl>
    <w:p>
      <w:pPr>
        <w:spacing w:after="40"/>
      </w:pPr>
    </w:p>
    <w:p>
      <w:pPr>
        <w:pStyle w:val="Heading3"/>
        <w:keepNext/>
        <w:spacing w:before="120" w:after="80"/>
      </w:pPr>
      <w:r>
        <w:rPr>
          <w:b w:val="0"/>
          <w:i w:val="0"/>
        </w:rPr>
        <w:t>Our proposed selection (OPEN)</w:t>
      </w:r>
    </w:p>
    <w:p>
      <w:pPr>
        <w:spacing w:after="80"/>
      </w:pPr>
      <w:r>
        <w:rPr>
          <w:b w:val="0"/>
          <w:i w:val="0"/>
        </w:rPr>
        <w:t>Give the survival-benefit score zero clinical or allocation weight now; evaluate it in research-only evaluation only.</w:t>
      </w:r>
    </w:p>
    <w:p>
      <w:pPr>
        <w:numPr>
          <w:ilvl w:val="0"/>
          <w:numId w:val="5"/>
        </w:numPr>
        <w:spacing w:after="40"/>
      </w:pPr>
      <w:r>
        <w:rPr>
          <w:b w:val="0"/>
          <w:i w:val="0"/>
        </w:rPr>
        <w:t>Proposed decision threshold: no score-driven listing, exclusion, exception priority, organ acceptance, LDLT selection or treatment change before external validation and prospective impact review.</w:t>
      </w:r>
    </w:p>
    <w:p>
      <w:pPr>
        <w:numPr>
          <w:ilvl w:val="0"/>
          <w:numId w:val="5"/>
        </w:numPr>
        <w:spacing w:after="40"/>
      </w:pPr>
      <w:r>
        <w:rPr>
          <w:b w:val="0"/>
          <w:i w:val="0"/>
        </w:rPr>
        <w:t>Require a locked reproducible formula and data dictionary, clarification of the MELD/AFP definitions and time zero, independent external calibration and utility testing against current care, equity assessment, and appropriate policy authorization before deployment.</w:t>
      </w:r>
    </w:p>
    <w:p>
      <w:pPr>
        <w:numPr>
          <w:ilvl w:val="0"/>
          <w:numId w:val="5"/>
        </w:numPr>
        <w:spacing w:after="40"/>
      </w:pPr>
      <w:r>
        <w:rPr>
          <w:b w:val="0"/>
          <w:i w:val="0"/>
        </w:rPr>
        <w:t>Do not extrapolate the within-Milan, non-LDLT model to PVTT, LDLT or other cancers. No numerical score cutoff is proposed because its clinical use is not yet justified.</w:t>
      </w:r>
    </w:p>
    <w:p>
      <w:pPr>
        <w:spacing w:after="80"/>
      </w:pPr>
      <w:r>
        <w:rPr>
          <w:b/>
          <w:i w:val="0"/>
        </w:rPr>
        <w:t xml:space="preserve">Why: </w:t>
      </w:r>
      <w:r>
        <w:rPr>
          <w:b w:val="0"/>
          <w:i w:val="0"/>
        </w:rPr>
        <w:t>Benefit modeling is clinically important because acceptable post-LT survival alone ignores deaths or progression without transplantation. However, a prognostic model, a causal benefit estimate and an allocation policy are different products. High internal discrimination or correlation cannot establish calibration, appropriate treatment-time handling, fairness or improved decisions. The existing score should therefore be studied, not used to override eligibility or priority. The UK experience provides a constructive precedent for eventual governed implementation after population-specific validation and policy integration.</w:t>
      </w:r>
    </w:p>
    <w:p>
      <w:pPr>
        <w:spacing w:after="80"/>
      </w:pPr>
      <w:r>
        <w:rPr>
          <w:b/>
          <w:i w:val="0"/>
        </w:rPr>
        <w:t xml:space="preserve">Against, or uncertain: </w:t>
      </w:r>
      <w:r>
        <w:rPr>
          <w:b w:val="0"/>
          <w:i w:val="0"/>
        </w:rPr>
        <w:t>The UK implementation and longitudinal causal methods show that benefit-based allocation need not remain hypothetical. Favorable internal performance and the larger-benefit signal at higher tumor burden justify further evaluation, not automatic adoption. Conversely, an imputed nontransplant counterfactual, recipient-only scope or overlapping registry sample cannot serve as independent validation. The proper critique is specific to estimand, calibration and transport—not a blanket claim that observational modeling is invalid or that time-dependent LT was never considered.</w:t>
      </w:r>
    </w:p>
    <w:p>
      <w:pPr>
        <w:spacing w:after="80"/>
      </w:pPr>
      <w:r>
        <w:rPr>
          <w:b/>
          <w:i w:val="0"/>
        </w:rPr>
        <w:t xml:space="preserve">Certainty: </w:t>
      </w:r>
      <w:r>
        <w:rPr>
          <w:b w:val="0"/>
          <w:i w:val="0"/>
        </w:rPr>
        <w:t>Moderate that benefit-based allocation is feasible within an established national governance system; low that any particular observational score improves individual HCC decisions; very low for deployment of the 2026 Liu score in expanded-risk/PVTT/LDLT patients. No independent prospective impact or external high-risk calibration study of that exact score was identified in this bounded search.</w:t>
      </w:r>
    </w:p>
    <w:p>
      <w:pPr>
        <w:spacing w:after="80"/>
      </w:pPr>
      <w:r>
        <w:rPr>
          <w:b/>
          <w:i w:val="0"/>
        </w:rPr>
        <w:t xml:space="preserve">Tests and records: </w:t>
      </w:r>
      <w:r>
        <w:rPr>
          <w:b w:val="0"/>
          <w:i w:val="0"/>
        </w:rPr>
        <w:t>Reproducible model code; independent cohort; time-dependent transplant analysis; competing-event definitions; calibration, utility and subgroup audit.</w:t>
      </w:r>
    </w:p>
    <w:p>
      <w:pPr>
        <w:spacing w:after="80"/>
      </w:pPr>
      <w:r>
        <w:rPr>
          <w:b/>
          <w:i w:val="0"/>
        </w:rPr>
        <w:t xml:space="preserve">Allocation: </w:t>
      </w:r>
      <w:r>
        <w:rPr>
          <w:b w:val="0"/>
          <w:i w:val="0"/>
        </w:rPr>
        <w:t>Neither a model estimate nor an internal committee can independently rewrite national allocation priority.</w:t>
      </w:r>
    </w:p>
    <w:p>
      <w:pPr>
        <w:spacing w:after="40"/>
      </w:pPr>
      <w:r>
        <w:rPr>
          <w:b/>
          <w:i w:val="0"/>
        </w:rPr>
        <w:t xml:space="preserve">Basis for the proposed thresholds: </w:t>
      </w:r>
    </w:p>
    <w:p>
      <w:pPr>
        <w:numPr>
          <w:ilvl w:val="0"/>
          <w:numId w:val="5"/>
        </w:numPr>
        <w:spacing w:after="40"/>
      </w:pPr>
      <w:r>
        <w:rPr>
          <w:b w:val="0"/>
          <w:i w:val="0"/>
        </w:rPr>
        <w:t>Zero current decision weight is a proposed governance rule, not a published numerical efficacy threshold. No arbitrary calibration/C-index cutoff is endorsed here. Acceptance criteria should be prespecified with biostatistics and allocation stakeholders using clinically meaningful calibration error, decision consequences and equity, then independently tested. Findings in within-Milan DDLT cannot simply be extrapolated to PVTT or LDLT.</w:t>
      </w:r>
    </w:p>
    <w:p>
      <w:pPr>
        <w:pStyle w:val="Heading3"/>
        <w:keepNext/>
        <w:spacing w:before="120" w:after="80"/>
      </w:pPr>
      <w:r>
        <w:rPr>
          <w:b w:val="0"/>
          <w:i w:val="0"/>
        </w:rPr>
        <w:t>HCC-B4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HCC-B5 — Previously treated extrahepatic disease</w:t>
      </w:r>
    </w:p>
    <w:p>
      <w:pPr>
        <w:spacing w:after="80"/>
      </w:pPr>
      <w:r>
        <w:rPr>
          <w:b w:val="0"/>
          <w:i w:val="0"/>
          <w:color w:val="5A6069"/>
          <w:sz w:val="18"/>
        </w:rPr>
        <w:t>Closed · registry only · not activated · High-risk review</w:t>
      </w:r>
    </w:p>
    <w:p>
      <w:pPr>
        <w:spacing w:after="80"/>
      </w:pPr>
      <w:r>
        <w:rPr>
          <w:b/>
          <w:i w:val="0"/>
        </w:rPr>
        <w:t xml:space="preserve">Question: </w:t>
      </w:r>
      <w:r>
        <w:rPr>
          <w:b w:val="0"/>
          <w:i w:val="0"/>
        </w:rPr>
        <w:t>May a patient whose extrahepatic HCC (including proven lymph-node metastasis) was treated and has responded completely ever enter a transplant route, or does this history close transplantation?</w:t>
      </w:r>
    </w:p>
    <w:p>
      <w:pPr>
        <w:spacing w:after="80"/>
      </w:pPr>
      <w:r>
        <w:rPr>
          <w:b/>
          <w:i w:val="0"/>
        </w:rPr>
        <w:t xml:space="preserve">When it applies: </w:t>
      </w:r>
      <w:r>
        <w:rPr>
          <w:b w:val="0"/>
          <w:i w:val="0"/>
        </w:rPr>
        <w:t>Use when HCC has involved any site outside the liver (regional or distant lymph nodes, lung, adrenal, bone or peritoneum), including disease later resected, ablated, irradiated or in complete response to systemic therapy.</w:t>
      </w:r>
    </w:p>
    <w:p>
      <w:pPr>
        <w:spacing w:after="80"/>
      </w:pPr>
      <w:r>
        <w:rPr>
          <w:b/>
          <w:i w:val="0"/>
        </w:rPr>
        <w:t xml:space="preserve">Where it is decided: </w:t>
      </w:r>
      <w:hyperlink r:id="rId14">
        <w:r>
          <w:rPr>
            <w:color w:val="0563C1"/>
            <w:u w:val="single"/>
          </w:rPr>
          <w:t xml:space="preserve">Choose treatment with curative intent</w:t>
        </w:r>
      </w:hyperlink>
      <w:r>
        <w:rPr>
          <w:b w:val="0"/>
          <w:i w:val="0"/>
        </w:rPr>
        <w:t xml:space="preserve"> · </w:t>
      </w:r>
      <w:hyperlink r:id="rId6">
        <w:r>
          <w:rPr>
            <w:color w:val="0563C1"/>
            <w:u w:val="single"/>
          </w:rPr>
          <w:t xml:space="preserve">Check MELD-exception criteria</w:t>
        </w:r>
      </w:hyperlink>
    </w:p>
    <w:p>
      <w:pPr>
        <w:spacing w:after="120"/>
      </w:pPr>
      <w:r>
        <w:rPr>
          <w:b/>
          <w:i w:val="0"/>
          <w:sz w:val="18"/>
        </w:rPr>
        <w:t xml:space="preserve">Web page: </w:t>
      </w:r>
      <w:hyperlink r:id="rId18">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ILTS–ILCA consensus</w:t>
            </w:r>
          </w:p>
        </w:tc>
        <w:tc>
          <w:tcPr>
            <w:tcW w:type="dxa" w:w="3360"/>
            <w:tcW w:w="3900" w:type="dxa"/>
            <w:shd w:val="clear" w:color="auto" w:fill="F1F5F8"/>
          </w:tcPr>
          <w:p>
            <w:pPr>
              <w:spacing w:after="0"/>
            </w:pPr>
            <w:r>
              <w:rPr>
                <w:b w:val="0"/>
                <w:i w:val="0"/>
                <w:sz w:val="19"/>
              </w:rPr>
              <w:t>2024 ILTS–ILCA Delphi consensus with external review. Downstaging is recommended for patients beyond local criteria without extrahepatic disease and without portal-vein macrovascular invasion; immunotherapy might be used for downstaging in patients without extrahepatic disease, within trials. For Vp1–2 invasion, a minimum 12-month observation after downstaging may allow assessment of tumour biology.</w:t>
            </w:r>
          </w:p>
        </w:tc>
        <w:tc>
          <w:tcPr>
            <w:tcW w:type="dxa" w:w="3360"/>
            <w:tcW w:w="4180" w:type="dxa"/>
            <w:shd w:val="clear" w:color="auto" w:fill="F1F5F8"/>
          </w:tcPr>
          <w:p>
            <w:pPr>
              <w:spacing w:after="0"/>
            </w:pPr>
            <w:r>
              <w:rPr>
                <w:b w:val="0"/>
                <w:i w:val="0"/>
                <w:sz w:val="19"/>
              </w:rPr>
              <w:t>No statement supports transplantation after extrahepatic disease. The text notes insufficient evidence on whether complete radiological responders to immunotherapy still need transplantation or how long to observe them.</w:t>
            </w:r>
          </w:p>
          <w:p>
            <w:pPr>
              <w:spacing w:after="0"/>
            </w:pPr>
            <w:r>
              <w:rPr>
                <w:b w:val="0"/>
                <w:i/>
                <w:sz w:val="19"/>
              </w:rPr>
              <w:t>Limits: Expert consensus; the immunotherapy statements carry weak grades.</w:t>
            </w:r>
          </w:p>
          <w:p>
            <w:pPr>
              <w:spacing w:after="0"/>
            </w:pPr>
            <w:r>
              <w:rPr>
                <w:b w:val="0"/>
                <w:i w:val="0"/>
                <w:color w:val="5A6069"/>
                <w:sz w:val="18"/>
              </w:rPr>
              <w:t>Liver Transpl 2025 and Liver Cancer 2026 (PMC13271748); HCC working-group statements.</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Official OPTN/NLRB guidance: Adult MELD Exceptions for Transplant Oncology. Contraindications to an HCC exception score: macrovascular invasion of the main portal or hepatic vein, extrahepatic metastatic disease, ruptured HCC and T1 HCC. Some candidates stable for a minimum of 12 months may be considered despite rupture or primary portal-vein branch invasion.</w:t>
            </w:r>
          </w:p>
        </w:tc>
        <w:tc>
          <w:tcPr>
            <w:tcW w:type="dxa" w:w="3360"/>
            <w:tcW w:w="4180" w:type="dxa"/>
            <w:shd w:val="clear" w:color="auto" w:fill="FFFFFF"/>
          </w:tcPr>
          <w:p>
            <w:pPr>
              <w:spacing w:after="0"/>
            </w:pPr>
            <w:r>
              <w:rPr>
                <w:b w:val="0"/>
                <w:i w:val="0"/>
                <w:sz w:val="19"/>
              </w:rPr>
              <w:t>Allocation guidance; no outcome data.</w:t>
            </w:r>
          </w:p>
          <w:p>
            <w:pPr>
              <w:spacing w:after="0"/>
            </w:pPr>
            <w:r>
              <w:rPr>
                <w:b w:val="0"/>
                <w:i/>
                <w:sz w:val="19"/>
              </w:rPr>
              <w:t>Limits: Silent on previously cleared extrahepatic disease.</w:t>
            </w:r>
          </w:p>
          <w:p>
            <w:pPr>
              <w:spacing w:after="0"/>
            </w:pPr>
            <w:r>
              <w:rPr>
                <w:b w:val="0"/>
                <w:i w:val="0"/>
                <w:color w:val="5A6069"/>
                <w:sz w:val="18"/>
              </w:rPr>
              <w:t>Official PDF, HCC section.</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Randomized trial of transplantation after successful downstaging of HCC beyond Milan criteria. Main tumour-related exclusions: extrahepatic spread on CT or MRI, hepatic-hilum lymph nodes with short axis &gt;2 cm, and portal-vein tumour thrombosis or invasion.</w:t>
            </w:r>
          </w:p>
        </w:tc>
        <w:tc>
          <w:tcPr>
            <w:tcW w:type="dxa" w:w="3360"/>
            <w:tcW w:w="4180" w:type="dxa"/>
            <w:shd w:val="clear" w:color="auto" w:fill="F1F5F8"/>
          </w:tcPr>
          <w:p>
            <w:pPr>
              <w:spacing w:after="0"/>
            </w:pPr>
            <w:r>
              <w:rPr>
                <w:b w:val="0"/>
                <w:i w:val="0"/>
                <w:sz w:val="19"/>
              </w:rPr>
              <w:t>Five-year overall survival 77.5% with transplantation versus 31.2% without, from randomization.</w:t>
            </w:r>
          </w:p>
          <w:p>
            <w:pPr>
              <w:spacing w:after="0"/>
            </w:pPr>
            <w:r>
              <w:rPr>
                <w:b w:val="0"/>
                <w:i/>
                <w:sz w:val="19"/>
              </w:rPr>
              <w:t>Limits: Excluded the population of interest; its benefit cannot be extrapolated to previous extrahepatic disease.</w:t>
            </w:r>
          </w:p>
          <w:p>
            <w:pPr>
              <w:spacing w:after="0"/>
            </w:pPr>
            <w:r>
              <w:rPr>
                <w:b w:val="0"/>
                <w:i w:val="0"/>
                <w:color w:val="5A6069"/>
                <w:sz w:val="18"/>
              </w:rPr>
              <w:t>Lancet Oncol 2020; Methods (exclusion criteria) and protocol appendix.</w:t>
            </w:r>
          </w:p>
        </w:tc>
      </w:tr>
      <w:tr>
        <w:trPr>
          <w:cantSplit/>
        </w:trPr>
        <w:tc>
          <w:tcPr>
            <w:tcW w:type="dxa" w:w="3360"/>
            <w:tcW w:w="2000" w:type="dxa"/>
            <w:shd w:val="clear" w:color="auto" w:fill="FFFFFF"/>
          </w:tcPr>
          <w:p>
            <w:pPr>
              <w:spacing w:after="0"/>
            </w:pPr>
            <w:r>
              <w:rPr>
                <w:b/>
                <w:i w:val="0"/>
                <w:sz w:val="19"/>
              </w:rPr>
              <w:t>Mergental 2012 · ELTR noncirrhotic HCC</w:t>
            </w:r>
          </w:p>
        </w:tc>
        <w:tc>
          <w:tcPr>
            <w:tcW w:type="dxa" w:w="3360"/>
            <w:tcW w:w="3900" w:type="dxa"/>
            <w:shd w:val="clear" w:color="auto" w:fill="FFFFFF"/>
          </w:tcPr>
          <w:p>
            <w:pPr>
              <w:spacing w:after="0"/>
            </w:pPr>
            <w:r>
              <w:rPr>
                <w:b w:val="0"/>
                <w:i w:val="0"/>
                <w:sz w:val="19"/>
              </w:rPr>
              <w:t>European Liver Transplant Registry: 105 recipients with unresectable HCC in noncirrhotic livers. Transplantation as primary treatment (62) or for intrahepatic recurrence after resection (43).</w:t>
            </w:r>
          </w:p>
        </w:tc>
        <w:tc>
          <w:tcPr>
            <w:tcW w:type="dxa" w:w="3360"/>
            <w:tcW w:w="4180" w:type="dxa"/>
            <w:shd w:val="clear" w:color="auto" w:fill="FFFFFF"/>
          </w:tcPr>
          <w:p>
            <w:pPr>
              <w:spacing w:after="0"/>
            </w:pPr>
            <w:r>
              <w:rPr>
                <w:b w:val="0"/>
                <w:i w:val="0"/>
                <w:sz w:val="19"/>
              </w:rPr>
              <w:t>Lymph-node involvement (HR 2.60) and macrovascular invasion (HR 2.55) were independently associated with death; five-year survival 59% without either.</w:t>
            </w:r>
          </w:p>
          <w:p>
            <w:pPr>
              <w:spacing w:after="0"/>
            </w:pPr>
            <w:r>
              <w:rPr>
                <w:b w:val="0"/>
                <w:i/>
                <w:sz w:val="19"/>
              </w:rPr>
              <w:t>Limits: Noncirrhotic population; nodal status as recorded by centres, not previously treated nodal disease.</w:t>
            </w:r>
          </w:p>
          <w:p>
            <w:pPr>
              <w:spacing w:after="0"/>
            </w:pPr>
            <w:r>
              <w:rPr>
                <w:b w:val="0"/>
                <w:i w:val="0"/>
                <w:color w:val="5A6069"/>
                <w:sz w:val="18"/>
              </w:rPr>
              <w:t>J Hepatol 2012; abstract.</w:t>
            </w:r>
          </w:p>
        </w:tc>
      </w:tr>
      <w:tr>
        <w:trPr>
          <w:cantSplit/>
        </w:trPr>
        <w:tc>
          <w:tcPr>
            <w:tcW w:type="dxa" w:w="3360"/>
            <w:tcW w:w="2000" w:type="dxa"/>
            <w:shd w:val="clear" w:color="auto" w:fill="F1F5F8"/>
          </w:tcPr>
          <w:p>
            <w:pPr>
              <w:spacing w:after="0"/>
            </w:pPr>
            <w:r>
              <w:rPr>
                <w:b/>
                <w:i w:val="0"/>
                <w:sz w:val="19"/>
              </w:rPr>
              <w:t>Pirozzi 2025 · case report</w:t>
            </w:r>
          </w:p>
        </w:tc>
        <w:tc>
          <w:tcPr>
            <w:tcW w:type="dxa" w:w="3360"/>
            <w:tcW w:w="3900" w:type="dxa"/>
            <w:shd w:val="clear" w:color="auto" w:fill="F1F5F8"/>
          </w:tcPr>
          <w:p>
            <w:pPr>
              <w:spacing w:after="0"/>
            </w:pPr>
            <w:r>
              <w:rPr>
                <w:b w:val="0"/>
                <w:i w:val="0"/>
                <w:sz w:val="19"/>
              </w:rPr>
              <w:t>Single case report. Advanced HCC with abdominal and mediastinal nodes, lung and bone metastases in alcohol-related cirrhosis; nivolumab for about 17 months with a best response of partial response (RECIST 1.1); bone lesions did not clearly regress; liver disease recurred about 3 months after stopping nivolumab and was ablated; transplantation about 10 months later.</w:t>
            </w:r>
          </w:p>
        </w:tc>
        <w:tc>
          <w:tcPr>
            <w:tcW w:type="dxa" w:w="3360"/>
            <w:tcW w:w="4180" w:type="dxa"/>
            <w:shd w:val="clear" w:color="auto" w:fill="F1F5F8"/>
          </w:tcPr>
          <w:p>
            <w:pPr>
              <w:spacing w:after="0"/>
            </w:pPr>
            <w:r>
              <w:rPr>
                <w:b w:val="0"/>
                <w:i w:val="0"/>
                <w:sz w:val="19"/>
              </w:rPr>
              <w:t>Free of cancer one year after transplantation.</w:t>
            </w:r>
          </w:p>
          <w:p>
            <w:pPr>
              <w:spacing w:after="0"/>
            </w:pPr>
            <w:r>
              <w:rPr>
                <w:b w:val="0"/>
                <w:i/>
                <w:sz w:val="19"/>
              </w:rPr>
              <w:t>Limits: One patient with 1-year follow-up; extrahepatic clearance was not confirmed by biopsy or PET, and no nodes were examined in the explant; the authors caution that immunosuppression may facilitate progression of extrahepatic disease.</w:t>
            </w:r>
          </w:p>
          <w:p>
            <w:pPr>
              <w:spacing w:after="0"/>
            </w:pPr>
            <w:r>
              <w:rPr>
                <w:b w:val="0"/>
                <w:i w:val="0"/>
                <w:color w:val="5A6069"/>
                <w:sz w:val="18"/>
              </w:rPr>
              <w:t>J Gastrointest Oncol 2025; case presentation (full text).</w:t>
            </w:r>
          </w:p>
        </w:tc>
      </w:tr>
      <w:tr>
        <w:trPr>
          <w:cantSplit/>
        </w:trPr>
        <w:tc>
          <w:tcPr>
            <w:tcW w:type="dxa" w:w="3360"/>
            <w:tcW w:w="2000" w:type="dxa"/>
            <w:shd w:val="clear" w:color="auto" w:fill="FFFFFF"/>
          </w:tcPr>
          <w:p>
            <w:pPr>
              <w:spacing w:after="0"/>
            </w:pPr>
            <w:r>
              <w:rPr>
                <w:b/>
                <w:i w:val="0"/>
                <w:sz w:val="19"/>
              </w:rPr>
              <w:t>AASLD HCC 2023</w:t>
            </w:r>
          </w:p>
        </w:tc>
        <w:tc>
          <w:tcPr>
            <w:tcW w:type="dxa" w:w="3360"/>
            <w:tcW w:w="3900" w:type="dxa"/>
            <w:shd w:val="clear" w:color="auto" w:fill="FFFFFF"/>
          </w:tcPr>
          <w:p>
            <w:pPr>
              <w:spacing w:after="0"/>
            </w:pPr>
            <w:r>
              <w:rPr>
                <w:b w:val="0"/>
                <w:i w:val="0"/>
                <w:sz w:val="19"/>
              </w:rPr>
              <w:t>AASLD 2023 practice guidance (relevant sections read). Table 4 lists lymph-node involvement by tumor or extrahepatic spread as downstaging failure and exclusion from transplantation.</w:t>
            </w:r>
          </w:p>
        </w:tc>
        <w:tc>
          <w:tcPr>
            <w:tcW w:type="dxa" w:w="3360"/>
            <w:tcW w:w="4180" w:type="dxa"/>
            <w:shd w:val="clear" w:color="auto" w:fill="FFFFFF"/>
          </w:tcPr>
          <w:p>
            <w:pPr>
              <w:spacing w:after="0"/>
            </w:pPr>
            <w:r>
              <w:rPr>
                <w:b w:val="0"/>
                <w:i w:val="0"/>
                <w:sz w:val="19"/>
              </w:rPr>
              <w:t>Recommends stopping immune checkpoint inhibitors at least 3 months before transplantation.</w:t>
            </w:r>
          </w:p>
          <w:p>
            <w:pPr>
              <w:spacing w:after="0"/>
            </w:pPr>
            <w:r>
              <w:rPr>
                <w:b w:val="0"/>
                <w:i/>
                <w:sz w:val="19"/>
              </w:rPr>
              <w:t>Limits: No section addresses transplantation after treated extrahepatic disease.</w:t>
            </w:r>
          </w:p>
          <w:p>
            <w:pPr>
              <w:spacing w:after="0"/>
            </w:pPr>
            <w:r>
              <w:rPr>
                <w:b w:val="0"/>
                <w:i w:val="0"/>
                <w:color w:val="5A6069"/>
                <w:sz w:val="18"/>
              </w:rPr>
              <w:t>Hepatology 2023; Table 4 and transplant section.</w:t>
            </w:r>
          </w:p>
        </w:tc>
      </w:tr>
      <w:tr>
        <w:trPr>
          <w:cantSplit/>
        </w:trPr>
        <w:tc>
          <w:tcPr>
            <w:tcW w:type="dxa" w:w="3360"/>
            <w:tcW w:w="2000" w:type="dxa"/>
            <w:shd w:val="clear" w:color="auto" w:fill="F1F5F8"/>
          </w:tcPr>
          <w:p>
            <w:pPr>
              <w:spacing w:after="0"/>
            </w:pPr>
            <w:r>
              <w:rPr>
                <w:b/>
                <w:i w:val="0"/>
                <w:sz w:val="19"/>
              </w:rPr>
              <w:t>Shao 2026 · complete responders to ICI</w:t>
            </w:r>
          </w:p>
        </w:tc>
        <w:tc>
          <w:tcPr>
            <w:tcW w:type="dxa" w:w="3360"/>
            <w:tcW w:w="3900" w:type="dxa"/>
            <w:shd w:val="clear" w:color="auto" w:fill="F1F5F8"/>
          </w:tcPr>
          <w:p>
            <w:pPr>
              <w:spacing w:after="0"/>
            </w:pPr>
            <w:r>
              <w:rPr>
                <w:b w:val="0"/>
                <w:i w:val="0"/>
                <w:sz w:val="19"/>
              </w:rPr>
              <w:t>Four-centre cohort of 160 complete responders to immunotherapy-based treatment. 58 (36%) had extrahepatic metastases when immunotherapy started.</w:t>
            </w:r>
          </w:p>
        </w:tc>
        <w:tc>
          <w:tcPr>
            <w:tcW w:type="dxa" w:w="3360"/>
            <w:tcW w:w="4180" w:type="dxa"/>
            <w:shd w:val="clear" w:color="auto" w:fill="F1F5F8"/>
          </w:tcPr>
          <w:p>
            <w:pPr>
              <w:spacing w:after="0"/>
            </w:pPr>
            <w:r>
              <w:rPr>
                <w:b w:val="0"/>
                <w:i w:val="0"/>
                <w:sz w:val="19"/>
              </w:rPr>
              <w:t>Prior extrahepatic metastasis: adjusted HR 2.00 (1.43–6.38) for recurrence after complete response; 5-year recurrence-free survival 18% in the whole cohort.</w:t>
            </w:r>
          </w:p>
          <w:p>
            <w:pPr>
              <w:spacing w:after="0"/>
            </w:pPr>
            <w:r>
              <w:rPr>
                <w:b w:val="0"/>
                <w:i/>
                <w:sz w:val="19"/>
              </w:rPr>
              <w:t>Limits: Retrospective; conversion subgroup not split by extrahepatic status; internal numeric inconsistencies.</w:t>
            </w:r>
          </w:p>
          <w:p>
            <w:pPr>
              <w:spacing w:after="0"/>
            </w:pPr>
            <w:r>
              <w:rPr>
                <w:b w:val="0"/>
                <w:i w:val="0"/>
                <w:color w:val="5A6069"/>
                <w:sz w:val="18"/>
              </w:rPr>
              <w:t>Front Oncol 2026; Tables 2–3 (full text).</w:t>
            </w:r>
          </w:p>
        </w:tc>
      </w:tr>
      <w:tr>
        <w:trPr>
          <w:cantSplit/>
        </w:trPr>
        <w:tc>
          <w:tcPr>
            <w:tcW w:type="dxa" w:w="3360"/>
            <w:tcW w:w="2000" w:type="dxa"/>
            <w:shd w:val="clear" w:color="auto" w:fill="FFFFFF"/>
          </w:tcPr>
          <w:p>
            <w:pPr>
              <w:spacing w:after="0"/>
            </w:pPr>
            <w:r>
              <w:rPr>
                <w:b/>
                <w:i w:val="0"/>
                <w:sz w:val="19"/>
              </w:rPr>
              <w:t>Ong 2026 · ICI before LT, matched cohort</w:t>
            </w:r>
          </w:p>
        </w:tc>
        <w:tc>
          <w:tcPr>
            <w:tcW w:type="dxa" w:w="3360"/>
            <w:tcW w:w="3900" w:type="dxa"/>
            <w:shd w:val="clear" w:color="auto" w:fill="FFFFFF"/>
          </w:tcPr>
          <w:p>
            <w:pPr>
              <w:spacing w:after="0"/>
            </w:pPr>
            <w:r>
              <w:rPr>
                <w:b w:val="0"/>
                <w:i w:val="0"/>
                <w:sz w:val="19"/>
              </w:rPr>
              <w:t>Eight-centre matched cohort, 416 recipients initially beyond Milan. Extrahepatic metastasis was an exclusion (9 recipients left out).</w:t>
            </w:r>
          </w:p>
        </w:tc>
        <w:tc>
          <w:tcPr>
            <w:tcW w:type="dxa" w:w="3360"/>
            <w:tcW w:w="4180" w:type="dxa"/>
            <w:shd w:val="clear" w:color="auto" w:fill="FFFFFF"/>
          </w:tcPr>
          <w:p>
            <w:pPr>
              <w:spacing w:after="0"/>
            </w:pPr>
            <w:r>
              <w:rPr>
                <w:b w:val="0"/>
                <w:i w:val="0"/>
                <w:sz w:val="19"/>
              </w:rPr>
              <w:t>Immunotherapy-based downstaging associated with better survival (HR 0.63); acute rejection 16.3% vs 8.2%, clustered with washout of 90 days or less.</w:t>
            </w:r>
          </w:p>
          <w:p>
            <w:pPr>
              <w:spacing w:after="0"/>
            </w:pPr>
            <w:r>
              <w:rPr>
                <w:b w:val="0"/>
                <w:i/>
                <w:sz w:val="19"/>
              </w:rPr>
              <w:t>Limits: Not evidence for treated extrahepatic disease; transplanted-only cohort.</w:t>
            </w:r>
          </w:p>
          <w:p>
            <w:pPr>
              <w:spacing w:after="0"/>
            </w:pPr>
            <w:r>
              <w:rPr>
                <w:b w:val="0"/>
                <w:i w:val="0"/>
                <w:color w:val="5A6069"/>
                <w:sz w:val="18"/>
              </w:rPr>
              <w:t>JAMA Oncol 2026; Figure 1 and Results (full text).</w:t>
            </w:r>
          </w:p>
        </w:tc>
      </w:tr>
      <w:tr>
        <w:trPr>
          <w:cantSplit/>
        </w:trPr>
        <w:tc>
          <w:tcPr>
            <w:tcW w:type="dxa" w:w="3360"/>
            <w:tcW w:w="2000" w:type="dxa"/>
            <w:shd w:val="clear" w:color="auto" w:fill="F1F5F8"/>
          </w:tcPr>
          <w:p>
            <w:pPr>
              <w:spacing w:after="0"/>
            </w:pPr>
            <w:r>
              <w:rPr>
                <w:b/>
                <w:i w:val="0"/>
                <w:sz w:val="19"/>
              </w:rPr>
              <w:t>Sotiropoulos 2007 · hilar nodes at LT, meta-analysis</w:t>
            </w:r>
          </w:p>
        </w:tc>
        <w:tc>
          <w:tcPr>
            <w:tcW w:type="dxa" w:w="3360"/>
            <w:tcW w:w="3900" w:type="dxa"/>
            <w:shd w:val="clear" w:color="auto" w:fill="F1F5F8"/>
          </w:tcPr>
          <w:p>
            <w:pPr>
              <w:spacing w:after="0"/>
            </w:pPr>
            <w:r>
              <w:rPr>
                <w:b w:val="0"/>
                <w:i w:val="0"/>
                <w:sz w:val="19"/>
              </w:rPr>
              <w:t>Meta-analysis of transplant series: five on recurrence and five more on survival. Hilar nodes examined at transplantation.</w:t>
            </w:r>
          </w:p>
        </w:tc>
        <w:tc>
          <w:tcPr>
            <w:tcW w:type="dxa" w:w="3360"/>
            <w:tcW w:w="4180" w:type="dxa"/>
            <w:shd w:val="clear" w:color="auto" w:fill="F1F5F8"/>
          </w:tcPr>
          <w:p>
            <w:pPr>
              <w:spacing w:after="0"/>
            </w:pPr>
            <w:r>
              <w:rPr>
                <w:b w:val="0"/>
                <w:i w:val="0"/>
                <w:sz w:val="19"/>
              </w:rPr>
              <w:t>Tumor-positive hilar nodes associated with recurrence (common odds ratio 10.44, 95% CI 3.43–38.59).</w:t>
            </w:r>
          </w:p>
          <w:p>
            <w:pPr>
              <w:spacing w:after="0"/>
            </w:pPr>
            <w:r>
              <w:rPr>
                <w:b w:val="0"/>
                <w:i/>
                <w:sz w:val="19"/>
              </w:rPr>
              <w:t>Limits: Small, older series; nodes mostly found at transplantation.</w:t>
            </w:r>
          </w:p>
          <w:p>
            <w:pPr>
              <w:spacing w:after="0"/>
            </w:pPr>
            <w:r>
              <w:rPr>
                <w:b w:val="0"/>
                <w:i w:val="0"/>
                <w:color w:val="5A6069"/>
                <w:sz w:val="18"/>
              </w:rPr>
              <w:t>Transpl Int 2007 (abstract; full text pending).</w:t>
            </w:r>
          </w:p>
        </w:tc>
      </w:tr>
    </w:tbl>
    <w:p>
      <w:pPr>
        <w:spacing w:after="40"/>
      </w:pPr>
    </w:p>
    <w:p>
      <w:pPr>
        <w:pStyle w:val="Heading3"/>
        <w:keepNext/>
        <w:spacing w:before="120" w:after="80"/>
      </w:pPr>
      <w:r>
        <w:rPr>
          <w:b w:val="0"/>
          <w:i w:val="0"/>
        </w:rPr>
        <w:t>Our proposed selection (OPEN)</w:t>
      </w:r>
    </w:p>
    <w:p>
      <w:pPr>
        <w:spacing w:after="80"/>
      </w:pPr>
      <w:r>
        <w:rPr>
          <w:b w:val="0"/>
          <w:i w:val="0"/>
        </w:rPr>
        <w:t>Keep closed. Previous extrahepatic metastasis is outside the standard pathway and every HCC high-risk cohort, even after local treatment or a complete response to immunotherapy. Record durable complete responders in a registry; this edition offers no transplant route.</w:t>
      </w:r>
    </w:p>
    <w:p>
      <w:pPr>
        <w:numPr>
          <w:ilvl w:val="0"/>
          <w:numId w:val="5"/>
        </w:numPr>
        <w:spacing w:after="40"/>
      </w:pPr>
      <w:r>
        <w:rPr>
          <w:b w:val="0"/>
          <w:i w:val="0"/>
        </w:rPr>
        <w:t>“No extrahepatic disease” in HCC-B1 and HCC-B2 means no current or previous extrahepatic metastasis. Resection, ablation, radiotherapy or a complete radiological response does not clear this history.</w:t>
      </w:r>
    </w:p>
    <w:p>
      <w:pPr>
        <w:numPr>
          <w:ilvl w:val="0"/>
          <w:numId w:val="5"/>
        </w:numPr>
        <w:spacing w:after="40"/>
      </w:pPr>
      <w:r>
        <w:rPr>
          <w:b w:val="0"/>
          <w:i w:val="0"/>
        </w:rPr>
        <w:t>Count proven lymph-node metastasis, including hilar or hepatoduodenal nodes, as extrahepatic disease. Enlarged hilar nodes without proof (XXL treated a short axis &gt;2 cm as extrahepatic spread) are HOLD for characterization. A lesion later proven benign is not prior extrahepatic disease; record how it was resolved.</w:t>
      </w:r>
    </w:p>
    <w:p>
      <w:pPr>
        <w:numPr>
          <w:ilvl w:val="0"/>
          <w:numId w:val="5"/>
        </w:numPr>
        <w:spacing w:after="40"/>
      </w:pPr>
      <w:r>
        <w:rPr>
          <w:b w:val="0"/>
          <w:i w:val="0"/>
        </w:rPr>
        <w:t>Registry, not listing: enter patients with a durable complete response of extrahepatic disease, with dated imaging, AFP and treatment history. Starting points for any future study (not active): at least 12 months without evidence of disease off systemic therapy; PET or tissue confirmation that every extrahepatic site is cleared; current whole-body staging including bone; an immunotherapy washout of at least 90 days and the HCC-B3 safety review.</w:t>
      </w:r>
    </w:p>
    <w:p>
      <w:pPr>
        <w:numPr>
          <w:ilvl w:val="0"/>
          <w:numId w:val="5"/>
        </w:numPr>
        <w:spacing w:after="40"/>
      </w:pPr>
      <w:r>
        <w:rPr>
          <w:b w:val="0"/>
          <w:i w:val="0"/>
        </w:rPr>
        <w:t>Do not combine with the expanded-burden (HCC-B1) or portal-vein invasion (HCC-B2) cohorts.</w:t>
      </w:r>
    </w:p>
    <w:p>
      <w:pPr>
        <w:spacing w:after="80"/>
      </w:pPr>
      <w:r>
        <w:rPr>
          <w:b/>
          <w:i w:val="0"/>
        </w:rPr>
        <w:t xml:space="preserve">Why: </w:t>
      </w:r>
      <w:r>
        <w:rPr>
          <w:b w:val="0"/>
          <w:i w:val="0"/>
        </w:rPr>
        <w:t>Every HCC transplant framework reviewed requires absence of extrahepatic disease, and AASLD lists lymph-node involvement or extrahepatic spread as downstaging failure and an exclusion from transplantation. ILTS–ILCA recommends downstaging, and immunotherapy for downstaging, only in patients without extrahepatic disease, and the XXL trial excluded extrahepatic spread, including hepatic-hilum nodes with a short axis &gt;2 cm. Lymph-node involvement was strongly adverse after transplantation (HR 2.60 for death in noncirrhotic livers; pooled odds ratio 10.44 for recurrence with positive hilar nodes). A complete response is not cure: among 160 complete responders to immunotherapy-based treatment, prior extrahepatic metastasis doubled the risk of recurrence (adjusted HR 2.00), and 5-year recurrence-free survival in the whole cohort was 18%. The only published transplant after metastatic HCC is one case: the best response of nodal, lung and bone disease to nivolumab was partial, the bone lesions did not clearly regress, liver disease recurred off treatment and was ablated, extrahepatic clearance was never confirmed by biopsy or PET, and the recipient was free of cancer one year after transplantation.</w:t>
      </w:r>
    </w:p>
    <w:p>
      <w:pPr>
        <w:spacing w:after="80"/>
      </w:pPr>
      <w:r>
        <w:rPr>
          <w:b/>
          <w:i w:val="0"/>
        </w:rPr>
        <w:t xml:space="preserve">Against, or uncertain: </w:t>
      </w:r>
      <w:r>
        <w:rPr>
          <w:b w:val="0"/>
          <w:i w:val="0"/>
        </w:rPr>
        <w:t>Durable complete responses to checkpoint inhibitors are now seen in advanced HCC, and the case shows transplantation is feasible after such a response. The guidelines describe current extrahepatic disease only; excluding previously treated disease is this program’s inference, not a guideline statement. ILTS–ILCA notes there is not yet enough evidence to say whether patients with a complete radiological response to immunotherapy still need transplantation or how long to observe them, so a permanent bar is a policy choice rather than a proven boundary. Immunosuppression could accelerate residual microscopic extrahepatic disease, which favours a registry with long observation over case-by-case transplantation.</w:t>
      </w:r>
    </w:p>
    <w:p>
      <w:pPr>
        <w:spacing w:after="80"/>
      </w:pPr>
      <w:r>
        <w:rPr>
          <w:b/>
          <w:i w:val="0"/>
        </w:rPr>
        <w:t xml:space="preserve">Certainty: </w:t>
      </w:r>
      <w:r>
        <w:rPr>
          <w:b w:val="0"/>
          <w:i w:val="0"/>
        </w:rPr>
        <w:t>Very low for transplantation after previously treated or completely responded extrahepatic HCC (one case report). Moderate that current nodal or extrahepatic disease predicts poor post-transplant outcome.</w:t>
      </w:r>
    </w:p>
    <w:p>
      <w:pPr>
        <w:spacing w:after="80"/>
      </w:pPr>
      <w:r>
        <w:rPr>
          <w:b/>
          <w:i w:val="0"/>
        </w:rPr>
        <w:t xml:space="preserve">Tests and records: </w:t>
      </w:r>
      <w:r>
        <w:rPr>
          <w:b w:val="0"/>
          <w:i w:val="0"/>
        </w:rPr>
        <w:t>Complete extrahepatic history (site, pathology, dates, treatment, response); chest CT and bone imaging; AFP series; immunotherapy agents, response and last dose; how any indeterminate extrahepatic finding was resolved.</w:t>
      </w:r>
    </w:p>
    <w:p>
      <w:pPr>
        <w:spacing w:after="80"/>
      </w:pPr>
      <w:r>
        <w:rPr>
          <w:b/>
          <w:i w:val="0"/>
        </w:rPr>
        <w:t xml:space="preserve">Allocation: </w:t>
      </w:r>
      <w:r>
        <w:rPr>
          <w:b w:val="0"/>
          <w:i w:val="0"/>
        </w:rPr>
        <w:t>NLRB guidance lists extrahepatic metastatic disease as a contraindication to an HCC exception score, and OPTN Policy 9.5 requires a chest CT to rule out metastatic disease and CT or MRI to rule out other extrahepatic spread. Neither addresses disease that has been cleared; any future request would be an individual narrative request with no assured outcome.</w:t>
      </w:r>
    </w:p>
    <w:p>
      <w:pPr>
        <w:spacing w:after="40"/>
      </w:pPr>
      <w:r>
        <w:rPr>
          <w:b/>
          <w:i w:val="0"/>
        </w:rPr>
        <w:t xml:space="preserve">Basis for the proposed thresholds: </w:t>
      </w:r>
    </w:p>
    <w:p>
      <w:pPr>
        <w:numPr>
          <w:ilvl w:val="0"/>
          <w:numId w:val="5"/>
        </w:numPr>
        <w:spacing w:after="40"/>
      </w:pPr>
      <w:r>
        <w:rPr>
          <w:b w:val="0"/>
          <w:i w:val="0"/>
        </w:rPr>
        <w:t>The 12-month starting point mirrors the minimum 12 months of stability NLRB describes for selected candidates after ruptured HCC or primary portal-vein branch invasion, and the ILTS–ILCA 12-month observation after downstaging of Vp1–2 invasion; it is not derived from extrahepatic-disease data. The ≥90-day washout follows the AASLD advice to stop checkpoint inhibitors at least 3 months before transplantation and the rejection signal with washouts of 90 days or less in a multicentre cohort.</w:t>
      </w:r>
    </w:p>
    <w:p>
      <w:pPr>
        <w:pStyle w:val="Heading3"/>
        <w:keepNext/>
        <w:spacing w:before="120" w:after="80"/>
      </w:pPr>
      <w:r>
        <w:rPr>
          <w:b w:val="0"/>
          <w:i w:val="0"/>
        </w:rPr>
        <w:t>HCC-B5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Shared approval requirements (all pathways)</w:t>
      </w:r>
    </w:p>
    <w:p>
      <w:pPr>
        <w:spacing w:after="80"/>
      </w:pPr>
      <w:r>
        <w:rPr>
          <w:b w:val="0"/>
          <w:i w:val="0"/>
        </w:rPr>
        <w:t>Recipient selection, allocation, donor protection and institutional study approval are separate decisions. These apply to every high-risk proposal.</w:t>
      </w:r>
    </w:p>
    <w:p>
      <w:pPr>
        <w:pStyle w:val="Heading2"/>
        <w:keepNext/>
        <w:spacing w:before="200" w:after="80"/>
      </w:pPr>
      <w:r>
        <w:rPr>
          <w:b w:val="0"/>
          <w:i w:val="0"/>
        </w:rPr>
        <w:t>ALLOC-B1 — Separate clinical, allocation, donor and study approval</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are we approving?</w:t>
      </w:r>
    </w:p>
    <w:p>
      <w:pPr>
        <w:spacing w:after="120"/>
      </w:pPr>
      <w:r>
        <w:rPr>
          <w:b/>
          <w:i w:val="0"/>
          <w:sz w:val="18"/>
        </w:rPr>
        <w:t xml:space="preserve">Web page: </w:t>
      </w:r>
      <w:hyperlink r:id="rId19">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NLRB oncology guidance</w:t>
            </w:r>
          </w:p>
        </w:tc>
        <w:tc>
          <w:tcPr>
            <w:tcW w:type="dxa" w:w="3360"/>
            <w:tcW w:w="5480" w:type="dxa"/>
            <w:shd w:val="clear" w:color="auto" w:fill="F1F5F8"/>
          </w:tcPr>
          <w:p>
            <w:pPr>
              <w:spacing w:after="0"/>
            </w:pPr>
            <w:r>
              <w:rPr>
                <w:b w:val="0"/>
                <w:i w:val="0"/>
                <w:sz w:val="19"/>
              </w:rPr>
              <w:t>“This resource is not OPTN Policy” Guidance informs case review and is not itself binding policy or a clinical standard.</w:t>
            </w:r>
          </w:p>
        </w:tc>
        <w:tc>
          <w:tcPr>
            <w:tcW w:type="dxa" w:w="3360"/>
            <w:tcW w:w="2400" w:type="dxa"/>
            <w:shd w:val="clear" w:color="auto" w:fill="F1F5F8"/>
          </w:tcPr>
          <w:p>
            <w:pPr>
              <w:spacing w:after="0"/>
            </w:pPr>
            <w:r>
              <w:rPr>
                <w:b w:val="0"/>
                <w:i w:val="0"/>
                <w:color w:val="5A6069"/>
                <w:sz w:val="18"/>
              </w:rPr>
              <w:t>December 2025 oncology guidance p2, disclaimer</w:t>
            </w:r>
          </w:p>
        </w:tc>
      </w:tr>
      <w:tr>
        <w:trPr>
          <w:cantSplit/>
        </w:trPr>
        <w:tc>
          <w:tcPr>
            <w:tcW w:type="dxa" w:w="3360"/>
            <w:tcW w:w="2200" w:type="dxa"/>
            <w:shd w:val="clear" w:color="auto" w:fill="FFFFFF"/>
          </w:tcPr>
          <w:p>
            <w:pPr>
              <w:spacing w:after="0"/>
            </w:pPr>
            <w:r>
              <w:rPr>
                <w:b/>
                <w:i w:val="0"/>
                <w:sz w:val="19"/>
              </w:rPr>
              <w:t>OPTN policy</w:t>
            </w:r>
          </w:p>
        </w:tc>
        <w:tc>
          <w:tcPr>
            <w:tcW w:type="dxa" w:w="3360"/>
            <w:tcW w:w="5480" w:type="dxa"/>
            <w:shd w:val="clear" w:color="auto" w:fill="FFFFFF"/>
          </w:tcPr>
          <w:p>
            <w:pPr>
              <w:spacing w:after="0"/>
            </w:pPr>
            <w:r>
              <w:rPr>
                <w:b w:val="0"/>
                <w:i w:val="0"/>
                <w:sz w:val="19"/>
              </w:rPr>
              <w:t>“Function independently from the transplant candidate’s team.” Donor advocacy is independent of recipient-team enthusiasm.</w:t>
            </w:r>
          </w:p>
        </w:tc>
        <w:tc>
          <w:tcPr>
            <w:tcW w:type="dxa" w:w="3360"/>
            <w:tcW w:w="2400" w:type="dxa"/>
            <w:shd w:val="clear" w:color="auto" w:fill="FFFFFF"/>
          </w:tcPr>
          <w:p>
            <w:pPr>
              <w:spacing w:after="0"/>
            </w:pPr>
            <w:r>
              <w:rPr>
                <w:b w:val="0"/>
                <w:i w:val="0"/>
                <w:color w:val="5A6069"/>
                <w:sz w:val="18"/>
              </w:rPr>
              <w:t>Policy 14.2.A, PDF p285, living donor advocate requirements</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FFFFF"/>
          </w:tcPr>
          <w:p>
            <w:pPr>
              <w:spacing w:after="0"/>
            </w:pPr>
            <w:r>
              <w:rPr>
                <w:b/>
                <w:i w:val="0"/>
                <w:sz w:val="19"/>
              </w:rPr>
              <w:t>NLRB oncology guidance</w:t>
            </w:r>
          </w:p>
        </w:tc>
        <w:tc>
          <w:tcPr>
            <w:tcW w:type="dxa" w:w="3360"/>
            <w:tcW w:w="3900" w:type="dxa"/>
            <w:shd w:val="clear" w:color="auto" w:fill="FFFFFF"/>
          </w:tcPr>
          <w:p>
            <w:pPr>
              <w:spacing w:after="0"/>
            </w:pPr>
            <w:r>
              <w:rPr>
                <w:b w:val="0"/>
                <w:i w:val="0"/>
                <w:sz w:val="19"/>
              </w:rPr>
              <w:t>Current NLRB hepatic-adenoma guidance. Four alternative routes; route four contains conjunctive clinical requirements.</w:t>
            </w:r>
          </w:p>
        </w:tc>
        <w:tc>
          <w:tcPr>
            <w:tcW w:type="dxa" w:w="3360"/>
            <w:tcW w:w="4180" w:type="dxa"/>
            <w:shd w:val="clear" w:color="auto" w:fill="FFFFFF"/>
          </w:tcPr>
          <w:p>
            <w:pPr>
              <w:spacing w:after="0"/>
            </w:pPr>
            <w:r>
              <w:rPr>
                <w:b w:val="0"/>
                <w:i w:val="0"/>
                <w:sz w:val="19"/>
              </w:rPr>
              <w:t>GSD/Abernethy; OR unresectable β-catenin-mutated HCA; OR unresectable adenomatosis &gt;10 lesions; OR unresectable, nonoperative-unresponsive and progressive/complicated HCA.</w:t>
            </w:r>
          </w:p>
          <w:p>
            <w:pPr>
              <w:spacing w:after="0"/>
            </w:pPr>
            <w:r>
              <w:rPr>
                <w:b w:val="0"/>
                <w:i/>
                <w:sz w:val="19"/>
              </w:rPr>
              <w:t>Limits: These are review routes, not proof of benefit or a mandatory transplant recommendation. Current text does not require all four conditions simultaneously or cirrhosis for all routes.</w:t>
            </w:r>
          </w:p>
          <w:p>
            <w:pPr>
              <w:spacing w:after="0"/>
            </w:pPr>
            <w:r>
              <w:rPr>
                <w:b w:val="0"/>
                <w:i w:val="0"/>
                <w:color w:val="5A6069"/>
                <w:sz w:val="18"/>
              </w:rPr>
              <w:t>December 2025 oncology guidance, hepatic adenoma p11.</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OPTN ethics principles</w:t>
            </w:r>
          </w:p>
        </w:tc>
        <w:tc>
          <w:tcPr>
            <w:tcW w:type="dxa" w:w="3360"/>
            <w:tcW w:w="3900" w:type="dxa"/>
            <w:shd w:val="clear" w:color="auto" w:fill="FFFFFF"/>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FFFFF"/>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bl>
    <w:p>
      <w:pPr>
        <w:spacing w:after="40"/>
      </w:pPr>
    </w:p>
    <w:p>
      <w:pPr>
        <w:pStyle w:val="Heading3"/>
        <w:keepNext/>
        <w:spacing w:before="120" w:after="80"/>
      </w:pPr>
      <w:r>
        <w:rPr>
          <w:b w:val="0"/>
          <w:i w:val="0"/>
        </w:rPr>
        <w:t>Our proposed selection (OPEN)</w:t>
      </w:r>
    </w:p>
    <w:p>
      <w:pPr>
        <w:spacing w:after="80"/>
      </w:pPr>
      <w:r>
        <w:rPr>
          <w:b w:val="0"/>
          <w:i w:val="0"/>
        </w:rPr>
        <w:t>Require 100% completion of the applicable clinical, allocation, donor and research determinations before activation.</w:t>
      </w:r>
    </w:p>
    <w:p>
      <w:pPr>
        <w:numPr>
          <w:ilvl w:val="0"/>
          <w:numId w:val="5"/>
        </w:numPr>
        <w:spacing w:after="40"/>
      </w:pPr>
      <w:r>
        <w:rPr>
          <w:b w:val="0"/>
          <w:i w:val="0"/>
        </w:rPr>
        <w:t>Complete six separate dated determinations: clinical suitability; standardized-exception eligibility; nonstandard NLRB review status; calculated-MELD access; LDLT donor clearance; and research authorization. Mark nonapplicable domains explicitly with a reason—do not manufacture six approvals for every patient.</w:t>
      </w:r>
    </w:p>
    <w:p>
      <w:pPr>
        <w:numPr>
          <w:ilvl w:val="0"/>
          <w:numId w:val="5"/>
        </w:numPr>
        <w:spacing w:after="40"/>
      </w:pPr>
      <w:r>
        <w:rPr>
          <w:b w:val="0"/>
          <w:i w:val="0"/>
        </w:rPr>
        <w:t>Any required missing, pending or adverse determination is a HOLD. An exception application is not approval, a donor is not recipient benefit, and clinical approval is not study activation.</w:t>
      </w:r>
    </w:p>
    <w:p>
      <w:pPr>
        <w:numPr>
          <w:ilvl w:val="0"/>
          <w:numId w:val="5"/>
        </w:numPr>
        <w:spacing w:after="40"/>
      </w:pPr>
      <w:r>
        <w:rPr>
          <w:b w:val="0"/>
          <w:i w:val="0"/>
        </w:rPr>
        <w:t>Recheck the current policy/guidance version before each request; record actual decision and priority rather than predicted entitlement.</w:t>
      </w:r>
    </w:p>
    <w:p>
      <w:pPr>
        <w:spacing w:after="80"/>
      </w:pPr>
      <w:r>
        <w:rPr>
          <w:b/>
          <w:i w:val="0"/>
        </w:rPr>
        <w:t xml:space="preserve">Why: </w:t>
      </w:r>
      <w:r>
        <w:rPr>
          <w:b w:val="0"/>
          <w:i w:val="0"/>
        </w:rPr>
        <w:t>The separation is a governance requirement, not an empirical survival cutoff. A clinically appropriate patient can lack exception eligibility, and an approved exception does not prove clinical benefit. LDLT requires an independent donor determination; a registry entry is not permission to perform experimental transplantation.</w:t>
      </w:r>
    </w:p>
    <w:p>
      <w:pPr>
        <w:spacing w:after="80"/>
      </w:pPr>
      <w:r>
        <w:rPr>
          <w:b/>
          <w:i w:val="0"/>
        </w:rPr>
        <w:t xml:space="preserve">Against, or uncertain: </w:t>
      </w:r>
      <w:r>
        <w:rPr>
          <w:b w:val="0"/>
          <w:i w:val="0"/>
        </w:rPr>
        <w:t>Not every case needs six separate affirmative approvals: several routes are alternatives or not applicable. An indiscriminate six-approval rule could obstruct appropriate standard care.</w:t>
      </w:r>
    </w:p>
    <w:p>
      <w:pPr>
        <w:spacing w:after="80"/>
      </w:pPr>
      <w:r>
        <w:rPr>
          <w:b/>
          <w:i w:val="0"/>
        </w:rPr>
        <w:t xml:space="preserve">Certainty: </w:t>
      </w:r>
      <w:r>
        <w:rPr>
          <w:b w:val="0"/>
          <w:i w:val="0"/>
        </w:rPr>
        <w:t>High confidence in the separation of applicable authorities; no trial establishes that six boxes improve survival. Local workflow must map to current institutional obligations.</w:t>
      </w:r>
    </w:p>
    <w:p>
      <w:pPr>
        <w:spacing w:after="80"/>
      </w:pPr>
      <w:r>
        <w:rPr>
          <w:b/>
          <w:i w:val="0"/>
        </w:rPr>
        <w:t xml:space="preserve">Tests and records: </w:t>
      </w:r>
      <w:r>
        <w:rPr>
          <w:b w:val="0"/>
          <w:i w:val="0"/>
        </w:rPr>
        <w:t>Signed suitability record; exact allocation route and policy version; exception outcome; donor-team status; study and institutional activation record.</w:t>
      </w:r>
    </w:p>
    <w:p>
      <w:pPr>
        <w:spacing w:after="80"/>
      </w:pPr>
      <w:r>
        <w:rPr>
          <w:b/>
          <w:i w:val="0"/>
        </w:rPr>
        <w:t xml:space="preserve">Allocation: </w:t>
      </w:r>
      <w:r>
        <w:rPr>
          <w:b w:val="0"/>
          <w:i w:val="0"/>
        </w:rPr>
        <w:t>Policy 9.4 permits discretionary requests where appropriate; absence of favorable diagnosis-specific guidance is not absence of a review mechanism, and a request does not promise approval.</w:t>
      </w:r>
    </w:p>
    <w:p>
      <w:pPr>
        <w:spacing w:after="40"/>
      </w:pPr>
      <w:r>
        <w:rPr>
          <w:b/>
          <w:i w:val="0"/>
        </w:rPr>
        <w:t xml:space="preserve">Basis for the proposed thresholds: </w:t>
      </w:r>
    </w:p>
    <w:p>
      <w:pPr>
        <w:numPr>
          <w:ilvl w:val="0"/>
          <w:numId w:val="5"/>
        </w:numPr>
        <w:spacing w:after="40"/>
      </w:pPr>
      <w:r>
        <w:rPr>
          <w:b w:val="0"/>
          <w:i w:val="0"/>
        </w:rPr>
        <w:t>Six domains: local checklist architecture, not six mandatory national approvals.</w:t>
      </w:r>
    </w:p>
    <w:p>
      <w:pPr>
        <w:numPr>
          <w:ilvl w:val="0"/>
          <w:numId w:val="5"/>
        </w:numPr>
        <w:spacing w:after="40"/>
      </w:pPr>
      <w:r>
        <w:rPr>
          <w:b w:val="0"/>
          <w:i w:val="0"/>
        </w:rPr>
        <w:t>100% applicable completion: governance safeguard, not an outcome-derived percentage.</w:t>
      </w:r>
    </w:p>
    <w:p>
      <w:pPr>
        <w:numPr>
          <w:ilvl w:val="0"/>
          <w:numId w:val="5"/>
        </w:numPr>
        <w:spacing w:after="40"/>
      </w:pPr>
      <w:r>
        <w:rPr>
          <w:b w:val="0"/>
          <w:i w:val="0"/>
        </w:rPr>
        <w:t>Hold pending required authorization: operational implementation of separate clinical, donor and research responsibilities.</w:t>
      </w:r>
    </w:p>
    <w:p>
      <w:pPr>
        <w:pStyle w:val="Heading3"/>
        <w:keepNext/>
        <w:spacing w:before="120" w:after="80"/>
      </w:pPr>
      <w:r>
        <w:rPr>
          <w:b w:val="0"/>
          <w:i w:val="0"/>
        </w:rPr>
        <w:t>ALLOC-B1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ALLOC-B2 — Assess expected recipient benefit and organ use</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is the relevant organ opportunity cost?</w:t>
      </w:r>
    </w:p>
    <w:p>
      <w:pPr>
        <w:spacing w:after="120"/>
      </w:pPr>
      <w:r>
        <w:rPr>
          <w:b/>
          <w:i w:val="0"/>
          <w:sz w:val="18"/>
        </w:rPr>
        <w:t xml:space="preserve">Web page: </w:t>
      </w:r>
      <w:hyperlink r:id="rId20">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TransMet 2024</w:t>
            </w:r>
          </w:p>
        </w:tc>
        <w:tc>
          <w:tcPr>
            <w:tcW w:type="dxa" w:w="3360"/>
            <w:tcW w:w="5480" w:type="dxa"/>
            <w:shd w:val="clear" w:color="auto" w:fill="F1F5F8"/>
          </w:tcPr>
          <w:p>
            <w:pPr>
              <w:spacing w:after="0"/>
            </w:pPr>
            <w:r>
              <w:rPr>
                <w:b w:val="0"/>
                <w:i w:val="0"/>
                <w:sz w:val="19"/>
              </w:rPr>
              <w:t>“intention-to-treat population” The randomized pathway-level comparison is more informative than recipient survival alone; its selection and access conditions still matter.</w:t>
            </w:r>
          </w:p>
        </w:tc>
        <w:tc>
          <w:tcPr>
            <w:tcW w:type="dxa" w:w="3360"/>
            <w:tcW w:w="2400" w:type="dxa"/>
            <w:shd w:val="clear" w:color="auto" w:fill="F1F5F8"/>
          </w:tcPr>
          <w:p>
            <w:pPr>
              <w:spacing w:after="0"/>
            </w:pPr>
            <w:r>
              <w:rPr>
                <w:b w:val="0"/>
                <w:i w:val="0"/>
                <w:color w:val="5A6069"/>
                <w:sz w:val="18"/>
              </w:rPr>
              <w:t>Published TransMet report, primary analysis description</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“risks to donors remain incompletely characterized” LDLT transfers some risk to a healthy donor; it does not eliminate the need to establish recipient benefit.</w:t>
            </w:r>
          </w:p>
        </w:tc>
        <w:tc>
          <w:tcPr>
            <w:tcW w:type="dxa" w:w="3360"/>
            <w:tcW w:w="2400" w:type="dxa"/>
            <w:shd w:val="clear" w:color="auto" w:fill="FFFFFF"/>
          </w:tcPr>
          <w:p>
            <w:pPr>
              <w:spacing w:after="0"/>
            </w:pPr>
            <w:r>
              <w:rPr>
                <w:b w:val="0"/>
                <w:i w:val="0"/>
                <w:color w:val="5A6069"/>
                <w:sz w:val="18"/>
              </w:rPr>
              <w:t>2026 published report, abstract background</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OPTN ethics principles</w:t>
            </w:r>
          </w:p>
        </w:tc>
        <w:tc>
          <w:tcPr>
            <w:tcW w:type="dxa" w:w="3360"/>
            <w:tcW w:w="3900" w:type="dxa"/>
            <w:shd w:val="clear" w:color="auto" w:fill="F1F5F8"/>
          </w:tcPr>
          <w:p>
            <w:pPr>
              <w:spacing w:after="0"/>
            </w:pPr>
            <w:r>
              <w:rPr>
                <w:b w:val="0"/>
                <w:i w:val="0"/>
                <w:sz w:val="19"/>
              </w:rPr>
              <w:t>OPTN Ethics Committee white paper, not a trial or binding allocation algorithm. Scarce-organ allocation must balance utility, justice and respect for persons.</w:t>
            </w:r>
          </w:p>
        </w:tc>
        <w:tc>
          <w:tcPr>
            <w:tcW w:type="dxa" w:w="3360"/>
            <w:tcW w:w="4180" w:type="dxa"/>
            <w:shd w:val="clear" w:color="auto" w:fill="F1F5F8"/>
          </w:tcPr>
          <w:p>
            <w:pPr>
              <w:spacing w:after="0"/>
            </w:pPr>
            <w:r>
              <w:rPr>
                <w:b w:val="0"/>
                <w:i w:val="0"/>
                <w:sz w:val="19"/>
              </w:rPr>
              <w:t>High predicted recipient survival alone is insufficient: opportunity cost, equity and access also matter. Donor autonomy does not remove clinical obligations.</w:t>
            </w:r>
          </w:p>
          <w:p>
            <w:pPr>
              <w:spacing w:after="0"/>
            </w:pPr>
            <w:r>
              <w:rPr>
                <w:b w:val="0"/>
                <w:i/>
                <w:sz w:val="19"/>
              </w:rPr>
              <w:t>Limits: Provides an ethical framework, not numeric weights, a universal survival threshold or permission to depart from allocation rules.</w:t>
            </w:r>
          </w:p>
          <w:p>
            <w:pPr>
              <w:spacing w:after="0"/>
            </w:pPr>
            <w:r>
              <w:rPr>
                <w:b w:val="0"/>
                <w:i w:val="0"/>
                <w:color w:val="5A6069"/>
                <w:sz w:val="18"/>
              </w:rPr>
              <w:t>Introduction; utility/justice/respect-for-persons sections.</w:t>
            </w:r>
          </w:p>
        </w:tc>
      </w:tr>
      <w:tr>
        <w:trPr>
          <w:cantSplit/>
        </w:trPr>
        <w:tc>
          <w:tcPr>
            <w:tcW w:type="dxa" w:w="3360"/>
            <w:tcW w:w="2000" w:type="dxa"/>
            <w:shd w:val="clear" w:color="auto" w:fill="FFFFFF"/>
          </w:tcPr>
          <w:p>
            <w:pPr>
              <w:spacing w:after="0"/>
            </w:pPr>
            <w:r>
              <w:rPr>
                <w:b/>
                <w:i w:val="0"/>
                <w:sz w:val="19"/>
              </w:rPr>
              <w:t>OPTN policy</w:t>
            </w:r>
          </w:p>
        </w:tc>
        <w:tc>
          <w:tcPr>
            <w:tcW w:type="dxa" w:w="3360"/>
            <w:tcW w:w="3900" w:type="dxa"/>
            <w:shd w:val="clear" w:color="auto" w:fill="FFFFFF"/>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FFFFF"/>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XXL 2020</w:t>
            </w:r>
          </w:p>
        </w:tc>
        <w:tc>
          <w:tcPr>
            <w:tcW w:type="dxa" w:w="3360"/>
            <w:tcW w:w="3900" w:type="dxa"/>
            <w:shd w:val="clear" w:color="auto" w:fill="F1F5F8"/>
          </w:tcPr>
          <w:p>
            <w:pPr>
              <w:spacing w:after="0"/>
            </w:pPr>
            <w:r>
              <w:rPr>
                <w:b w:val="0"/>
                <w:i w:val="0"/>
                <w:sz w:val="19"/>
              </w:rPr>
              <w:t>Multicenter randomized phase 2b/3 trial: 74 entered downstaging; 29 dropped out before randomization; 45 responders were randomized, 23 to LT and 22 to nontransplant treatment. Child-Pugh A–B7, ECOG 0–1, predicted five-year post-LT survival ≥50%, and ≥3 months sustained response. AFP rules depended on baseline value and response, not an unconditional AFP &lt;400 entry rule.</w:t>
            </w:r>
          </w:p>
        </w:tc>
        <w:tc>
          <w:tcPr>
            <w:tcW w:type="dxa" w:w="3360"/>
            <w:tcW w:w="4180" w:type="dxa"/>
            <w:shd w:val="clear" w:color="auto" w:fill="F1F5F8"/>
          </w:tcPr>
          <w:p>
            <w:pPr>
              <w:spacing w:after="0"/>
            </w:pPr>
            <w:r>
              <w:rPr>
                <w:b w:val="0"/>
                <w:i w:val="0"/>
                <w:sz w:val="19"/>
              </w:rPr>
              <w:t>From randomization, five-year overall survival was 77.5% with LT versus 31.2% without LT; tumor-event-free survival 76.8% versus 18.3%; median follow-up 71 months.</w:t>
            </w:r>
          </w:p>
          <w:p>
            <w:pPr>
              <w:spacing w:after="0"/>
            </w:pPr>
            <w:r>
              <w:rPr>
                <w:b w:val="0"/>
                <w:i/>
                <w:sz w:val="19"/>
              </w:rPr>
              <w:t>Limits: Strongest causal evidence for LT among selected responders, not for all 74 entrants or unlimited initial burden. Small, prematurely stopped trial. Appendix allowed uncertain bland-versus-neoplastic segmental/type-I portal thrombosis under additional response conditions; the actual PVTT denominator/outcomes are not reported. It must not be relabeled a proven-PVTT trial.</w:t>
            </w:r>
          </w:p>
          <w:p>
            <w:pPr>
              <w:spacing w:after="0"/>
            </w:pPr>
            <w:r>
              <w:rPr>
                <w:b w:val="0"/>
                <w:i w:val="0"/>
                <w:color w:val="5A6069"/>
                <w:sz w:val="18"/>
              </w:rPr>
              <w:t>Complete accepted manuscript and protocol appendix; final published abstract for survival estimates. Avoid mixing accepted-manuscript and final-publication hazard ratios.</w:t>
            </w:r>
          </w:p>
        </w:tc>
      </w:tr>
      <w:tr>
        <w:trPr>
          <w:cantSplit/>
        </w:trPr>
        <w:tc>
          <w:tcPr>
            <w:tcW w:type="dxa" w:w="3360"/>
            <w:tcW w:w="2000" w:type="dxa"/>
            <w:shd w:val="clear" w:color="auto" w:fill="FFFFFF"/>
          </w:tcPr>
          <w:p>
            <w:pPr>
              <w:spacing w:after="0"/>
            </w:pPr>
            <w:r>
              <w:rPr>
                <w:b/>
                <w:i w:val="0"/>
                <w:sz w:val="19"/>
              </w:rPr>
              <w:t>TransMet 2024</w:t>
            </w:r>
          </w:p>
        </w:tc>
        <w:tc>
          <w:tcPr>
            <w:tcW w:type="dxa" w:w="3360"/>
            <w:tcW w:w="3900" w:type="dxa"/>
            <w:shd w:val="clear" w:color="auto" w:fill="FFFFFF"/>
          </w:tcPr>
          <w:p>
            <w:pPr>
              <w:spacing w:after="0"/>
            </w:pPr>
            <w:r>
              <w:rPr>
                <w:b w:val="0"/>
                <w:i w:val="0"/>
                <w:sz w:val="19"/>
              </w:rPr>
              <w:t>Multicentre open-label randomized trial, 20 European centres, 157 screened and 94 randomized (47 LT-plus-chemotherapy, 47 chemotherapy); 63 screened excluded, including 13 with equivocal unresectability and 36 with progression. Age 18–65; ECOG 0–1; R0 colorectal primary; BRAF nonmutated; no prior or current extrahepatic disease/local recurrence; chemotherapy response or stable disease for at least 3 months, at most three lines. CEA &lt;80 ng/mL OR at least 50% reduction from peak was permitted. Independent committee of at least two surgeons, two oncologists and one radiologist reviewed original and current lesion maps. These are trial criteria, not identical to current NLRB guidance.</w:t>
            </w:r>
          </w:p>
        </w:tc>
        <w:tc>
          <w:tcPr>
            <w:tcW w:type="dxa" w:w="3360"/>
            <w:tcW w:w="4180" w:type="dxa"/>
            <w:shd w:val="clear" w:color="auto" w:fill="FFFFFF"/>
          </w:tcPr>
          <w:p>
            <w:pPr>
              <w:spacing w:after="0"/>
            </w:pPr>
            <w:r>
              <w:rPr>
                <w:b w:val="0"/>
                <w:i w:val="0"/>
                <w:sz w:val="19"/>
              </w:rPr>
              <w:t>Primary time origin was randomization. Median follow-up 59.3 months. Five-year ITT OS was 56.6% versus 12.6% (HR 0.37, 95% CI 0.21–0.65); per-protocol OS 73.3% versus 9.3%. Of 47 assigned LT, 38 received LT and 36 were per-protocol; nine had progression-related exclusion/dropout. The control arm included seven subsequent resections and two LT crossovers. Safety population comprised 40 grafted patients. Among 36 per-protocol LT recipients, 26 recurred; 19/26 received chemotherapy and 12/26 local curative-intent treatment. Median per-protocol PFS was 17.4 versus 6.4 months, and secondary PFS after salvage was 35.4 months in the LT arm. Three of 36 per-protocol recipients required retransplantation (primary nonfunction, donor gallbladder cancer, caval obstruction/large-for-size); one postoperative death was reported. Serious adverse events occurred in 32/40 safety LT recipients. Median wait to LT was 50.5 days, which limits transfer to longer-wait systems.</w:t>
            </w:r>
          </w:p>
          <w:p>
            <w:pPr>
              <w:spacing w:after="0"/>
            </w:pPr>
            <w:r>
              <w:rPr>
                <w:b w:val="0"/>
                <w:i/>
                <w:sz w:val="19"/>
              </w:rPr>
              <w:t>Limits: Strong evidence for the selected trial population, not for BRAF-mutant, ECOG 2, active extrahepatic, truly NED, resectable or broadly expanded disease. PP survival conditions on reaching treatment and must not replace ITT. The Results recurrence denominator is 26/36; Figure 3 caption says 28 recurrences, consistent with a broader all-grafted report, so do not mix these denominators. QoL collection had only 55/74 per-protocol baseline questionnaires and is descriptive, not proof of a large QoL gain. Priority allocation and rapid access were part of the treatment strategy.</w:t>
            </w:r>
          </w:p>
          <w:p>
            <w:pPr>
              <w:spacing w:after="0"/>
            </w:pPr>
            <w:r>
              <w:rPr>
                <w:b w:val="0"/>
                <w:i w:val="0"/>
                <w:color w:val="5A6069"/>
                <w:sz w:val="18"/>
              </w:rPr>
              <w:t>Lancet 2024;404:1107–1118. PDF pp.2–4 eligibility/committee; pp.5–6 trial flow/Table 1; pp.8–9 recurrence, safety, retransplantation, Figure 3; p.10 QoL/limitations.</w:t>
            </w:r>
          </w:p>
        </w:tc>
      </w:tr>
      <w:tr>
        <w:trPr>
          <w:cantSplit/>
        </w:trPr>
        <w:tc>
          <w:tcPr>
            <w:tcW w:type="dxa" w:w="3360"/>
            <w:tcW w:w="2000" w:type="dxa"/>
            <w:shd w:val="clear" w:color="auto" w:fill="F1F5F8"/>
          </w:tcPr>
          <w:p>
            <w:pPr>
              <w:spacing w:after="0"/>
            </w:pPr>
            <w:r>
              <w:rPr>
                <w:b/>
                <w:i w:val="0"/>
                <w:sz w:val="19"/>
              </w:rPr>
              <w:t>Allen 2024</w:t>
            </w:r>
          </w:p>
        </w:tc>
        <w:tc>
          <w:tcPr>
            <w:tcW w:type="dxa" w:w="3360"/>
            <w:tcW w:w="3900" w:type="dxa"/>
            <w:shd w:val="clear" w:color="auto" w:fill="F1F5F8"/>
          </w:tcPr>
          <w:p>
            <w:pPr>
              <w:spacing w:after="0"/>
            </w:pPr>
            <w:r>
              <w:rPr>
                <w:b w:val="0"/>
                <w:i w:val="0"/>
                <w:sz w:val="19"/>
              </w:rPr>
              <w:t>UK national liver-offering policy evaluation: separate simulation dataset of 1,287 registrations/629 donors plus early real-world NLOS implementation, 2018–2020. Transplant-benefit scoring governed national deceased-donor offers; not a high-risk-HCC validation sample.</w:t>
            </w:r>
          </w:p>
        </w:tc>
        <w:tc>
          <w:tcPr>
            <w:tcW w:type="dxa" w:w="3360"/>
            <w:tcW w:w="4180" w:type="dxa"/>
            <w:shd w:val="clear" w:color="auto" w:fill="F1F5F8"/>
          </w:tcPr>
          <w:p>
            <w:pPr>
              <w:spacing w:after="0"/>
            </w:pPr>
            <w:r>
              <w:rPr>
                <w:b w:val="0"/>
                <w:i w:val="0"/>
                <w:sz w:val="19"/>
              </w:rPr>
              <w:t>Simulation compared observed 2013 deaths/removals 93 (7%) and 4,581 patient-years with modeled TBS outcomes 48 (4%) and 5,262 patient-years. During the first two implementation years, 68% of DBD livers were allocated by TBS; observed waitlist mortality decreased (P&lt;.0001), postlisting survival improved (P=.005), with no adverse post-LT survival signal.</w:t>
            </w:r>
          </w:p>
          <w:p>
            <w:pPr>
              <w:spacing w:after="0"/>
            </w:pPr>
            <w:r>
              <w:rPr>
                <w:b w:val="0"/>
                <w:i/>
                <w:sz w:val="19"/>
              </w:rPr>
              <w:t>Limits: Simulated gains are not observed outcomes. Before/after implementation is nonrandomized and can reflect secular changes. Nonetheless it is meaningful evidence that a governed benefit-based system can be deployed, unlike a claim that all such models are unusable.</w:t>
            </w:r>
          </w:p>
          <w:p>
            <w:pPr>
              <w:spacing w:after="0"/>
            </w:pPr>
            <w:r>
              <w:rPr>
                <w:b w:val="0"/>
                <w:i w:val="0"/>
                <w:color w:val="5A6069"/>
                <w:sz w:val="18"/>
              </w:rPr>
              <w:t>Primary abstract and full publisher Methods/Results, Table 3, DOI 10.1016/j.jhep.2024.03.020; PDF pending.</w:t>
            </w:r>
          </w:p>
        </w:tc>
      </w:tr>
    </w:tbl>
    <w:p>
      <w:pPr>
        <w:spacing w:after="40"/>
      </w:pPr>
    </w:p>
    <w:p>
      <w:pPr>
        <w:pStyle w:val="Heading3"/>
        <w:keepNext/>
        <w:spacing w:before="120" w:after="80"/>
      </w:pPr>
      <w:r>
        <w:rPr>
          <w:b w:val="0"/>
          <w:i w:val="0"/>
        </w:rPr>
        <w:t>Our proposed selection (OPEN)</w:t>
      </w:r>
    </w:p>
    <w:p>
      <w:pPr>
        <w:spacing w:after="80"/>
      </w:pPr>
      <w:r>
        <w:rPr>
          <w:b w:val="0"/>
          <w:i w:val="0"/>
        </w:rPr>
        <w:t>Require two independent recipient-benefit reviews and an explicit organ-use case; do not adopt a universal five-year survival cutoff.</w:t>
      </w:r>
    </w:p>
    <w:p>
      <w:pPr>
        <w:numPr>
          <w:ilvl w:val="0"/>
          <w:numId w:val="5"/>
        </w:numPr>
        <w:spacing w:after="40"/>
      </w:pPr>
      <w:r>
        <w:rPr>
          <w:b w:val="0"/>
          <w:i w:val="0"/>
        </w:rPr>
        <w:t>Proposed requirements: two reviewers not both responsible for recruitment must document expected incremental benefit over the actual contemporary alternative, with unresolved disagreement referred to the full committee.</w:t>
      </w:r>
    </w:p>
    <w:p>
      <w:pPr>
        <w:numPr>
          <w:ilvl w:val="0"/>
          <w:numId w:val="5"/>
        </w:numPr>
        <w:spacing w:after="40"/>
      </w:pPr>
      <w:r>
        <w:rPr>
          <w:b w:val="0"/>
          <w:i w:val="0"/>
        </w:rPr>
        <w:t>For DDLT, show local expected access/dropout and sensitivity scenarios at 6, 12 and 18 months, total graft use including retransplantation, and plausible alternative recipients. These are planning scenarios, not imposed waiting periods.</w:t>
      </w:r>
    </w:p>
    <w:p>
      <w:pPr>
        <w:numPr>
          <w:ilvl w:val="0"/>
          <w:numId w:val="5"/>
        </w:numPr>
        <w:spacing w:after="40"/>
      </w:pPr>
      <w:r>
        <w:rPr>
          <w:b w:val="0"/>
          <w:i w:val="0"/>
        </w:rPr>
        <w:t>For LDLT, separately show healthy-donor risk and potential downstream deceased-donor graft use. Do not call DCD, extended-criteria grafts or machine perfusion “zero opportunity cost.” No priority changes follow from an AI-selected survival threshold.</w:t>
      </w:r>
    </w:p>
    <w:p>
      <w:pPr>
        <w:spacing w:after="80"/>
      </w:pPr>
      <w:r>
        <w:rPr>
          <w:b/>
          <w:i w:val="0"/>
        </w:rPr>
        <w:t xml:space="preserve">Why: </w:t>
      </w:r>
      <w:r>
        <w:rPr>
          <w:b w:val="0"/>
          <w:i w:val="0"/>
        </w:rPr>
        <w:t>Use pathway-level benefit from an agreed entry date, not recipient-only survival. Compare with contemporary tumor-specific care and actual local access. LDLT avoids one direct deceased-donor allocation but creates healthy-donor risk and may generate rescue graft use. Graft quality/perfusion changes do not make opportunity cost zero.</w:t>
      </w:r>
    </w:p>
    <w:p>
      <w:pPr>
        <w:spacing w:after="80"/>
      </w:pPr>
      <w:r>
        <w:rPr>
          <w:b/>
          <w:i w:val="0"/>
        </w:rPr>
        <w:t xml:space="preserve">Against, or uncertain: </w:t>
      </w:r>
      <w:r>
        <w:rPr>
          <w:b w:val="0"/>
          <w:i w:val="0"/>
        </w:rPr>
        <w:t>An ambitious prognosis threshold can exclude patients with substantial incremental benefit, while an indolent tumor can have excellent post-LT survival and little incremental benefit. Local wait times and unequal access can reverse a study’s apparent advantage.</w:t>
      </w:r>
    </w:p>
    <w:p>
      <w:pPr>
        <w:spacing w:after="80"/>
      </w:pPr>
      <w:r>
        <w:rPr>
          <w:b/>
          <w:i w:val="0"/>
        </w:rPr>
        <w:t xml:space="preserve">Certainty: </w:t>
      </w:r>
      <w:r>
        <w:rPr>
          <w:b w:val="0"/>
          <w:i w:val="0"/>
        </w:rPr>
        <w:t>Benefit evidence differs by disease: randomized selected CRLM/HCC pathways cannot be generalized to all expanded indications. Ethical principles are authoritative frameworks, not empirically optimized allocation weights.</w:t>
      </w:r>
    </w:p>
    <w:p>
      <w:pPr>
        <w:spacing w:after="80"/>
      </w:pPr>
      <w:r>
        <w:rPr>
          <w:b/>
          <w:i w:val="0"/>
        </w:rPr>
        <w:t xml:space="preserve">Tests and records: </w:t>
      </w:r>
      <w:r>
        <w:rPr>
          <w:b w:val="0"/>
          <w:i w:val="0"/>
        </w:rPr>
        <w:t>Same-eligibility/time-zero comparator; expected access; dropout; donor/graft type; uncertainty intervals; graft loss/retransplant estimate; written independent reviews.</w:t>
      </w:r>
    </w:p>
    <w:p>
      <w:pPr>
        <w:spacing w:after="80"/>
      </w:pPr>
      <w:r>
        <w:rPr>
          <w:b/>
          <w:i w:val="0"/>
        </w:rPr>
        <w:t xml:space="preserve">Allocation: </w:t>
      </w:r>
      <w:r>
        <w:rPr>
          <w:b w:val="0"/>
          <w:i w:val="0"/>
        </w:rPr>
        <w:t>Only the applicable allocation process determines priority. Favorable post-LT prognosis, evidence grade and urgency are not interchangeable measures.</w:t>
      </w:r>
    </w:p>
    <w:p>
      <w:pPr>
        <w:spacing w:after="40"/>
      </w:pPr>
      <w:r>
        <w:rPr>
          <w:b/>
          <w:i w:val="0"/>
        </w:rPr>
        <w:t xml:space="preserve">Basis for the proposed thresholds: </w:t>
      </w:r>
    </w:p>
    <w:p>
      <w:pPr>
        <w:numPr>
          <w:ilvl w:val="0"/>
          <w:numId w:val="5"/>
        </w:numPr>
        <w:spacing w:after="40"/>
      </w:pPr>
      <w:r>
        <w:rPr>
          <w:b w:val="0"/>
          <w:i w:val="0"/>
        </w:rPr>
        <w:t>Two reviewers: local independence safeguard, not validated optimum.</w:t>
      </w:r>
    </w:p>
    <w:p>
      <w:pPr>
        <w:numPr>
          <w:ilvl w:val="0"/>
          <w:numId w:val="5"/>
        </w:numPr>
        <w:spacing w:after="40"/>
      </w:pPr>
      <w:r>
        <w:rPr>
          <w:b w:val="0"/>
          <w:i w:val="0"/>
        </w:rPr>
        <w:t>6/12/18 months: sensitivity scenarios for access/dropout, not mandatory waits.</w:t>
      </w:r>
    </w:p>
    <w:p>
      <w:pPr>
        <w:numPr>
          <w:ilvl w:val="0"/>
          <w:numId w:val="5"/>
        </w:numPr>
        <w:spacing w:after="40"/>
      </w:pPr>
      <w:r>
        <w:rPr>
          <w:b w:val="0"/>
          <w:i w:val="0"/>
        </w:rPr>
        <w:t>HCC ≥60% five-year ITT OS: one expert trial-design benchmark; not a cross-cancer allocation policy.</w:t>
      </w:r>
    </w:p>
    <w:p>
      <w:pPr>
        <w:numPr>
          <w:ilvl w:val="0"/>
          <w:numId w:val="5"/>
        </w:numPr>
        <w:spacing w:after="40"/>
      </w:pPr>
      <w:r>
        <w:rPr>
          <w:b w:val="0"/>
          <w:i w:val="0"/>
        </w:rPr>
        <w:t>All grafts: count initial and rescue/retransplant grafts; donor morbidity remains a separate outcome.</w:t>
      </w:r>
    </w:p>
    <w:p>
      <w:pPr>
        <w:pStyle w:val="Heading3"/>
        <w:keepNext/>
        <w:spacing w:before="120" w:after="80"/>
      </w:pPr>
      <w:r>
        <w:rPr>
          <w:b w:val="0"/>
          <w:i w:val="0"/>
        </w:rPr>
        <w:t>ALLOC-B2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ALLOC-B3 — Protect the living donor</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must donor consent and follow-up include?</w:t>
      </w:r>
    </w:p>
    <w:p>
      <w:pPr>
        <w:spacing w:after="120"/>
      </w:pPr>
      <w:r>
        <w:rPr>
          <w:b/>
          <w:i w:val="0"/>
          <w:sz w:val="18"/>
        </w:rPr>
        <w:t xml:space="preserve">Web page: </w:t>
      </w:r>
      <w:hyperlink r:id="rId21">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OPTN policy</w:t>
            </w:r>
          </w:p>
        </w:tc>
        <w:tc>
          <w:tcPr>
            <w:tcW w:type="dxa" w:w="3360"/>
            <w:tcW w:w="5480" w:type="dxa"/>
            <w:shd w:val="clear" w:color="auto" w:fill="F1F5F8"/>
          </w:tcPr>
          <w:p>
            <w:pPr>
              <w:spacing w:after="0"/>
            </w:pPr>
            <w:r>
              <w:rPr>
                <w:b w:val="0"/>
                <w:i w:val="0"/>
                <w:sz w:val="19"/>
              </w:rPr>
              <w:t>“Has been informed that he or she may decline to donate at any time” Withdrawal must remain meaningful and independent of recipient pressure.</w:t>
            </w:r>
          </w:p>
        </w:tc>
        <w:tc>
          <w:tcPr>
            <w:tcW w:type="dxa" w:w="3360"/>
            <w:tcW w:w="2400" w:type="dxa"/>
            <w:shd w:val="clear" w:color="auto" w:fill="F1F5F8"/>
          </w:tcPr>
          <w:p>
            <w:pPr>
              <w:spacing w:after="0"/>
            </w:pPr>
            <w:r>
              <w:rPr>
                <w:b w:val="0"/>
                <w:i w:val="0"/>
                <w:color w:val="5A6069"/>
                <w:sz w:val="18"/>
              </w:rPr>
              <w:t>Policy 14.3, PDF p286, living donor informed consent</w:t>
            </w:r>
          </w:p>
        </w:tc>
      </w:tr>
      <w:tr>
        <w:trPr>
          <w:cantSplit/>
        </w:trPr>
        <w:tc>
          <w:tcPr>
            <w:tcW w:type="dxa" w:w="3360"/>
            <w:tcW w:w="2200" w:type="dxa"/>
            <w:shd w:val="clear" w:color="auto" w:fill="FFFFFF"/>
          </w:tcPr>
          <w:p>
            <w:pPr>
              <w:spacing w:after="0"/>
            </w:pPr>
            <w:r>
              <w:rPr>
                <w:b/>
                <w:i w:val="0"/>
                <w:sz w:val="19"/>
              </w:rPr>
              <w:t>Kelly 2026</w:t>
            </w:r>
          </w:p>
        </w:tc>
        <w:tc>
          <w:tcPr>
            <w:tcW w:type="dxa" w:w="3360"/>
            <w:tcW w:w="5480" w:type="dxa"/>
            <w:shd w:val="clear" w:color="auto" w:fill="FFFFFF"/>
          </w:tcPr>
          <w:p>
            <w:pPr>
              <w:spacing w:after="0"/>
            </w:pPr>
            <w:r>
              <w:rPr>
                <w:b w:val="0"/>
                <w:i w:val="0"/>
                <w:sz w:val="19"/>
              </w:rPr>
              <w:t>“Availability of secondary-outcome data declined over follow-up” Incomplete recovery follow-up limits reassurance from low mortality alone.</w:t>
            </w:r>
          </w:p>
        </w:tc>
        <w:tc>
          <w:tcPr>
            <w:tcW w:type="dxa" w:w="3360"/>
            <w:tcW w:w="2400" w:type="dxa"/>
            <w:shd w:val="clear" w:color="auto" w:fill="FFFFFF"/>
          </w:tcPr>
          <w:p>
            <w:pPr>
              <w:spacing w:after="0"/>
            </w:pPr>
            <w:r>
              <w:rPr>
                <w:b w:val="0"/>
                <w:i w:val="0"/>
                <w:color w:val="5A6069"/>
                <w:sz w:val="18"/>
              </w:rPr>
              <w:t>2026 full report, section 3.1</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Kelly 2026</w:t>
            </w:r>
          </w:p>
        </w:tc>
        <w:tc>
          <w:tcPr>
            <w:tcW w:type="dxa" w:w="3360"/>
            <w:tcW w:w="3900" w:type="dxa"/>
            <w:shd w:val="clear" w:color="auto" w:fill="F1F5F8"/>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1F5F8"/>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FFFFF"/>
          </w:tcPr>
          <w:p>
            <w:pPr>
              <w:spacing w:after="0"/>
            </w:pPr>
            <w:r>
              <w:rPr>
                <w:b/>
                <w:i w:val="0"/>
                <w:sz w:val="19"/>
              </w:rPr>
              <w:t>Abecassis 2012</w:t>
            </w:r>
          </w:p>
        </w:tc>
        <w:tc>
          <w:tcPr>
            <w:tcW w:type="dxa" w:w="3360"/>
            <w:tcW w:w="3900" w:type="dxa"/>
            <w:shd w:val="clear" w:color="auto" w:fill="FFFFFF"/>
          </w:tcPr>
          <w:p>
            <w:pPr>
              <w:spacing w:after="0"/>
            </w:pPr>
            <w:r>
              <w:rPr>
                <w:b w:val="0"/>
                <w:i w:val="0"/>
                <w:sz w:val="19"/>
              </w:rPr>
              <w:t>A2ALL cohort: 760 donor operations begun; 740 completed, mostly right lobes. Multicenter selected donors, older era; standardized complication ascertainment.</w:t>
            </w:r>
          </w:p>
        </w:tc>
        <w:tc>
          <w:tcPr>
            <w:tcW w:type="dxa" w:w="3360"/>
            <w:tcW w:w="4180" w:type="dxa"/>
            <w:shd w:val="clear" w:color="auto" w:fill="FFFFFF"/>
          </w:tcPr>
          <w:p>
            <w:pPr>
              <w:spacing w:after="0"/>
            </w:pPr>
            <w:r>
              <w:rPr>
                <w:b w:val="0"/>
                <w:i w:val="0"/>
                <w:sz w:val="19"/>
              </w:rPr>
              <w:t>296/740 (40%) had ≥1 complication; 20/760 operations aborted. Five grade-3 residual-disability events and three grade-4 deaths were reported; two deaths were late, not perioperative.</w:t>
            </w:r>
          </w:p>
          <w:p>
            <w:pPr>
              <w:spacing w:after="0"/>
            </w:pPr>
            <w:r>
              <w:rPr>
                <w:b w:val="0"/>
                <w:i/>
                <w:sz w:val="19"/>
              </w:rPr>
              <w:t>Limits: Different grading/eras from modern cohorts; A2ALL partly overlaps US registry data. Late hernia/psychological events support follow-up beyond surgical recovery.</w:t>
            </w:r>
          </w:p>
          <w:p>
            <w:pPr>
              <w:spacing w:after="0"/>
            </w:pPr>
            <w:r>
              <w:rPr>
                <w:b w:val="0"/>
                <w:i w:val="0"/>
                <w:color w:val="5A6069"/>
                <w:sz w:val="18"/>
              </w:rPr>
              <w:t>Methods and Results; complications tables, Am J Transplant 12:1208–1217.</w:t>
            </w:r>
          </w:p>
        </w:tc>
      </w:tr>
      <w:tr>
        <w:trPr>
          <w:cantSplit/>
        </w:trPr>
        <w:tc>
          <w:tcPr>
            <w:tcW w:type="dxa" w:w="3360"/>
            <w:tcW w:w="2000" w:type="dxa"/>
            <w:shd w:val="clear" w:color="auto" w:fill="F1F5F8"/>
          </w:tcPr>
          <w:p>
            <w:pPr>
              <w:spacing w:after="0"/>
            </w:pPr>
            <w:r>
              <w:rPr>
                <w:b/>
                <w:i w:val="0"/>
                <w:sz w:val="19"/>
              </w:rPr>
              <w:t>DiMartini 2017</w:t>
            </w:r>
          </w:p>
        </w:tc>
        <w:tc>
          <w:tcPr>
            <w:tcW w:type="dxa" w:w="3360"/>
            <w:tcW w:w="3900" w:type="dxa"/>
            <w:shd w:val="clear" w:color="auto" w:fill="F1F5F8"/>
          </w:tcPr>
          <w:p>
            <w:pPr>
              <w:spacing w:after="0"/>
            </w:pPr>
            <w:r>
              <w:rPr>
                <w:b w:val="0"/>
                <w:i w:val="0"/>
                <w:sz w:val="19"/>
              </w:rPr>
              <w:t>Prospective A2ALL-2 interviews: 271/297 eligible donors, before and through 24 months after donation. Costs and social recovery reported by participants, not randomized financial support.</w:t>
            </w:r>
          </w:p>
        </w:tc>
        <w:tc>
          <w:tcPr>
            <w:tcW w:type="dxa" w:w="3360"/>
            <w:tcW w:w="4180" w:type="dxa"/>
            <w:shd w:val="clear" w:color="auto" w:fill="F1F5F8"/>
          </w:tcPr>
          <w:p>
            <w:pPr>
              <w:spacing w:after="0"/>
            </w:pPr>
            <w:r>
              <w:rPr>
                <w:b w:val="0"/>
                <w:i w:val="0"/>
                <w:sz w:val="19"/>
              </w:rPr>
              <w:t>Across follow-up, 75% reported nonmedical out-of-pocket expenses and 45% lost wages. Clinical recovery alone therefore misses an important burden of donation.</w:t>
            </w:r>
          </w:p>
          <w:p>
            <w:pPr>
              <w:spacing w:after="0"/>
            </w:pPr>
            <w:r>
              <w:rPr>
                <w:b w:val="0"/>
                <w:i/>
                <w:sz w:val="19"/>
              </w:rPr>
              <w:t>Limits: Response/recall and selected-center limitations. Does not validate a particular five-year schedule or predict an individual donor’s financial outcome.</w:t>
            </w:r>
          </w:p>
          <w:p>
            <w:pPr>
              <w:spacing w:after="0"/>
            </w:pPr>
            <w:r>
              <w:rPr>
                <w:b w:val="0"/>
                <w:i w:val="0"/>
                <w:color w:val="5A6069"/>
                <w:sz w:val="18"/>
              </w:rPr>
              <w:t>Financial Outcomes section and expense tables; Am J Transplant 17:1081–1096.</w:t>
            </w:r>
          </w:p>
        </w:tc>
      </w:tr>
      <w:tr>
        <w:trPr>
          <w:cantSplit/>
        </w:trPr>
        <w:tc>
          <w:tcPr>
            <w:tcW w:type="dxa" w:w="3360"/>
            <w:tcW w:w="2000" w:type="dxa"/>
            <w:shd w:val="clear" w:color="auto" w:fill="FFFFFF"/>
          </w:tcPr>
          <w:p>
            <w:pPr>
              <w:spacing w:after="0"/>
            </w:pPr>
            <w:r>
              <w:rPr>
                <w:b/>
                <w:i w:val="0"/>
                <w:sz w:val="19"/>
              </w:rPr>
              <w:t>Xiao 2024</w:t>
            </w:r>
          </w:p>
        </w:tc>
        <w:tc>
          <w:tcPr>
            <w:tcW w:type="dxa" w:w="3360"/>
            <w:tcW w:w="3900" w:type="dxa"/>
            <w:shd w:val="clear" w:color="auto" w:fill="FFFFFF"/>
          </w:tcPr>
          <w:p>
            <w:pPr>
              <w:spacing w:after="0"/>
            </w:pPr>
            <w:r>
              <w:rPr>
                <w:b w:val="0"/>
                <w:i w:val="0"/>
                <w:sz w:val="19"/>
              </w:rPr>
              <w:t>Published meta-analysis of 60,829 donors; primary abstract reports 87 articles. Heterogeneous centers, eras and complication definitions; full overlap audit pending.</w:t>
            </w:r>
          </w:p>
        </w:tc>
        <w:tc>
          <w:tcPr>
            <w:tcW w:type="dxa" w:w="3360"/>
            <w:tcW w:w="4180" w:type="dxa"/>
            <w:shd w:val="clear" w:color="auto" w:fill="FFFFFF"/>
          </w:tcPr>
          <w:p>
            <w:pPr>
              <w:spacing w:after="0"/>
            </w:pPr>
            <w:r>
              <w:rPr>
                <w:b w:val="0"/>
                <w:i w:val="0"/>
                <w:sz w:val="19"/>
              </w:rPr>
              <w:t>Pooled any complication 24.7% (95% CI 21.6–28.1), major 5.5% (4.5–6.7); mortality 0.06% among 49,027 with mortality data.</w:t>
            </w:r>
          </w:p>
          <w:p>
            <w:pPr>
              <w:spacing w:after="0"/>
            </w:pPr>
            <w:r>
              <w:rPr>
                <w:b w:val="0"/>
                <w:i/>
                <w:sz w:val="19"/>
              </w:rPr>
              <w:t>Limits: Primary-abstract extraction; not an independent extra 60,829 patients beyond registries. Do not combine with Kelly/A2ALL or promise these rates locally.</w:t>
            </w:r>
          </w:p>
          <w:p>
            <w:pPr>
              <w:spacing w:after="0"/>
            </w:pPr>
            <w:r>
              <w:rPr>
                <w:b w:val="0"/>
                <w:i w:val="0"/>
                <w:color w:val="5A6069"/>
                <w:sz w:val="18"/>
              </w:rPr>
              <w:t>Published journal abstract; complete PDF requested.</w:t>
            </w:r>
          </w:p>
        </w:tc>
      </w:tr>
      <w:tr>
        <w:trPr>
          <w:cantSplit/>
        </w:trPr>
        <w:tc>
          <w:tcPr>
            <w:tcW w:type="dxa" w:w="3360"/>
            <w:tcW w:w="2000" w:type="dxa"/>
            <w:shd w:val="clear" w:color="auto" w:fill="F1F5F8"/>
          </w:tcPr>
          <w:p>
            <w:pPr>
              <w:spacing w:after="0"/>
            </w:pPr>
            <w:r>
              <w:rPr>
                <w:b/>
                <w:i w:val="0"/>
                <w:sz w:val="19"/>
              </w:rPr>
              <w:t>OPTN policy</w:t>
            </w:r>
          </w:p>
        </w:tc>
        <w:tc>
          <w:tcPr>
            <w:tcW w:type="dxa" w:w="3360"/>
            <w:tcW w:w="3900" w:type="dxa"/>
            <w:shd w:val="clear" w:color="auto" w:fill="F1F5F8"/>
          </w:tcPr>
          <w:p>
            <w:pPr>
              <w:spacing w:after="0"/>
            </w:pPr>
            <w:r>
              <w:rPr>
                <w:b w:val="0"/>
                <w:i w:val="0"/>
                <w:sz w:val="19"/>
              </w:rPr>
              <w:t>Binding OPTN policy posting effective 1 October 2026, checked 24 October 2026. Clinical candidacy, exception scoring, living-donor protection and reporting have different policy sections.</w:t>
            </w:r>
          </w:p>
        </w:tc>
        <w:tc>
          <w:tcPr>
            <w:tcW w:type="dxa" w:w="3360"/>
            <w:tcW w:w="4180" w:type="dxa"/>
            <w:shd w:val="clear" w:color="auto" w:fill="F1F5F8"/>
          </w:tcPr>
          <w:p>
            <w:pPr>
              <w:spacing w:after="0"/>
            </w:pPr>
            <w:r>
              <w:rPr>
                <w:b w:val="0"/>
                <w:i w:val="0"/>
                <w:sz w:val="19"/>
              </w:rPr>
              <w:t>Policy 9 governs liver allocation; Policy 14 requires independent donor advocacy/consent; Policy 18 specifies reporting. None establishes a universal cancer-benefit cutoff.</w:t>
            </w:r>
          </w:p>
          <w:p>
            <w:pPr>
              <w:spacing w:after="0"/>
            </w:pPr>
            <w:r>
              <w:rPr>
                <w:b w:val="0"/>
                <w:i/>
                <w:sz w:val="19"/>
              </w:rPr>
              <w:t>Limits: A center’s additional safeguards are not national policy. Review the active text and applicability before individual decisions.</w:t>
            </w:r>
          </w:p>
          <w:p>
            <w:pPr>
              <w:spacing w:after="0"/>
            </w:pPr>
            <w:r>
              <w:rPr>
                <w:b w:val="0"/>
                <w:i w:val="0"/>
                <w:color w:val="5A6069"/>
                <w:sz w:val="18"/>
              </w:rPr>
              <w:t>Policies 9, 14.2–14.4 and 18; current official PDF.</w:t>
            </w:r>
          </w:p>
        </w:tc>
      </w:tr>
    </w:tbl>
    <w:p>
      <w:pPr>
        <w:spacing w:after="40"/>
      </w:pPr>
    </w:p>
    <w:p>
      <w:pPr>
        <w:pStyle w:val="Heading3"/>
        <w:keepNext/>
        <w:spacing w:before="120" w:after="80"/>
      </w:pPr>
      <w:r>
        <w:rPr>
          <w:b w:val="0"/>
          <w:i w:val="0"/>
        </w:rPr>
        <w:t>Our proposed selection (OPEN)</w:t>
      </w:r>
    </w:p>
    <w:p>
      <w:pPr>
        <w:spacing w:after="80"/>
      </w:pPr>
      <w:r>
        <w:rPr>
          <w:b w:val="0"/>
          <w:i w:val="0"/>
        </w:rPr>
        <w:t>Do not relax donor criteria; fund independent follow-up and pause after a serious sentinel donor event.</w:t>
      </w:r>
    </w:p>
    <w:p>
      <w:pPr>
        <w:numPr>
          <w:ilvl w:val="0"/>
          <w:numId w:val="5"/>
        </w:numPr>
        <w:spacing w:after="40"/>
      </w:pPr>
      <w:r>
        <w:rPr>
          <w:b w:val="0"/>
          <w:i w:val="0"/>
        </w:rPr>
        <w:t>Proposed readiness requirements: independent donor evaluation/advocacy, documented freedom to withdraw, recipient-benefit uncertainty consent, and funded medical, psychological, recovery and financial follow-up before investigational LDLT.</w:t>
      </w:r>
    </w:p>
    <w:p>
      <w:pPr>
        <w:numPr>
          <w:ilvl w:val="0"/>
          <w:numId w:val="5"/>
        </w:numPr>
        <w:spacing w:after="40"/>
      </w:pPr>
      <w:r>
        <w:rPr>
          <w:b w:val="0"/>
          <w:i w:val="0"/>
        </w:rPr>
        <w:t>Proposed local follow-up: baseline, six weeks, six months, one year, two years, then annually through five years. Meet current OPTN reporting duties separately; this five-year support plan is not claimed to be a national reporting requirement.</w:t>
      </w:r>
    </w:p>
    <w:p>
      <w:pPr>
        <w:numPr>
          <w:ilvl w:val="0"/>
          <w:numId w:val="5"/>
        </w:numPr>
        <w:spacing w:after="40"/>
      </w:pPr>
      <w:r>
        <w:rPr>
          <w:b w:val="0"/>
          <w:i w:val="0"/>
        </w:rPr>
        <w:t>One donor death, life-threatening complication, permanent major disability or liver failure requiring transplantation triggers an immediate pause of the relevant investigational LDLT activity and independent review. Other serious donor harm also warrants review; reopening needs independent authorization.</w:t>
      </w:r>
    </w:p>
    <w:p>
      <w:pPr>
        <w:spacing w:after="80"/>
      </w:pPr>
      <w:r>
        <w:rPr>
          <w:b/>
          <w:i w:val="0"/>
        </w:rPr>
        <w:t xml:space="preserve">Why: </w:t>
      </w:r>
      <w:r>
        <w:rPr>
          <w:b w:val="0"/>
          <w:i w:val="0"/>
        </w:rPr>
        <w:t>Donor mortality is low but not zero; complication, recovery and financial burdens are more frequent. Registry missingness and selected healthy donors limit reassurance. Consent must include uncertain recipient benefit, recurrence and possible early graft loss, without pressure to proceed or relax donor criteria.</w:t>
      </w:r>
    </w:p>
    <w:p>
      <w:pPr>
        <w:spacing w:after="80"/>
      </w:pPr>
      <w:r>
        <w:rPr>
          <w:b/>
          <w:i w:val="0"/>
        </w:rPr>
        <w:t xml:space="preserve">Against, or uncertain: </w:t>
      </w:r>
      <w:r>
        <w:rPr>
          <w:b w:val="0"/>
          <w:i w:val="0"/>
        </w:rPr>
        <w:t>Older A2ALL complication rates and modern SRTR mortality are different outcomes from overlapping eras/cohorts; do not pool them. Five-year support is a reasonable local response to late morbidity, not a proven optimal schedule. Social vulnerability should trigger assistance, not categorical exclusion.</w:t>
      </w:r>
    </w:p>
    <w:p>
      <w:pPr>
        <w:spacing w:after="80"/>
      </w:pPr>
      <w:r>
        <w:rPr>
          <w:b/>
          <w:i w:val="0"/>
        </w:rPr>
        <w:t xml:space="preserve">Certainty: </w:t>
      </w:r>
      <w:r>
        <w:rPr>
          <w:b w:val="0"/>
          <w:i w:val="0"/>
        </w:rPr>
        <w:t>Moderate certainty for the existence of material donor burden; lower certainty for individual risk and long-term recovery because of incomplete follow-up. No oncology-specific randomized donor-safety comparison.</w:t>
      </w:r>
    </w:p>
    <w:p>
      <w:pPr>
        <w:spacing w:after="80"/>
      </w:pPr>
      <w:r>
        <w:rPr>
          <w:b/>
          <w:i w:val="0"/>
        </w:rPr>
        <w:t xml:space="preserve">Tests and records: </w:t>
      </w:r>
      <w:r>
        <w:rPr>
          <w:b w:val="0"/>
          <w:i w:val="0"/>
        </w:rPr>
        <w:t>Graft/resection-specific and center-specific risk; donor recovery/employment baseline; independent consent and advocate records; funded follow-up/support; sentinel-event response owner.</w:t>
      </w:r>
    </w:p>
    <w:p>
      <w:pPr>
        <w:spacing w:after="80"/>
      </w:pPr>
      <w:r>
        <w:rPr>
          <w:b/>
          <w:i w:val="0"/>
        </w:rPr>
        <w:t xml:space="preserve">Allocation: </w:t>
      </w:r>
      <w:r>
        <w:rPr>
          <w:b w:val="0"/>
          <w:i w:val="0"/>
        </w:rPr>
        <w:t>LDLT clearance is separate from recipient selection; the potential need for retransplantation must be included in organ-use discussions.</w:t>
      </w:r>
    </w:p>
    <w:p>
      <w:pPr>
        <w:spacing w:after="40"/>
      </w:pPr>
      <w:r>
        <w:rPr>
          <w:b/>
          <w:i w:val="0"/>
        </w:rPr>
        <w:t xml:space="preserve">Basis for the proposed thresholds: </w:t>
      </w:r>
    </w:p>
    <w:p>
      <w:pPr>
        <w:numPr>
          <w:ilvl w:val="0"/>
          <w:numId w:val="5"/>
        </w:numPr>
        <w:spacing w:after="40"/>
      </w:pPr>
      <w:r>
        <w:rPr>
          <w:b w:val="0"/>
          <w:i w:val="0"/>
        </w:rPr>
        <w:t>Baseline/6 weeks/6 months/1/2 years then annually to five: proposed support schedule; current mandatory reporting remains separately checked.</w:t>
      </w:r>
    </w:p>
    <w:p>
      <w:pPr>
        <w:numPr>
          <w:ilvl w:val="0"/>
          <w:numId w:val="5"/>
        </w:numPr>
        <w:spacing w:after="40"/>
      </w:pPr>
      <w:r>
        <w:rPr>
          <w:b w:val="0"/>
          <w:i w:val="0"/>
        </w:rPr>
        <w:t>One sentinel event: conservative review/pause trigger, not a statistically estimated harm boundary.</w:t>
      </w:r>
    </w:p>
    <w:p>
      <w:pPr>
        <w:numPr>
          <w:ilvl w:val="0"/>
          <w:numId w:val="5"/>
        </w:numPr>
        <w:spacing w:after="40"/>
      </w:pPr>
      <w:r>
        <w:rPr>
          <w:b w:val="0"/>
          <w:i w:val="0"/>
        </w:rPr>
        <w:t>No relaxed donor criteria: protection against shifting uncertain recipient benefit onto a healthy person.</w:t>
      </w:r>
    </w:p>
    <w:p>
      <w:pPr>
        <w:pStyle w:val="Heading3"/>
        <w:keepNext/>
        <w:spacing w:before="120" w:after="80"/>
      </w:pPr>
      <w:r>
        <w:rPr>
          <w:b w:val="0"/>
          <w:i w:val="0"/>
        </w:rPr>
        <w:t>ALLOC-B3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2"/>
        <w:keepNext/>
        <w:spacing w:before="200" w:after="80"/>
      </w:pPr>
      <w:r>
        <w:rPr>
          <w:b w:val="0"/>
          <w:i w:val="0"/>
        </w:rPr>
        <w:t>ALLOC-B4 — Monitor all patients considered for the study</w:t>
      </w:r>
    </w:p>
    <w:p>
      <w:pPr>
        <w:spacing w:after="80"/>
      </w:pPr>
      <w:r>
        <w:rPr>
          <w:b w:val="0"/>
          <w:i w:val="0"/>
          <w:color w:val="5A6069"/>
          <w:sz w:val="18"/>
        </w:rPr>
        <w:t>OPEN proposal · not activated · Shared approval requirement</w:t>
      </w:r>
    </w:p>
    <w:p>
      <w:pPr>
        <w:spacing w:after="80"/>
      </w:pPr>
      <w:r>
        <w:rPr>
          <w:b/>
          <w:i w:val="0"/>
        </w:rPr>
        <w:t xml:space="preserve">Question: </w:t>
      </w:r>
      <w:r>
        <w:rPr>
          <w:b w:val="0"/>
          <w:i w:val="0"/>
        </w:rPr>
        <w:t>What data are required before expansion?</w:t>
      </w:r>
    </w:p>
    <w:p>
      <w:pPr>
        <w:spacing w:after="120"/>
      </w:pPr>
      <w:r>
        <w:rPr>
          <w:b/>
          <w:i w:val="0"/>
          <w:sz w:val="18"/>
        </w:rPr>
        <w:t xml:space="preserve">Web page: </w:t>
      </w:r>
      <w:hyperlink r:id="rId22">
        <w:r>
          <w:rPr>
            <w:color w:val="0563C1"/>
            <w:u w:val="single"/>
            <w:sz w:val="18"/>
          </w:rPr>
          <w:t xml:space="preserve">open this question on the website</w:t>
        </w:r>
      </w:hyperlink>
    </w:p>
    <w:p>
      <w:pPr>
        <w:pStyle w:val="Heading3"/>
        <w:keepNext/>
        <w:spacing w:before="120" w:after="80"/>
      </w:pPr>
      <w:r>
        <w:rPr>
          <w:b w:val="0"/>
          <w:i w:val="0"/>
        </w:rPr>
        <w:t>Positions of guidelines, trials and papers</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200"/>
        <w:gridCol w:w="5480"/>
        <w:gridCol w:w="2400"/>
      </w:tblGrid>
      <w:tr>
        <w:trPr>
          <w:tblHeader/>
        </w:trPr>
        <w:tc>
          <w:tcPr>
            <w:tcW w:type="dxa" w:w="3360"/>
            <w:tcW w:w="2200" w:type="dxa"/>
            <w:shd w:val="clear" w:color="auto" w:fill="17365D"/>
          </w:tcPr>
          <w:p>
            <w:r>
              <w:rPr>
                <w:b/>
                <w:i w:val="0"/>
                <w:color w:val="FFFFFF"/>
                <w:sz w:val="19"/>
              </w:rPr>
              <w:t>Source</w:t>
            </w:r>
          </w:p>
        </w:tc>
        <w:tc>
          <w:tcPr>
            <w:tcW w:type="dxa" w:w="3360"/>
            <w:tcW w:w="5480" w:type="dxa"/>
            <w:shd w:val="clear" w:color="auto" w:fill="17365D"/>
          </w:tcPr>
          <w:p>
            <w:r>
              <w:rPr>
                <w:b/>
                <w:i w:val="0"/>
                <w:color w:val="FFFFFF"/>
                <w:sz w:val="19"/>
              </w:rPr>
              <w:t>Position</w:t>
            </w:r>
          </w:p>
        </w:tc>
        <w:tc>
          <w:tcPr>
            <w:tcW w:type="dxa" w:w="3360"/>
            <w:tcW w:w="2400" w:type="dxa"/>
            <w:shd w:val="clear" w:color="auto" w:fill="17365D"/>
          </w:tcPr>
          <w:p>
            <w:r>
              <w:rPr>
                <w:b/>
                <w:i w:val="0"/>
                <w:color w:val="FFFFFF"/>
                <w:sz w:val="19"/>
              </w:rPr>
              <w:t>Where stated</w:t>
            </w:r>
          </w:p>
        </w:tc>
      </w:tr>
      <w:tr>
        <w:trPr>
          <w:cantSplit/>
        </w:trPr>
        <w:tc>
          <w:tcPr>
            <w:tcW w:type="dxa" w:w="3360"/>
            <w:tcW w:w="2200" w:type="dxa"/>
            <w:shd w:val="clear" w:color="auto" w:fill="F1F5F8"/>
          </w:tcPr>
          <w:p>
            <w:pPr>
              <w:spacing w:after="0"/>
            </w:pPr>
            <w:r>
              <w:rPr>
                <w:b/>
                <w:i w:val="0"/>
                <w:sz w:val="19"/>
              </w:rPr>
              <w:t>EASL–AASLD–ILCA 2026</w:t>
            </w:r>
          </w:p>
        </w:tc>
        <w:tc>
          <w:tcPr>
            <w:tcW w:type="dxa" w:w="3360"/>
            <w:tcW w:w="5480" w:type="dxa"/>
            <w:shd w:val="clear" w:color="auto" w:fill="F1F5F8"/>
          </w:tcPr>
          <w:p>
            <w:pPr>
              <w:spacing w:after="0"/>
            </w:pPr>
            <w:r>
              <w:rPr>
                <w:b w:val="0"/>
                <w:i w:val="0"/>
                <w:sz w:val="19"/>
              </w:rPr>
              <w:t>“5-year OS of at least 60%” The HCC trial-design source discusses a ≥60% five-year intention-to-treat benchmark. It is not a validated universal cross-cancer allocation rule and does not establish the proposed 5/10-patient monitoring counts.</w:t>
            </w:r>
          </w:p>
        </w:tc>
        <w:tc>
          <w:tcPr>
            <w:tcW w:type="dxa" w:w="3360"/>
            <w:tcW w:w="2400" w:type="dxa"/>
            <w:shd w:val="clear" w:color="auto" w:fill="F1F5F8"/>
          </w:tcPr>
          <w:p>
            <w:pPr>
              <w:spacing w:after="0"/>
            </w:pPr>
            <w:r>
              <w:rPr>
                <w:b w:val="0"/>
                <w:i w:val="0"/>
                <w:color w:val="5A6069"/>
                <w:sz w:val="18"/>
              </w:rPr>
              <w:t>EASL–AASLD–ILCA 2026 manuscript p20; ITT discussion pp21–22</w:t>
            </w:r>
          </w:p>
        </w:tc>
      </w:tr>
    </w:tbl>
    <w:p>
      <w:pPr>
        <w:spacing w:after="40"/>
      </w:pPr>
    </w:p>
    <w:p>
      <w:pPr>
        <w:pStyle w:val="Heading3"/>
        <w:keepNext/>
        <w:spacing w:before="120" w:after="80"/>
      </w:pPr>
      <w:r>
        <w:rPr>
          <w:b w:val="0"/>
          <w:i w:val="0"/>
        </w:rPr>
        <w:t>Evidence</w:t>
      </w:r>
    </w:p>
    <w:tbl>
      <w:tblPr>
        <w:tblW w:type="auto" w:w="0"/>
        <w:tblLook w:firstColumn="1" w:firstRow="1" w:lastColumn="0" w:lastRow="0" w:noHBand="0" w:noVBand="1" w:val="04A0"/>
        <w:tblW w:w="10080" w:type="dxa"/>
        <w:tblLayout w:type="fixed"/>
        <w:tblBorders>
          <w:top w:val="single" w:sz="4" w:color="CCD6DF"/>
          <w:left w:val="single" w:sz="4" w:color="CCD6DF"/>
          <w:bottom w:val="single" w:sz="4" w:color="CCD6DF"/>
          <w:right w:val="single" w:sz="4" w:color="CCD6DF"/>
          <w:insideH w:val="single" w:sz="4" w:color="CCD6DF"/>
          <w:insideV w:val="single" w:sz="4" w:color="CCD6DF"/>
        </w:tblBorders>
        <w:tblCellMar>
          <w:top w:w="90" w:type="dxa"/>
          <w:left w:w="90" w:type="dxa"/>
          <w:bottom w:w="90" w:type="dxa"/>
          <w:right w:w="90" w:type="dxa"/>
        </w:tblCellMar>
      </w:tblPr>
      <w:tblGrid>
        <w:gridCol w:w="2000"/>
        <w:gridCol w:w="3900"/>
        <w:gridCol w:w="4180"/>
      </w:tblGrid>
      <w:tr>
        <w:trPr>
          <w:tblHeader/>
        </w:trPr>
        <w:tc>
          <w:tcPr>
            <w:tcW w:type="dxa" w:w="3360"/>
            <w:tcW w:w="2000" w:type="dxa"/>
            <w:shd w:val="clear" w:color="auto" w:fill="17365D"/>
          </w:tcPr>
          <w:p>
            <w:r>
              <w:rPr>
                <w:b/>
                <w:i w:val="0"/>
                <w:color w:val="FFFFFF"/>
                <w:sz w:val="19"/>
              </w:rPr>
              <w:t>Source</w:t>
            </w:r>
          </w:p>
        </w:tc>
        <w:tc>
          <w:tcPr>
            <w:tcW w:type="dxa" w:w="3360"/>
            <w:tcW w:w="3900" w:type="dxa"/>
            <w:shd w:val="clear" w:color="auto" w:fill="17365D"/>
          </w:tcPr>
          <w:p>
            <w:r>
              <w:rPr>
                <w:b/>
                <w:i w:val="0"/>
                <w:color w:val="FFFFFF"/>
                <w:sz w:val="19"/>
              </w:rPr>
              <w:t>Population and selection</w:t>
            </w:r>
          </w:p>
        </w:tc>
        <w:tc>
          <w:tcPr>
            <w:tcW w:type="dxa" w:w="3360"/>
            <w:tcW w:w="4180" w:type="dxa"/>
            <w:shd w:val="clear" w:color="auto" w:fill="17365D"/>
          </w:tcPr>
          <w:p>
            <w:r>
              <w:rPr>
                <w:b/>
                <w:i w:val="0"/>
                <w:color w:val="FFFFFF"/>
                <w:sz w:val="19"/>
              </w:rPr>
              <w:t>Results, limits and location</w:t>
            </w:r>
          </w:p>
        </w:tc>
      </w:tr>
      <w:tr>
        <w:trPr>
          <w:cantSplit/>
        </w:trPr>
        <w:tc>
          <w:tcPr>
            <w:tcW w:type="dxa" w:w="3360"/>
            <w:tcW w:w="2000" w:type="dxa"/>
            <w:shd w:val="clear" w:color="auto" w:fill="F1F5F8"/>
          </w:tcPr>
          <w:p>
            <w:pPr>
              <w:spacing w:after="0"/>
            </w:pPr>
            <w:r>
              <w:rPr>
                <w:b/>
                <w:i w:val="0"/>
                <w:sz w:val="19"/>
              </w:rPr>
              <w:t>EASL–AASLD–ILCA 2026</w:t>
            </w:r>
          </w:p>
        </w:tc>
        <w:tc>
          <w:tcPr>
            <w:tcW w:type="dxa" w:w="3360"/>
            <w:tcW w:w="3900" w:type="dxa"/>
            <w:shd w:val="clear" w:color="auto" w:fill="F1F5F8"/>
          </w:tcPr>
          <w:p>
            <w:pPr>
              <w:spacing w:after="0"/>
            </w:pPr>
            <w:r>
              <w:rPr>
                <w:b w:val="0"/>
                <w:i w:val="0"/>
                <w:sz w:val="19"/>
              </w:rPr>
              <w:t>EASL–AASLD–ILCA 2026 trial-design consensus, LT section. Separates standard/UNOS-DS, expanded intermediate HCC and advanced segmental vascular-invasion research populations.</w:t>
            </w:r>
          </w:p>
        </w:tc>
        <w:tc>
          <w:tcPr>
            <w:tcW w:type="dxa" w:w="3360"/>
            <w:tcW w:w="4180" w:type="dxa"/>
            <w:shd w:val="clear" w:color="auto" w:fill="F1F5F8"/>
          </w:tcPr>
          <w:p>
            <w:pPr>
              <w:spacing w:after="0"/>
            </w:pPr>
            <w:r>
              <w:rPr>
                <w:b w:val="0"/>
                <w:i w:val="0"/>
                <w:sz w:val="19"/>
              </w:rPr>
              <w:t>Calls for entry-level dropout/feasibility, ITT EFS/OS and graft/immune harms; discusses ≥60% five-year ITT OS benchmark in HCC.</w:t>
            </w:r>
          </w:p>
          <w:p>
            <w:pPr>
              <w:spacing w:after="0"/>
            </w:pPr>
            <w:r>
              <w:rPr>
                <w:b w:val="0"/>
                <w:i/>
                <w:sz w:val="19"/>
              </w:rPr>
              <w:t>Limits: Expert benchmark, not a validated cross-tumor allocation cutoff or a ten-patient stopping rule; mature five-year endpoints cannot be established after one year.</w:t>
            </w:r>
          </w:p>
          <w:p>
            <w:pPr>
              <w:spacing w:after="0"/>
            </w:pPr>
            <w:r>
              <w:rPr>
                <w:b w:val="0"/>
                <w:i w:val="0"/>
                <w:color w:val="5A6069"/>
                <w:sz w:val="18"/>
              </w:rPr>
              <w:t>Accepted manuscript pp19–22, LT trial design.</w:t>
            </w:r>
          </w:p>
        </w:tc>
      </w:tr>
      <w:tr>
        <w:trPr>
          <w:cantSplit/>
        </w:trPr>
        <w:tc>
          <w:tcPr>
            <w:tcW w:type="dxa" w:w="3360"/>
            <w:tcW w:w="2000" w:type="dxa"/>
            <w:shd w:val="clear" w:color="auto" w:fill="FFFFFF"/>
          </w:tcPr>
          <w:p>
            <w:pPr>
              <w:spacing w:after="0"/>
            </w:pPr>
            <w:r>
              <w:rPr>
                <w:b/>
                <w:i w:val="0"/>
                <w:sz w:val="19"/>
              </w:rPr>
              <w:t>Eldridge 2016</w:t>
            </w:r>
          </w:p>
        </w:tc>
        <w:tc>
          <w:tcPr>
            <w:tcW w:type="dxa" w:w="3360"/>
            <w:tcW w:w="3900" w:type="dxa"/>
            <w:shd w:val="clear" w:color="auto" w:fill="FFFFFF"/>
          </w:tcPr>
          <w:p>
            <w:pPr>
              <w:spacing w:after="0"/>
            </w:pPr>
            <w:r>
              <w:rPr>
                <w:b w:val="0"/>
                <w:i w:val="0"/>
                <w:sz w:val="19"/>
              </w:rPr>
              <w:t>CONSORT extension for randomized pilot/feasibility studies. Explores whether/how a definitive study can proceed, distinct from proving efficacy.</w:t>
            </w:r>
          </w:p>
        </w:tc>
        <w:tc>
          <w:tcPr>
            <w:tcW w:type="dxa" w:w="3360"/>
            <w:tcW w:w="4180" w:type="dxa"/>
            <w:shd w:val="clear" w:color="auto" w:fill="FFFFFF"/>
          </w:tcPr>
          <w:p>
            <w:pPr>
              <w:spacing w:after="0"/>
            </w:pPr>
            <w:r>
              <w:rPr>
                <w:b w:val="0"/>
                <w:i w:val="0"/>
                <w:sz w:val="19"/>
              </w:rPr>
              <w:t>Predefine feasibility objectives and progression criteria; justify sample size and report harms. These principles inform a staged pilot but do not validate our numbers.</w:t>
            </w:r>
          </w:p>
          <w:p>
            <w:pPr>
              <w:spacing w:after="0"/>
            </w:pPr>
            <w:r>
              <w:rPr>
                <w:b w:val="0"/>
                <w:i/>
                <w:sz w:val="19"/>
              </w:rPr>
              <w:t>Limits: Scope is randomized pilots; applying principles to single-arm transplant feasibility studies is explicitly an extrapolation.</w:t>
            </w:r>
          </w:p>
          <w:p>
            <w:pPr>
              <w:spacing w:after="0"/>
            </w:pPr>
            <w:r>
              <w:rPr>
                <w:b w:val="0"/>
                <w:i w:val="0"/>
                <w:color w:val="5A6069"/>
                <w:sz w:val="18"/>
              </w:rPr>
              <w:t>Scope statement and checklist items on objectives, sample size and progression criteria.</w:t>
            </w:r>
          </w:p>
        </w:tc>
      </w:tr>
      <w:tr>
        <w:trPr>
          <w:cantSplit/>
        </w:trPr>
        <w:tc>
          <w:tcPr>
            <w:tcW w:type="dxa" w:w="3360"/>
            <w:tcW w:w="2000" w:type="dxa"/>
            <w:shd w:val="clear" w:color="auto" w:fill="F1F5F8"/>
          </w:tcPr>
          <w:p>
            <w:pPr>
              <w:spacing w:after="0"/>
            </w:pPr>
            <w:r>
              <w:rPr>
                <w:b/>
                <w:i w:val="0"/>
                <w:sz w:val="19"/>
              </w:rPr>
              <w:t>HHS human-subject protections</w:t>
            </w:r>
          </w:p>
        </w:tc>
        <w:tc>
          <w:tcPr>
            <w:tcW w:type="dxa" w:w="3360"/>
            <w:tcW w:w="3900" w:type="dxa"/>
            <w:shd w:val="clear" w:color="auto" w:fill="F1F5F8"/>
          </w:tcPr>
          <w:p>
            <w:pPr>
              <w:spacing w:after="0"/>
            </w:pPr>
            <w:r>
              <w:rPr>
                <w:b w:val="0"/>
                <w:i w:val="0"/>
                <w:sz w:val="19"/>
              </w:rPr>
              <w:t>Federal human-subject protection regulation. Applicability determined by institutional research/regulatory review.</w:t>
            </w:r>
          </w:p>
        </w:tc>
        <w:tc>
          <w:tcPr>
            <w:tcW w:type="dxa" w:w="3360"/>
            <w:tcW w:w="4180" w:type="dxa"/>
            <w:shd w:val="clear" w:color="auto" w:fill="F1F5F8"/>
          </w:tcPr>
          <w:p>
            <w:pPr>
              <w:spacing w:after="0"/>
            </w:pPr>
            <w:r>
              <w:rPr>
                <w:b w:val="0"/>
                <w:i w:val="0"/>
                <w:sz w:val="19"/>
              </w:rPr>
              <w:t>46.111 requires risk minimization, reasonable risk–benefit, equitable selection, informed consent and appropriate monitoring. IRB approval is separate from OPTN allocation and clinical acceptance.</w:t>
            </w:r>
          </w:p>
          <w:p>
            <w:pPr>
              <w:spacing w:after="0"/>
            </w:pPr>
            <w:r>
              <w:rPr>
                <w:b w:val="0"/>
                <w:i/>
                <w:sz w:val="19"/>
              </w:rPr>
              <w:t>Limits: No prescribed ten-patient cap, five-patient interim or one-event statistical boundary; those require protocol-specific design and independent approval.</w:t>
            </w:r>
          </w:p>
          <w:p>
            <w:pPr>
              <w:spacing w:after="0"/>
            </w:pPr>
            <w:r>
              <w:rPr>
                <w:b w:val="0"/>
                <w:i w:val="0"/>
                <w:color w:val="5A6069"/>
                <w:sz w:val="18"/>
              </w:rPr>
              <w:t>45 CFR 46.111(a)(1–7), current official eCFR text checked 24 October 2026.</w:t>
            </w:r>
          </w:p>
        </w:tc>
      </w:tr>
      <w:tr>
        <w:trPr>
          <w:cantSplit/>
        </w:trPr>
        <w:tc>
          <w:tcPr>
            <w:tcW w:type="dxa" w:w="3360"/>
            <w:tcW w:w="2000" w:type="dxa"/>
            <w:shd w:val="clear" w:color="auto" w:fill="FFFFFF"/>
          </w:tcPr>
          <w:p>
            <w:pPr>
              <w:spacing w:after="0"/>
            </w:pPr>
            <w:r>
              <w:rPr>
                <w:b/>
                <w:i w:val="0"/>
                <w:sz w:val="19"/>
              </w:rPr>
              <w:t>Kelly 2026</w:t>
            </w:r>
          </w:p>
        </w:tc>
        <w:tc>
          <w:tcPr>
            <w:tcW w:type="dxa" w:w="3360"/>
            <w:tcW w:w="3900" w:type="dxa"/>
            <w:shd w:val="clear" w:color="auto" w:fill="FFFFFF"/>
          </w:tcPr>
          <w:p>
            <w:pPr>
              <w:spacing w:after="0"/>
            </w:pPr>
            <w:r>
              <w:rPr>
                <w:b w:val="0"/>
                <w:i w:val="0"/>
                <w:sz w:val="19"/>
              </w:rPr>
              <w:t>National SRTR donor cohort 1989–2023: 8,619 with mortality ascertainment; 8,314 with any recovery record. Adults 18–65; 362 eligible donors excluded for missing mortality status.</w:t>
            </w:r>
          </w:p>
        </w:tc>
        <w:tc>
          <w:tcPr>
            <w:tcW w:type="dxa" w:w="3360"/>
            <w:tcW w:w="4180" w:type="dxa"/>
            <w:shd w:val="clear" w:color="auto" w:fill="FFFFFF"/>
          </w:tcPr>
          <w:p>
            <w:pPr>
              <w:spacing w:after="0"/>
            </w:pPr>
            <w:r>
              <w:rPr>
                <w:b w:val="0"/>
                <w:i w:val="0"/>
                <w:sz w:val="19"/>
              </w:rPr>
              <w:t>Eight deaths by 90 days and 18 by two years; contemporary-era perioperative mortality approximately 0.04%. Only 37–39% had two-year recovery data.</w:t>
            </w:r>
          </w:p>
          <w:p>
            <w:pPr>
              <w:spacing w:after="0"/>
            </w:pPr>
            <w:r>
              <w:rPr>
                <w:b w:val="0"/>
                <w:i/>
                <w:sz w:val="19"/>
              </w:rPr>
              <w:t>Limits: All-cause deaths, mostly unavailable cause; not oncology-specific. Low mortality cannot substitute for complete morbidity, psychological and financial follow-up.</w:t>
            </w:r>
          </w:p>
          <w:p>
            <w:pPr>
              <w:spacing w:after="0"/>
            </w:pPr>
            <w:r>
              <w:rPr>
                <w:b w:val="0"/>
                <w:i w:val="0"/>
                <w:color w:val="5A6069"/>
                <w:sz w:val="18"/>
              </w:rPr>
              <w:t>Methods; Results 3.1–3.4; limitations pp6–7.</w:t>
            </w:r>
          </w:p>
        </w:tc>
      </w:tr>
      <w:tr>
        <w:trPr>
          <w:cantSplit/>
        </w:trPr>
        <w:tc>
          <w:tcPr>
            <w:tcW w:type="dxa" w:w="3360"/>
            <w:tcW w:w="2000" w:type="dxa"/>
            <w:shd w:val="clear" w:color="auto" w:fill="F1F5F8"/>
          </w:tcPr>
          <w:p>
            <w:pPr>
              <w:spacing w:after="0"/>
            </w:pPr>
            <w:r>
              <w:rPr>
                <w:b/>
                <w:i w:val="0"/>
                <w:sz w:val="19"/>
              </w:rPr>
              <w:t>SYS-TARE 2024</w:t>
            </w:r>
          </w:p>
        </w:tc>
        <w:tc>
          <w:tcPr>
            <w:tcW w:type="dxa" w:w="3360"/>
            <w:tcW w:w="3900" w:type="dxa"/>
            <w:shd w:val="clear" w:color="auto" w:fill="F1F5F8"/>
          </w:tcPr>
          <w:p>
            <w:pPr>
              <w:spacing w:after="0"/>
            </w:pPr>
            <w:r>
              <w:rPr>
                <w:b w:val="0"/>
                <w:i w:val="0"/>
                <w:sz w:val="19"/>
              </w:rPr>
              <w:t>Prospective institutional SYS-TARE pathway; 13 entered, 4 LT, 9 dropout. Single bulky measurable iCCA±peritumoral satellites; diffuse/multisegment multifocal disease excluded; intrahepatic vessel encasement permitted without tumor thrombus.</w:t>
            </w:r>
          </w:p>
        </w:tc>
        <w:tc>
          <w:tcPr>
            <w:tcW w:type="dxa" w:w="3360"/>
            <w:tcW w:w="4180" w:type="dxa"/>
            <w:shd w:val="clear" w:color="auto" w:fill="F1F5F8"/>
          </w:tcPr>
          <w:p>
            <w:pPr>
              <w:spacing w:after="0"/>
            </w:pPr>
            <w:r>
              <w:rPr>
                <w:b w:val="0"/>
                <w:i w:val="0"/>
                <w:sz w:val="19"/>
              </w:rPr>
              <w:t>Four recipients alive without recurrence at 73, 40, 12, 8 months; dropouts: three unrecovered intrahepatic progression, four with extrahepatic disease, two occult nodes.</w:t>
            </w:r>
          </w:p>
          <w:p>
            <w:pPr>
              <w:spacing w:after="0"/>
            </w:pPr>
            <w:r>
              <w:rPr>
                <w:b w:val="0"/>
                <w:i/>
                <w:sz w:val="19"/>
              </w:rPr>
              <w:t>Limits: Only 4 recipients; no validated maximum diameter or comparative proof of satellites being equivalent to a solitary tumor.</w:t>
            </w:r>
          </w:p>
          <w:p>
            <w:pPr>
              <w:spacing w:after="0"/>
            </w:pPr>
            <w:r>
              <w:rPr>
                <w:b w:val="0"/>
                <w:i w:val="0"/>
                <w:color w:val="5A6069"/>
                <w:sz w:val="18"/>
              </w:rPr>
              <w:t>Transpl Int 2024; 37: 13641; Eligibility, Figure 1 and Results; full PDF.</w:t>
            </w:r>
          </w:p>
        </w:tc>
      </w:tr>
      <w:tr>
        <w:trPr>
          <w:cantSplit/>
        </w:trPr>
        <w:tc>
          <w:tcPr>
            <w:tcW w:type="dxa" w:w="3360"/>
            <w:tcW w:w="2000" w:type="dxa"/>
            <w:shd w:val="clear" w:color="auto" w:fill="FFFFFF"/>
          </w:tcPr>
          <w:p>
            <w:pPr>
              <w:spacing w:after="0"/>
            </w:pPr>
            <w:r>
              <w:rPr>
                <w:b/>
                <w:i w:val="0"/>
                <w:sz w:val="19"/>
              </w:rPr>
              <w:t>Yaqub 2025</w:t>
            </w:r>
          </w:p>
        </w:tc>
        <w:tc>
          <w:tcPr>
            <w:tcW w:type="dxa" w:w="3360"/>
            <w:tcW w:w="3900" w:type="dxa"/>
            <w:shd w:val="clear" w:color="auto" w:fill="FFFFFF"/>
          </w:tcPr>
          <w:p>
            <w:pPr>
              <w:spacing w:after="0"/>
            </w:pPr>
            <w:r>
              <w:rPr>
                <w:b w:val="0"/>
                <w:i w:val="0"/>
                <w:sz w:val="19"/>
              </w:rPr>
              <w:t>Norwegian prospective early report; 7 referred, 6 enrolled, 5 LT. Response-selected liver-confined iCCA; median imaging lesion count 7, median diameter 11.5 cm; no size/number cap.</w:t>
            </w:r>
          </w:p>
        </w:tc>
        <w:tc>
          <w:tcPr>
            <w:tcW w:type="dxa" w:w="3360"/>
            <w:tcW w:w="4180" w:type="dxa"/>
            <w:shd w:val="clear" w:color="auto" w:fill="FFFFFF"/>
          </w:tcPr>
          <w:p>
            <w:pPr>
              <w:spacing w:after="0"/>
            </w:pPr>
            <w:r>
              <w:rPr>
                <w:b w:val="0"/>
                <w:i w:val="0"/>
                <w:sz w:val="19"/>
              </w:rPr>
              <w:t>All five alive at 10–55 months; 2 recurrences at 12/13 months, both patients with &gt;20 lesions. One HAT required re-LT; one occult 2-mm positive node.</w:t>
            </w:r>
          </w:p>
          <w:p>
            <w:pPr>
              <w:spacing w:after="0"/>
            </w:pPr>
            <w:r>
              <w:rPr>
                <w:b w:val="0"/>
                <w:i/>
                <w:sz w:val="19"/>
              </w:rPr>
              <w:t>Limits: Research letter, very small denominator; recurrence pattern argues caution with diffuse multifocal disease, not a validated lesion-count cutoff.</w:t>
            </w:r>
          </w:p>
          <w:p>
            <w:pPr>
              <w:spacing w:after="0"/>
            </w:pPr>
            <w:r>
              <w:rPr>
                <w:b w:val="0"/>
                <w:i w:val="0"/>
                <w:color w:val="5A6069"/>
                <w:sz w:val="18"/>
              </w:rPr>
              <w:t>BJS 2025; 112: znaf054; main text, Table 1 and Figure 1; complete indexed letter.</w:t>
            </w:r>
          </w:p>
        </w:tc>
      </w:tr>
    </w:tbl>
    <w:p>
      <w:pPr>
        <w:spacing w:after="40"/>
      </w:pPr>
    </w:p>
    <w:p>
      <w:pPr>
        <w:pStyle w:val="Heading3"/>
        <w:keepNext/>
        <w:spacing w:before="120" w:after="80"/>
      </w:pPr>
      <w:r>
        <w:rPr>
          <w:b w:val="0"/>
          <w:i w:val="0"/>
        </w:rPr>
        <w:t>Our proposed selection (OPEN)</w:t>
      </w:r>
    </w:p>
    <w:p>
      <w:pPr>
        <w:spacing w:after="80"/>
      </w:pPr>
      <w:r>
        <w:rPr>
          <w:b w:val="0"/>
          <w:i w:val="0"/>
        </w:rPr>
        <w:t>Use a small staged pilot with all-screened accounting and explicit safety pauses; no automatic expansion on favorable recipient survival.</w:t>
      </w:r>
    </w:p>
    <w:p>
      <w:pPr>
        <w:numPr>
          <w:ilvl w:val="0"/>
          <w:numId w:val="5"/>
        </w:numPr>
        <w:spacing w:after="40"/>
      </w:pPr>
      <w:r>
        <w:rPr>
          <w:b w:val="0"/>
          <w:i w:val="0"/>
        </w:rPr>
        <w:t>Proposed initial cap: ten transplants per separately approved biological stratum. Review after the first five have 90-day follow-up; no expansion decision until all first ten have at least 12-month follow-up. Reconcile vital status, graft events and known serious harms for every participant; require ≥90% completeness for other prespecified key outcomes.</w:t>
      </w:r>
    </w:p>
    <w:p>
      <w:pPr>
        <w:numPr>
          <w:ilvl w:val="0"/>
          <w:numId w:val="5"/>
        </w:numPr>
        <w:spacing w:after="40"/>
      </w:pPr>
      <w:r>
        <w:rPr>
          <w:b w:val="0"/>
          <w:i w:val="0"/>
        </w:rPr>
        <w:t>In an initial experimental cohort, one all-cause recipient death, graft loss or retransplantation within 90 days triggers a pause of further experimental enrollment/transplantation pending independent review. A later possibly treatment-related death/graft loss or a donor sentinel event also triggers review/pause. Rescue care is never withheld; reopening requires independent authorization.</w:t>
      </w:r>
    </w:p>
    <w:p>
      <w:pPr>
        <w:numPr>
          <w:ilvl w:val="0"/>
          <w:numId w:val="5"/>
        </w:numPr>
        <w:spacing w:after="40"/>
      </w:pPr>
      <w:r>
        <w:rPr>
          <w:b w:val="0"/>
          <w:i w:val="0"/>
        </w:rPr>
        <w:t>These are proposed conservative review triggers, not statistically validated efficacy/futility boundaries. Before opening, biostatistics and the independent board must ratify or replace them with indication-specific rules, denominators, pause authority and reopening criteria.</w:t>
      </w:r>
    </w:p>
    <w:p>
      <w:pPr>
        <w:numPr>
          <w:ilvl w:val="0"/>
          <w:numId w:val="5"/>
        </w:numPr>
        <w:spacing w:after="40"/>
      </w:pPr>
      <w:r>
        <w:rPr>
          <w:b w:val="0"/>
          <w:i w:val="0"/>
        </w:rPr>
        <w:t>Capture every screened candidate, including nonrecipients, conversion to resection, dropout, deaths and access barriers; report survival from entry and from LT, recurrence, graft use, donor recovery and quality of life. Ten survivors alone do not establish benefit or authorize expansion.</w:t>
      </w:r>
    </w:p>
    <w:p>
      <w:pPr>
        <w:spacing w:after="80"/>
      </w:pPr>
      <w:r>
        <w:rPr>
          <w:b/>
          <w:i w:val="0"/>
        </w:rPr>
        <w:t xml:space="preserve">Why: </w:t>
      </w:r>
      <w:r>
        <w:rPr>
          <w:b w:val="0"/>
          <w:i w:val="0"/>
        </w:rPr>
        <w:t>A small pilot can test feasibility, staging fidelity, data capture and acute safety, not prove durable survival benefit. Define time zero, all-screened enrollment, waitlist failures, post-LT survival/recurrence, competing death, all grafts, donor harms and patient-reported outcomes before opening. An independent board needs actual pause/reopening authority.</w:t>
      </w:r>
    </w:p>
    <w:p>
      <w:pPr>
        <w:spacing w:after="80"/>
      </w:pPr>
      <w:r>
        <w:rPr>
          <w:b/>
          <w:i w:val="0"/>
        </w:rPr>
        <w:t xml:space="preserve">Against, or uncertain: </w:t>
      </w:r>
      <w:r>
        <w:rPr>
          <w:b w:val="0"/>
          <w:i w:val="0"/>
        </w:rPr>
        <w:t>Zero observed events among ten fully followed independent patients still has a one-sided exact 95% binomial upper bound of 25.9% (1−0.05^(1/10)). Thus ten survivors cannot establish a &lt;5% event risk. Ninety percent data completeness permits one missing patient; safety events and vital status require active ascertainment, not tolerance of unaccounted loss.</w:t>
      </w:r>
    </w:p>
    <w:p>
      <w:pPr>
        <w:spacing w:after="80"/>
      </w:pPr>
      <w:r>
        <w:rPr>
          <w:b/>
          <w:i w:val="0"/>
        </w:rPr>
        <w:t xml:space="preserve">Certainty: </w:t>
      </w:r>
      <w:r>
        <w:rPr>
          <w:b w:val="0"/>
          <w:i w:val="0"/>
        </w:rPr>
        <w:t>Strong methodological rationale for predefinition and ITT accounting; no empirical validation of our exact cap/interim/completeness thresholds. Late recurrence demands multi-year follow-up.</w:t>
      </w:r>
    </w:p>
    <w:p>
      <w:pPr>
        <w:spacing w:after="80"/>
      </w:pPr>
      <w:r>
        <w:rPr>
          <w:b/>
          <w:i w:val="0"/>
        </w:rPr>
        <w:t xml:space="preserve">Tests and records: </w:t>
      </w:r>
      <w:r>
        <w:rPr>
          <w:b w:val="0"/>
          <w:i w:val="0"/>
        </w:rPr>
        <w:t>Locked eligibility strata; prospective entry/time-zero dataset; modern comparator; adverse-event definitions; follow-up-completeness report; independently signed statistical and safety plan.</w:t>
      </w:r>
    </w:p>
    <w:p>
      <w:pPr>
        <w:spacing w:after="80"/>
      </w:pPr>
      <w:r>
        <w:rPr>
          <w:b/>
          <w:i w:val="0"/>
        </w:rPr>
        <w:t xml:space="preserve">Allocation: </w:t>
      </w:r>
      <w:r>
        <w:rPr>
          <w:b w:val="0"/>
          <w:i w:val="0"/>
        </w:rPr>
        <w:t>Study monitoring never changes exception criteria or guarantees future access. Audit access by referral, geography, resources and donor availability without turning protected characteristics into exclusion rules.</w:t>
      </w:r>
    </w:p>
    <w:p>
      <w:pPr>
        <w:spacing w:after="40"/>
      </w:pPr>
      <w:r>
        <w:rPr>
          <w:b/>
          <w:i w:val="0"/>
        </w:rPr>
        <w:t xml:space="preserve">Basis for the proposed thresholds: </w:t>
      </w:r>
    </w:p>
    <w:p>
      <w:pPr>
        <w:numPr>
          <w:ilvl w:val="0"/>
          <w:numId w:val="5"/>
        </w:numPr>
        <w:spacing w:after="40"/>
      </w:pPr>
      <w:r>
        <w:rPr>
          <w:b w:val="0"/>
          <w:i w:val="0"/>
        </w:rPr>
        <w:t>Ten per stratum and interim after five at 90 days: local feasibility cap and safety review cadence.</w:t>
      </w:r>
    </w:p>
    <w:p>
      <w:pPr>
        <w:numPr>
          <w:ilvl w:val="0"/>
          <w:numId w:val="5"/>
        </w:numPr>
        <w:spacing w:after="40"/>
      </w:pPr>
      <w:r>
        <w:rPr>
          <w:b w:val="0"/>
          <w:i w:val="0"/>
        </w:rPr>
        <w:t>Twelve-month minimum: earliest expansion discussion, not proof of long-term cancer benefit.</w:t>
      </w:r>
    </w:p>
    <w:p>
      <w:pPr>
        <w:numPr>
          <w:ilvl w:val="0"/>
          <w:numId w:val="5"/>
        </w:numPr>
        <w:spacing w:after="40"/>
      </w:pPr>
      <w:r>
        <w:rPr>
          <w:b w:val="0"/>
          <w:i w:val="0"/>
        </w:rPr>
        <w:t>≥90%: proposed non-vital key-measure completeness threshold; not permission to ignore deaths/graft events or unknown status.</w:t>
      </w:r>
    </w:p>
    <w:p>
      <w:pPr>
        <w:numPr>
          <w:ilvl w:val="0"/>
          <w:numId w:val="5"/>
        </w:numPr>
        <w:spacing w:after="40"/>
      </w:pPr>
      <w:r>
        <w:rPr>
          <w:b w:val="0"/>
          <w:i w:val="0"/>
        </w:rPr>
        <w:t>One early death/graft loss/re-LT: review/pause trigger, not automatic futility or withholding rescue.</w:t>
      </w:r>
    </w:p>
    <w:p>
      <w:pPr>
        <w:pStyle w:val="Heading3"/>
        <w:keepNext/>
        <w:spacing w:before="120" w:after="80"/>
      </w:pPr>
      <w:r>
        <w:rPr>
          <w:b w:val="0"/>
          <w:i w:val="0"/>
        </w:rPr>
        <w:t>ALLOC-B4 — group decision</w:t>
      </w:r>
    </w:p>
    <w:p>
      <w:pPr>
        <w:spacing w:after="0"/>
      </w:pPr>
      <w:r>
        <w:rPr>
          <w:b/>
          <w:i w:val="0"/>
        </w:rPr>
        <w:t xml:space="preserve">Accepted position (or alternative chosen): </w:t>
      </w:r>
    </w:p>
    <w:p>
      <w:pPr>
        <w:spacing w:after="200"/>
        <w:pBdr>
          <w:bottom w:val="single" w:sz="6" w:space="1" w:color="9AA8B4"/>
        </w:pBdr>
      </w:pPr>
    </w:p>
    <w:p>
      <w:pPr>
        <w:spacing w:after="0"/>
      </w:pPr>
      <w:r>
        <w:rPr>
          <w:b/>
          <w:i w:val="0"/>
        </w:rPr>
        <w:t xml:space="preserve">Rationale, dissent and exceptions: </w:t>
      </w:r>
    </w:p>
    <w:p>
      <w:pPr>
        <w:spacing w:after="200"/>
        <w:pBdr>
          <w:bottom w:val="single" w:sz="6" w:space="1" w:color="9AA8B4"/>
        </w:pBdr>
      </w:pPr>
    </w:p>
    <w:p>
      <w:pPr>
        <w:spacing w:after="0"/>
      </w:pPr>
      <w:r>
        <w:rPr>
          <w:b/>
          <w:i w:val="0"/>
        </w:rPr>
        <w:t xml:space="preserve">Owner · approval date · implementation date: </w:t>
      </w:r>
    </w:p>
    <w:p>
      <w:pPr>
        <w:spacing w:after="200"/>
        <w:pBdr>
          <w:bottom w:val="single" w:sz="6" w:space="1" w:color="9AA8B4"/>
        </w:pBdr>
      </w:pPr>
    </w:p>
    <w:p>
      <w:pPr>
        <w:pStyle w:val="Heading1"/>
        <w:keepNext/>
        <w:spacing w:before="280" w:after="80"/>
      </w:pPr>
      <w:r>
        <w:rPr>
          <w:b w:val="0"/>
          <w:i w:val="0"/>
        </w:rPr>
        <w:t>Sources</w:t>
      </w:r>
    </w:p>
    <w:p>
      <w:pPr>
        <w:spacing w:after="60"/>
      </w:pPr>
      <w:r>
        <w:rPr>
          <w:b/>
          <w:i w:val="0"/>
          <w:sz w:val="19"/>
        </w:rPr>
        <w:t>AASLD HCC 2023</w:t>
      </w:r>
      <w:r>
        <w:rPr>
          <w:b w:val="0"/>
          <w:i w:val="0"/>
          <w:sz w:val="19"/>
        </w:rPr>
        <w:t xml:space="preserve"> — AASLD Practice Guidance on prevention, diagnosis, and treatment of hepatocellular carcinoma</w:t>
      </w:r>
      <w:r>
        <w:rPr>
          <w:b w:val="0"/>
          <w:i w:val="0"/>
          <w:sz w:val="19"/>
        </w:rPr>
        <w:t xml:space="preserve">  </w:t>
      </w:r>
      <w:hyperlink r:id="rId23">
        <w:r>
          <w:rPr>
            <w:color w:val="0563C1"/>
            <w:u w:val="single"/>
            <w:sz w:val="19"/>
          </w:rPr>
          <w:t xml:space="preserve">PubMed</w:t>
        </w:r>
      </w:hyperlink>
      <w:r>
        <w:rPr>
          <w:b w:val="0"/>
          <w:i w:val="0"/>
          <w:sz w:val="19"/>
        </w:rPr>
        <w:t xml:space="preserve"> · </w:t>
      </w:r>
      <w:hyperlink r:id="rId24">
        <w:r>
          <w:rPr>
            <w:color w:val="0563C1"/>
            <w:u w:val="single"/>
            <w:sz w:val="19"/>
          </w:rPr>
          <w:t xml:space="preserve">Journal</w:t>
        </w:r>
      </w:hyperlink>
      <w:r>
        <w:rPr>
          <w:b w:val="0"/>
          <w:i w:val="0"/>
          <w:sz w:val="19"/>
        </w:rPr>
        <w:t xml:space="preserve"> · </w:t>
      </w:r>
      <w:hyperlink r:id="rId25">
        <w:r>
          <w:rPr>
            <w:color w:val="0563C1"/>
            <w:u w:val="single"/>
            <w:sz w:val="19"/>
          </w:rPr>
          <w:t xml:space="preserve">Free full text</w:t>
        </w:r>
      </w:hyperlink>
      <w:r>
        <w:rPr>
          <w:b w:val="0"/>
          <w:i w:val="0"/>
          <w:sz w:val="19"/>
        </w:rPr>
        <w:t xml:space="preserve"> · </w:t>
      </w:r>
      <w:hyperlink r:id="rId26">
        <w:r>
          <w:rPr>
            <w:color w:val="0563C1"/>
            <w:u w:val="single"/>
            <w:sz w:val="19"/>
          </w:rPr>
          <w:t xml:space="preserve">Source</w:t>
        </w:r>
      </w:hyperlink>
      <w:r>
        <w:rPr>
          <w:b w:val="0"/>
          <w:i w:val="0"/>
          <w:sz w:val="19"/>
        </w:rPr>
        <w:t xml:space="preserve"> · </w:t>
      </w:r>
      <w:hyperlink r:id="rId27">
        <w:r>
          <w:rPr>
            <w:color w:val="0563C1"/>
            <w:u w:val="single"/>
            <w:sz w:val="19"/>
          </w:rPr>
          <w:t xml:space="preserve">TMC library</w:t>
        </w:r>
      </w:hyperlink>
    </w:p>
    <w:p>
      <w:pPr>
        <w:spacing w:after="60"/>
      </w:pPr>
      <w:r>
        <w:rPr>
          <w:b/>
          <w:i w:val="0"/>
          <w:sz w:val="19"/>
        </w:rPr>
        <w:t>Abecassis 2012</w:t>
      </w:r>
      <w:r>
        <w:rPr>
          <w:b w:val="0"/>
          <w:i w:val="0"/>
          <w:sz w:val="19"/>
        </w:rPr>
        <w:t xml:space="preserve"> — Complications of Living Donor Hepatic Lobectomy—A Comprehensive Report</w:t>
      </w:r>
      <w:r>
        <w:rPr>
          <w:b w:val="0"/>
          <w:i w:val="0"/>
          <w:sz w:val="19"/>
        </w:rPr>
        <w:t xml:space="preserve">  </w:t>
      </w:r>
      <w:hyperlink r:id="rId28">
        <w:r>
          <w:rPr>
            <w:color w:val="0563C1"/>
            <w:u w:val="single"/>
            <w:sz w:val="19"/>
          </w:rPr>
          <w:t xml:space="preserve">PubMed</w:t>
        </w:r>
      </w:hyperlink>
      <w:r>
        <w:rPr>
          <w:b w:val="0"/>
          <w:i w:val="0"/>
          <w:sz w:val="19"/>
        </w:rPr>
        <w:t xml:space="preserve"> · </w:t>
      </w:r>
      <w:hyperlink r:id="rId29">
        <w:r>
          <w:rPr>
            <w:color w:val="0563C1"/>
            <w:u w:val="single"/>
            <w:sz w:val="19"/>
          </w:rPr>
          <w:t xml:space="preserve">Journal</w:t>
        </w:r>
      </w:hyperlink>
      <w:r>
        <w:rPr>
          <w:b w:val="0"/>
          <w:i w:val="0"/>
          <w:sz w:val="19"/>
        </w:rPr>
        <w:t xml:space="preserve"> · </w:t>
      </w:r>
      <w:hyperlink r:id="rId30">
        <w:r>
          <w:rPr>
            <w:color w:val="0563C1"/>
            <w:u w:val="single"/>
            <w:sz w:val="19"/>
          </w:rPr>
          <w:t xml:space="preserve">Free full text</w:t>
        </w:r>
      </w:hyperlink>
      <w:r>
        <w:rPr>
          <w:b w:val="0"/>
          <w:i w:val="0"/>
          <w:sz w:val="19"/>
        </w:rPr>
        <w:t xml:space="preserve"> · </w:t>
      </w:r>
      <w:hyperlink r:id="rId31">
        <w:r>
          <w:rPr>
            <w:color w:val="0563C1"/>
            <w:u w:val="single"/>
            <w:sz w:val="19"/>
          </w:rPr>
          <w:t xml:space="preserve">Source</w:t>
        </w:r>
      </w:hyperlink>
      <w:r>
        <w:rPr>
          <w:b w:val="0"/>
          <w:i w:val="0"/>
          <w:sz w:val="19"/>
        </w:rPr>
        <w:t xml:space="preserve"> · </w:t>
      </w:r>
      <w:hyperlink r:id="rId32">
        <w:r>
          <w:rPr>
            <w:color w:val="0563C1"/>
            <w:u w:val="single"/>
            <w:sz w:val="19"/>
          </w:rPr>
          <w:t xml:space="preserve">TMC library</w:t>
        </w:r>
      </w:hyperlink>
    </w:p>
    <w:p>
      <w:pPr>
        <w:spacing w:after="60"/>
      </w:pPr>
      <w:r>
        <w:rPr>
          <w:b/>
          <w:i w:val="0"/>
          <w:sz w:val="19"/>
        </w:rPr>
        <w:t>Aceituno 2026</w:t>
      </w:r>
      <w:r>
        <w:rPr>
          <w:b w:val="0"/>
          <w:i w:val="0"/>
          <w:sz w:val="19"/>
        </w:rPr>
        <w:t xml:space="preserve"> — Safety of Immune Checkpoint Inhibitors Prior to Liver Transplantation in Hepatocellular Carcinoma</w:t>
      </w:r>
      <w:r>
        <w:rPr>
          <w:b w:val="0"/>
          <w:i w:val="0"/>
          <w:sz w:val="19"/>
        </w:rPr>
        <w:t xml:space="preserve">  </w:t>
      </w:r>
      <w:hyperlink r:id="rId33">
        <w:r>
          <w:rPr>
            <w:color w:val="0563C1"/>
            <w:u w:val="single"/>
            <w:sz w:val="19"/>
          </w:rPr>
          <w:t xml:space="preserve">PubMed</w:t>
        </w:r>
      </w:hyperlink>
      <w:r>
        <w:rPr>
          <w:b w:val="0"/>
          <w:i w:val="0"/>
          <w:sz w:val="19"/>
        </w:rPr>
        <w:t xml:space="preserve"> · </w:t>
      </w:r>
      <w:hyperlink r:id="rId34">
        <w:r>
          <w:rPr>
            <w:color w:val="0563C1"/>
            <w:u w:val="single"/>
            <w:sz w:val="19"/>
          </w:rPr>
          <w:t xml:space="preserve">Journal</w:t>
        </w:r>
      </w:hyperlink>
      <w:r>
        <w:rPr>
          <w:b w:val="0"/>
          <w:i w:val="0"/>
          <w:sz w:val="19"/>
        </w:rPr>
        <w:t xml:space="preserve"> · </w:t>
      </w:r>
      <w:hyperlink r:id="rId35">
        <w:r>
          <w:rPr>
            <w:color w:val="0563C1"/>
            <w:u w:val="single"/>
            <w:sz w:val="19"/>
          </w:rPr>
          <w:t xml:space="preserve">Free full text</w:t>
        </w:r>
      </w:hyperlink>
      <w:r>
        <w:rPr>
          <w:b w:val="0"/>
          <w:i w:val="0"/>
          <w:sz w:val="19"/>
        </w:rPr>
        <w:t xml:space="preserve"> · </w:t>
      </w:r>
      <w:hyperlink r:id="rId36">
        <w:r>
          <w:rPr>
            <w:color w:val="0563C1"/>
            <w:u w:val="single"/>
            <w:sz w:val="19"/>
          </w:rPr>
          <w:t xml:space="preserve">Source</w:t>
        </w:r>
      </w:hyperlink>
      <w:r>
        <w:rPr>
          <w:b w:val="0"/>
          <w:i w:val="0"/>
          <w:sz w:val="19"/>
        </w:rPr>
        <w:t xml:space="preserve"> · </w:t>
      </w:r>
      <w:hyperlink r:id="rId37">
        <w:r>
          <w:rPr>
            <w:color w:val="0563C1"/>
            <w:u w:val="single"/>
            <w:sz w:val="19"/>
          </w:rPr>
          <w:t xml:space="preserve">TMC library</w:t>
        </w:r>
      </w:hyperlink>
    </w:p>
    <w:p>
      <w:pPr>
        <w:spacing w:after="60"/>
      </w:pPr>
      <w:r>
        <w:rPr>
          <w:b/>
          <w:i w:val="0"/>
          <w:sz w:val="19"/>
        </w:rPr>
        <w:t>Allen 2024</w:t>
      </w:r>
      <w:r>
        <w:rPr>
          <w:b w:val="0"/>
          <w:i w:val="0"/>
          <w:sz w:val="19"/>
        </w:rPr>
        <w:t xml:space="preserve"> — Transplant benefit-based offering of deceased donor livers in the United Kingdom</w:t>
      </w:r>
      <w:r>
        <w:rPr>
          <w:b w:val="0"/>
          <w:i w:val="0"/>
          <w:sz w:val="19"/>
        </w:rPr>
        <w:t xml:space="preserve">  </w:t>
      </w:r>
      <w:hyperlink r:id="rId38">
        <w:r>
          <w:rPr>
            <w:color w:val="0563C1"/>
            <w:u w:val="single"/>
            <w:sz w:val="19"/>
          </w:rPr>
          <w:t xml:space="preserve">PubMed</w:t>
        </w:r>
      </w:hyperlink>
      <w:r>
        <w:rPr>
          <w:b w:val="0"/>
          <w:i w:val="0"/>
          <w:sz w:val="19"/>
        </w:rPr>
        <w:t xml:space="preserve"> · </w:t>
      </w:r>
      <w:hyperlink r:id="rId39">
        <w:r>
          <w:rPr>
            <w:color w:val="0563C1"/>
            <w:u w:val="single"/>
            <w:sz w:val="19"/>
          </w:rPr>
          <w:t xml:space="preserve">Journal</w:t>
        </w:r>
      </w:hyperlink>
      <w:r>
        <w:rPr>
          <w:b w:val="0"/>
          <w:i w:val="0"/>
          <w:sz w:val="19"/>
        </w:rPr>
        <w:t xml:space="preserve"> · </w:t>
      </w:r>
      <w:hyperlink r:id="rId40">
        <w:r>
          <w:rPr>
            <w:color w:val="0563C1"/>
            <w:u w:val="single"/>
            <w:sz w:val="19"/>
          </w:rPr>
          <w:t xml:space="preserve">TMC library</w:t>
        </w:r>
      </w:hyperlink>
    </w:p>
    <w:p>
      <w:pPr>
        <w:spacing w:after="60"/>
      </w:pPr>
      <w:r>
        <w:rPr>
          <w:b/>
          <w:i w:val="0"/>
          <w:sz w:val="19"/>
        </w:rPr>
        <w:t>Assalino 2020 · vascular invasion</w:t>
      </w:r>
      <w:r>
        <w:rPr>
          <w:b w:val="0"/>
          <w:i w:val="0"/>
          <w:sz w:val="19"/>
        </w:rPr>
        <w:t xml:space="preserve"> — Liver transplantation for hepatocellular carcinoma after successful treatment of macrovascular invasion – a multi‐center retrospective cohort study</w:t>
      </w:r>
      <w:r>
        <w:rPr>
          <w:b w:val="0"/>
          <w:i w:val="0"/>
          <w:sz w:val="19"/>
        </w:rPr>
        <w:t xml:space="preserve">  </w:t>
      </w:r>
      <w:hyperlink r:id="rId41">
        <w:r>
          <w:rPr>
            <w:color w:val="0563C1"/>
            <w:u w:val="single"/>
            <w:sz w:val="19"/>
          </w:rPr>
          <w:t xml:space="preserve">PubMed</w:t>
        </w:r>
      </w:hyperlink>
      <w:r>
        <w:rPr>
          <w:b w:val="0"/>
          <w:i w:val="0"/>
          <w:sz w:val="19"/>
        </w:rPr>
        <w:t xml:space="preserve"> · </w:t>
      </w:r>
      <w:hyperlink r:id="rId42">
        <w:r>
          <w:rPr>
            <w:color w:val="0563C1"/>
            <w:u w:val="single"/>
            <w:sz w:val="19"/>
          </w:rPr>
          <w:t xml:space="preserve">Journal</w:t>
        </w:r>
      </w:hyperlink>
      <w:r>
        <w:rPr>
          <w:b w:val="0"/>
          <w:i w:val="0"/>
          <w:sz w:val="19"/>
        </w:rPr>
        <w:t xml:space="preserve"> · </w:t>
      </w:r>
      <w:hyperlink r:id="rId43">
        <w:r>
          <w:rPr>
            <w:color w:val="0563C1"/>
            <w:u w:val="single"/>
            <w:sz w:val="19"/>
          </w:rPr>
          <w:t xml:space="preserve">TMC library</w:t>
        </w:r>
      </w:hyperlink>
    </w:p>
    <w:p>
      <w:pPr>
        <w:spacing w:after="60"/>
      </w:pPr>
      <w:r>
        <w:rPr>
          <w:b/>
          <w:i w:val="0"/>
          <w:sz w:val="19"/>
        </w:rPr>
        <w:t>Choi 2017</w:t>
      </w:r>
      <w:r>
        <w:rPr>
          <w:b w:val="0"/>
          <w:i w:val="0"/>
          <w:sz w:val="19"/>
        </w:rPr>
        <w:t xml:space="preserve"> — The clinical outcomes of patients with portal vein tumor thrombi after living donor liver transplantation</w:t>
      </w:r>
      <w:r>
        <w:rPr>
          <w:b w:val="0"/>
          <w:i w:val="0"/>
          <w:sz w:val="19"/>
        </w:rPr>
        <w:t xml:space="preserve">  </w:t>
      </w:r>
      <w:hyperlink r:id="rId44">
        <w:r>
          <w:rPr>
            <w:color w:val="0563C1"/>
            <w:u w:val="single"/>
            <w:sz w:val="19"/>
          </w:rPr>
          <w:t xml:space="preserve">PubMed</w:t>
        </w:r>
      </w:hyperlink>
      <w:r>
        <w:rPr>
          <w:b w:val="0"/>
          <w:i w:val="0"/>
          <w:sz w:val="19"/>
        </w:rPr>
        <w:t xml:space="preserve"> · </w:t>
      </w:r>
      <w:hyperlink r:id="rId45">
        <w:r>
          <w:rPr>
            <w:color w:val="0563C1"/>
            <w:u w:val="single"/>
            <w:sz w:val="19"/>
          </w:rPr>
          <w:t xml:space="preserve">Journal</w:t>
        </w:r>
      </w:hyperlink>
      <w:r>
        <w:rPr>
          <w:b w:val="0"/>
          <w:i w:val="0"/>
          <w:sz w:val="19"/>
        </w:rPr>
        <w:t xml:space="preserve"> · </w:t>
      </w:r>
      <w:hyperlink r:id="rId46">
        <w:r>
          <w:rPr>
            <w:color w:val="0563C1"/>
            <w:u w:val="single"/>
            <w:sz w:val="19"/>
          </w:rPr>
          <w:t xml:space="preserve">TMC library</w:t>
        </w:r>
      </w:hyperlink>
    </w:p>
    <w:p>
      <w:pPr>
        <w:spacing w:after="60"/>
      </w:pPr>
      <w:r>
        <w:rPr>
          <w:b/>
          <w:i w:val="0"/>
          <w:sz w:val="19"/>
        </w:rPr>
        <w:t>DiMartini 2017</w:t>
      </w:r>
      <w:r>
        <w:rPr>
          <w:b w:val="0"/>
          <w:i w:val="0"/>
          <w:sz w:val="19"/>
        </w:rPr>
        <w:t xml:space="preserve"> — Social and Financial Outcomes of Living Liver Donation: A Prospective Investigation Within the Adult-to-Adult Living Donor Liver Transplantation Cohort Study 2 (A2ALL-2)</w:t>
      </w:r>
      <w:r>
        <w:rPr>
          <w:b w:val="0"/>
          <w:i w:val="0"/>
          <w:sz w:val="19"/>
        </w:rPr>
        <w:t xml:space="preserve">  </w:t>
      </w:r>
      <w:hyperlink r:id="rId47">
        <w:r>
          <w:rPr>
            <w:color w:val="0563C1"/>
            <w:u w:val="single"/>
            <w:sz w:val="19"/>
          </w:rPr>
          <w:t xml:space="preserve">PubMed</w:t>
        </w:r>
      </w:hyperlink>
      <w:r>
        <w:rPr>
          <w:b w:val="0"/>
          <w:i w:val="0"/>
          <w:sz w:val="19"/>
        </w:rPr>
        <w:t xml:space="preserve"> · </w:t>
      </w:r>
      <w:hyperlink r:id="rId48">
        <w:r>
          <w:rPr>
            <w:color w:val="0563C1"/>
            <w:u w:val="single"/>
            <w:sz w:val="19"/>
          </w:rPr>
          <w:t xml:space="preserve">Journal</w:t>
        </w:r>
      </w:hyperlink>
      <w:r>
        <w:rPr>
          <w:b w:val="0"/>
          <w:i w:val="0"/>
          <w:sz w:val="19"/>
        </w:rPr>
        <w:t xml:space="preserve"> · </w:t>
      </w:r>
      <w:hyperlink r:id="rId49">
        <w:r>
          <w:rPr>
            <w:color w:val="0563C1"/>
            <w:u w:val="single"/>
            <w:sz w:val="19"/>
          </w:rPr>
          <w:t xml:space="preserve">Free full text</w:t>
        </w:r>
      </w:hyperlink>
      <w:r>
        <w:rPr>
          <w:b w:val="0"/>
          <w:i w:val="0"/>
          <w:sz w:val="19"/>
        </w:rPr>
        <w:t xml:space="preserve"> · </w:t>
      </w:r>
      <w:hyperlink r:id="rId50">
        <w:r>
          <w:rPr>
            <w:color w:val="0563C1"/>
            <w:u w:val="single"/>
            <w:sz w:val="19"/>
          </w:rPr>
          <w:t xml:space="preserve">Source</w:t>
        </w:r>
      </w:hyperlink>
      <w:r>
        <w:rPr>
          <w:b w:val="0"/>
          <w:i w:val="0"/>
          <w:sz w:val="19"/>
        </w:rPr>
        <w:t xml:space="preserve"> · </w:t>
      </w:r>
      <w:hyperlink r:id="rId51">
        <w:r>
          <w:rPr>
            <w:color w:val="0563C1"/>
            <w:u w:val="single"/>
            <w:sz w:val="19"/>
          </w:rPr>
          <w:t xml:space="preserve">TMC library</w:t>
        </w:r>
      </w:hyperlink>
    </w:p>
    <w:p>
      <w:pPr>
        <w:spacing w:after="60"/>
      </w:pPr>
      <w:r>
        <w:rPr>
          <w:b/>
          <w:i w:val="0"/>
          <w:sz w:val="19"/>
        </w:rPr>
        <w:t>EASL–AASLD–ILCA 2026</w:t>
      </w:r>
      <w:r>
        <w:rPr>
          <w:b w:val="0"/>
          <w:i w:val="0"/>
          <w:sz w:val="19"/>
        </w:rPr>
        <w:t xml:space="preserve"> — Trial design and end points in hepatocellular carcinoma: an EASL-AASLD-ILCA consensus statement</w:t>
      </w:r>
      <w:r>
        <w:rPr>
          <w:b w:val="0"/>
          <w:i w:val="0"/>
          <w:sz w:val="19"/>
        </w:rPr>
        <w:t xml:space="preserve">  </w:t>
      </w:r>
      <w:hyperlink r:id="rId52">
        <w:r>
          <w:rPr>
            <w:color w:val="0563C1"/>
            <w:u w:val="single"/>
            <w:sz w:val="19"/>
          </w:rPr>
          <w:t xml:space="preserve">PubMed</w:t>
        </w:r>
      </w:hyperlink>
      <w:r>
        <w:rPr>
          <w:b w:val="0"/>
          <w:i w:val="0"/>
          <w:sz w:val="19"/>
        </w:rPr>
        <w:t xml:space="preserve"> · </w:t>
      </w:r>
      <w:hyperlink r:id="rId53">
        <w:r>
          <w:rPr>
            <w:color w:val="0563C1"/>
            <w:u w:val="single"/>
            <w:sz w:val="19"/>
          </w:rPr>
          <w:t xml:space="preserve">Journal</w:t>
        </w:r>
      </w:hyperlink>
      <w:r>
        <w:rPr>
          <w:b w:val="0"/>
          <w:i w:val="0"/>
          <w:sz w:val="19"/>
        </w:rPr>
        <w:t xml:space="preserve"> · </w:t>
      </w:r>
      <w:hyperlink r:id="rId54">
        <w:r>
          <w:rPr>
            <w:color w:val="0563C1"/>
            <w:u w:val="single"/>
            <w:sz w:val="19"/>
          </w:rPr>
          <w:t xml:space="preserve">Free full text</w:t>
        </w:r>
      </w:hyperlink>
      <w:r>
        <w:rPr>
          <w:b w:val="0"/>
          <w:i w:val="0"/>
          <w:sz w:val="19"/>
        </w:rPr>
        <w:t xml:space="preserve"> · </w:t>
      </w:r>
      <w:hyperlink r:id="rId55">
        <w:r>
          <w:rPr>
            <w:color w:val="0563C1"/>
            <w:u w:val="single"/>
            <w:sz w:val="19"/>
          </w:rPr>
          <w:t xml:space="preserve">Source</w:t>
        </w:r>
      </w:hyperlink>
      <w:r>
        <w:rPr>
          <w:b w:val="0"/>
          <w:i w:val="0"/>
          <w:sz w:val="19"/>
        </w:rPr>
        <w:t xml:space="preserve"> · </w:t>
      </w:r>
      <w:hyperlink r:id="rId56">
        <w:r>
          <w:rPr>
            <w:color w:val="0563C1"/>
            <w:u w:val="single"/>
            <w:sz w:val="19"/>
          </w:rPr>
          <w:t xml:space="preserve">TMC library</w:t>
        </w:r>
      </w:hyperlink>
    </w:p>
    <w:p>
      <w:pPr>
        <w:spacing w:after="60"/>
      </w:pPr>
      <w:r>
        <w:rPr>
          <w:b/>
          <w:i w:val="0"/>
          <w:sz w:val="19"/>
        </w:rPr>
        <w:t>Eldridge 2016</w:t>
      </w:r>
      <w:r>
        <w:rPr>
          <w:b w:val="0"/>
          <w:i w:val="0"/>
          <w:sz w:val="19"/>
        </w:rPr>
        <w:t xml:space="preserve"> — CONSORT 2010 statement: extension to randomised pilot and feasibility trials</w:t>
      </w:r>
      <w:r>
        <w:rPr>
          <w:b w:val="0"/>
          <w:i w:val="0"/>
          <w:sz w:val="19"/>
        </w:rPr>
        <w:t xml:space="preserve">  </w:t>
      </w:r>
      <w:hyperlink r:id="rId57">
        <w:r>
          <w:rPr>
            <w:color w:val="0563C1"/>
            <w:u w:val="single"/>
            <w:sz w:val="19"/>
          </w:rPr>
          <w:t xml:space="preserve">PubMed</w:t>
        </w:r>
      </w:hyperlink>
      <w:r>
        <w:rPr>
          <w:b w:val="0"/>
          <w:i w:val="0"/>
          <w:sz w:val="19"/>
        </w:rPr>
        <w:t xml:space="preserve"> · </w:t>
      </w:r>
      <w:hyperlink r:id="rId58">
        <w:r>
          <w:rPr>
            <w:color w:val="0563C1"/>
            <w:u w:val="single"/>
            <w:sz w:val="19"/>
          </w:rPr>
          <w:t xml:space="preserve">Journal</w:t>
        </w:r>
      </w:hyperlink>
      <w:r>
        <w:rPr>
          <w:b w:val="0"/>
          <w:i w:val="0"/>
          <w:sz w:val="19"/>
        </w:rPr>
        <w:t xml:space="preserve"> · </w:t>
      </w:r>
      <w:hyperlink r:id="rId59">
        <w:r>
          <w:rPr>
            <w:color w:val="0563C1"/>
            <w:u w:val="single"/>
            <w:sz w:val="19"/>
          </w:rPr>
          <w:t xml:space="preserve">Source</w:t>
        </w:r>
      </w:hyperlink>
      <w:r>
        <w:rPr>
          <w:b w:val="0"/>
          <w:i w:val="0"/>
          <w:sz w:val="19"/>
        </w:rPr>
        <w:t xml:space="preserve"> · </w:t>
      </w:r>
      <w:hyperlink r:id="rId60">
        <w:r>
          <w:rPr>
            <w:color w:val="0563C1"/>
            <w:u w:val="single"/>
            <w:sz w:val="19"/>
          </w:rPr>
          <w:t xml:space="preserve">TMC library</w:t>
        </w:r>
      </w:hyperlink>
    </w:p>
    <w:p>
      <w:pPr>
        <w:spacing w:after="60"/>
      </w:pPr>
      <w:r>
        <w:rPr>
          <w:b/>
          <w:i w:val="0"/>
          <w:sz w:val="19"/>
        </w:rPr>
        <w:t>Fang · irAEs</w:t>
      </w:r>
      <w:r>
        <w:rPr>
          <w:b w:val="0"/>
          <w:i w:val="0"/>
          <w:sz w:val="19"/>
        </w:rPr>
        <w:t xml:space="preserve"> — Immune-related adverse events are a potent predictor of post-transplant rejection in HCC: a multicentre retrospective cohort study</w:t>
      </w:r>
      <w:r>
        <w:rPr>
          <w:b w:val="0"/>
          <w:i w:val="0"/>
          <w:sz w:val="19"/>
        </w:rPr>
        <w:t xml:space="preserve">  </w:t>
      </w:r>
      <w:hyperlink r:id="rId61">
        <w:r>
          <w:rPr>
            <w:color w:val="0563C1"/>
            <w:u w:val="single"/>
            <w:sz w:val="19"/>
          </w:rPr>
          <w:t xml:space="preserve">PubMed</w:t>
        </w:r>
      </w:hyperlink>
      <w:r>
        <w:rPr>
          <w:b w:val="0"/>
          <w:i w:val="0"/>
          <w:sz w:val="19"/>
        </w:rPr>
        <w:t xml:space="preserve"> · </w:t>
      </w:r>
      <w:hyperlink r:id="rId62">
        <w:r>
          <w:rPr>
            <w:color w:val="0563C1"/>
            <w:u w:val="single"/>
            <w:sz w:val="19"/>
          </w:rPr>
          <w:t xml:space="preserve">Journal</w:t>
        </w:r>
      </w:hyperlink>
      <w:r>
        <w:rPr>
          <w:b w:val="0"/>
          <w:i w:val="0"/>
          <w:sz w:val="19"/>
        </w:rPr>
        <w:t xml:space="preserve"> · </w:t>
      </w:r>
      <w:hyperlink r:id="rId63">
        <w:r>
          <w:rPr>
            <w:color w:val="0563C1"/>
            <w:u w:val="single"/>
            <w:sz w:val="19"/>
          </w:rPr>
          <w:t xml:space="preserve">Free full text</w:t>
        </w:r>
      </w:hyperlink>
      <w:r>
        <w:rPr>
          <w:b w:val="0"/>
          <w:i w:val="0"/>
          <w:sz w:val="19"/>
        </w:rPr>
        <w:t xml:space="preserve"> · </w:t>
      </w:r>
      <w:hyperlink r:id="rId64">
        <w:r>
          <w:rPr>
            <w:color w:val="0563C1"/>
            <w:u w:val="single"/>
            <w:sz w:val="19"/>
          </w:rPr>
          <w:t xml:space="preserve">Source</w:t>
        </w:r>
      </w:hyperlink>
      <w:r>
        <w:rPr>
          <w:b w:val="0"/>
          <w:i w:val="0"/>
          <w:sz w:val="19"/>
        </w:rPr>
        <w:t xml:space="preserve"> · </w:t>
      </w:r>
      <w:hyperlink r:id="rId65">
        <w:r>
          <w:rPr>
            <w:color w:val="0563C1"/>
            <w:u w:val="single"/>
            <w:sz w:val="19"/>
          </w:rPr>
          <w:t xml:space="preserve">TMC library</w:t>
        </w:r>
      </w:hyperlink>
    </w:p>
    <w:p>
      <w:pPr>
        <w:spacing w:after="60"/>
      </w:pPr>
      <w:r>
        <w:rPr>
          <w:b/>
          <w:i w:val="0"/>
          <w:sz w:val="19"/>
        </w:rPr>
        <w:t>Giard 2018: AFP slope</w:t>
      </w:r>
      <w:r>
        <w:rPr>
          <w:b w:val="0"/>
          <w:i w:val="0"/>
          <w:sz w:val="19"/>
        </w:rPr>
        <w:t xml:space="preserve"> — Alpha-Fetoprotein Slope &gt;7.5 ng/mL per Month Predicts Microvascular Invasion and Tumor Recurrence After Liver Transplantation for Hepatocellular Carcinoma.</w:t>
      </w:r>
      <w:r>
        <w:rPr>
          <w:b w:val="0"/>
          <w:i w:val="0"/>
          <w:sz w:val="19"/>
        </w:rPr>
        <w:t xml:space="preserve">  </w:t>
      </w:r>
      <w:hyperlink r:id="rId66">
        <w:r>
          <w:rPr>
            <w:color w:val="0563C1"/>
            <w:u w:val="single"/>
            <w:sz w:val="19"/>
          </w:rPr>
          <w:t xml:space="preserve">PubMed</w:t>
        </w:r>
      </w:hyperlink>
      <w:r>
        <w:rPr>
          <w:b w:val="0"/>
          <w:i w:val="0"/>
          <w:sz w:val="19"/>
        </w:rPr>
        <w:t xml:space="preserve"> · </w:t>
      </w:r>
      <w:hyperlink r:id="rId67">
        <w:r>
          <w:rPr>
            <w:color w:val="0563C1"/>
            <w:u w:val="single"/>
            <w:sz w:val="19"/>
          </w:rPr>
          <w:t xml:space="preserve">Journal</w:t>
        </w:r>
      </w:hyperlink>
      <w:r>
        <w:rPr>
          <w:b w:val="0"/>
          <w:i w:val="0"/>
          <w:sz w:val="19"/>
        </w:rPr>
        <w:t xml:space="preserve"> · </w:t>
      </w:r>
      <w:hyperlink r:id="rId68">
        <w:r>
          <w:rPr>
            <w:color w:val="0563C1"/>
            <w:u w:val="single"/>
            <w:sz w:val="19"/>
          </w:rPr>
          <w:t xml:space="preserve">TMC library</w:t>
        </w:r>
      </w:hyperlink>
    </w:p>
    <w:p>
      <w:pPr>
        <w:spacing w:after="60"/>
      </w:pPr>
      <w:r>
        <w:rPr>
          <w:b/>
          <w:i w:val="0"/>
          <w:sz w:val="19"/>
        </w:rPr>
        <w:t>Goldman 2022: final AFP ≥500</w:t>
      </w:r>
      <w:r>
        <w:rPr>
          <w:b w:val="0"/>
          <w:i w:val="0"/>
          <w:sz w:val="19"/>
        </w:rPr>
        <w:t xml:space="preserve"> — Lower Alpha-Fetoprotein Threshold of 500 ng/mL for Liver Transplantation May Improve Posttransplant Outcomes in Patients With Hepatocellular Carcinoma.</w:t>
      </w:r>
      <w:r>
        <w:rPr>
          <w:b w:val="0"/>
          <w:i w:val="0"/>
          <w:sz w:val="19"/>
        </w:rPr>
        <w:t xml:space="preserve">  </w:t>
      </w:r>
      <w:hyperlink r:id="rId69">
        <w:r>
          <w:rPr>
            <w:color w:val="0563C1"/>
            <w:u w:val="single"/>
            <w:sz w:val="19"/>
          </w:rPr>
          <w:t xml:space="preserve">PubMed</w:t>
        </w:r>
      </w:hyperlink>
      <w:r>
        <w:rPr>
          <w:b w:val="0"/>
          <w:i w:val="0"/>
          <w:sz w:val="19"/>
        </w:rPr>
        <w:t xml:space="preserve"> · </w:t>
      </w:r>
      <w:hyperlink r:id="rId70">
        <w:r>
          <w:rPr>
            <w:color w:val="0563C1"/>
            <w:u w:val="single"/>
            <w:sz w:val="19"/>
          </w:rPr>
          <w:t xml:space="preserve">Journal</w:t>
        </w:r>
      </w:hyperlink>
      <w:r>
        <w:rPr>
          <w:b w:val="0"/>
          <w:i w:val="0"/>
          <w:sz w:val="19"/>
        </w:rPr>
        <w:t xml:space="preserve"> · </w:t>
      </w:r>
      <w:hyperlink r:id="rId71">
        <w:r>
          <w:rPr>
            <w:color w:val="0563C1"/>
            <w:u w:val="single"/>
            <w:sz w:val="19"/>
          </w:rPr>
          <w:t xml:space="preserve">TMC library</w:t>
        </w:r>
      </w:hyperlink>
    </w:p>
    <w:p>
      <w:pPr>
        <w:spacing w:after="60"/>
      </w:pPr>
      <w:r>
        <w:rPr>
          <w:b/>
          <w:i w:val="0"/>
          <w:sz w:val="19"/>
        </w:rPr>
        <w:t>Goudsmit 2023</w:t>
      </w:r>
      <w:r>
        <w:rPr>
          <w:b w:val="0"/>
          <w:i w:val="0"/>
          <w:sz w:val="19"/>
        </w:rPr>
        <w:t xml:space="preserve"> — Survival benefit from liver transplantation for patients with and without hepatocellular carcinoma</w:t>
      </w:r>
      <w:r>
        <w:rPr>
          <w:b w:val="0"/>
          <w:i w:val="0"/>
          <w:sz w:val="19"/>
        </w:rPr>
        <w:t xml:space="preserve">  </w:t>
      </w:r>
      <w:hyperlink r:id="rId72">
        <w:r>
          <w:rPr>
            <w:color w:val="0563C1"/>
            <w:u w:val="single"/>
            <w:sz w:val="19"/>
          </w:rPr>
          <w:t xml:space="preserve">PubMed</w:t>
        </w:r>
      </w:hyperlink>
      <w:r>
        <w:rPr>
          <w:b w:val="0"/>
          <w:i w:val="0"/>
          <w:sz w:val="19"/>
        </w:rPr>
        <w:t xml:space="preserve"> · </w:t>
      </w:r>
      <w:hyperlink r:id="rId73">
        <w:r>
          <w:rPr>
            <w:color w:val="0563C1"/>
            <w:u w:val="single"/>
            <w:sz w:val="19"/>
          </w:rPr>
          <w:t xml:space="preserve">Journal</w:t>
        </w:r>
      </w:hyperlink>
      <w:r>
        <w:rPr>
          <w:b w:val="0"/>
          <w:i w:val="0"/>
          <w:sz w:val="19"/>
        </w:rPr>
        <w:t xml:space="preserve"> · </w:t>
      </w:r>
      <w:hyperlink r:id="rId74">
        <w:r>
          <w:rPr>
            <w:color w:val="0563C1"/>
            <w:u w:val="single"/>
            <w:sz w:val="19"/>
          </w:rPr>
          <w:t xml:space="preserve">Source</w:t>
        </w:r>
      </w:hyperlink>
      <w:r>
        <w:rPr>
          <w:b w:val="0"/>
          <w:i w:val="0"/>
          <w:sz w:val="19"/>
        </w:rPr>
        <w:t xml:space="preserve"> · </w:t>
      </w:r>
      <w:hyperlink r:id="rId75">
        <w:r>
          <w:rPr>
            <w:color w:val="0563C1"/>
            <w:u w:val="single"/>
            <w:sz w:val="19"/>
          </w:rPr>
          <w:t xml:space="preserve">TMC library</w:t>
        </w:r>
      </w:hyperlink>
    </w:p>
    <w:p>
      <w:pPr>
        <w:spacing w:after="60"/>
      </w:pPr>
      <w:r>
        <w:rPr>
          <w:b/>
          <w:i w:val="0"/>
          <w:sz w:val="19"/>
        </w:rPr>
        <w:t>Halazun 2021: dynamic AFP/NYCA</w:t>
      </w:r>
      <w:r>
        <w:rPr>
          <w:b w:val="0"/>
          <w:i w:val="0"/>
          <w:sz w:val="19"/>
        </w:rPr>
        <w:t xml:space="preserve"> — Dynamic α-Fetoprotein Response and Outcomes After Liver Transplant for Hepatocellular Carcinoma.</w:t>
      </w:r>
      <w:r>
        <w:rPr>
          <w:b w:val="0"/>
          <w:i w:val="0"/>
          <w:sz w:val="19"/>
        </w:rPr>
        <w:t xml:space="preserve">  </w:t>
      </w:r>
      <w:hyperlink r:id="rId76">
        <w:r>
          <w:rPr>
            <w:color w:val="0563C1"/>
            <w:u w:val="single"/>
            <w:sz w:val="19"/>
          </w:rPr>
          <w:t xml:space="preserve">PubMed</w:t>
        </w:r>
      </w:hyperlink>
      <w:r>
        <w:rPr>
          <w:b w:val="0"/>
          <w:i w:val="0"/>
          <w:sz w:val="19"/>
        </w:rPr>
        <w:t xml:space="preserve"> · </w:t>
      </w:r>
      <w:hyperlink r:id="rId77">
        <w:r>
          <w:rPr>
            <w:color w:val="0563C1"/>
            <w:u w:val="single"/>
            <w:sz w:val="19"/>
          </w:rPr>
          <w:t xml:space="preserve">Journal</w:t>
        </w:r>
      </w:hyperlink>
      <w:r>
        <w:rPr>
          <w:b w:val="0"/>
          <w:i w:val="0"/>
          <w:sz w:val="19"/>
        </w:rPr>
        <w:t xml:space="preserve"> · </w:t>
      </w:r>
      <w:hyperlink r:id="rId78">
        <w:r>
          <w:rPr>
            <w:color w:val="0563C1"/>
            <w:u w:val="single"/>
            <w:sz w:val="19"/>
          </w:rPr>
          <w:t xml:space="preserve">TMC library</w:t>
        </w:r>
      </w:hyperlink>
    </w:p>
    <w:p>
      <w:pPr>
        <w:spacing w:after="60"/>
      </w:pPr>
      <w:r>
        <w:rPr>
          <w:b/>
          <w:i w:val="0"/>
          <w:sz w:val="19"/>
        </w:rPr>
        <w:t>HCC ICI cohort · JAMA 2026</w:t>
      </w:r>
      <w:r>
        <w:rPr>
          <w:b w:val="0"/>
          <w:i w:val="0"/>
          <w:sz w:val="19"/>
        </w:rPr>
        <w:t xml:space="preserve"> — Immune Checkpoint Inhibitor–Based Downstaging Therapy for Hepatocellular Carcinoma</w:t>
      </w:r>
      <w:r>
        <w:rPr>
          <w:b w:val="0"/>
          <w:i w:val="0"/>
          <w:sz w:val="19"/>
        </w:rPr>
        <w:t xml:space="preserve">  </w:t>
      </w:r>
      <w:hyperlink r:id="rId79">
        <w:r>
          <w:rPr>
            <w:color w:val="0563C1"/>
            <w:u w:val="single"/>
            <w:sz w:val="19"/>
          </w:rPr>
          <w:t xml:space="preserve">PubMed</w:t>
        </w:r>
      </w:hyperlink>
      <w:r>
        <w:rPr>
          <w:b w:val="0"/>
          <w:i w:val="0"/>
          <w:sz w:val="19"/>
        </w:rPr>
        <w:t xml:space="preserve"> · </w:t>
      </w:r>
      <w:hyperlink r:id="rId80">
        <w:r>
          <w:rPr>
            <w:color w:val="0563C1"/>
            <w:u w:val="single"/>
            <w:sz w:val="19"/>
          </w:rPr>
          <w:t xml:space="preserve">Journal</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HHS human-subject protections</w:t>
      </w:r>
      <w:r>
        <w:rPr>
          <w:b w:val="0"/>
          <w:i w:val="0"/>
          <w:sz w:val="19"/>
        </w:rPr>
        <w:t xml:space="preserve"> — 45 CFR 46.111: Criteria for IRB approval of research</w:t>
      </w:r>
      <w:r>
        <w:rPr>
          <w:b w:val="0"/>
          <w:i w:val="0"/>
          <w:sz w:val="19"/>
        </w:rPr>
        <w:t xml:space="preserve">  </w:t>
      </w:r>
      <w:hyperlink r:id="rId82">
        <w:r>
          <w:rPr>
            <w:color w:val="0563C1"/>
            <w:u w:val="single"/>
            <w:sz w:val="19"/>
          </w:rPr>
          <w:t xml:space="preserve">Source</w:t>
        </w:r>
      </w:hyperlink>
    </w:p>
    <w:p>
      <w:pPr>
        <w:spacing w:after="60"/>
      </w:pPr>
      <w:r>
        <w:rPr>
          <w:b/>
          <w:i w:val="0"/>
          <w:sz w:val="19"/>
        </w:rPr>
        <w:t>Huang 2023</w:t>
      </w:r>
      <w:r>
        <w:rPr>
          <w:b w:val="0"/>
          <w:i w:val="0"/>
          <w:sz w:val="19"/>
        </w:rPr>
        <w:t xml:space="preserve"> — National Experience on Waitlist Outcomes for Down-Staging of Hepatocellular Carcinoma: High Dropout Rate in All-Comers</w:t>
      </w:r>
      <w:r>
        <w:rPr>
          <w:b w:val="0"/>
          <w:i w:val="0"/>
          <w:sz w:val="19"/>
        </w:rPr>
        <w:t xml:space="preserve">  </w:t>
      </w:r>
      <w:hyperlink r:id="rId83">
        <w:r>
          <w:rPr>
            <w:color w:val="0563C1"/>
            <w:u w:val="single"/>
            <w:sz w:val="19"/>
          </w:rPr>
          <w:t xml:space="preserve">PubMed</w:t>
        </w:r>
      </w:hyperlink>
      <w:r>
        <w:rPr>
          <w:b w:val="0"/>
          <w:i w:val="0"/>
          <w:sz w:val="19"/>
        </w:rPr>
        <w:t xml:space="preserve"> · </w:t>
      </w:r>
      <w:hyperlink r:id="rId84">
        <w:r>
          <w:rPr>
            <w:color w:val="0563C1"/>
            <w:u w:val="single"/>
            <w:sz w:val="19"/>
          </w:rPr>
          <w:t xml:space="preserve">Journal</w:t>
        </w:r>
      </w:hyperlink>
      <w:r>
        <w:rPr>
          <w:b w:val="0"/>
          <w:i w:val="0"/>
          <w:sz w:val="19"/>
        </w:rPr>
        <w:t xml:space="preserve"> · </w:t>
      </w:r>
      <w:hyperlink r:id="rId85">
        <w:r>
          <w:rPr>
            <w:color w:val="0563C1"/>
            <w:u w:val="single"/>
            <w:sz w:val="19"/>
          </w:rPr>
          <w:t xml:space="preserve">TMC library</w:t>
        </w:r>
      </w:hyperlink>
    </w:p>
    <w:p>
      <w:pPr>
        <w:spacing w:after="60"/>
      </w:pPr>
      <w:r>
        <w:rPr>
          <w:b/>
          <w:i w:val="0"/>
          <w:sz w:val="19"/>
        </w:rPr>
        <w:t>ILTS–ILCA consensus</w:t>
      </w:r>
      <w:r>
        <w:rPr>
          <w:b w:val="0"/>
          <w:i w:val="0"/>
          <w:sz w:val="19"/>
        </w:rPr>
        <w:t xml:space="preserve"> — The 2024 ILTS-ILCA consensus recommendations for liver transplantation for HCC and intrahepatic cholangiocarcinoma</w:t>
      </w:r>
      <w:r>
        <w:rPr>
          <w:b w:val="0"/>
          <w:i w:val="0"/>
          <w:sz w:val="19"/>
        </w:rPr>
        <w:t xml:space="preserve">  </w:t>
      </w:r>
      <w:hyperlink r:id="rId86">
        <w:r>
          <w:rPr>
            <w:color w:val="0563C1"/>
            <w:u w:val="single"/>
            <w:sz w:val="19"/>
          </w:rPr>
          <w:t xml:space="preserve">PubMed</w:t>
        </w:r>
      </w:hyperlink>
      <w:r>
        <w:rPr>
          <w:b w:val="0"/>
          <w:i w:val="0"/>
          <w:sz w:val="19"/>
        </w:rPr>
        <w:t xml:space="preserve"> · </w:t>
      </w:r>
      <w:hyperlink r:id="rId87">
        <w:r>
          <w:rPr>
            <w:color w:val="0563C1"/>
            <w:u w:val="single"/>
            <w:sz w:val="19"/>
          </w:rPr>
          <w:t xml:space="preserve">Journal</w:t>
        </w:r>
      </w:hyperlink>
      <w:r>
        <w:rPr>
          <w:b w:val="0"/>
          <w:i w:val="0"/>
          <w:sz w:val="19"/>
        </w:rPr>
        <w:t xml:space="preserve"> · </w:t>
      </w:r>
      <w:hyperlink r:id="rId88">
        <w:r>
          <w:rPr>
            <w:color w:val="0563C1"/>
            <w:u w:val="single"/>
            <w:sz w:val="19"/>
          </w:rPr>
          <w:t xml:space="preserve">TMC library</w:t>
        </w:r>
      </w:hyperlink>
    </w:p>
    <w:p>
      <w:pPr>
        <w:spacing w:after="60"/>
      </w:pPr>
      <w:r>
        <w:rPr>
          <w:b/>
          <w:i w:val="0"/>
          <w:sz w:val="19"/>
        </w:rPr>
        <w:t>ImmunoXXL 2026</w:t>
      </w:r>
      <w:r>
        <w:rPr>
          <w:b w:val="0"/>
          <w:i w:val="0"/>
          <w:sz w:val="19"/>
        </w:rPr>
        <w:t xml:space="preserve"> — Efficacy of liver transplantation after response to atezolizumab-bevacizumab downstaging of intermediate and advanced hepatocellular carcinoma (ImmunoXXL)</w:t>
      </w:r>
      <w:r>
        <w:rPr>
          <w:b w:val="0"/>
          <w:i w:val="0"/>
          <w:sz w:val="19"/>
        </w:rPr>
        <w:t xml:space="preserve">  </w:t>
      </w:r>
      <w:hyperlink r:id="rId89">
        <w:r>
          <w:rPr>
            <w:color w:val="0563C1"/>
            <w:u w:val="single"/>
            <w:sz w:val="19"/>
          </w:rPr>
          <w:t xml:space="preserve">PubMed</w:t>
        </w:r>
      </w:hyperlink>
      <w:r>
        <w:rPr>
          <w:b w:val="0"/>
          <w:i w:val="0"/>
          <w:sz w:val="19"/>
        </w:rPr>
        <w:t xml:space="preserve"> · </w:t>
      </w:r>
      <w:hyperlink r:id="rId90">
        <w:r>
          <w:rPr>
            <w:color w:val="0563C1"/>
            <w:u w:val="single"/>
            <w:sz w:val="19"/>
          </w:rPr>
          <w:t xml:space="preserve">Journal</w:t>
        </w:r>
      </w:hyperlink>
      <w:r>
        <w:rPr>
          <w:b w:val="0"/>
          <w:i w:val="0"/>
          <w:sz w:val="19"/>
        </w:rPr>
        <w:t xml:space="preserve"> · </w:t>
      </w:r>
      <w:hyperlink r:id="rId91">
        <w:r>
          <w:rPr>
            <w:color w:val="0563C1"/>
            <w:u w:val="single"/>
            <w:sz w:val="19"/>
          </w:rPr>
          <w:t xml:space="preserve">TMC library</w:t>
        </w:r>
      </w:hyperlink>
    </w:p>
    <w:p>
      <w:pPr>
        <w:spacing w:after="60"/>
      </w:pPr>
      <w:r>
        <w:rPr>
          <w:b/>
          <w:i w:val="0"/>
          <w:sz w:val="19"/>
        </w:rPr>
        <w:t>Kelly 2026</w:t>
      </w:r>
      <w:r>
        <w:rPr>
          <w:b w:val="0"/>
          <w:i w:val="0"/>
          <w:sz w:val="19"/>
        </w:rPr>
        <w:t xml:space="preserve"> — Three Decades of Living Liver Donor Outcomes: A National Cohort Analysis of Patterns in Mortality and Recovery</w:t>
      </w:r>
      <w:r>
        <w:rPr>
          <w:b w:val="0"/>
          <w:i w:val="0"/>
          <w:sz w:val="19"/>
        </w:rPr>
        <w:t xml:space="preserve">  </w:t>
      </w:r>
      <w:hyperlink r:id="rId92">
        <w:r>
          <w:rPr>
            <w:color w:val="0563C1"/>
            <w:u w:val="single"/>
            <w:sz w:val="19"/>
          </w:rPr>
          <w:t xml:space="preserve">PubMed</w:t>
        </w:r>
      </w:hyperlink>
      <w:r>
        <w:rPr>
          <w:b w:val="0"/>
          <w:i w:val="0"/>
          <w:sz w:val="19"/>
        </w:rPr>
        <w:t xml:space="preserve"> · </w:t>
      </w:r>
      <w:hyperlink r:id="rId93">
        <w:r>
          <w:rPr>
            <w:color w:val="0563C1"/>
            <w:u w:val="single"/>
            <w:sz w:val="19"/>
          </w:rPr>
          <w:t xml:space="preserve">Journal</w:t>
        </w:r>
      </w:hyperlink>
      <w:r>
        <w:rPr>
          <w:b w:val="0"/>
          <w:i w:val="0"/>
          <w:sz w:val="19"/>
        </w:rPr>
        <w:t xml:space="preserve"> · </w:t>
      </w:r>
      <w:hyperlink r:id="rId94">
        <w:r>
          <w:rPr>
            <w:color w:val="0563C1"/>
            <w:u w:val="single"/>
            <w:sz w:val="19"/>
          </w:rPr>
          <w:t xml:space="preserve">TMC library</w:t>
        </w:r>
      </w:hyperlink>
    </w:p>
    <w:p>
      <w:pPr>
        <w:spacing w:after="60"/>
      </w:pPr>
      <w:r>
        <w:rPr>
          <w:b/>
          <w:i w:val="0"/>
          <w:sz w:val="19"/>
        </w:rPr>
        <w:t>Lai 2017</w:t>
      </w:r>
      <w:r>
        <w:rPr>
          <w:b w:val="0"/>
          <w:i w:val="0"/>
          <w:sz w:val="19"/>
        </w:rPr>
        <w:t xml:space="preserve"> — Intention-to-Treat Survival Benefit of Liver Transplantation in Patients With Hepatocellular Cancer</w:t>
      </w:r>
      <w:r>
        <w:rPr>
          <w:b w:val="0"/>
          <w:i w:val="0"/>
          <w:sz w:val="19"/>
        </w:rPr>
        <w:t xml:space="preserve">  </w:t>
      </w:r>
      <w:hyperlink r:id="rId95">
        <w:r>
          <w:rPr>
            <w:color w:val="0563C1"/>
            <w:u w:val="single"/>
            <w:sz w:val="19"/>
          </w:rPr>
          <w:t xml:space="preserve">PubMed</w:t>
        </w:r>
      </w:hyperlink>
      <w:r>
        <w:rPr>
          <w:b w:val="0"/>
          <w:i w:val="0"/>
          <w:sz w:val="19"/>
        </w:rPr>
        <w:t xml:space="preserve"> · </w:t>
      </w:r>
      <w:hyperlink r:id="rId96">
        <w:r>
          <w:rPr>
            <w:color w:val="0563C1"/>
            <w:u w:val="single"/>
            <w:sz w:val="19"/>
          </w:rPr>
          <w:t xml:space="preserve">Journal</w:t>
        </w:r>
      </w:hyperlink>
      <w:r>
        <w:rPr>
          <w:b w:val="0"/>
          <w:i w:val="0"/>
          <w:sz w:val="19"/>
        </w:rPr>
        <w:t xml:space="preserve"> · </w:t>
      </w:r>
      <w:hyperlink r:id="rId97">
        <w:r>
          <w:rPr>
            <w:color w:val="0563C1"/>
            <w:u w:val="single"/>
            <w:sz w:val="19"/>
          </w:rPr>
          <w:t xml:space="preserve">TMC library</w:t>
        </w:r>
      </w:hyperlink>
    </w:p>
    <w:p>
      <w:pPr>
        <w:spacing w:after="60"/>
      </w:pPr>
      <w:r>
        <w:rPr>
          <w:b/>
          <w:i w:val="0"/>
          <w:sz w:val="19"/>
        </w:rPr>
        <w:t>LITCHI 2026</w:t>
      </w:r>
      <w:r>
        <w:rPr>
          <w:b w:val="0"/>
          <w:i w:val="0"/>
          <w:sz w:val="19"/>
        </w:rPr>
        <w:t xml:space="preserve"> — Liver Transplantation After Immune Checkpoint Inhibition in Hepatocellular Carcinoma-Data From the Multinational LITCHI Registry</w:t>
      </w:r>
      <w:r>
        <w:rPr>
          <w:b w:val="0"/>
          <w:i w:val="0"/>
          <w:sz w:val="19"/>
        </w:rPr>
        <w:t xml:space="preserve">  </w:t>
      </w:r>
      <w:hyperlink r:id="rId98">
        <w:r>
          <w:rPr>
            <w:color w:val="0563C1"/>
            <w:u w:val="single"/>
            <w:sz w:val="19"/>
          </w:rPr>
          <w:t xml:space="preserve">PubMed</w:t>
        </w:r>
      </w:hyperlink>
      <w:r>
        <w:rPr>
          <w:b w:val="0"/>
          <w:i w:val="0"/>
          <w:sz w:val="19"/>
        </w:rPr>
        <w:t xml:space="preserve"> · </w:t>
      </w:r>
      <w:hyperlink r:id="rId99">
        <w:r>
          <w:rPr>
            <w:color w:val="0563C1"/>
            <w:u w:val="single"/>
            <w:sz w:val="19"/>
          </w:rPr>
          <w:t xml:space="preserve">Journal</w:t>
        </w:r>
      </w:hyperlink>
      <w:r>
        <w:rPr>
          <w:b w:val="0"/>
          <w:i w:val="0"/>
          <w:sz w:val="19"/>
        </w:rPr>
        <w:t xml:space="preserve"> · </w:t>
      </w:r>
      <w:hyperlink r:id="rId100">
        <w:r>
          <w:rPr>
            <w:color w:val="0563C1"/>
            <w:u w:val="single"/>
            <w:sz w:val="19"/>
          </w:rPr>
          <w:t xml:space="preserve">TMC library</w:t>
        </w:r>
      </w:hyperlink>
    </w:p>
    <w:p>
      <w:pPr>
        <w:spacing w:after="60"/>
      </w:pPr>
      <w:r>
        <w:rPr>
          <w:b/>
          <w:i w:val="0"/>
          <w:sz w:val="19"/>
        </w:rPr>
        <w:t>Liu 2025</w:t>
      </w:r>
      <w:r>
        <w:rPr>
          <w:b w:val="0"/>
          <w:i w:val="0"/>
          <w:sz w:val="19"/>
        </w:rPr>
        <w:t xml:space="preserve"> — Survival benefit associated with liver transplantation for hepatocellular carcinoma based on tumor burden scores at listing</w:t>
      </w:r>
      <w:r>
        <w:rPr>
          <w:b w:val="0"/>
          <w:i w:val="0"/>
          <w:sz w:val="19"/>
        </w:rPr>
        <w:t xml:space="preserve">  </w:t>
      </w:r>
      <w:hyperlink r:id="rId101">
        <w:r>
          <w:rPr>
            <w:color w:val="0563C1"/>
            <w:u w:val="single"/>
            <w:sz w:val="19"/>
          </w:rPr>
          <w:t xml:space="preserve">PubMed</w:t>
        </w:r>
      </w:hyperlink>
      <w:r>
        <w:rPr>
          <w:b w:val="0"/>
          <w:i w:val="0"/>
          <w:sz w:val="19"/>
        </w:rPr>
        <w:t xml:space="preserve"> · </w:t>
      </w:r>
      <w:hyperlink r:id="rId102">
        <w:r>
          <w:rPr>
            <w:color w:val="0563C1"/>
            <w:u w:val="single"/>
            <w:sz w:val="19"/>
          </w:rPr>
          <w:t xml:space="preserve">Journal</w:t>
        </w:r>
      </w:hyperlink>
      <w:r>
        <w:rPr>
          <w:b w:val="0"/>
          <w:i w:val="0"/>
          <w:sz w:val="19"/>
        </w:rPr>
        <w:t xml:space="preserve"> · </w:t>
      </w:r>
      <w:hyperlink r:id="rId103">
        <w:r>
          <w:rPr>
            <w:color w:val="0563C1"/>
            <w:u w:val="single"/>
            <w:sz w:val="19"/>
          </w:rPr>
          <w:t xml:space="preserve">Source</w:t>
        </w:r>
      </w:hyperlink>
      <w:r>
        <w:rPr>
          <w:b w:val="0"/>
          <w:i w:val="0"/>
          <w:sz w:val="19"/>
        </w:rPr>
        <w:t xml:space="preserve"> · </w:t>
      </w:r>
      <w:hyperlink r:id="rId104">
        <w:r>
          <w:rPr>
            <w:color w:val="0563C1"/>
            <w:u w:val="single"/>
            <w:sz w:val="19"/>
          </w:rPr>
          <w:t xml:space="preserve">TMC library</w:t>
        </w:r>
      </w:hyperlink>
    </w:p>
    <w:p>
      <w:pPr>
        <w:spacing w:after="60"/>
      </w:pPr>
      <w:r>
        <w:rPr>
          <w:b/>
          <w:i w:val="0"/>
          <w:sz w:val="19"/>
        </w:rPr>
        <w:t>Liu 2026</w:t>
      </w:r>
      <w:r>
        <w:rPr>
          <w:b w:val="0"/>
          <w:i w:val="0"/>
          <w:sz w:val="19"/>
        </w:rPr>
        <w:t xml:space="preserve"> — Optimizing Liver Transplant Allocation for Hepatocellular Carcinoma: Development and Validation of a Survival Benefit‐Based Model</w:t>
      </w:r>
      <w:r>
        <w:rPr>
          <w:b w:val="0"/>
          <w:i w:val="0"/>
          <w:sz w:val="19"/>
        </w:rPr>
        <w:t xml:space="preserve">  </w:t>
      </w:r>
      <w:hyperlink r:id="rId105">
        <w:r>
          <w:rPr>
            <w:color w:val="0563C1"/>
            <w:u w:val="single"/>
            <w:sz w:val="19"/>
          </w:rPr>
          <w:t xml:space="preserve">PubMed</w:t>
        </w:r>
      </w:hyperlink>
      <w:r>
        <w:rPr>
          <w:b w:val="0"/>
          <w:i w:val="0"/>
          <w:sz w:val="19"/>
        </w:rPr>
        <w:t xml:space="preserve"> · </w:t>
      </w:r>
      <w:hyperlink r:id="rId106">
        <w:r>
          <w:rPr>
            <w:color w:val="0563C1"/>
            <w:u w:val="single"/>
            <w:sz w:val="19"/>
          </w:rPr>
          <w:t xml:space="preserve">Journal</w:t>
        </w:r>
      </w:hyperlink>
      <w:r>
        <w:rPr>
          <w:b w:val="0"/>
          <w:i w:val="0"/>
          <w:sz w:val="19"/>
        </w:rPr>
        <w:t xml:space="preserve"> · </w:t>
      </w:r>
      <w:hyperlink r:id="rId107">
        <w:r>
          <w:rPr>
            <w:color w:val="0563C1"/>
            <w:u w:val="single"/>
            <w:sz w:val="19"/>
          </w:rPr>
          <w:t xml:space="preserve">Source</w:t>
        </w:r>
      </w:hyperlink>
      <w:r>
        <w:rPr>
          <w:b w:val="0"/>
          <w:i w:val="0"/>
          <w:sz w:val="19"/>
        </w:rPr>
        <w:t xml:space="preserve"> · </w:t>
      </w:r>
      <w:hyperlink r:id="rId108">
        <w:r>
          <w:rPr>
            <w:color w:val="0563C1"/>
            <w:u w:val="single"/>
            <w:sz w:val="19"/>
          </w:rPr>
          <w:t xml:space="preserve">TMC library</w:t>
        </w:r>
      </w:hyperlink>
    </w:p>
    <w:p>
      <w:pPr>
        <w:spacing w:after="60"/>
      </w:pPr>
      <w:r>
        <w:rPr>
          <w:b/>
          <w:i w:val="0"/>
          <w:sz w:val="19"/>
        </w:rPr>
        <w:t>Mehta 2019: AFP response</w:t>
      </w:r>
      <w:r>
        <w:rPr>
          <w:b w:val="0"/>
          <w:i w:val="0"/>
          <w:sz w:val="19"/>
        </w:rPr>
        <w:t xml:space="preserve"> — Alpha-Fetoprotein Decrease from &gt; 1,000 to &lt; 500 ng/mL in Patients with Hepatocellular Carcinoma Leads to Improved Posttransplant Outcomes.</w:t>
      </w:r>
      <w:r>
        <w:rPr>
          <w:b w:val="0"/>
          <w:i w:val="0"/>
          <w:sz w:val="19"/>
        </w:rPr>
        <w:t xml:space="preserve">  </w:t>
      </w:r>
      <w:hyperlink r:id="rId109">
        <w:r>
          <w:rPr>
            <w:color w:val="0563C1"/>
            <w:u w:val="single"/>
            <w:sz w:val="19"/>
          </w:rPr>
          <w:t xml:space="preserve">PubMed</w:t>
        </w:r>
      </w:hyperlink>
      <w:r>
        <w:rPr>
          <w:b w:val="0"/>
          <w:i w:val="0"/>
          <w:sz w:val="19"/>
        </w:rPr>
        <w:t xml:space="preserve"> · </w:t>
      </w:r>
      <w:hyperlink r:id="rId110">
        <w:r>
          <w:rPr>
            <w:color w:val="0563C1"/>
            <w:u w:val="single"/>
            <w:sz w:val="19"/>
          </w:rPr>
          <w:t xml:space="preserve">Journal</w:t>
        </w:r>
      </w:hyperlink>
      <w:r>
        <w:rPr>
          <w:b w:val="0"/>
          <w:i w:val="0"/>
          <w:sz w:val="19"/>
        </w:rPr>
        <w:t xml:space="preserve"> · </w:t>
      </w:r>
      <w:hyperlink r:id="rId111">
        <w:r>
          <w:rPr>
            <w:color w:val="0563C1"/>
            <w:u w:val="single"/>
            <w:sz w:val="19"/>
          </w:rPr>
          <w:t xml:space="preserve">TMC library</w:t>
        </w:r>
      </w:hyperlink>
    </w:p>
    <w:p>
      <w:pPr>
        <w:spacing w:after="60"/>
      </w:pPr>
      <w:r>
        <w:rPr>
          <w:b/>
          <w:i w:val="0"/>
          <w:sz w:val="19"/>
        </w:rPr>
        <w:t>Mehta 2021</w:t>
      </w:r>
      <w:r>
        <w:rPr>
          <w:b w:val="0"/>
          <w:i w:val="0"/>
          <w:sz w:val="19"/>
        </w:rPr>
        <w:t xml:space="preserve"> — Downstaging Outcomes for Hepatocellular Carcinoma: Results From the Multicenter Evaluation of Reduction in Tumor Size before Liver Transplantation (MERITS-LT) Consortium</w:t>
      </w:r>
      <w:r>
        <w:rPr>
          <w:b w:val="0"/>
          <w:i w:val="0"/>
          <w:sz w:val="19"/>
        </w:rPr>
        <w:t xml:space="preserve">  </w:t>
      </w:r>
      <w:hyperlink r:id="rId112">
        <w:r>
          <w:rPr>
            <w:color w:val="0563C1"/>
            <w:u w:val="single"/>
            <w:sz w:val="19"/>
          </w:rPr>
          <w:t xml:space="preserve">PubMed</w:t>
        </w:r>
      </w:hyperlink>
      <w:r>
        <w:rPr>
          <w:b w:val="0"/>
          <w:i w:val="0"/>
          <w:sz w:val="19"/>
        </w:rPr>
        <w:t xml:space="preserve"> · </w:t>
      </w:r>
      <w:hyperlink r:id="rId113">
        <w:r>
          <w:rPr>
            <w:color w:val="0563C1"/>
            <w:u w:val="single"/>
            <w:sz w:val="19"/>
          </w:rPr>
          <w:t xml:space="preserve">Journal</w:t>
        </w:r>
      </w:hyperlink>
      <w:r>
        <w:rPr>
          <w:b w:val="0"/>
          <w:i w:val="0"/>
          <w:sz w:val="19"/>
        </w:rPr>
        <w:t xml:space="preserve"> · </w:t>
      </w:r>
      <w:hyperlink r:id="rId114">
        <w:r>
          <w:rPr>
            <w:color w:val="0563C1"/>
            <w:u w:val="single"/>
            <w:sz w:val="19"/>
          </w:rPr>
          <w:t xml:space="preserve">Free full text</w:t>
        </w:r>
      </w:hyperlink>
      <w:r>
        <w:rPr>
          <w:b w:val="0"/>
          <w:i w:val="0"/>
          <w:sz w:val="19"/>
        </w:rPr>
        <w:t xml:space="preserve"> · </w:t>
      </w:r>
      <w:hyperlink r:id="rId115">
        <w:r>
          <w:rPr>
            <w:color w:val="0563C1"/>
            <w:u w:val="single"/>
            <w:sz w:val="19"/>
          </w:rPr>
          <w:t xml:space="preserve">Source</w:t>
        </w:r>
      </w:hyperlink>
      <w:r>
        <w:rPr>
          <w:b w:val="0"/>
          <w:i w:val="0"/>
          <w:sz w:val="19"/>
        </w:rPr>
        <w:t xml:space="preserve"> · </w:t>
      </w:r>
      <w:hyperlink r:id="rId116">
        <w:r>
          <w:rPr>
            <w:color w:val="0563C1"/>
            <w:u w:val="single"/>
            <w:sz w:val="19"/>
          </w:rPr>
          <w:t xml:space="preserve">TMC library</w:t>
        </w:r>
      </w:hyperlink>
    </w:p>
    <w:p>
      <w:pPr>
        <w:spacing w:after="60"/>
      </w:pPr>
      <w:r>
        <w:rPr>
          <w:b/>
          <w:i w:val="0"/>
          <w:sz w:val="19"/>
        </w:rPr>
        <w:t>Mergental 2012 · ELTR noncirrhotic HCC</w:t>
      </w:r>
      <w:r>
        <w:rPr>
          <w:b w:val="0"/>
          <w:i w:val="0"/>
          <w:sz w:val="19"/>
        </w:rPr>
        <w:t xml:space="preserve"> — Liver transplantation for unresectable hepatocellular carcinoma in normal livers</w:t>
      </w:r>
      <w:r>
        <w:rPr>
          <w:b w:val="0"/>
          <w:i w:val="0"/>
          <w:sz w:val="19"/>
        </w:rPr>
        <w:t xml:space="preserve">  </w:t>
      </w:r>
      <w:hyperlink r:id="rId117">
        <w:r>
          <w:rPr>
            <w:color w:val="0563C1"/>
            <w:u w:val="single"/>
            <w:sz w:val="19"/>
          </w:rPr>
          <w:t xml:space="preserve">PubMed</w:t>
        </w:r>
      </w:hyperlink>
      <w:r>
        <w:rPr>
          <w:b w:val="0"/>
          <w:i w:val="0"/>
          <w:sz w:val="19"/>
        </w:rPr>
        <w:t xml:space="preserve"> · </w:t>
      </w:r>
      <w:hyperlink r:id="rId118">
        <w:r>
          <w:rPr>
            <w:color w:val="0563C1"/>
            <w:u w:val="single"/>
            <w:sz w:val="19"/>
          </w:rPr>
          <w:t xml:space="preserve">Journal</w:t>
        </w:r>
      </w:hyperlink>
      <w:r>
        <w:rPr>
          <w:b w:val="0"/>
          <w:i w:val="0"/>
          <w:sz w:val="19"/>
        </w:rPr>
        <w:t xml:space="preserve"> · </w:t>
      </w:r>
      <w:hyperlink r:id="rId119">
        <w:r>
          <w:rPr>
            <w:color w:val="0563C1"/>
            <w:u w:val="single"/>
            <w:sz w:val="19"/>
          </w:rPr>
          <w:t xml:space="preserve">TMC library</w:t>
        </w:r>
      </w:hyperlink>
    </w:p>
    <w:p>
      <w:pPr>
        <w:spacing w:after="60"/>
      </w:pPr>
      <w:r>
        <w:rPr>
          <w:b/>
          <w:i w:val="0"/>
          <w:sz w:val="19"/>
        </w:rPr>
        <w:t>Moeckli 2025</w:t>
      </w:r>
      <w:r>
        <w:rPr>
          <w:b w:val="0"/>
          <w:i w:val="0"/>
          <w:sz w:val="19"/>
        </w:rPr>
        <w:t xml:space="preserve"> — Determining safe washout period for immune checkpoint inhibitors prior to liver transplantation: An international retrospective cohort study</w:t>
      </w:r>
      <w:r>
        <w:rPr>
          <w:b w:val="0"/>
          <w:i w:val="0"/>
          <w:sz w:val="19"/>
        </w:rPr>
        <w:t xml:space="preserve">  </w:t>
      </w:r>
      <w:hyperlink r:id="rId120">
        <w:r>
          <w:rPr>
            <w:color w:val="0563C1"/>
            <w:u w:val="single"/>
            <w:sz w:val="19"/>
          </w:rPr>
          <w:t xml:space="preserve">PubMed</w:t>
        </w:r>
      </w:hyperlink>
      <w:r>
        <w:rPr>
          <w:b w:val="0"/>
          <w:i w:val="0"/>
          <w:sz w:val="19"/>
        </w:rPr>
        <w:t xml:space="preserve"> · </w:t>
      </w:r>
      <w:hyperlink r:id="rId121">
        <w:r>
          <w:rPr>
            <w:color w:val="0563C1"/>
            <w:u w:val="single"/>
            <w:sz w:val="19"/>
          </w:rPr>
          <w:t xml:space="preserve">Journal</w:t>
        </w:r>
      </w:hyperlink>
      <w:r>
        <w:rPr>
          <w:b w:val="0"/>
          <w:i w:val="0"/>
          <w:sz w:val="19"/>
        </w:rPr>
        <w:t xml:space="preserve"> · </w:t>
      </w:r>
      <w:hyperlink r:id="rId122">
        <w:r>
          <w:rPr>
            <w:color w:val="0563C1"/>
            <w:u w:val="single"/>
            <w:sz w:val="19"/>
          </w:rPr>
          <w:t xml:space="preserve">TMC library</w:t>
        </w:r>
      </w:hyperlink>
    </w:p>
    <w:p>
      <w:pPr>
        <w:spacing w:after="60"/>
      </w:pPr>
      <w:r>
        <w:rPr>
          <w:b/>
          <w:i w:val="0"/>
          <w:sz w:val="19"/>
        </w:rPr>
        <w:t>Moriyama 2026: markers before imaging recurrence</w:t>
      </w:r>
      <w:r>
        <w:rPr>
          <w:b w:val="0"/>
          <w:i w:val="0"/>
          <w:sz w:val="19"/>
        </w:rPr>
        <w:t xml:space="preserve"> — Management and Prognosis of HCC Patients With Elevated Tumor Markers but no Imaging Recurrence After Radiofrequency Ablation.</w:t>
      </w:r>
      <w:r>
        <w:rPr>
          <w:b w:val="0"/>
          <w:i w:val="0"/>
          <w:sz w:val="19"/>
        </w:rPr>
        <w:t xml:space="preserve">  </w:t>
      </w:r>
      <w:hyperlink r:id="rId123">
        <w:r>
          <w:rPr>
            <w:color w:val="0563C1"/>
            <w:u w:val="single"/>
            <w:sz w:val="19"/>
          </w:rPr>
          <w:t xml:space="preserve">PubMed</w:t>
        </w:r>
      </w:hyperlink>
      <w:r>
        <w:rPr>
          <w:b w:val="0"/>
          <w:i w:val="0"/>
          <w:sz w:val="19"/>
        </w:rPr>
        <w:t xml:space="preserve"> · </w:t>
      </w:r>
      <w:hyperlink r:id="rId124">
        <w:r>
          <w:rPr>
            <w:color w:val="0563C1"/>
            <w:u w:val="single"/>
            <w:sz w:val="19"/>
          </w:rPr>
          <w:t xml:space="preserve">Journal</w:t>
        </w:r>
      </w:hyperlink>
      <w:r>
        <w:rPr>
          <w:b w:val="0"/>
          <w:i w:val="0"/>
          <w:sz w:val="19"/>
        </w:rPr>
        <w:t xml:space="preserve"> · </w:t>
      </w:r>
      <w:hyperlink r:id="rId125">
        <w:r>
          <w:rPr>
            <w:color w:val="0563C1"/>
            <w:u w:val="single"/>
            <w:sz w:val="19"/>
          </w:rPr>
          <w:t xml:space="preserve">TMC library</w:t>
        </w:r>
      </w:hyperlink>
    </w:p>
    <w:p>
      <w:pPr>
        <w:spacing w:after="60"/>
      </w:pPr>
      <w:r>
        <w:rPr>
          <w:b/>
          <w:i w:val="0"/>
          <w:sz w:val="19"/>
        </w:rPr>
        <w:t>Natarajan 2023</w:t>
      </w:r>
      <w:r>
        <w:rPr>
          <w:b w:val="0"/>
          <w:i w:val="0"/>
          <w:sz w:val="19"/>
        </w:rPr>
        <w:t xml:space="preserve"> — Downstaging hepatocellular carcinoma before liver transplantation: A multicenter analysis of the “all-comers” protocol in the Multicenter Evaluation of Reduction in Tumor Size before Liver Transplantation (MERITS-LT) consortium</w:t>
      </w:r>
      <w:r>
        <w:rPr>
          <w:b w:val="0"/>
          <w:i w:val="0"/>
          <w:sz w:val="19"/>
        </w:rPr>
        <w:t xml:space="preserve">  </w:t>
      </w:r>
      <w:hyperlink r:id="rId126">
        <w:r>
          <w:rPr>
            <w:color w:val="0563C1"/>
            <w:u w:val="single"/>
            <w:sz w:val="19"/>
          </w:rPr>
          <w:t xml:space="preserve">PubMed</w:t>
        </w:r>
      </w:hyperlink>
      <w:r>
        <w:rPr>
          <w:b w:val="0"/>
          <w:i w:val="0"/>
          <w:sz w:val="19"/>
        </w:rPr>
        <w:t xml:space="preserve"> · </w:t>
      </w:r>
      <w:hyperlink r:id="rId127">
        <w:r>
          <w:rPr>
            <w:color w:val="0563C1"/>
            <w:u w:val="single"/>
            <w:sz w:val="19"/>
          </w:rPr>
          <w:t xml:space="preserve">Journal</w:t>
        </w:r>
      </w:hyperlink>
      <w:r>
        <w:rPr>
          <w:b w:val="0"/>
          <w:i w:val="0"/>
          <w:sz w:val="19"/>
        </w:rPr>
        <w:t xml:space="preserve"> · </w:t>
      </w:r>
      <w:hyperlink r:id="rId128">
        <w:r>
          <w:rPr>
            <w:color w:val="0563C1"/>
            <w:u w:val="single"/>
            <w:sz w:val="19"/>
          </w:rPr>
          <w:t xml:space="preserve">Free full text</w:t>
        </w:r>
      </w:hyperlink>
      <w:r>
        <w:rPr>
          <w:b w:val="0"/>
          <w:i w:val="0"/>
          <w:sz w:val="19"/>
        </w:rPr>
        <w:t xml:space="preserve"> · </w:t>
      </w:r>
      <w:hyperlink r:id="rId129">
        <w:r>
          <w:rPr>
            <w:color w:val="0563C1"/>
            <w:u w:val="single"/>
            <w:sz w:val="19"/>
          </w:rPr>
          <w:t xml:space="preserve">Source</w:t>
        </w:r>
      </w:hyperlink>
      <w:r>
        <w:rPr>
          <w:b w:val="0"/>
          <w:i w:val="0"/>
          <w:sz w:val="19"/>
        </w:rPr>
        <w:t xml:space="preserve"> · </w:t>
      </w:r>
      <w:hyperlink r:id="rId130">
        <w:r>
          <w:rPr>
            <w:color w:val="0563C1"/>
            <w:u w:val="single"/>
            <w:sz w:val="19"/>
          </w:rPr>
          <w:t xml:space="preserve">TMC library</w:t>
        </w:r>
      </w:hyperlink>
    </w:p>
    <w:p>
      <w:pPr>
        <w:spacing w:after="60"/>
      </w:pPr>
      <w:r>
        <w:rPr>
          <w:b/>
          <w:i w:val="0"/>
          <w:sz w:val="19"/>
        </w:rPr>
        <w:t>NLRB oncology guidance</w:t>
      </w:r>
      <w:r>
        <w:rPr>
          <w:b w:val="0"/>
          <w:i w:val="0"/>
          <w:sz w:val="19"/>
        </w:rPr>
        <w:t xml:space="preserve"> — Adult MELD Exceptions for Transplant Oncology</w:t>
      </w:r>
      <w:r>
        <w:rPr>
          <w:b w:val="0"/>
          <w:i w:val="0"/>
          <w:sz w:val="19"/>
        </w:rPr>
        <w:t xml:space="preserve">  </w:t>
      </w:r>
      <w:hyperlink r:id="rId131">
        <w:r>
          <w:rPr>
            <w:color w:val="0563C1"/>
            <w:u w:val="single"/>
            <w:sz w:val="19"/>
          </w:rPr>
          <w:t xml:space="preserve">Source</w:t>
        </w:r>
      </w:hyperlink>
    </w:p>
    <w:p>
      <w:pPr>
        <w:spacing w:after="60"/>
      </w:pPr>
      <w:r>
        <w:rPr>
          <w:b/>
          <w:i w:val="0"/>
          <w:sz w:val="19"/>
        </w:rPr>
        <w:t>Ong 2026 · ICI before LT, matched cohort</w:t>
      </w:r>
      <w:r>
        <w:rPr>
          <w:b w:val="0"/>
          <w:i w:val="0"/>
          <w:sz w:val="19"/>
        </w:rPr>
        <w:t xml:space="preserve"> — Immune Checkpoint Inhibitor–Based Downstaging Therapy for Hepatocellular Carcinoma</w:t>
      </w:r>
      <w:r>
        <w:rPr>
          <w:b w:val="0"/>
          <w:i w:val="0"/>
          <w:sz w:val="19"/>
        </w:rPr>
        <w:t xml:space="preserve">  </w:t>
      </w:r>
      <w:hyperlink r:id="rId79">
        <w:r>
          <w:rPr>
            <w:color w:val="0563C1"/>
            <w:u w:val="single"/>
            <w:sz w:val="19"/>
          </w:rPr>
          <w:t xml:space="preserve">PubMed</w:t>
        </w:r>
      </w:hyperlink>
      <w:r>
        <w:rPr>
          <w:b w:val="0"/>
          <w:i w:val="0"/>
          <w:sz w:val="19"/>
        </w:rPr>
        <w:t xml:space="preserve"> · </w:t>
      </w:r>
      <w:hyperlink r:id="rId80">
        <w:r>
          <w:rPr>
            <w:color w:val="0563C1"/>
            <w:u w:val="single"/>
            <w:sz w:val="19"/>
          </w:rPr>
          <w:t xml:space="preserve">Journal</w:t>
        </w:r>
      </w:hyperlink>
      <w:r>
        <w:rPr>
          <w:b w:val="0"/>
          <w:i w:val="0"/>
          <w:sz w:val="19"/>
        </w:rPr>
        <w:t xml:space="preserve"> · </w:t>
      </w:r>
      <w:hyperlink r:id="rId81">
        <w:r>
          <w:rPr>
            <w:color w:val="0563C1"/>
            <w:u w:val="single"/>
            <w:sz w:val="19"/>
          </w:rPr>
          <w:t xml:space="preserve">TMC library</w:t>
        </w:r>
      </w:hyperlink>
    </w:p>
    <w:p>
      <w:pPr>
        <w:spacing w:after="60"/>
      </w:pPr>
      <w:r>
        <w:rPr>
          <w:b/>
          <w:i w:val="0"/>
          <w:sz w:val="19"/>
        </w:rPr>
        <w:t>OPTN ethics principles</w:t>
      </w:r>
      <w:r>
        <w:rPr>
          <w:b w:val="0"/>
          <w:i w:val="0"/>
          <w:sz w:val="19"/>
        </w:rPr>
        <w:t xml:space="preserve"> — Ethical Principles in the Allocation of Human Organs</w:t>
      </w:r>
      <w:r>
        <w:rPr>
          <w:b w:val="0"/>
          <w:i w:val="0"/>
          <w:sz w:val="19"/>
        </w:rPr>
        <w:t xml:space="preserve">  </w:t>
      </w:r>
      <w:hyperlink r:id="rId132">
        <w:r>
          <w:rPr>
            <w:color w:val="0563C1"/>
            <w:u w:val="single"/>
            <w:sz w:val="19"/>
          </w:rPr>
          <w:t xml:space="preserve">Source</w:t>
        </w:r>
      </w:hyperlink>
    </w:p>
    <w:p>
      <w:pPr>
        <w:spacing w:after="60"/>
      </w:pPr>
      <w:r>
        <w:rPr>
          <w:b/>
          <w:i w:val="0"/>
          <w:sz w:val="19"/>
        </w:rPr>
        <w:t>OPTN policy</w:t>
      </w:r>
      <w:r>
        <w:rPr>
          <w:b w:val="0"/>
          <w:i w:val="0"/>
          <w:sz w:val="19"/>
        </w:rPr>
        <w:t xml:space="preserve"> — OPTN Policies: liver allocation and living donation</w:t>
      </w:r>
      <w:r>
        <w:rPr>
          <w:b w:val="0"/>
          <w:i w:val="0"/>
          <w:sz w:val="19"/>
        </w:rPr>
        <w:t xml:space="preserve">  </w:t>
      </w:r>
      <w:hyperlink r:id="rId133">
        <w:r>
          <w:rPr>
            <w:color w:val="0563C1"/>
            <w:u w:val="single"/>
            <w:sz w:val="19"/>
          </w:rPr>
          <w:t xml:space="preserve">Source</w:t>
        </w:r>
      </w:hyperlink>
    </w:p>
    <w:p>
      <w:pPr>
        <w:spacing w:after="60"/>
      </w:pPr>
      <w:r>
        <w:rPr>
          <w:b/>
          <w:i w:val="0"/>
          <w:sz w:val="19"/>
        </w:rPr>
        <w:t>Pirozzi 2025 · case report</w:t>
      </w:r>
      <w:r>
        <w:rPr>
          <w:b w:val="0"/>
          <w:i w:val="0"/>
          <w:sz w:val="19"/>
        </w:rPr>
        <w:t xml:space="preserve"> — Liver transplantation in a patient with metastatic hepatocellular carcinoma after downstaging with single-agent immunotherapy: the first case report</w:t>
      </w:r>
      <w:r>
        <w:rPr>
          <w:b w:val="0"/>
          <w:i w:val="0"/>
          <w:sz w:val="19"/>
        </w:rPr>
        <w:t xml:space="preserve">  </w:t>
      </w:r>
      <w:hyperlink r:id="rId134">
        <w:r>
          <w:rPr>
            <w:color w:val="0563C1"/>
            <w:u w:val="single"/>
            <w:sz w:val="19"/>
          </w:rPr>
          <w:t xml:space="preserve">PubMed</w:t>
        </w:r>
      </w:hyperlink>
      <w:r>
        <w:rPr>
          <w:b w:val="0"/>
          <w:i w:val="0"/>
          <w:sz w:val="19"/>
        </w:rPr>
        <w:t xml:space="preserve"> · </w:t>
      </w:r>
      <w:hyperlink r:id="rId135">
        <w:r>
          <w:rPr>
            <w:color w:val="0563C1"/>
            <w:u w:val="single"/>
            <w:sz w:val="19"/>
          </w:rPr>
          <w:t xml:space="preserve">Journal</w:t>
        </w:r>
      </w:hyperlink>
      <w:r>
        <w:rPr>
          <w:b w:val="0"/>
          <w:i w:val="0"/>
          <w:sz w:val="19"/>
        </w:rPr>
        <w:t xml:space="preserve"> · </w:t>
      </w:r>
      <w:hyperlink r:id="rId136">
        <w:r>
          <w:rPr>
            <w:color w:val="0563C1"/>
            <w:u w:val="single"/>
            <w:sz w:val="19"/>
          </w:rPr>
          <w:t xml:space="preserve">Source</w:t>
        </w:r>
      </w:hyperlink>
      <w:r>
        <w:rPr>
          <w:b w:val="0"/>
          <w:i w:val="0"/>
          <w:sz w:val="19"/>
        </w:rPr>
        <w:t xml:space="preserve"> · </w:t>
      </w:r>
      <w:hyperlink r:id="rId137">
        <w:r>
          <w:rPr>
            <w:color w:val="0563C1"/>
            <w:u w:val="single"/>
            <w:sz w:val="19"/>
          </w:rPr>
          <w:t xml:space="preserve">TMC library</w:t>
        </w:r>
      </w:hyperlink>
    </w:p>
    <w:p>
      <w:pPr>
        <w:spacing w:after="60"/>
      </w:pPr>
      <w:r>
        <w:rPr>
          <w:b/>
          <w:i w:val="0"/>
          <w:sz w:val="19"/>
        </w:rPr>
        <w:t>Prosepe 2026</w:t>
      </w:r>
      <w:r>
        <w:rPr>
          <w:b w:val="0"/>
          <w:i w:val="0"/>
          <w:sz w:val="19"/>
        </w:rPr>
        <w:t xml:space="preserve"> — Estimating conditional survival benefit for the allocation of scarce resources</w:t>
      </w:r>
      <w:r>
        <w:rPr>
          <w:b w:val="0"/>
          <w:i w:val="0"/>
          <w:sz w:val="19"/>
        </w:rPr>
        <w:t xml:space="preserve">  </w:t>
      </w:r>
      <w:hyperlink r:id="rId138">
        <w:r>
          <w:rPr>
            <w:color w:val="0563C1"/>
            <w:u w:val="single"/>
            <w:sz w:val="19"/>
          </w:rPr>
          <w:t xml:space="preserve">PubMed</w:t>
        </w:r>
      </w:hyperlink>
      <w:r>
        <w:rPr>
          <w:b w:val="0"/>
          <w:i w:val="0"/>
          <w:sz w:val="19"/>
        </w:rPr>
        <w:t xml:space="preserve"> · </w:t>
      </w:r>
      <w:hyperlink r:id="rId139">
        <w:r>
          <w:rPr>
            <w:color w:val="0563C1"/>
            <w:u w:val="single"/>
            <w:sz w:val="19"/>
          </w:rPr>
          <w:t xml:space="preserve">Journal</w:t>
        </w:r>
      </w:hyperlink>
      <w:r>
        <w:rPr>
          <w:b w:val="0"/>
          <w:i w:val="0"/>
          <w:sz w:val="19"/>
        </w:rPr>
        <w:t xml:space="preserve"> · </w:t>
      </w:r>
      <w:hyperlink r:id="rId140">
        <w:r>
          <w:rPr>
            <w:color w:val="0563C1"/>
            <w:u w:val="single"/>
            <w:sz w:val="19"/>
          </w:rPr>
          <w:t xml:space="preserve">Free full text</w:t>
        </w:r>
      </w:hyperlink>
      <w:r>
        <w:rPr>
          <w:b w:val="0"/>
          <w:i w:val="0"/>
          <w:sz w:val="19"/>
        </w:rPr>
        <w:t xml:space="preserve"> · </w:t>
      </w:r>
      <w:hyperlink r:id="rId141">
        <w:r>
          <w:rPr>
            <w:color w:val="0563C1"/>
            <w:u w:val="single"/>
            <w:sz w:val="19"/>
          </w:rPr>
          <w:t xml:space="preserve">Source</w:t>
        </w:r>
      </w:hyperlink>
      <w:r>
        <w:rPr>
          <w:b w:val="0"/>
          <w:i w:val="0"/>
          <w:sz w:val="19"/>
        </w:rPr>
        <w:t xml:space="preserve"> · </w:t>
      </w:r>
      <w:hyperlink r:id="rId142">
        <w:r>
          <w:rPr>
            <w:color w:val="0563C1"/>
            <w:u w:val="single"/>
            <w:sz w:val="19"/>
          </w:rPr>
          <w:t xml:space="preserve">TMC library</w:t>
        </w:r>
      </w:hyperlink>
    </w:p>
    <w:p>
      <w:pPr>
        <w:spacing w:after="60"/>
      </w:pPr>
      <w:r>
        <w:rPr>
          <w:b/>
          <w:i w:val="0"/>
          <w:sz w:val="19"/>
        </w:rPr>
        <w:t>Rezaee-Zavareh · IPD</w:t>
      </w:r>
      <w:r>
        <w:rPr>
          <w:b w:val="0"/>
          <w:i w:val="0"/>
          <w:sz w:val="19"/>
        </w:rPr>
        <w:t xml:space="preserve"> — Impact of pre-transplant immune checkpoint inhibitor use on post-transplant outcomes in HCC: A systematic review and individual patient data meta-analysis</w:t>
      </w:r>
      <w:r>
        <w:rPr>
          <w:b w:val="0"/>
          <w:i w:val="0"/>
          <w:sz w:val="19"/>
        </w:rPr>
        <w:t xml:space="preserve">  </w:t>
      </w:r>
      <w:hyperlink r:id="rId143">
        <w:r>
          <w:rPr>
            <w:color w:val="0563C1"/>
            <w:u w:val="single"/>
            <w:sz w:val="19"/>
          </w:rPr>
          <w:t xml:space="preserve">PubMed</w:t>
        </w:r>
      </w:hyperlink>
      <w:r>
        <w:rPr>
          <w:b w:val="0"/>
          <w:i w:val="0"/>
          <w:sz w:val="19"/>
        </w:rPr>
        <w:t xml:space="preserve"> · </w:t>
      </w:r>
      <w:hyperlink r:id="rId144">
        <w:r>
          <w:rPr>
            <w:color w:val="0563C1"/>
            <w:u w:val="single"/>
            <w:sz w:val="19"/>
          </w:rPr>
          <w:t xml:space="preserve">Journal</w:t>
        </w:r>
      </w:hyperlink>
      <w:r>
        <w:rPr>
          <w:b w:val="0"/>
          <w:i w:val="0"/>
          <w:sz w:val="19"/>
        </w:rPr>
        <w:t xml:space="preserve"> · </w:t>
      </w:r>
      <w:hyperlink r:id="rId145">
        <w:r>
          <w:rPr>
            <w:color w:val="0563C1"/>
            <w:u w:val="single"/>
            <w:sz w:val="19"/>
          </w:rPr>
          <w:t xml:space="preserve">Source</w:t>
        </w:r>
      </w:hyperlink>
      <w:r>
        <w:rPr>
          <w:b w:val="0"/>
          <w:i w:val="0"/>
          <w:sz w:val="19"/>
        </w:rPr>
        <w:t xml:space="preserve"> · </w:t>
      </w:r>
      <w:hyperlink r:id="rId146">
        <w:r>
          <w:rPr>
            <w:color w:val="0563C1"/>
            <w:u w:val="single"/>
            <w:sz w:val="19"/>
          </w:rPr>
          <w:t xml:space="preserve">TMC library</w:t>
        </w:r>
      </w:hyperlink>
    </w:p>
    <w:p>
      <w:pPr>
        <w:spacing w:after="60"/>
      </w:pPr>
      <w:r>
        <w:rPr>
          <w:b/>
          <w:i w:val="0"/>
          <w:sz w:val="19"/>
        </w:rPr>
        <w:t>Shao 2026 · complete responders to ICI</w:t>
      </w:r>
      <w:r>
        <w:rPr>
          <w:b w:val="0"/>
          <w:i w:val="0"/>
          <w:sz w:val="19"/>
        </w:rPr>
        <w:t xml:space="preserve"> — Imaging-defined complete response to immune checkpoint inhibitors predicts durable survival in advanced hepatocellular carcinoma</w:t>
      </w:r>
      <w:r>
        <w:rPr>
          <w:b w:val="0"/>
          <w:i w:val="0"/>
          <w:sz w:val="19"/>
        </w:rPr>
        <w:t xml:space="preserve">  </w:t>
      </w:r>
      <w:hyperlink r:id="rId147">
        <w:r>
          <w:rPr>
            <w:color w:val="0563C1"/>
            <w:u w:val="single"/>
            <w:sz w:val="19"/>
          </w:rPr>
          <w:t xml:space="preserve">PubMed</w:t>
        </w:r>
      </w:hyperlink>
      <w:r>
        <w:rPr>
          <w:b w:val="0"/>
          <w:i w:val="0"/>
          <w:sz w:val="19"/>
        </w:rPr>
        <w:t xml:space="preserve"> · </w:t>
      </w:r>
      <w:hyperlink r:id="rId148">
        <w:r>
          <w:rPr>
            <w:color w:val="0563C1"/>
            <w:u w:val="single"/>
            <w:sz w:val="19"/>
          </w:rPr>
          <w:t xml:space="preserve">Journal</w:t>
        </w:r>
      </w:hyperlink>
      <w:r>
        <w:rPr>
          <w:b w:val="0"/>
          <w:i w:val="0"/>
          <w:sz w:val="19"/>
        </w:rPr>
        <w:t xml:space="preserve"> · </w:t>
      </w:r>
      <w:hyperlink r:id="rId149">
        <w:r>
          <w:rPr>
            <w:color w:val="0563C1"/>
            <w:u w:val="single"/>
            <w:sz w:val="19"/>
          </w:rPr>
          <w:t xml:space="preserve">TMC library</w:t>
        </w:r>
      </w:hyperlink>
    </w:p>
    <w:p>
      <w:pPr>
        <w:spacing w:after="60"/>
      </w:pPr>
      <w:r>
        <w:rPr>
          <w:b/>
          <w:i w:val="0"/>
          <w:sz w:val="19"/>
        </w:rPr>
        <w:t>Sinha 2019</w:t>
      </w:r>
      <w:r>
        <w:rPr>
          <w:b w:val="0"/>
          <w:i w:val="0"/>
          <w:sz w:val="19"/>
        </w:rPr>
        <w:t xml:space="preserve"> — Are There Upper Limits in Tumor Burden for Down‐Staging of Hepatocellular Carcinoma to Liver Transplant? Analysis of the All‐Comers Protocol</w:t>
      </w:r>
      <w:r>
        <w:rPr>
          <w:b w:val="0"/>
          <w:i w:val="0"/>
          <w:sz w:val="19"/>
        </w:rPr>
        <w:t xml:space="preserve">  </w:t>
      </w:r>
      <w:hyperlink r:id="rId150">
        <w:r>
          <w:rPr>
            <w:color w:val="0563C1"/>
            <w:u w:val="single"/>
            <w:sz w:val="19"/>
          </w:rPr>
          <w:t xml:space="preserve">PubMed</w:t>
        </w:r>
      </w:hyperlink>
      <w:r>
        <w:rPr>
          <w:b w:val="0"/>
          <w:i w:val="0"/>
          <w:sz w:val="19"/>
        </w:rPr>
        <w:t xml:space="preserve"> · </w:t>
      </w:r>
      <w:hyperlink r:id="rId151">
        <w:r>
          <w:rPr>
            <w:color w:val="0563C1"/>
            <w:u w:val="single"/>
            <w:sz w:val="19"/>
          </w:rPr>
          <w:t xml:space="preserve">Journal</w:t>
        </w:r>
      </w:hyperlink>
      <w:r>
        <w:rPr>
          <w:b w:val="0"/>
          <w:i w:val="0"/>
          <w:sz w:val="19"/>
        </w:rPr>
        <w:t xml:space="preserve"> · </w:t>
      </w:r>
      <w:hyperlink r:id="rId152">
        <w:r>
          <w:rPr>
            <w:color w:val="0563C1"/>
            <w:u w:val="single"/>
            <w:sz w:val="19"/>
          </w:rPr>
          <w:t xml:space="preserve">TMC library</w:t>
        </w:r>
      </w:hyperlink>
    </w:p>
    <w:p>
      <w:pPr>
        <w:spacing w:after="60"/>
      </w:pPr>
      <w:r>
        <w:rPr>
          <w:b/>
          <w:i w:val="0"/>
          <w:sz w:val="19"/>
        </w:rPr>
        <w:t>Soin 2020</w:t>
      </w:r>
      <w:r>
        <w:rPr>
          <w:b w:val="0"/>
          <w:i w:val="0"/>
          <w:sz w:val="19"/>
        </w:rPr>
        <w:t xml:space="preserve"> — Experience With LDLT in Patients With Hepatocellular Carcinoma and Portal Vein Tumor Thrombosis Postdownstaging</w:t>
      </w:r>
      <w:r>
        <w:rPr>
          <w:b w:val="0"/>
          <w:i w:val="0"/>
          <w:sz w:val="19"/>
        </w:rPr>
        <w:t xml:space="preserve">  </w:t>
      </w:r>
      <w:hyperlink r:id="rId153">
        <w:r>
          <w:rPr>
            <w:color w:val="0563C1"/>
            <w:u w:val="single"/>
            <w:sz w:val="19"/>
          </w:rPr>
          <w:t xml:space="preserve">PubMed</w:t>
        </w:r>
      </w:hyperlink>
      <w:r>
        <w:rPr>
          <w:b w:val="0"/>
          <w:i w:val="0"/>
          <w:sz w:val="19"/>
        </w:rPr>
        <w:t xml:space="preserve"> · </w:t>
      </w:r>
      <w:hyperlink r:id="rId154">
        <w:r>
          <w:rPr>
            <w:color w:val="0563C1"/>
            <w:u w:val="single"/>
            <w:sz w:val="19"/>
          </w:rPr>
          <w:t xml:space="preserve">Journal</w:t>
        </w:r>
      </w:hyperlink>
      <w:r>
        <w:rPr>
          <w:b w:val="0"/>
          <w:i w:val="0"/>
          <w:sz w:val="19"/>
        </w:rPr>
        <w:t xml:space="preserve"> · </w:t>
      </w:r>
      <w:hyperlink r:id="rId155">
        <w:r>
          <w:rPr>
            <w:color w:val="0563C1"/>
            <w:u w:val="single"/>
            <w:sz w:val="19"/>
          </w:rPr>
          <w:t xml:space="preserve">TMC library</w:t>
        </w:r>
      </w:hyperlink>
    </w:p>
    <w:p>
      <w:pPr>
        <w:spacing w:after="60"/>
      </w:pPr>
      <w:r>
        <w:rPr>
          <w:b/>
          <w:i w:val="0"/>
          <w:sz w:val="19"/>
        </w:rPr>
        <w:t>Sotiropoulos 2007 · hilar nodes at LT, meta-analysis</w:t>
      </w:r>
      <w:r>
        <w:rPr>
          <w:b w:val="0"/>
          <w:i w:val="0"/>
          <w:sz w:val="19"/>
        </w:rPr>
        <w:t xml:space="preserve"> — Hilar lymph nodes sampling at the time of liver transplantation for hepatocellular carcinoma: to do or not to do? Meta-analysis to determine the impact of hilar lymph nodes metastases on tumor recurrence and survival in patients with hepatocellular carcinoma undergoing liver transplantation</w:t>
      </w:r>
      <w:r>
        <w:rPr>
          <w:b w:val="0"/>
          <w:i w:val="0"/>
          <w:sz w:val="19"/>
        </w:rPr>
        <w:t xml:space="preserve">  </w:t>
      </w:r>
      <w:hyperlink r:id="rId156">
        <w:r>
          <w:rPr>
            <w:color w:val="0563C1"/>
            <w:u w:val="single"/>
            <w:sz w:val="19"/>
          </w:rPr>
          <w:t xml:space="preserve">PubMed</w:t>
        </w:r>
      </w:hyperlink>
      <w:r>
        <w:rPr>
          <w:b w:val="0"/>
          <w:i w:val="0"/>
          <w:sz w:val="19"/>
        </w:rPr>
        <w:t xml:space="preserve"> · </w:t>
      </w:r>
      <w:hyperlink r:id="rId157">
        <w:r>
          <w:rPr>
            <w:color w:val="0563C1"/>
            <w:u w:val="single"/>
            <w:sz w:val="19"/>
          </w:rPr>
          <w:t xml:space="preserve">Journal</w:t>
        </w:r>
      </w:hyperlink>
      <w:r>
        <w:rPr>
          <w:b w:val="0"/>
          <w:i w:val="0"/>
          <w:sz w:val="19"/>
        </w:rPr>
        <w:t xml:space="preserve"> · </w:t>
      </w:r>
      <w:hyperlink r:id="rId158">
        <w:r>
          <w:rPr>
            <w:color w:val="0563C1"/>
            <w:u w:val="single"/>
            <w:sz w:val="19"/>
          </w:rPr>
          <w:t xml:space="preserve">TMC library</w:t>
        </w:r>
      </w:hyperlink>
    </w:p>
    <w:p>
      <w:pPr>
        <w:spacing w:after="60"/>
      </w:pPr>
      <w:r>
        <w:rPr>
          <w:b/>
          <w:i w:val="0"/>
          <w:sz w:val="19"/>
        </w:rPr>
        <w:t>Sposito 2026</w:t>
      </w:r>
      <w:r>
        <w:rPr>
          <w:b w:val="0"/>
          <w:i w:val="0"/>
          <w:sz w:val="19"/>
        </w:rPr>
        <w:t xml:space="preserve"> — Outcomes of Y90-radioembolization as downstaging to liver transplantation in patients with hepatocellular carcinoma and tumoral portal vein thrombosis</w:t>
      </w:r>
      <w:r>
        <w:rPr>
          <w:b w:val="0"/>
          <w:i w:val="0"/>
          <w:sz w:val="19"/>
        </w:rPr>
        <w:t xml:space="preserve">  </w:t>
      </w:r>
      <w:hyperlink r:id="rId159">
        <w:r>
          <w:rPr>
            <w:color w:val="0563C1"/>
            <w:u w:val="single"/>
            <w:sz w:val="19"/>
          </w:rPr>
          <w:t xml:space="preserve">PubMed</w:t>
        </w:r>
      </w:hyperlink>
      <w:r>
        <w:rPr>
          <w:b w:val="0"/>
          <w:i w:val="0"/>
          <w:sz w:val="19"/>
        </w:rPr>
        <w:t xml:space="preserve"> · </w:t>
      </w:r>
      <w:hyperlink r:id="rId160">
        <w:r>
          <w:rPr>
            <w:color w:val="0563C1"/>
            <w:u w:val="single"/>
            <w:sz w:val="19"/>
          </w:rPr>
          <w:t xml:space="preserve">Journal</w:t>
        </w:r>
      </w:hyperlink>
      <w:r>
        <w:rPr>
          <w:b w:val="0"/>
          <w:i w:val="0"/>
          <w:sz w:val="19"/>
        </w:rPr>
        <w:t xml:space="preserve"> · </w:t>
      </w:r>
      <w:hyperlink r:id="rId161">
        <w:r>
          <w:rPr>
            <w:color w:val="0563C1"/>
            <w:u w:val="single"/>
            <w:sz w:val="19"/>
          </w:rPr>
          <w:t xml:space="preserve">TMC library</w:t>
        </w:r>
      </w:hyperlink>
    </w:p>
    <w:p>
      <w:pPr>
        <w:spacing w:after="60"/>
      </w:pPr>
      <w:r>
        <w:rPr>
          <w:b/>
          <w:i w:val="0"/>
          <w:sz w:val="19"/>
        </w:rPr>
        <w:t>SYS-TARE 2024</w:t>
      </w:r>
      <w:r>
        <w:rPr>
          <w:b w:val="0"/>
          <w:i w:val="0"/>
          <w:sz w:val="19"/>
        </w:rPr>
        <w:t xml:space="preserve"> — Liver Transplantation for Intrahepatic Cholangiocarcinoma After Chemotherapy and Radioembolization: An Intention-To-Treat Study</w:t>
      </w:r>
      <w:r>
        <w:rPr>
          <w:b w:val="0"/>
          <w:i w:val="0"/>
          <w:sz w:val="19"/>
        </w:rPr>
        <w:t xml:space="preserve">  </w:t>
      </w:r>
      <w:hyperlink r:id="rId162">
        <w:r>
          <w:rPr>
            <w:color w:val="0563C1"/>
            <w:u w:val="single"/>
            <w:sz w:val="19"/>
          </w:rPr>
          <w:t xml:space="preserve">PubMed</w:t>
        </w:r>
      </w:hyperlink>
      <w:r>
        <w:rPr>
          <w:b w:val="0"/>
          <w:i w:val="0"/>
          <w:sz w:val="19"/>
        </w:rPr>
        <w:t xml:space="preserve"> · </w:t>
      </w:r>
      <w:hyperlink r:id="rId163">
        <w:r>
          <w:rPr>
            <w:color w:val="0563C1"/>
            <w:u w:val="single"/>
            <w:sz w:val="19"/>
          </w:rPr>
          <w:t xml:space="preserve">Journal</w:t>
        </w:r>
      </w:hyperlink>
      <w:r>
        <w:rPr>
          <w:b w:val="0"/>
          <w:i w:val="0"/>
          <w:sz w:val="19"/>
        </w:rPr>
        <w:t xml:space="preserve"> · </w:t>
      </w:r>
      <w:hyperlink r:id="rId164">
        <w:r>
          <w:rPr>
            <w:color w:val="0563C1"/>
            <w:u w:val="single"/>
            <w:sz w:val="19"/>
          </w:rPr>
          <w:t xml:space="preserve">Free full text</w:t>
        </w:r>
      </w:hyperlink>
      <w:r>
        <w:rPr>
          <w:b w:val="0"/>
          <w:i w:val="0"/>
          <w:sz w:val="19"/>
        </w:rPr>
        <w:t xml:space="preserve"> · </w:t>
      </w:r>
      <w:hyperlink r:id="rId165">
        <w:r>
          <w:rPr>
            <w:color w:val="0563C1"/>
            <w:u w:val="single"/>
            <w:sz w:val="19"/>
          </w:rPr>
          <w:t xml:space="preserve">Source</w:t>
        </w:r>
      </w:hyperlink>
      <w:r>
        <w:rPr>
          <w:b w:val="0"/>
          <w:i w:val="0"/>
          <w:sz w:val="19"/>
        </w:rPr>
        <w:t xml:space="preserve"> · </w:t>
      </w:r>
      <w:hyperlink r:id="rId166">
        <w:r>
          <w:rPr>
            <w:color w:val="0563C1"/>
            <w:u w:val="single"/>
            <w:sz w:val="19"/>
          </w:rPr>
          <w:t xml:space="preserve">TMC library</w:t>
        </w:r>
      </w:hyperlink>
    </w:p>
    <w:p>
      <w:pPr>
        <w:spacing w:after="60"/>
      </w:pPr>
      <w:r>
        <w:rPr>
          <w:b/>
          <w:i w:val="0"/>
          <w:sz w:val="19"/>
        </w:rPr>
        <w:t>Tabrizian 2022</w:t>
      </w:r>
      <w:r>
        <w:rPr>
          <w:b w:val="0"/>
          <w:i w:val="0"/>
          <w:sz w:val="19"/>
        </w:rPr>
        <w:t xml:space="preserve"> — Ten-Year Outcomes of Liver Transplant and Downstaging for Hepatocellular Carcinoma</w:t>
      </w:r>
      <w:r>
        <w:rPr>
          <w:b w:val="0"/>
          <w:i w:val="0"/>
          <w:sz w:val="19"/>
        </w:rPr>
        <w:t xml:space="preserve">  </w:t>
      </w:r>
      <w:hyperlink r:id="rId167">
        <w:r>
          <w:rPr>
            <w:color w:val="0563C1"/>
            <w:u w:val="single"/>
            <w:sz w:val="19"/>
          </w:rPr>
          <w:t xml:space="preserve">PubMed</w:t>
        </w:r>
      </w:hyperlink>
      <w:r>
        <w:rPr>
          <w:b w:val="0"/>
          <w:i w:val="0"/>
          <w:sz w:val="19"/>
        </w:rPr>
        <w:t xml:space="preserve"> · </w:t>
      </w:r>
      <w:hyperlink r:id="rId168">
        <w:r>
          <w:rPr>
            <w:color w:val="0563C1"/>
            <w:u w:val="single"/>
            <w:sz w:val="19"/>
          </w:rPr>
          <w:t xml:space="preserve">Journal</w:t>
        </w:r>
      </w:hyperlink>
      <w:r>
        <w:rPr>
          <w:b w:val="0"/>
          <w:i w:val="0"/>
          <w:sz w:val="19"/>
        </w:rPr>
        <w:t xml:space="preserve"> · </w:t>
      </w:r>
      <w:hyperlink r:id="rId169">
        <w:r>
          <w:rPr>
            <w:color w:val="0563C1"/>
            <w:u w:val="single"/>
            <w:sz w:val="19"/>
          </w:rPr>
          <w:t xml:space="preserve">Source</w:t>
        </w:r>
      </w:hyperlink>
      <w:r>
        <w:rPr>
          <w:b w:val="0"/>
          <w:i w:val="0"/>
          <w:sz w:val="19"/>
        </w:rPr>
        <w:t xml:space="preserve"> · </w:t>
      </w:r>
      <w:hyperlink r:id="rId170">
        <w:r>
          <w:rPr>
            <w:color w:val="0563C1"/>
            <w:u w:val="single"/>
            <w:sz w:val="19"/>
          </w:rPr>
          <w:t xml:space="preserve">TMC library</w:t>
        </w:r>
      </w:hyperlink>
    </w:p>
    <w:p>
      <w:pPr>
        <w:spacing w:after="60"/>
      </w:pPr>
      <w:r>
        <w:rPr>
          <w:b/>
          <w:i w:val="0"/>
          <w:sz w:val="19"/>
        </w:rPr>
        <w:t>TransMet 2024</w:t>
      </w:r>
      <w:r>
        <w:rPr>
          <w:b w:val="0"/>
          <w:i w:val="0"/>
          <w:sz w:val="19"/>
        </w:rPr>
        <w:t xml:space="preserve"> — Liver transplantation plus chemotherapy versus chemotherapy alone in patients with permanently unresectable colorectal liver metastases (TransMet): results from a multicentre, open-label, prospective, randomised controlled trial</w:t>
      </w:r>
      <w:r>
        <w:rPr>
          <w:b w:val="0"/>
          <w:i w:val="0"/>
          <w:sz w:val="19"/>
        </w:rPr>
        <w:t xml:space="preserve">  </w:t>
      </w:r>
      <w:hyperlink r:id="rId171">
        <w:r>
          <w:rPr>
            <w:color w:val="0563C1"/>
            <w:u w:val="single"/>
            <w:sz w:val="19"/>
          </w:rPr>
          <w:t xml:space="preserve">PubMed</w:t>
        </w:r>
      </w:hyperlink>
      <w:r>
        <w:rPr>
          <w:b w:val="0"/>
          <w:i w:val="0"/>
          <w:sz w:val="19"/>
        </w:rPr>
        <w:t xml:space="preserve"> · </w:t>
      </w:r>
      <w:hyperlink r:id="rId172">
        <w:r>
          <w:rPr>
            <w:color w:val="0563C1"/>
            <w:u w:val="single"/>
            <w:sz w:val="19"/>
          </w:rPr>
          <w:t xml:space="preserve">Journal</w:t>
        </w:r>
      </w:hyperlink>
      <w:r>
        <w:rPr>
          <w:b w:val="0"/>
          <w:i w:val="0"/>
          <w:sz w:val="19"/>
        </w:rPr>
        <w:t xml:space="preserve"> · </w:t>
      </w:r>
      <w:hyperlink r:id="rId173">
        <w:r>
          <w:rPr>
            <w:color w:val="0563C1"/>
            <w:u w:val="single"/>
            <w:sz w:val="19"/>
          </w:rPr>
          <w:t xml:space="preserve">TMC library</w:t>
        </w:r>
      </w:hyperlink>
    </w:p>
    <w:p>
      <w:pPr>
        <w:spacing w:after="60"/>
      </w:pPr>
      <w:r>
        <w:rPr>
          <w:b/>
          <w:i w:val="0"/>
          <w:sz w:val="19"/>
        </w:rPr>
        <w:t>VITALITY · Tabrizian</w:t>
      </w:r>
      <w:r>
        <w:rPr>
          <w:b w:val="0"/>
          <w:i w:val="0"/>
          <w:sz w:val="19"/>
        </w:rPr>
        <w:t xml:space="preserve"> — Intention-to-treat outcomes of patients with hepatocellular carcinoma receiving immunotherapy before liver transplant: The multicenter VITALITY study</w:t>
      </w:r>
      <w:r>
        <w:rPr>
          <w:b w:val="0"/>
          <w:i w:val="0"/>
          <w:sz w:val="19"/>
        </w:rPr>
        <w:t xml:space="preserve">  </w:t>
      </w:r>
      <w:hyperlink r:id="rId174">
        <w:r>
          <w:rPr>
            <w:color w:val="0563C1"/>
            <w:u w:val="single"/>
            <w:sz w:val="19"/>
          </w:rPr>
          <w:t xml:space="preserve">PubMed</w:t>
        </w:r>
      </w:hyperlink>
      <w:r>
        <w:rPr>
          <w:b w:val="0"/>
          <w:i w:val="0"/>
          <w:sz w:val="19"/>
        </w:rPr>
        <w:t xml:space="preserve"> · </w:t>
      </w:r>
      <w:hyperlink r:id="rId175">
        <w:r>
          <w:rPr>
            <w:color w:val="0563C1"/>
            <w:u w:val="single"/>
            <w:sz w:val="19"/>
          </w:rPr>
          <w:t xml:space="preserve">Journal</w:t>
        </w:r>
      </w:hyperlink>
      <w:r>
        <w:rPr>
          <w:b w:val="0"/>
          <w:i w:val="0"/>
          <w:sz w:val="19"/>
        </w:rPr>
        <w:t xml:space="preserve"> · </w:t>
      </w:r>
      <w:hyperlink r:id="rId176">
        <w:r>
          <w:rPr>
            <w:color w:val="0563C1"/>
            <w:u w:val="single"/>
            <w:sz w:val="19"/>
          </w:rPr>
          <w:t xml:space="preserve">TMC library</w:t>
        </w:r>
      </w:hyperlink>
    </w:p>
    <w:p>
      <w:pPr>
        <w:spacing w:after="60"/>
      </w:pPr>
      <w:r>
        <w:rPr>
          <w:b/>
          <w:i w:val="0"/>
          <w:sz w:val="19"/>
        </w:rPr>
        <w:t>Xiao 2024</w:t>
      </w:r>
      <w:r>
        <w:rPr>
          <w:b w:val="0"/>
          <w:i w:val="0"/>
          <w:sz w:val="19"/>
        </w:rPr>
        <w:t xml:space="preserve"> — The incidence of adverse outcome in donors after living donor liver transplantation: A meta-analysis of 60,829 donors</w:t>
      </w:r>
      <w:r>
        <w:rPr>
          <w:b w:val="0"/>
          <w:i w:val="0"/>
          <w:sz w:val="19"/>
        </w:rPr>
        <w:t xml:space="preserve">  </w:t>
      </w:r>
      <w:hyperlink r:id="rId177">
        <w:r>
          <w:rPr>
            <w:color w:val="0563C1"/>
            <w:u w:val="single"/>
            <w:sz w:val="19"/>
          </w:rPr>
          <w:t xml:space="preserve">PubMed</w:t>
        </w:r>
      </w:hyperlink>
      <w:r>
        <w:rPr>
          <w:b w:val="0"/>
          <w:i w:val="0"/>
          <w:sz w:val="19"/>
        </w:rPr>
        <w:t xml:space="preserve"> · </w:t>
      </w:r>
      <w:hyperlink r:id="rId178">
        <w:r>
          <w:rPr>
            <w:color w:val="0563C1"/>
            <w:u w:val="single"/>
            <w:sz w:val="19"/>
          </w:rPr>
          <w:t xml:space="preserve">Journal</w:t>
        </w:r>
      </w:hyperlink>
      <w:r>
        <w:rPr>
          <w:b w:val="0"/>
          <w:i w:val="0"/>
          <w:sz w:val="19"/>
        </w:rPr>
        <w:t xml:space="preserve"> · </w:t>
      </w:r>
      <w:hyperlink r:id="rId179">
        <w:r>
          <w:rPr>
            <w:color w:val="0563C1"/>
            <w:u w:val="single"/>
            <w:sz w:val="19"/>
          </w:rPr>
          <w:t xml:space="preserve">TMC library</w:t>
        </w:r>
      </w:hyperlink>
    </w:p>
    <w:p>
      <w:pPr>
        <w:spacing w:after="60"/>
      </w:pPr>
      <w:r>
        <w:rPr>
          <w:b/>
          <w:i w:val="0"/>
          <w:sz w:val="19"/>
        </w:rPr>
        <w:t>Xu 2025 · all-comers</w:t>
      </w:r>
      <w:r>
        <w:rPr>
          <w:b w:val="0"/>
          <w:i w:val="0"/>
          <w:sz w:val="19"/>
        </w:rPr>
        <w:t xml:space="preserve"> — Downstaging of hepatocellular carcinoma before liver transplantation: Results from a national multicenter prospective cohort study</w:t>
      </w:r>
      <w:r>
        <w:rPr>
          <w:b w:val="0"/>
          <w:i w:val="0"/>
          <w:sz w:val="19"/>
        </w:rPr>
        <w:t xml:space="preserve">  </w:t>
      </w:r>
      <w:hyperlink r:id="rId180">
        <w:r>
          <w:rPr>
            <w:color w:val="0563C1"/>
            <w:u w:val="single"/>
            <w:sz w:val="19"/>
          </w:rPr>
          <w:t xml:space="preserve">PubMed</w:t>
        </w:r>
      </w:hyperlink>
      <w:r>
        <w:rPr>
          <w:b w:val="0"/>
          <w:i w:val="0"/>
          <w:sz w:val="19"/>
        </w:rPr>
        <w:t xml:space="preserve"> · </w:t>
      </w:r>
      <w:hyperlink r:id="rId181">
        <w:r>
          <w:rPr>
            <w:color w:val="0563C1"/>
            <w:u w:val="single"/>
            <w:sz w:val="19"/>
          </w:rPr>
          <w:t xml:space="preserve">Journal</w:t>
        </w:r>
      </w:hyperlink>
      <w:r>
        <w:rPr>
          <w:b w:val="0"/>
          <w:i w:val="0"/>
          <w:sz w:val="19"/>
        </w:rPr>
        <w:t xml:space="preserve"> · </w:t>
      </w:r>
      <w:hyperlink r:id="rId182">
        <w:r>
          <w:rPr>
            <w:color w:val="0563C1"/>
            <w:u w:val="single"/>
            <w:sz w:val="19"/>
          </w:rPr>
          <w:t xml:space="preserve">Free full text</w:t>
        </w:r>
      </w:hyperlink>
      <w:r>
        <w:rPr>
          <w:b w:val="0"/>
          <w:i w:val="0"/>
          <w:sz w:val="19"/>
        </w:rPr>
        <w:t xml:space="preserve"> · </w:t>
      </w:r>
      <w:hyperlink r:id="rId183">
        <w:r>
          <w:rPr>
            <w:color w:val="0563C1"/>
            <w:u w:val="single"/>
            <w:sz w:val="19"/>
          </w:rPr>
          <w:t xml:space="preserve">Source</w:t>
        </w:r>
      </w:hyperlink>
      <w:r>
        <w:rPr>
          <w:b w:val="0"/>
          <w:i w:val="0"/>
          <w:sz w:val="19"/>
        </w:rPr>
        <w:t xml:space="preserve"> · </w:t>
      </w:r>
      <w:hyperlink r:id="rId184">
        <w:r>
          <w:rPr>
            <w:color w:val="0563C1"/>
            <w:u w:val="single"/>
            <w:sz w:val="19"/>
          </w:rPr>
          <w:t xml:space="preserve">TMC library</w:t>
        </w:r>
      </w:hyperlink>
    </w:p>
    <w:p>
      <w:pPr>
        <w:spacing w:after="60"/>
      </w:pPr>
      <w:r>
        <w:rPr>
          <w:b/>
          <w:i w:val="0"/>
          <w:sz w:val="19"/>
        </w:rPr>
        <w:t>XXL 2020</w:t>
      </w:r>
      <w:r>
        <w:rPr>
          <w:b w:val="0"/>
          <w:i w:val="0"/>
          <w:sz w:val="19"/>
        </w:rPr>
        <w:t xml:space="preserve"> — Liver transplantation in hepatocellular carcinoma after tumour downstaging (XXL): a randomised, controlled, phase 2b/3 trial</w:t>
      </w:r>
      <w:r>
        <w:rPr>
          <w:b w:val="0"/>
          <w:i w:val="0"/>
          <w:sz w:val="19"/>
        </w:rPr>
        <w:t xml:space="preserve">  </w:t>
      </w:r>
      <w:hyperlink r:id="rId185">
        <w:r>
          <w:rPr>
            <w:color w:val="0563C1"/>
            <w:u w:val="single"/>
            <w:sz w:val="19"/>
          </w:rPr>
          <w:t xml:space="preserve">PubMed</w:t>
        </w:r>
      </w:hyperlink>
      <w:r>
        <w:rPr>
          <w:b w:val="0"/>
          <w:i w:val="0"/>
          <w:sz w:val="19"/>
        </w:rPr>
        <w:t xml:space="preserve"> · </w:t>
      </w:r>
      <w:hyperlink r:id="rId186">
        <w:r>
          <w:rPr>
            <w:color w:val="0563C1"/>
            <w:u w:val="single"/>
            <w:sz w:val="19"/>
          </w:rPr>
          <w:t xml:space="preserve">Journal</w:t>
        </w:r>
      </w:hyperlink>
      <w:r>
        <w:rPr>
          <w:b w:val="0"/>
          <w:i w:val="0"/>
          <w:sz w:val="19"/>
        </w:rPr>
        <w:t xml:space="preserve"> · </w:t>
      </w:r>
      <w:hyperlink r:id="rId187">
        <w:r>
          <w:rPr>
            <w:color w:val="0563C1"/>
            <w:u w:val="single"/>
            <w:sz w:val="19"/>
          </w:rPr>
          <w:t xml:space="preserve">TMC library</w:t>
        </w:r>
      </w:hyperlink>
    </w:p>
    <w:p>
      <w:pPr>
        <w:spacing w:after="60"/>
      </w:pPr>
      <w:r>
        <w:rPr>
          <w:b/>
          <w:i w:val="0"/>
          <w:sz w:val="19"/>
        </w:rPr>
        <w:t>Yang 2020</w:t>
      </w:r>
      <w:r>
        <w:rPr>
          <w:b w:val="0"/>
          <w:i w:val="0"/>
          <w:sz w:val="19"/>
        </w:rPr>
        <w:t xml:space="preserve"> — Alpha-fetoprotein and 18F-FDG standard uptake value predict tumor recurrence after liver transplantation for hepatocellular carcinoma with portal vein tumor thrombosis: Preliminary experience</w:t>
      </w:r>
      <w:r>
        <w:rPr>
          <w:b w:val="0"/>
          <w:i w:val="0"/>
          <w:sz w:val="19"/>
        </w:rPr>
        <w:t xml:space="preserve">  </w:t>
      </w:r>
      <w:hyperlink r:id="rId188">
        <w:r>
          <w:rPr>
            <w:color w:val="0563C1"/>
            <w:u w:val="single"/>
            <w:sz w:val="19"/>
          </w:rPr>
          <w:t xml:space="preserve">PubMed</w:t>
        </w:r>
      </w:hyperlink>
      <w:r>
        <w:rPr>
          <w:b w:val="0"/>
          <w:i w:val="0"/>
          <w:sz w:val="19"/>
        </w:rPr>
        <w:t xml:space="preserve"> · </w:t>
      </w:r>
      <w:hyperlink r:id="rId189">
        <w:r>
          <w:rPr>
            <w:color w:val="0563C1"/>
            <w:u w:val="single"/>
            <w:sz w:val="19"/>
          </w:rPr>
          <w:t xml:space="preserve">Journal</w:t>
        </w:r>
      </w:hyperlink>
      <w:r>
        <w:rPr>
          <w:b w:val="0"/>
          <w:i w:val="0"/>
          <w:sz w:val="19"/>
        </w:rPr>
        <w:t xml:space="preserve"> · </w:t>
      </w:r>
      <w:hyperlink r:id="rId190">
        <w:r>
          <w:rPr>
            <w:color w:val="0563C1"/>
            <w:u w:val="single"/>
            <w:sz w:val="19"/>
          </w:rPr>
          <w:t xml:space="preserve">TMC library</w:t>
        </w:r>
      </w:hyperlink>
    </w:p>
    <w:p>
      <w:pPr>
        <w:spacing w:after="60"/>
      </w:pPr>
      <w:r>
        <w:rPr>
          <w:b/>
          <w:i w:val="0"/>
          <w:sz w:val="19"/>
        </w:rPr>
        <w:t>Yao 2015</w:t>
      </w:r>
      <w:r>
        <w:rPr>
          <w:b w:val="0"/>
          <w:i w:val="0"/>
          <w:sz w:val="19"/>
        </w:rPr>
        <w:t xml:space="preserve"> — Downstaging of hepatocellular cancer before liver transplant: Long‐term outcome compared to tumors within Milan criteria</w:t>
      </w:r>
      <w:r>
        <w:rPr>
          <w:b w:val="0"/>
          <w:i w:val="0"/>
          <w:sz w:val="19"/>
        </w:rPr>
        <w:t xml:space="preserve">  </w:t>
      </w:r>
      <w:hyperlink r:id="rId191">
        <w:r>
          <w:rPr>
            <w:color w:val="0563C1"/>
            <w:u w:val="single"/>
            <w:sz w:val="19"/>
          </w:rPr>
          <w:t xml:space="preserve">PubMed</w:t>
        </w:r>
      </w:hyperlink>
      <w:r>
        <w:rPr>
          <w:b w:val="0"/>
          <w:i w:val="0"/>
          <w:sz w:val="19"/>
        </w:rPr>
        <w:t xml:space="preserve"> · </w:t>
      </w:r>
      <w:hyperlink r:id="rId192">
        <w:r>
          <w:rPr>
            <w:color w:val="0563C1"/>
            <w:u w:val="single"/>
            <w:sz w:val="19"/>
          </w:rPr>
          <w:t xml:space="preserve">Journal</w:t>
        </w:r>
      </w:hyperlink>
      <w:r>
        <w:rPr>
          <w:b w:val="0"/>
          <w:i w:val="0"/>
          <w:sz w:val="19"/>
        </w:rPr>
        <w:t xml:space="preserve"> · </w:t>
      </w:r>
      <w:hyperlink r:id="rId193">
        <w:r>
          <w:rPr>
            <w:color w:val="0563C1"/>
            <w:u w:val="single"/>
            <w:sz w:val="19"/>
          </w:rPr>
          <w:t xml:space="preserve">Free full text</w:t>
        </w:r>
      </w:hyperlink>
      <w:r>
        <w:rPr>
          <w:b w:val="0"/>
          <w:i w:val="0"/>
          <w:sz w:val="19"/>
        </w:rPr>
        <w:t xml:space="preserve"> · </w:t>
      </w:r>
      <w:hyperlink r:id="rId194">
        <w:r>
          <w:rPr>
            <w:color w:val="0563C1"/>
            <w:u w:val="single"/>
            <w:sz w:val="19"/>
          </w:rPr>
          <w:t xml:space="preserve">Source</w:t>
        </w:r>
      </w:hyperlink>
      <w:r>
        <w:rPr>
          <w:b w:val="0"/>
          <w:i w:val="0"/>
          <w:sz w:val="19"/>
        </w:rPr>
        <w:t xml:space="preserve"> · </w:t>
      </w:r>
      <w:hyperlink r:id="rId195">
        <w:r>
          <w:rPr>
            <w:color w:val="0563C1"/>
            <w:u w:val="single"/>
            <w:sz w:val="19"/>
          </w:rPr>
          <w:t xml:space="preserve">TMC library</w:t>
        </w:r>
      </w:hyperlink>
    </w:p>
    <w:p>
      <w:pPr>
        <w:spacing w:after="60"/>
      </w:pPr>
      <w:r>
        <w:rPr>
          <w:b/>
          <w:i w:val="0"/>
          <w:sz w:val="19"/>
        </w:rPr>
        <w:t>Yaqub 2025</w:t>
      </w:r>
      <w:r>
        <w:rPr>
          <w:b w:val="0"/>
          <w:i w:val="0"/>
          <w:sz w:val="19"/>
        </w:rPr>
        <w:t xml:space="preserve"> — Liver transplantation for locally advanced non-resectable intrahepatic cholangiocarcinoma treated with neoadjuvant therapy: early results from the TESLA trial</w:t>
      </w:r>
      <w:r>
        <w:rPr>
          <w:b w:val="0"/>
          <w:i w:val="0"/>
          <w:sz w:val="19"/>
        </w:rPr>
        <w:t xml:space="preserve">  </w:t>
      </w:r>
      <w:hyperlink r:id="rId196">
        <w:r>
          <w:rPr>
            <w:color w:val="0563C1"/>
            <w:u w:val="single"/>
            <w:sz w:val="19"/>
          </w:rPr>
          <w:t xml:space="preserve">PubMed</w:t>
        </w:r>
      </w:hyperlink>
      <w:r>
        <w:rPr>
          <w:b w:val="0"/>
          <w:i w:val="0"/>
          <w:sz w:val="19"/>
        </w:rPr>
        <w:t xml:space="preserve"> · </w:t>
      </w:r>
      <w:hyperlink r:id="rId197">
        <w:r>
          <w:rPr>
            <w:color w:val="0563C1"/>
            <w:u w:val="single"/>
            <w:sz w:val="19"/>
          </w:rPr>
          <w:t xml:space="preserve">Journal</w:t>
        </w:r>
      </w:hyperlink>
      <w:r>
        <w:rPr>
          <w:b w:val="0"/>
          <w:i w:val="0"/>
          <w:sz w:val="19"/>
        </w:rPr>
        <w:t xml:space="preserve"> · </w:t>
      </w:r>
      <w:hyperlink r:id="rId198">
        <w:r>
          <w:rPr>
            <w:color w:val="0563C1"/>
            <w:u w:val="single"/>
            <w:sz w:val="19"/>
          </w:rPr>
          <w:t xml:space="preserve">Free full text</w:t>
        </w:r>
      </w:hyperlink>
      <w:r>
        <w:rPr>
          <w:b w:val="0"/>
          <w:i w:val="0"/>
          <w:sz w:val="19"/>
        </w:rPr>
        <w:t xml:space="preserve"> · </w:t>
      </w:r>
      <w:hyperlink r:id="rId199">
        <w:r>
          <w:rPr>
            <w:color w:val="0563C1"/>
            <w:u w:val="single"/>
            <w:sz w:val="19"/>
          </w:rPr>
          <w:t xml:space="preserve">Source</w:t>
        </w:r>
      </w:hyperlink>
      <w:r>
        <w:rPr>
          <w:b w:val="0"/>
          <w:i w:val="0"/>
          <w:sz w:val="19"/>
        </w:rPr>
        <w:t xml:space="preserve"> · </w:t>
      </w:r>
      <w:hyperlink r:id="rId200">
        <w:r>
          <w:rPr>
            <w:color w:val="0563C1"/>
            <w:u w:val="single"/>
            <w:sz w:val="19"/>
          </w:rPr>
          <w:t xml:space="preserve">TMC library</w:t>
        </w:r>
      </w:hyperlink>
    </w:p>
    <w:p>
      <w:pPr>
        <w:spacing w:after="60"/>
      </w:pPr>
      <w:r>
        <w:rPr>
          <w:b/>
          <w:i w:val="0"/>
          <w:sz w:val="19"/>
        </w:rPr>
        <w:t>Ye 2024</w:t>
      </w:r>
      <w:r>
        <w:rPr>
          <w:b w:val="0"/>
          <w:i w:val="0"/>
          <w:sz w:val="19"/>
        </w:rPr>
        <w:t xml:space="preserve"> — The clinical outcomes of patients with vascular invasion after deceased donor liver transplantation</w:t>
      </w:r>
      <w:r>
        <w:rPr>
          <w:b w:val="0"/>
          <w:i w:val="0"/>
          <w:sz w:val="19"/>
        </w:rPr>
        <w:t xml:space="preserve">  </w:t>
      </w:r>
      <w:hyperlink r:id="rId201">
        <w:r>
          <w:rPr>
            <w:color w:val="0563C1"/>
            <w:u w:val="single"/>
            <w:sz w:val="19"/>
          </w:rPr>
          <w:t xml:space="preserve">PubMed</w:t>
        </w:r>
      </w:hyperlink>
      <w:r>
        <w:rPr>
          <w:b w:val="0"/>
          <w:i w:val="0"/>
          <w:sz w:val="19"/>
        </w:rPr>
        <w:t xml:space="preserve"> · </w:t>
      </w:r>
      <w:hyperlink r:id="rId202">
        <w:r>
          <w:rPr>
            <w:color w:val="0563C1"/>
            <w:u w:val="single"/>
            <w:sz w:val="19"/>
          </w:rPr>
          <w:t xml:space="preserve">Journal</w:t>
        </w:r>
      </w:hyperlink>
      <w:r>
        <w:rPr>
          <w:b w:val="0"/>
          <w:i w:val="0"/>
          <w:sz w:val="19"/>
        </w:rPr>
        <w:t xml:space="preserve"> · </w:t>
      </w:r>
      <w:hyperlink r:id="rId203">
        <w:r>
          <w:rPr>
            <w:color w:val="0563C1"/>
            <w:u w:val="single"/>
            <w:sz w:val="19"/>
          </w:rPr>
          <w:t xml:space="preserve">Free full text</w:t>
        </w:r>
      </w:hyperlink>
      <w:r>
        <w:rPr>
          <w:b w:val="0"/>
          <w:i w:val="0"/>
          <w:sz w:val="19"/>
        </w:rPr>
        <w:t xml:space="preserve"> · </w:t>
      </w:r>
      <w:hyperlink r:id="rId204">
        <w:r>
          <w:rPr>
            <w:color w:val="0563C1"/>
            <w:u w:val="single"/>
            <w:sz w:val="19"/>
          </w:rPr>
          <w:t xml:space="preserve">Source</w:t>
        </w:r>
      </w:hyperlink>
      <w:r>
        <w:rPr>
          <w:b w:val="0"/>
          <w:i w:val="0"/>
          <w:sz w:val="19"/>
        </w:rPr>
        <w:t xml:space="preserve"> · </w:t>
      </w:r>
      <w:hyperlink r:id="rId205">
        <w:r>
          <w:rPr>
            <w:color w:val="0563C1"/>
            <w:u w:val="single"/>
            <w:sz w:val="19"/>
          </w:rPr>
          <w:t xml:space="preserve">TMC library</w:t>
        </w:r>
      </w:hyperlink>
    </w:p>
    <w:p>
      <w:pPr>
        <w:spacing w:after="60"/>
      </w:pPr>
      <w:r>
        <w:rPr>
          <w:b/>
          <w:i w:val="0"/>
          <w:sz w:val="19"/>
        </w:rPr>
        <w:t>Yoon 2026</w:t>
      </w:r>
      <w:r>
        <w:rPr>
          <w:b w:val="0"/>
          <w:i w:val="0"/>
          <w:sz w:val="19"/>
        </w:rPr>
        <w:t xml:space="preserve"> — Living-donor liver transplantation in hepatocellular carcinoma with portal-vein tumor thrombosis</w:t>
      </w:r>
      <w:r>
        <w:rPr>
          <w:b w:val="0"/>
          <w:i w:val="0"/>
          <w:sz w:val="19"/>
        </w:rPr>
        <w:t xml:space="preserve">  </w:t>
      </w:r>
      <w:hyperlink r:id="rId206">
        <w:r>
          <w:rPr>
            <w:color w:val="0563C1"/>
            <w:u w:val="single"/>
            <w:sz w:val="19"/>
          </w:rPr>
          <w:t xml:space="preserve">PubMed</w:t>
        </w:r>
      </w:hyperlink>
      <w:r>
        <w:rPr>
          <w:b w:val="0"/>
          <w:i w:val="0"/>
          <w:sz w:val="19"/>
        </w:rPr>
        <w:t xml:space="preserve"> · </w:t>
      </w:r>
      <w:hyperlink r:id="rId207">
        <w:r>
          <w:rPr>
            <w:color w:val="0563C1"/>
            <w:u w:val="single"/>
            <w:sz w:val="19"/>
          </w:rPr>
          <w:t xml:space="preserve">Journal</w:t>
        </w:r>
      </w:hyperlink>
      <w:r>
        <w:rPr>
          <w:b w:val="0"/>
          <w:i w:val="0"/>
          <w:sz w:val="19"/>
        </w:rPr>
        <w:t xml:space="preserve"> · </w:t>
      </w:r>
      <w:hyperlink r:id="rId208">
        <w:r>
          <w:rPr>
            <w:color w:val="0563C1"/>
            <w:u w:val="single"/>
            <w:sz w:val="19"/>
          </w:rPr>
          <w:t xml:space="preserve">TMC library</w:t>
        </w:r>
      </w:hyperlink>
    </w:p>
    <w:sectPr>
      <w:footerReference w:type="default" r:id="rId7"/>
      <w:pgSz w:w="12240" w:h="15840" w:orient="portrait"/>
      <w:pgMar w:top="1080" w:right="1080" w:bottom="1080" w:left="108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color w:val="5A6069"/>
        <w:sz w:val="15"/>
        <w:szCs w:val="15"/>
      </w:rPr>
      <w:t xml:space="preserve">HPB oncology working reference  |  </w:t>
    </w:r>
    <w:r>
      <w:rPr>
        <w:sz w:val="15"/>
        <w:szCs w:val="15"/>
      </w:rPr>
      <w:t xml:space="preserve"/>
    </w:r>
    <w:r>
      <w:rPr>
        <w:color w:val="5A6069"/>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abstractNum>
  <w:abstractNum w:abstractNumId="3" w15:restartNumberingAfterBreak="0">
    <w:multiLevelType w:val="hybridMultilevel"/>
    <w:lvl w:ilvl="0" w15:tentative="1">
      <w:start w:val="1"/>
      <w:numFmt w:val="bullet"/>
      <w:lvlText w:val="☐"/>
      <w:lvlJc w:val="left"/>
      <w:pPr>
        <w:ind w:left="360" w:hanging="240"/>
      </w:pPr>
    </w:lvl>
  </w:abstractNum>
  <w:num w:numId="1">
    <w:abstractNumId w:val="1"/>
    <w:lvlOverride w:ilvl="0">
      <w:startOverride w:val="1"/>
    </w:lvlOverride>
  </w:num>
  <w:num w:numId="2">
    <w:abstractNumId w:val="2"/>
    <w:lvlOverride w:ilvl="0">
      <w:startOverride w:val="1"/>
    </w:lvlOverride>
  </w:num>
  <w:abstractNum w:abstractNumId="4">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3">
    <w:abstractNumId w:val="4"/>
  </w:num>
  <w:abstractNum w:abstractNumId="5">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4">
    <w:abstractNumId w:val="5"/>
  </w:num>
  <w:abstractNum w:abstractNumId="6">
    <w:multiLevelType w:val="multilevel"/>
    <w:lvl w:ilvl="0">
      <w:start w:val="1"/>
      <w:numFmt w:val="bullet"/>
      <w:lvlText w:val="•"/>
      <w:lvlJc w:val="left"/>
      <w:pPr>
        <w:ind w:left="360" w:hanging="180"/>
      </w:pPr>
    </w:lvl>
    <w:lvl w:ilvl="1">
      <w:start w:val="1"/>
      <w:numFmt w:val="bullet"/>
      <w:lvlText w:val="•"/>
      <w:lvlJc w:val="left"/>
      <w:pPr>
        <w:ind w:left="720" w:hanging="180"/>
      </w:pPr>
    </w:lvl>
    <w:lvl w:ilvl="2">
      <w:start w:val="1"/>
      <w:numFmt w:val="bullet"/>
      <w:lvlText w:val="•"/>
      <w:lvlJc w:val="left"/>
      <w:pPr>
        <w:ind w:left="1080" w:hanging="180"/>
      </w:pPr>
    </w:lvl>
  </w:abstractNum>
  <w:num w:numId="5">
    <w:abstractNumId w:val="6"/>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5181F"/>
        <w:sz w:val="20"/>
        <w:szCs w:val="20"/>
      </w:rPr>
    </w:rPrDefault>
    <w:pPrDefault>
      <w:pPr>
        <w:spacing w:line="276"/>
      </w:pPr>
    </w:pPrDefault>
  </w:docDefaults>
  <w:style w:type="paragraph" w:styleId="Title">
    <w:name w:val="Title"/>
    <w:basedOn w:val="Normal"/>
    <w:next w:val="Normal"/>
    <w:qFormat/>
    <w:rPr>
      <w:sz w:val="56"/>
      <w:szCs w:val="56"/>
      <w:color w:val="000000"/>
      <w:u w:val="none"/>
    </w:rPr>
  </w:style>
  <w:style w:type="paragraph" w:styleId="Heading1">
    <w:name w:val="Heading 1"/>
    <w:basedOn w:val="Normal"/>
    <w:next w:val="Normal"/>
    <w:qFormat/>
    <w:rPr>
      <w:rFonts w:ascii="Cambria" w:cs="Cambria" w:eastAsia="Cambria" w:hAnsi="Cambria"/>
      <w:b/>
      <w:bCs/>
      <w:color w:val="17365D"/>
      <w:sz w:val="32"/>
      <w:szCs w:val="32"/>
    </w:rPr>
  </w:style>
  <w:style w:type="paragraph" w:styleId="Heading2">
    <w:name w:val="Heading 2"/>
    <w:basedOn w:val="Normal"/>
    <w:next w:val="Normal"/>
    <w:qFormat/>
    <w:rPr>
      <w:rFonts w:ascii="Cambria" w:cs="Cambria" w:eastAsia="Cambria" w:hAnsi="Cambria"/>
      <w:b/>
      <w:bCs/>
      <w:color w:val="17365D"/>
      <w:sz w:val="26"/>
      <w:szCs w:val="26"/>
    </w:rPr>
  </w:style>
  <w:style w:type="paragraph" w:styleId="Heading3">
    <w:name w:val="Heading 3"/>
    <w:basedOn w:val="Normal"/>
    <w:next w:val="Normal"/>
    <w:qFormat/>
    <w:rPr>
      <w:rFonts w:ascii="Cambria" w:cs="Cambria" w:eastAsia="Cambria" w:hAnsi="Cambria"/>
      <w:b/>
      <w:bCs/>
      <w:color w:val="17365D"/>
      <w:sz w:val="22"/>
      <w:szCs w:val="22"/>
    </w:rPr>
  </w:style>
  <w:style w:type="paragraph" w:styleId="Heading4">
    <w:name w:val="Heading 4"/>
    <w:basedOn w:val="Normal"/>
    <w:next w:val="Normal"/>
    <w:qFormat/>
    <w:rPr>
      <w:rFonts w:ascii="Calibri" w:cs="Calibri" w:eastAsia="Calibri" w:hAnsi="Calibri"/>
      <w:b/>
      <w:bCs/>
      <w:color w:val="176A87"/>
      <w:sz w:val="20"/>
      <w:szCs w:val="20"/>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fontTable" Target="fontTable.xml"/><Relationship Id="rId6" Type="http://schemas.openxmlformats.org/officeDocument/2006/relationships/hyperlink" Target="https://drliuhao.github.io/mh-liver-pathways/transplant/hcc/#allocation" TargetMode="External"/><Relationship Id="rId9" Type="http://schemas.openxmlformats.org/officeDocument/2006/relationships/hyperlink" Target="https://drliuhao.github.io/mh-liver-pathways/transplant/hcc/#treatment" TargetMode="External"/><Relationship Id="rId10" Type="http://schemas.openxmlformats.org/officeDocument/2006/relationships/hyperlink" Target="https://drliuhao.github.io/mh-liver-pathways/transplant/hcc/#high-risk-hcc-b1" TargetMode="External"/><Relationship Id="rId11" Type="http://schemas.openxmlformats.org/officeDocument/2006/relationships/hyperlink" Target="https://drliuhao.github.io/mh-liver-pathways/transplant/hcc/#listing" TargetMode="External"/><Relationship Id="rId12" Type="http://schemas.openxmlformats.org/officeDocument/2006/relationships/hyperlink" Target="https://drliuhao.github.io/mh-liver-pathways/transplant/hcc/#waitlist" TargetMode="External"/><Relationship Id="rId13" Type="http://schemas.openxmlformats.org/officeDocument/2006/relationships/hyperlink" Target="https://drliuhao.github.io/mh-liver-pathways/transplant/hcc/#high-risk-hcc-b1-1" TargetMode="External"/><Relationship Id="rId14" Type="http://schemas.openxmlformats.org/officeDocument/2006/relationships/hyperlink" Target="https://drliuhao.github.io/mh-liver-pathways/transplant/hcc/#curative-route" TargetMode="External"/><Relationship Id="rId15" Type="http://schemas.openxmlformats.org/officeDocument/2006/relationships/hyperlink" Target="https://drliuhao.github.io/mh-liver-pathways/transplant/hcc/#high-risk-hcc-b2" TargetMode="External"/><Relationship Id="rId16" Type="http://schemas.openxmlformats.org/officeDocument/2006/relationships/hyperlink" Target="https://drliuhao.github.io/mh-liver-pathways/transplant/hcc/#high-risk-hcc-b3" TargetMode="External"/><Relationship Id="rId17" Type="http://schemas.openxmlformats.org/officeDocument/2006/relationships/hyperlink" Target="https://drliuhao.github.io/mh-liver-pathways/transplant/hcc/#high-risk-hcc-b4" TargetMode="External"/><Relationship Id="rId18" Type="http://schemas.openxmlformats.org/officeDocument/2006/relationships/hyperlink" Target="https://drliuhao.github.io/mh-liver-pathways/transplant/hcc/#high-risk-hcc-b5" TargetMode="External"/><Relationship Id="rId19" Type="http://schemas.openxmlformats.org/officeDocument/2006/relationships/hyperlink" Target="https://drliuhao.github.io/mh-liver-pathways/transplant/hcc/#high-risk-alloc-b1" TargetMode="External"/><Relationship Id="rId20" Type="http://schemas.openxmlformats.org/officeDocument/2006/relationships/hyperlink" Target="https://drliuhao.github.io/mh-liver-pathways/transplant/hcc/#high-risk-alloc-b2" TargetMode="External"/><Relationship Id="rId21" Type="http://schemas.openxmlformats.org/officeDocument/2006/relationships/hyperlink" Target="https://drliuhao.github.io/mh-liver-pathways/transplant/hcc/#high-risk-alloc-b3" TargetMode="External"/><Relationship Id="rId22" Type="http://schemas.openxmlformats.org/officeDocument/2006/relationships/hyperlink" Target="https://drliuhao.github.io/mh-liver-pathways/transplant/hcc/#high-risk-alloc-b4" TargetMode="External"/><Relationship Id="rId23" Type="http://schemas.openxmlformats.org/officeDocument/2006/relationships/hyperlink" Target="https://pubmed.ncbi.nlm.nih.gov/37199193/" TargetMode="External"/><Relationship Id="rId24" Type="http://schemas.openxmlformats.org/officeDocument/2006/relationships/hyperlink" Target="https://doi.org/10.1097/HEP.0000000000000466" TargetMode="External"/><Relationship Id="rId25" Type="http://schemas.openxmlformats.org/officeDocument/2006/relationships/hyperlink" Target="https://pmc.ncbi.nlm.nih.gov/articles/PMC10663390/pdf/nihms-1931411.pdf" TargetMode="External"/><Relationship Id="rId26" Type="http://schemas.openxmlformats.org/officeDocument/2006/relationships/hyperlink" Target="https://pmc.ncbi.nlm.nih.gov/articles/PMC10663390/" TargetMode="External"/><Relationship Id="rId27" Type="http://schemas.openxmlformats.org/officeDocument/2006/relationships/hyperlink" Target="https://thslc-houston.primo.exlibrisgroup.com/discovery/search?vid=01TEXASHEALTH_HOUSTON%3ATMC_INST&amp;query=any,contains,10.1097%2FHEP.0000000000000466&amp;lang=en" TargetMode="External"/><Relationship Id="rId28" Type="http://schemas.openxmlformats.org/officeDocument/2006/relationships/hyperlink" Target="https://pubmed.ncbi.nlm.nih.gov/22335782/" TargetMode="External"/><Relationship Id="rId29" Type="http://schemas.openxmlformats.org/officeDocument/2006/relationships/hyperlink" Target="https://doi.org/10.1111/j.1600-6143.2011.03972.x" TargetMode="External"/><Relationship Id="rId30" Type="http://schemas.openxmlformats.org/officeDocument/2006/relationships/hyperlink" Target="https://pmc.ncbi.nlm.nih.gov/articles/PMC3732171/pdf/nihms-491154.pdf" TargetMode="External"/><Relationship Id="rId31" Type="http://schemas.openxmlformats.org/officeDocument/2006/relationships/hyperlink" Target="https://pmc.ncbi.nlm.nih.gov/articles/PMC3732171/" TargetMode="External"/><Relationship Id="rId32" Type="http://schemas.openxmlformats.org/officeDocument/2006/relationships/hyperlink" Target="https://thslc-houston.primo.exlibrisgroup.com/discovery/search?vid=01TEXASHEALTH_HOUSTON%3ATMC_INST&amp;query=any,contains,10.1111%2Fj.1600-6143.2011.03972.x&amp;lang=en" TargetMode="External"/><Relationship Id="rId33" Type="http://schemas.openxmlformats.org/officeDocument/2006/relationships/hyperlink" Target="https://pubmed.ncbi.nlm.nih.gov/41640254/" TargetMode="External"/><Relationship Id="rId34" Type="http://schemas.openxmlformats.org/officeDocument/2006/relationships/hyperlink" Target="https://doi.org/10.1111/apt.70528" TargetMode="External"/><Relationship Id="rId35" Type="http://schemas.openxmlformats.org/officeDocument/2006/relationships/hyperlink" Target="https://pmc.ncbi.nlm.nih.gov/articles/PMC13127848/pdf/APT-63-1369.pdf" TargetMode="External"/><Relationship Id="rId36" Type="http://schemas.openxmlformats.org/officeDocument/2006/relationships/hyperlink" Target="https://pmc.ncbi.nlm.nih.gov/articles/PMC13127848/" TargetMode="External"/><Relationship Id="rId37" Type="http://schemas.openxmlformats.org/officeDocument/2006/relationships/hyperlink" Target="https://thslc-houston.primo.exlibrisgroup.com/discovery/search?vid=01TEXASHEALTH_HOUSTON%3ATMC_INST&amp;query=any,contains,10.1111%2Fapt.70528&amp;lang=en" TargetMode="External"/><Relationship Id="rId38" Type="http://schemas.openxmlformats.org/officeDocument/2006/relationships/hyperlink" Target="https://pubmed.ncbi.nlm.nih.gov/38521169/" TargetMode="External"/><Relationship Id="rId39" Type="http://schemas.openxmlformats.org/officeDocument/2006/relationships/hyperlink" Target="https://doi.org/10.1016/j.jhep.2024.03.020" TargetMode="External"/><Relationship Id="rId40" Type="http://schemas.openxmlformats.org/officeDocument/2006/relationships/hyperlink" Target="https://thslc-houston.primo.exlibrisgroup.com/discovery/search?vid=01TEXASHEALTH_HOUSTON%3ATMC_INST&amp;query=any,contains,10.1016%2Fj.jhep.2024.03.020&amp;lang=en" TargetMode="External"/><Relationship Id="rId41" Type="http://schemas.openxmlformats.org/officeDocument/2006/relationships/hyperlink" Target="https://pubmed.ncbi.nlm.nih.gov/31994238/" TargetMode="External"/><Relationship Id="rId42" Type="http://schemas.openxmlformats.org/officeDocument/2006/relationships/hyperlink" Target="https://doi.org/10.1111/tri.13586" TargetMode="External"/><Relationship Id="rId43" Type="http://schemas.openxmlformats.org/officeDocument/2006/relationships/hyperlink" Target="https://thslc-houston.primo.exlibrisgroup.com/discovery/search?vid=01TEXASHEALTH_HOUSTON%3ATMC_INST&amp;query=any,contains,10.1111%2Ftri.13586&amp;lang=en" TargetMode="External"/><Relationship Id="rId44" Type="http://schemas.openxmlformats.org/officeDocument/2006/relationships/hyperlink" Target="https://pubmed.ncbi.nlm.nih.gov/28480517/" TargetMode="External"/><Relationship Id="rId45" Type="http://schemas.openxmlformats.org/officeDocument/2006/relationships/hyperlink" Target="https://doi.org/10.1002/lt.24782" TargetMode="External"/><Relationship Id="rId46" Type="http://schemas.openxmlformats.org/officeDocument/2006/relationships/hyperlink" Target="https://thslc-houston.primo.exlibrisgroup.com/discovery/search?vid=01TEXASHEALTH_HOUSTON%3ATMC_INST&amp;query=any,contains,10.1002%2Flt.24782&amp;lang=en" TargetMode="External"/><Relationship Id="rId47" Type="http://schemas.openxmlformats.org/officeDocument/2006/relationships/hyperlink" Target="https://pubmed.ncbi.nlm.nih.gov/27647626/" TargetMode="External"/><Relationship Id="rId48" Type="http://schemas.openxmlformats.org/officeDocument/2006/relationships/hyperlink" Target="https://doi.org/10.1111/ajt.14055" TargetMode="External"/><Relationship Id="rId49" Type="http://schemas.openxmlformats.org/officeDocument/2006/relationships/hyperlink" Target="https://pmc.ncbi.nlm.nih.gov/articles/PMC5359081/pdf/nihms818467.pdf" TargetMode="External"/><Relationship Id="rId50" Type="http://schemas.openxmlformats.org/officeDocument/2006/relationships/hyperlink" Target="https://pmc.ncbi.nlm.nih.gov/articles/PMC5359081/" TargetMode="External"/><Relationship Id="rId51" Type="http://schemas.openxmlformats.org/officeDocument/2006/relationships/hyperlink" Target="https://thslc-houston.primo.exlibrisgroup.com/discovery/search?vid=01TEXASHEALTH_HOUSTON%3ATMC_INST&amp;query=any,contains,10.1111%2Fajt.14055&amp;lang=en" TargetMode="External"/><Relationship Id="rId52" Type="http://schemas.openxmlformats.org/officeDocument/2006/relationships/hyperlink" Target="https://pubmed.ncbi.nlm.nih.gov/42270817/" TargetMode="External"/><Relationship Id="rId53" Type="http://schemas.openxmlformats.org/officeDocument/2006/relationships/hyperlink" Target="https://doi.org/10.1038/s41571-026-01160-z" TargetMode="External"/><Relationship Id="rId54" Type="http://schemas.openxmlformats.org/officeDocument/2006/relationships/hyperlink" Target="https://pmc.ncbi.nlm.nih.gov/articles/PMC13665261/pdf/nihms-2192929.pdf" TargetMode="External"/><Relationship Id="rId55" Type="http://schemas.openxmlformats.org/officeDocument/2006/relationships/hyperlink" Target="https://pmc.ncbi.nlm.nih.gov/articles/PMC13665261/" TargetMode="External"/><Relationship Id="rId56" Type="http://schemas.openxmlformats.org/officeDocument/2006/relationships/hyperlink" Target="https://thslc-houston.primo.exlibrisgroup.com/discovery/search?vid=01TEXASHEALTH_HOUSTON%3ATMC_INST&amp;query=any,contains,10.1038%2Fs41571-026-01160-z&amp;lang=en" TargetMode="External"/><Relationship Id="rId57" Type="http://schemas.openxmlformats.org/officeDocument/2006/relationships/hyperlink" Target="https://pubmed.ncbi.nlm.nih.gov/27777223/" TargetMode="External"/><Relationship Id="rId58" Type="http://schemas.openxmlformats.org/officeDocument/2006/relationships/hyperlink" Target="https://doi.org/10.1136/bmj.i5239" TargetMode="External"/><Relationship Id="rId59" Type="http://schemas.openxmlformats.org/officeDocument/2006/relationships/hyperlink" Target="https://pmc.ncbi.nlm.nih.gov/articles/PMC5076380/" TargetMode="External"/><Relationship Id="rId60" Type="http://schemas.openxmlformats.org/officeDocument/2006/relationships/hyperlink" Target="https://thslc-houston.primo.exlibrisgroup.com/discovery/search?vid=01TEXASHEALTH_HOUSTON%3ATMC_INST&amp;query=any,contains,10.1136%2Fbmj.i5239&amp;lang=en" TargetMode="External"/><Relationship Id="rId61" Type="http://schemas.openxmlformats.org/officeDocument/2006/relationships/hyperlink" Target="https://pubmed.ncbi.nlm.nih.gov/41193174/" TargetMode="External"/><Relationship Id="rId62" Type="http://schemas.openxmlformats.org/officeDocument/2006/relationships/hyperlink" Target="https://doi.org/10.1136/gutjnl-2025-336719" TargetMode="External"/><Relationship Id="rId63" Type="http://schemas.openxmlformats.org/officeDocument/2006/relationships/hyperlink" Target="https://pmc.ncbi.nlm.nih.gov/articles/PMC13217134/pdf/gutjnl-75-6.pdf" TargetMode="External"/><Relationship Id="rId64" Type="http://schemas.openxmlformats.org/officeDocument/2006/relationships/hyperlink" Target="https://pmc.ncbi.nlm.nih.gov/articles/PMC13217134/" TargetMode="External"/><Relationship Id="rId65" Type="http://schemas.openxmlformats.org/officeDocument/2006/relationships/hyperlink" Target="https://thslc-houston.primo.exlibrisgroup.com/discovery/search?vid=01TEXASHEALTH_HOUSTON%3ATMC_INST&amp;query=any,contains,10.1136%2Fgutjnl-2025-336719&amp;lang=en" TargetMode="External"/><Relationship Id="rId66" Type="http://schemas.openxmlformats.org/officeDocument/2006/relationships/hyperlink" Target="https://pubmed.ncbi.nlm.nih.gov/29505494/" TargetMode="External"/><Relationship Id="rId67" Type="http://schemas.openxmlformats.org/officeDocument/2006/relationships/hyperlink" Target="https://doi.org/10.1097/TP.0000000000002094" TargetMode="External"/><Relationship Id="rId68" Type="http://schemas.openxmlformats.org/officeDocument/2006/relationships/hyperlink" Target="https://libkey.io/libraries/480/10.1097/TP.0000000000002094" TargetMode="External"/><Relationship Id="rId69" Type="http://schemas.openxmlformats.org/officeDocument/2006/relationships/hyperlink" Target="https://pubmed.ncbi.nlm.nih.gov/34927344/" TargetMode="External"/><Relationship Id="rId70" Type="http://schemas.openxmlformats.org/officeDocument/2006/relationships/hyperlink" Target="https://doi.org/10.1002/lt.26392" TargetMode="External"/><Relationship Id="rId71" Type="http://schemas.openxmlformats.org/officeDocument/2006/relationships/hyperlink" Target="https://libkey.io/libraries/480/10.1002/lt.26392" TargetMode="External"/><Relationship Id="rId72" Type="http://schemas.openxmlformats.org/officeDocument/2006/relationships/hyperlink" Target="https://pubmed.ncbi.nlm.nih.gov/38034881/" TargetMode="External"/><Relationship Id="rId73" Type="http://schemas.openxmlformats.org/officeDocument/2006/relationships/hyperlink" Target="https://doi.org/10.1016/j.jhepr.2023.100907" TargetMode="External"/><Relationship Id="rId74" Type="http://schemas.openxmlformats.org/officeDocument/2006/relationships/hyperlink" Target="https://pmc.ncbi.nlm.nih.gov/articles/PMC10685016/" TargetMode="External"/><Relationship Id="rId75" Type="http://schemas.openxmlformats.org/officeDocument/2006/relationships/hyperlink" Target="https://thslc-houston.primo.exlibrisgroup.com/discovery/search?vid=01TEXASHEALTH_HOUSTON%3ATMC_INST&amp;query=any,contains,10.1016%2Fj.jhepr.2023.100907&amp;lang=en" TargetMode="External"/><Relationship Id="rId76" Type="http://schemas.openxmlformats.org/officeDocument/2006/relationships/hyperlink" Target="https://pubmed.ncbi.nlm.nih.gov/33950167/" TargetMode="External"/><Relationship Id="rId77" Type="http://schemas.openxmlformats.org/officeDocument/2006/relationships/hyperlink" Target="https://doi.org/10.1001/jamasurg.2021.0954" TargetMode="External"/><Relationship Id="rId78" Type="http://schemas.openxmlformats.org/officeDocument/2006/relationships/hyperlink" Target="https://libkey.io/libraries/480/10.1001/jamasurg.2021.0954" TargetMode="External"/><Relationship Id="rId79" Type="http://schemas.openxmlformats.org/officeDocument/2006/relationships/hyperlink" Target="https://pubmed.ncbi.nlm.nih.gov/42821267/" TargetMode="External"/><Relationship Id="rId80" Type="http://schemas.openxmlformats.org/officeDocument/2006/relationships/hyperlink" Target="https://doi.org/10.1001/jamaoncol.2026.3901" TargetMode="External"/><Relationship Id="rId81" Type="http://schemas.openxmlformats.org/officeDocument/2006/relationships/hyperlink" Target="https://thslc-houston.primo.exlibrisgroup.com/discovery/search?vid=01TEXASHEALTH_HOUSTON%3ATMC_INST&amp;query=any,contains,10.1001%2Fjamaoncol.2026.3901&amp;lang=en" TargetMode="External"/><Relationship Id="rId82" Type="http://schemas.openxmlformats.org/officeDocument/2006/relationships/hyperlink" Target="https://www.ecfr.gov/current/title-45/subtitle-A/subchapter-A/part-46/subpart-A/section-46.111" TargetMode="External"/><Relationship Id="rId83" Type="http://schemas.openxmlformats.org/officeDocument/2006/relationships/hyperlink" Target="https://pubmed.ncbi.nlm.nih.gov/36038129/" TargetMode="External"/><Relationship Id="rId84" Type="http://schemas.openxmlformats.org/officeDocument/2006/relationships/hyperlink" Target="https://doi.org/10.1016/j.cgh.2022.08.023" TargetMode="External"/><Relationship Id="rId85" Type="http://schemas.openxmlformats.org/officeDocument/2006/relationships/hyperlink" Target="https://thslc-houston.primo.exlibrisgroup.com/discovery/search?vid=01TEXASHEALTH_HOUSTON%3ATMC_INST&amp;query=any,contains,10.1016%2Fj.cgh.2022.08.023&amp;lang=en" TargetMode="External"/><Relationship Id="rId86" Type="http://schemas.openxmlformats.org/officeDocument/2006/relationships/hyperlink" Target="https://pubmed.ncbi.nlm.nih.gov/40014003/" TargetMode="External"/><Relationship Id="rId87" Type="http://schemas.openxmlformats.org/officeDocument/2006/relationships/hyperlink" Target="https://doi.org/10.1097/LVT.0000000000000589" TargetMode="External"/><Relationship Id="rId88" Type="http://schemas.openxmlformats.org/officeDocument/2006/relationships/hyperlink" Target="https://thslc-houston.primo.exlibrisgroup.com/discovery/search?vid=01TEXASHEALTH_HOUSTON%3ATMC_INST&amp;query=any,contains,10.1097%2FLVT.0000000000000589&amp;lang=en" TargetMode="External"/><Relationship Id="rId89" Type="http://schemas.openxmlformats.org/officeDocument/2006/relationships/hyperlink" Target="https://pubmed.ncbi.nlm.nih.gov/41763363/" TargetMode="External"/><Relationship Id="rId90" Type="http://schemas.openxmlformats.org/officeDocument/2006/relationships/hyperlink" Target="https://doi.org/10.1016/j.jhep.2026.02.019" TargetMode="External"/><Relationship Id="rId91" Type="http://schemas.openxmlformats.org/officeDocument/2006/relationships/hyperlink" Target="https://thslc-houston.primo.exlibrisgroup.com/discovery/search?vid=01TEXASHEALTH_HOUSTON%3ATMC_INST&amp;query=any,contains,10.1016%2Fj.jhep.2026.02.019&amp;lang=en" TargetMode="External"/><Relationship Id="rId92" Type="http://schemas.openxmlformats.org/officeDocument/2006/relationships/hyperlink" Target="https://pubmed.ncbi.nlm.nih.gov/42835360/" TargetMode="External"/><Relationship Id="rId93" Type="http://schemas.openxmlformats.org/officeDocument/2006/relationships/hyperlink" Target="https://doi.org/10.1155/joot/2545887" TargetMode="External"/><Relationship Id="rId94" Type="http://schemas.openxmlformats.org/officeDocument/2006/relationships/hyperlink" Target="https://thslc-houston.primo.exlibrisgroup.com/discovery/search?vid=01TEXASHEALTH_HOUSTON%3ATMC_INST&amp;query=any,contains,10.1155%2Fjoot%2F2545887&amp;lang=en" TargetMode="External"/><Relationship Id="rId95" Type="http://schemas.openxmlformats.org/officeDocument/2006/relationships/hyperlink" Target="https://pubmed.ncbi.nlm.nih.gov/28653750/" TargetMode="External"/><Relationship Id="rId96" Type="http://schemas.openxmlformats.org/officeDocument/2006/relationships/hyperlink" Target="https://doi.org/10.1002/hep.29342" TargetMode="External"/><Relationship Id="rId97" Type="http://schemas.openxmlformats.org/officeDocument/2006/relationships/hyperlink" Target="https://thslc-houston.primo.exlibrisgroup.com/discovery/search?vid=01TEXASHEALTH_HOUSTON%3ATMC_INST&amp;query=any,contains,10.1002%2Fhep.29342&amp;lang=en" TargetMode="External"/><Relationship Id="rId98" Type="http://schemas.openxmlformats.org/officeDocument/2006/relationships/hyperlink" Target="https://pubmed.ncbi.nlm.nih.gov/42156355/" TargetMode="External"/><Relationship Id="rId99" Type="http://schemas.openxmlformats.org/officeDocument/2006/relationships/hyperlink" Target="https://doi.org/10.1111/liv.70692" TargetMode="External"/><Relationship Id="rId100" Type="http://schemas.openxmlformats.org/officeDocument/2006/relationships/hyperlink" Target="https://thslc-houston.primo.exlibrisgroup.com/discovery/search?vid=01TEXASHEALTH_HOUSTON%3ATMC_INST&amp;query=any,contains,10.1111%2Fliv.70692&amp;lang=en" TargetMode="External"/><Relationship Id="rId101" Type="http://schemas.openxmlformats.org/officeDocument/2006/relationships/hyperlink" Target="https://pubmed.ncbi.nlm.nih.gov/39774957/" TargetMode="External"/><Relationship Id="rId102" Type="http://schemas.openxmlformats.org/officeDocument/2006/relationships/hyperlink" Target="https://doi.org/10.1097/HC9.0000000000000619" TargetMode="External"/><Relationship Id="rId103" Type="http://schemas.openxmlformats.org/officeDocument/2006/relationships/hyperlink" Target="https://pmc.ncbi.nlm.nih.gov/articles/PMC11717502/" TargetMode="External"/><Relationship Id="rId104" Type="http://schemas.openxmlformats.org/officeDocument/2006/relationships/hyperlink" Target="https://thslc-houston.primo.exlibrisgroup.com/discovery/search?vid=01TEXASHEALTH_HOUSTON%3ATMC_INST&amp;query=any,contains,10.1097%2FHC9.0000000000000619&amp;lang=en" TargetMode="External"/><Relationship Id="rId105" Type="http://schemas.openxmlformats.org/officeDocument/2006/relationships/hyperlink" Target="https://pubmed.ncbi.nlm.nih.gov/41738362/" TargetMode="External"/><Relationship Id="rId106" Type="http://schemas.openxmlformats.org/officeDocument/2006/relationships/hyperlink" Target="https://doi.org/10.1111/ctr.70488" TargetMode="External"/><Relationship Id="rId107" Type="http://schemas.openxmlformats.org/officeDocument/2006/relationships/hyperlink" Target="https://pmc.ncbi.nlm.nih.gov/articles/PMC12933510/" TargetMode="External"/><Relationship Id="rId108" Type="http://schemas.openxmlformats.org/officeDocument/2006/relationships/hyperlink" Target="https://thslc-houston.primo.exlibrisgroup.com/discovery/search?vid=01TEXASHEALTH_HOUSTON%3ATMC_INST&amp;query=any,contains,10.1111%2Fctr.70488&amp;lang=en" TargetMode="External"/><Relationship Id="rId109" Type="http://schemas.openxmlformats.org/officeDocument/2006/relationships/hyperlink" Target="https://pubmed.ncbi.nlm.nih.gov/30548884/" TargetMode="External"/><Relationship Id="rId110" Type="http://schemas.openxmlformats.org/officeDocument/2006/relationships/hyperlink" Target="https://doi.org/10.1002/hep.30413" TargetMode="External"/><Relationship Id="rId111" Type="http://schemas.openxmlformats.org/officeDocument/2006/relationships/hyperlink" Target="https://libkey.io/libraries/480/10.1002/hep.30413" TargetMode="External"/><Relationship Id="rId112" Type="http://schemas.openxmlformats.org/officeDocument/2006/relationships/hyperlink" Target="https://pubmed.ncbi.nlm.nih.gov/34331914/" TargetMode="External"/><Relationship Id="rId113" Type="http://schemas.openxmlformats.org/officeDocument/2006/relationships/hyperlink" Target="https://doi.org/10.1053/j.gastro.2021.07.033" TargetMode="External"/><Relationship Id="rId114" Type="http://schemas.openxmlformats.org/officeDocument/2006/relationships/hyperlink" Target="https://pmc.ncbi.nlm.nih.gov/articles/PMC8545832/pdf/nihms-1730099.pdf" TargetMode="External"/><Relationship Id="rId115" Type="http://schemas.openxmlformats.org/officeDocument/2006/relationships/hyperlink" Target="https://pmc.ncbi.nlm.nih.gov/articles/PMC8545832/" TargetMode="External"/><Relationship Id="rId116" Type="http://schemas.openxmlformats.org/officeDocument/2006/relationships/hyperlink" Target="https://thslc-houston.primo.exlibrisgroup.com/discovery/search?vid=01TEXASHEALTH_HOUSTON%3ATMC_INST&amp;query=any,contains,10.1053%2Fj.gastro.2021.07.033&amp;lang=en" TargetMode="External"/><Relationship Id="rId117" Type="http://schemas.openxmlformats.org/officeDocument/2006/relationships/hyperlink" Target="https://pubmed.ncbi.nlm.nih.gov/22521348/" TargetMode="External"/><Relationship Id="rId118" Type="http://schemas.openxmlformats.org/officeDocument/2006/relationships/hyperlink" Target="https://doi.org/10.1016/j.jhep.2012.03.022" TargetMode="External"/><Relationship Id="rId119" Type="http://schemas.openxmlformats.org/officeDocument/2006/relationships/hyperlink" Target="https://thslc-houston.primo.exlibrisgroup.com/discovery/search?vid=01TEXASHEALTH_HOUSTON%3ATMC_INST&amp;query=any,contains,10.1016%2Fj.jhep.2012.03.022&amp;lang=en" TargetMode="External"/><Relationship Id="rId120" Type="http://schemas.openxmlformats.org/officeDocument/2006/relationships/hyperlink" Target="https://pubmed.ncbi.nlm.nih.gov/40042053/" TargetMode="External"/><Relationship Id="rId121" Type="http://schemas.openxmlformats.org/officeDocument/2006/relationships/hyperlink" Target="https://doi.org/10.1097/HEP.0000000000001289" TargetMode="External"/><Relationship Id="rId122" Type="http://schemas.openxmlformats.org/officeDocument/2006/relationships/hyperlink" Target="https://thslc-houston.primo.exlibrisgroup.com/discovery/search?vid=01TEXASHEALTH_HOUSTON%3ATMC_INST&amp;query=any,contains,10.1097%2FHEP.0000000000001289&amp;lang=en" TargetMode="External"/><Relationship Id="rId123" Type="http://schemas.openxmlformats.org/officeDocument/2006/relationships/hyperlink" Target="https://pubmed.ncbi.nlm.nih.gov/42010805/" TargetMode="External"/><Relationship Id="rId124" Type="http://schemas.openxmlformats.org/officeDocument/2006/relationships/hyperlink" Target="https://doi.org/10.1002/cam4.71812" TargetMode="External"/><Relationship Id="rId125" Type="http://schemas.openxmlformats.org/officeDocument/2006/relationships/hyperlink" Target="https://libkey.io/libraries/480/10.1002/cam4.71812" TargetMode="External"/><Relationship Id="rId126" Type="http://schemas.openxmlformats.org/officeDocument/2006/relationships/hyperlink" Target="https://pubmed.ncbi.nlm.nih.gov/37532179/" TargetMode="External"/><Relationship Id="rId127" Type="http://schemas.openxmlformats.org/officeDocument/2006/relationships/hyperlink" Target="https://doi.org/10.1016/j.ajt.2023.07.021" TargetMode="External"/><Relationship Id="rId128" Type="http://schemas.openxmlformats.org/officeDocument/2006/relationships/hyperlink" Target="https://pmc.ncbi.nlm.nih.gov/articles/PMC10998692/pdf/nihms-1981991.pdf" TargetMode="External"/><Relationship Id="rId129" Type="http://schemas.openxmlformats.org/officeDocument/2006/relationships/hyperlink" Target="https://pmc.ncbi.nlm.nih.gov/articles/PMC10998692/" TargetMode="External"/><Relationship Id="rId130" Type="http://schemas.openxmlformats.org/officeDocument/2006/relationships/hyperlink" Target="https://thslc-houston.primo.exlibrisgroup.com/discovery/search?vid=01TEXASHEALTH_HOUSTON%3ATMC_INST&amp;query=any,contains,10.1016%2Fj.ajt.2023.07.021&amp;lang=en" TargetMode="External"/><Relationship Id="rId131" Type="http://schemas.openxmlformats.org/officeDocument/2006/relationships/hyperlink" Target="https://www.hrsa.gov/sites/default/files/hrsa/optn/adult-meld-exception-transplant-oncology-review-guidance.pdf" TargetMode="External"/><Relationship Id="rId132" Type="http://schemas.openxmlformats.org/officeDocument/2006/relationships/hyperlink" Target="https://www.hrsa.gov/optn/professionals/resources/ethical-considerations/ethical-principles-in-the-allocation-of-human-organs" TargetMode="External"/><Relationship Id="rId133" Type="http://schemas.openxmlformats.org/officeDocument/2006/relationships/hyperlink" Target="https://www.hrsa.gov/sites/default/files/hrsa/optn/optn_policies.pdf" TargetMode="External"/><Relationship Id="rId134" Type="http://schemas.openxmlformats.org/officeDocument/2006/relationships/hyperlink" Target="https://pubmed.ncbi.nlm.nih.gov/40672077/" TargetMode="External"/><Relationship Id="rId135" Type="http://schemas.openxmlformats.org/officeDocument/2006/relationships/hyperlink" Target="https://doi.org/10.21037/jgo-24-764" TargetMode="External"/><Relationship Id="rId136" Type="http://schemas.openxmlformats.org/officeDocument/2006/relationships/hyperlink" Target="https://pmc.ncbi.nlm.nih.gov/articles/PMC12261024/" TargetMode="External"/><Relationship Id="rId137" Type="http://schemas.openxmlformats.org/officeDocument/2006/relationships/hyperlink" Target="https://thslc-houston.primo.exlibrisgroup.com/discovery/search?vid=01TEXASHEALTH_HOUSTON%3ATMC_INST&amp;query=any,contains,10.21037%2Fjgo-24-764&amp;lang=en" TargetMode="External"/><Relationship Id="rId138" Type="http://schemas.openxmlformats.org/officeDocument/2006/relationships/hyperlink" Target="https://pubmed.ncbi.nlm.nih.gov/41700702/" TargetMode="External"/><Relationship Id="rId139" Type="http://schemas.openxmlformats.org/officeDocument/2006/relationships/hyperlink" Target="https://doi.org/10.1177/09622802261420699" TargetMode="External"/><Relationship Id="rId140" Type="http://schemas.openxmlformats.org/officeDocument/2006/relationships/hyperlink" Target="https://pmc.ncbi.nlm.nih.gov/articles/PMC13161485/pdf/10.1177_09622802261420699.pdf" TargetMode="External"/><Relationship Id="rId141" Type="http://schemas.openxmlformats.org/officeDocument/2006/relationships/hyperlink" Target="https://pmc.ncbi.nlm.nih.gov/articles/PMC13161485/" TargetMode="External"/><Relationship Id="rId142" Type="http://schemas.openxmlformats.org/officeDocument/2006/relationships/hyperlink" Target="https://thslc-houston.primo.exlibrisgroup.com/discovery/search?vid=01TEXASHEALTH_HOUSTON%3ATMC_INST&amp;query=any,contains,10.1177%2F09622802261420699&amp;lang=en" TargetMode="External"/><Relationship Id="rId143" Type="http://schemas.openxmlformats.org/officeDocument/2006/relationships/hyperlink" Target="https://pubmed.ncbi.nlm.nih.gov/38996924/" TargetMode="External"/><Relationship Id="rId144" Type="http://schemas.openxmlformats.org/officeDocument/2006/relationships/hyperlink" Target="https://doi.org/10.1016/j.jhep.2024.06.042" TargetMode="External"/><Relationship Id="rId145" Type="http://schemas.openxmlformats.org/officeDocument/2006/relationships/hyperlink" Target="https://pmc.ncbi.nlm.nih.gov/articles/PMC11655254/" TargetMode="External"/><Relationship Id="rId146" Type="http://schemas.openxmlformats.org/officeDocument/2006/relationships/hyperlink" Target="https://thslc-houston.primo.exlibrisgroup.com/discovery/search?vid=01TEXASHEALTH_HOUSTON%3ATMC_INST&amp;query=any,contains,10.1016%2Fj.jhep.2024.06.042&amp;lang=en" TargetMode="External"/><Relationship Id="rId147" Type="http://schemas.openxmlformats.org/officeDocument/2006/relationships/hyperlink" Target="https://pubmed.ncbi.nlm.nih.gov/41755988/" TargetMode="External"/><Relationship Id="rId148" Type="http://schemas.openxmlformats.org/officeDocument/2006/relationships/hyperlink" Target="https://doi.org/10.3389/fonc.2025.1687449" TargetMode="External"/><Relationship Id="rId149" Type="http://schemas.openxmlformats.org/officeDocument/2006/relationships/hyperlink" Target="https://thslc-houston.primo.exlibrisgroup.com/discovery/search?vid=01TEXASHEALTH_HOUSTON%3ATMC_INST&amp;query=any,contains,10.3389%2Ffonc.2025.1687449&amp;lang=en" TargetMode="External"/><Relationship Id="rId150" Type="http://schemas.openxmlformats.org/officeDocument/2006/relationships/hyperlink" Target="https://pubmed.ncbi.nlm.nih.gov/30779440/" TargetMode="External"/><Relationship Id="rId151" Type="http://schemas.openxmlformats.org/officeDocument/2006/relationships/hyperlink" Target="https://doi.org/10.1002/hep.30570" TargetMode="External"/><Relationship Id="rId152" Type="http://schemas.openxmlformats.org/officeDocument/2006/relationships/hyperlink" Target="https://thslc-houston.primo.exlibrisgroup.com/discovery/search?vid=01TEXASHEALTH_HOUSTON%3ATMC_INST&amp;query=any,contains,10.1002%2Fhep.30570&amp;lang=en" TargetMode="External"/><Relationship Id="rId153" Type="http://schemas.openxmlformats.org/officeDocument/2006/relationships/hyperlink" Target="https://pubmed.ncbi.nlm.nih.gov/32032291/" TargetMode="External"/><Relationship Id="rId154" Type="http://schemas.openxmlformats.org/officeDocument/2006/relationships/hyperlink" Target="https://doi.org/10.1097/TP.0000000000003162" TargetMode="External"/><Relationship Id="rId155" Type="http://schemas.openxmlformats.org/officeDocument/2006/relationships/hyperlink" Target="https://thslc-houston.primo.exlibrisgroup.com/discovery/search?vid=01TEXASHEALTH_HOUSTON%3ATMC_INST&amp;query=any,contains,10.1097%2FTP.0000000000003162&amp;lang=en" TargetMode="External"/><Relationship Id="rId156" Type="http://schemas.openxmlformats.org/officeDocument/2006/relationships/hyperlink" Target="https://pubmed.ncbi.nlm.nih.gov/17239022/" TargetMode="External"/><Relationship Id="rId157" Type="http://schemas.openxmlformats.org/officeDocument/2006/relationships/hyperlink" Target="https://doi.org/10.1111/j.1432-2277.2006.00412.x" TargetMode="External"/><Relationship Id="rId158" Type="http://schemas.openxmlformats.org/officeDocument/2006/relationships/hyperlink" Target="https://thslc-houston.primo.exlibrisgroup.com/discovery/search?vid=01TEXASHEALTH_HOUSTON%3ATMC_INST&amp;query=any,contains,10.1111%2Fj.1432-2277.2006.00412.x&amp;lang=en" TargetMode="External"/><Relationship Id="rId159" Type="http://schemas.openxmlformats.org/officeDocument/2006/relationships/hyperlink" Target="https://pubmed.ncbi.nlm.nih.gov/42228945/" TargetMode="External"/><Relationship Id="rId160" Type="http://schemas.openxmlformats.org/officeDocument/2006/relationships/hyperlink" Target="https://doi.org/10.1097/HEP.0000000000001801" TargetMode="External"/><Relationship Id="rId161" Type="http://schemas.openxmlformats.org/officeDocument/2006/relationships/hyperlink" Target="https://thslc-houston.primo.exlibrisgroup.com/discovery/search?vid=01TEXASHEALTH_HOUSTON%3ATMC_INST&amp;query=any,contains,10.1097%2FHEP.0000000000001801&amp;lang=en" TargetMode="External"/><Relationship Id="rId162" Type="http://schemas.openxmlformats.org/officeDocument/2006/relationships/hyperlink" Target="https://pubmed.ncbi.nlm.nih.gov/39544321/" TargetMode="External"/><Relationship Id="rId163" Type="http://schemas.openxmlformats.org/officeDocument/2006/relationships/hyperlink" Target="https://doi.org/10.3389/ti.2024.13641" TargetMode="External"/><Relationship Id="rId164" Type="http://schemas.openxmlformats.org/officeDocument/2006/relationships/hyperlink" Target="https://pmc.ncbi.nlm.nih.gov/articles/PMC11560448/pdf/ti-37-13641.pdf" TargetMode="External"/><Relationship Id="rId165" Type="http://schemas.openxmlformats.org/officeDocument/2006/relationships/hyperlink" Target="https://pmc.ncbi.nlm.nih.gov/articles/PMC11560448/" TargetMode="External"/><Relationship Id="rId166" Type="http://schemas.openxmlformats.org/officeDocument/2006/relationships/hyperlink" Target="https://thslc-houston.primo.exlibrisgroup.com/discovery/search?vid=01TEXASHEALTH_HOUSTON%3ATMC_INST&amp;query=any,contains,10.3389%2Fti.2024.13641&amp;lang=en" TargetMode="External"/><Relationship Id="rId167" Type="http://schemas.openxmlformats.org/officeDocument/2006/relationships/hyperlink" Target="https://pubmed.ncbi.nlm.nih.gov/35857294/" TargetMode="External"/><Relationship Id="rId168" Type="http://schemas.openxmlformats.org/officeDocument/2006/relationships/hyperlink" Target="https://doi.org/10.1001/jamasurg.2022.2800" TargetMode="External"/><Relationship Id="rId169" Type="http://schemas.openxmlformats.org/officeDocument/2006/relationships/hyperlink" Target="https://pmc.ncbi.nlm.nih.gov/articles/PMC9301590/" TargetMode="External"/><Relationship Id="rId170" Type="http://schemas.openxmlformats.org/officeDocument/2006/relationships/hyperlink" Target="https://thslc-houston.primo.exlibrisgroup.com/discovery/search?vid=01TEXASHEALTH_HOUSTON%3ATMC_INST&amp;query=any,contains,10.1001%2Fjamasurg.2022.2800&amp;lang=en" TargetMode="External"/><Relationship Id="rId171" Type="http://schemas.openxmlformats.org/officeDocument/2006/relationships/hyperlink" Target="https://pubmed.ncbi.nlm.nih.gov/39306468/" TargetMode="External"/><Relationship Id="rId172" Type="http://schemas.openxmlformats.org/officeDocument/2006/relationships/hyperlink" Target="https://doi.org/10.1016/S0140-6736(24)01595-2" TargetMode="External"/><Relationship Id="rId173" Type="http://schemas.openxmlformats.org/officeDocument/2006/relationships/hyperlink" Target="https://thslc-houston.primo.exlibrisgroup.com/discovery/search?vid=01TEXASHEALTH_HOUSTON%3ATMC_INST&amp;query=any,contains,10.1016%2FS0140-6736%2824%2901595-2&amp;lang=en" TargetMode="External"/><Relationship Id="rId174" Type="http://schemas.openxmlformats.org/officeDocument/2006/relationships/hyperlink" Target="https://pubmed.ncbi.nlm.nih.gov/39255928/" TargetMode="External"/><Relationship Id="rId175" Type="http://schemas.openxmlformats.org/officeDocument/2006/relationships/hyperlink" Target="https://doi.org/10.1016/j.jhep.2024.09.003" TargetMode="External"/><Relationship Id="rId176" Type="http://schemas.openxmlformats.org/officeDocument/2006/relationships/hyperlink" Target="https://thslc-houston.primo.exlibrisgroup.com/discovery/search?vid=01TEXASHEALTH_HOUSTON%3ATMC_INST&amp;query=any,contains,10.1016%2Fj.jhep.2024.09.003&amp;lang=en" TargetMode="External"/><Relationship Id="rId177" Type="http://schemas.openxmlformats.org/officeDocument/2006/relationships/hyperlink" Target="https://pubmed.ncbi.nlm.nih.gov/38015449/" TargetMode="External"/><Relationship Id="rId178" Type="http://schemas.openxmlformats.org/officeDocument/2006/relationships/hyperlink" Target="https://doi.org/10.1097/LVT.0000000000000303" TargetMode="External"/><Relationship Id="rId179" Type="http://schemas.openxmlformats.org/officeDocument/2006/relationships/hyperlink" Target="https://thslc-houston.primo.exlibrisgroup.com/discovery/search?vid=01TEXASHEALTH_HOUSTON%3ATMC_INST&amp;query=any,contains,10.1097%2FLVT.0000000000000303&amp;lang=en" TargetMode="External"/><Relationship Id="rId180" Type="http://schemas.openxmlformats.org/officeDocument/2006/relationships/hyperlink" Target="https://pubmed.ncbi.nlm.nih.gov/39808828/" TargetMode="External"/><Relationship Id="rId181" Type="http://schemas.openxmlformats.org/officeDocument/2006/relationships/hyperlink" Target="https://doi.org/10.1097/HEP.0000000000001231" TargetMode="External"/><Relationship Id="rId182" Type="http://schemas.openxmlformats.org/officeDocument/2006/relationships/hyperlink" Target="https://pmc.ncbi.nlm.nih.gov/articles/PMC12256641/pdf/nihms-2047233.pdf" TargetMode="External"/><Relationship Id="rId183" Type="http://schemas.openxmlformats.org/officeDocument/2006/relationships/hyperlink" Target="https://pmc.ncbi.nlm.nih.gov/articles/PMC12256641/" TargetMode="External"/><Relationship Id="rId184" Type="http://schemas.openxmlformats.org/officeDocument/2006/relationships/hyperlink" Target="https://thslc-houston.primo.exlibrisgroup.com/discovery/search?vid=01TEXASHEALTH_HOUSTON%3ATMC_INST&amp;query=any,contains,10.1097%2FHEP.0000000000001231&amp;lang=en" TargetMode="External"/><Relationship Id="rId185" Type="http://schemas.openxmlformats.org/officeDocument/2006/relationships/hyperlink" Target="https://pubmed.ncbi.nlm.nih.gov/32615109/" TargetMode="External"/><Relationship Id="rId186" Type="http://schemas.openxmlformats.org/officeDocument/2006/relationships/hyperlink" Target="https://doi.org/10.1016/S1470-2045(20)30224-2" TargetMode="External"/><Relationship Id="rId187" Type="http://schemas.openxmlformats.org/officeDocument/2006/relationships/hyperlink" Target="https://thslc-houston.primo.exlibrisgroup.com/discovery/search?vid=01TEXASHEALTH_HOUSTON%3ATMC_INST&amp;query=any,contains,10.1016%2FS1470-2045%2820%2930224-2&amp;lang=en" TargetMode="External"/><Relationship Id="rId188" Type="http://schemas.openxmlformats.org/officeDocument/2006/relationships/hyperlink" Target="https://pubmed.ncbi.nlm.nih.gov/32303439/" TargetMode="External"/><Relationship Id="rId189" Type="http://schemas.openxmlformats.org/officeDocument/2006/relationships/hyperlink" Target="https://doi.org/10.1016/j.hbpd.2020.03.009" TargetMode="External"/><Relationship Id="rId190" Type="http://schemas.openxmlformats.org/officeDocument/2006/relationships/hyperlink" Target="https://thslc-houston.primo.exlibrisgroup.com/discovery/search?vid=01TEXASHEALTH_HOUSTON%3ATMC_INST&amp;query=any,contains,10.1016%2Fj.hbpd.2020.03.009&amp;lang=en" TargetMode="External"/><Relationship Id="rId191" Type="http://schemas.openxmlformats.org/officeDocument/2006/relationships/hyperlink" Target="https://pubmed.ncbi.nlm.nih.gov/25689978/" TargetMode="External"/><Relationship Id="rId192" Type="http://schemas.openxmlformats.org/officeDocument/2006/relationships/hyperlink" Target="https://doi.org/10.1002/hep.27752" TargetMode="External"/><Relationship Id="rId193" Type="http://schemas.openxmlformats.org/officeDocument/2006/relationships/hyperlink" Target="https://pmc.ncbi.nlm.nih.gov/articles/PMC4809192/pdf/nihms667031.pdf" TargetMode="External"/><Relationship Id="rId194" Type="http://schemas.openxmlformats.org/officeDocument/2006/relationships/hyperlink" Target="https://pmc.ncbi.nlm.nih.gov/articles/PMC4809192/" TargetMode="External"/><Relationship Id="rId195" Type="http://schemas.openxmlformats.org/officeDocument/2006/relationships/hyperlink" Target="https://thslc-houston.primo.exlibrisgroup.com/discovery/search?vid=01TEXASHEALTH_HOUSTON%3ATMC_INST&amp;query=any,contains,10.1002%2Fhep.27752&amp;lang=en" TargetMode="External"/><Relationship Id="rId196" Type="http://schemas.openxmlformats.org/officeDocument/2006/relationships/hyperlink" Target="https://pubmed.ncbi.nlm.nih.gov/40099404/" TargetMode="External"/><Relationship Id="rId197" Type="http://schemas.openxmlformats.org/officeDocument/2006/relationships/hyperlink" Target="https://doi.org/10.1093/bjs/znaf054" TargetMode="External"/><Relationship Id="rId198" Type="http://schemas.openxmlformats.org/officeDocument/2006/relationships/hyperlink" Target="https://pmc.ncbi.nlm.nih.gov/articles/PMC11914714/pdf/znaf054.pdf" TargetMode="External"/><Relationship Id="rId199" Type="http://schemas.openxmlformats.org/officeDocument/2006/relationships/hyperlink" Target="https://pmc.ncbi.nlm.nih.gov/articles/PMC11914714/" TargetMode="External"/><Relationship Id="rId200" Type="http://schemas.openxmlformats.org/officeDocument/2006/relationships/hyperlink" Target="https://thslc-houston.primo.exlibrisgroup.com/discovery/search?vid=01TEXASHEALTH_HOUSTON%3ATMC_INST&amp;query=any,contains,10.1093%2Fbjs%2Fznaf054&amp;lang=en" TargetMode="External"/><Relationship Id="rId201" Type="http://schemas.openxmlformats.org/officeDocument/2006/relationships/hyperlink" Target="https://pubmed.ncbi.nlm.nih.gov/39279926/" TargetMode="External"/><Relationship Id="rId202" Type="http://schemas.openxmlformats.org/officeDocument/2006/relationships/hyperlink" Target="https://doi.org/10.21037/jgo-24-328" TargetMode="External"/><Relationship Id="rId203" Type="http://schemas.openxmlformats.org/officeDocument/2006/relationships/hyperlink" Target="https://pmc.ncbi.nlm.nih.gov/articles/PMC11399840/pdf/jgo-15-04-1686.pdf" TargetMode="External"/><Relationship Id="rId204" Type="http://schemas.openxmlformats.org/officeDocument/2006/relationships/hyperlink" Target="https://pmc.ncbi.nlm.nih.gov/articles/PMC11399840/" TargetMode="External"/><Relationship Id="rId205" Type="http://schemas.openxmlformats.org/officeDocument/2006/relationships/hyperlink" Target="https://thslc-houston.primo.exlibrisgroup.com/discovery/search?vid=01TEXASHEALTH_HOUSTON%3ATMC_INST&amp;query=any,contains,10.21037%2Fjgo-24-328&amp;lang=en" TargetMode="External"/><Relationship Id="rId206" Type="http://schemas.openxmlformats.org/officeDocument/2006/relationships/hyperlink" Target="https://pubmed.ncbi.nlm.nih.gov/41706698/" TargetMode="External"/><Relationship Id="rId207" Type="http://schemas.openxmlformats.org/officeDocument/2006/relationships/hyperlink" Target="https://doi.org/10.1097/JS9.0000000000004077" TargetMode="External"/><Relationship Id="rId208" Type="http://schemas.openxmlformats.org/officeDocument/2006/relationships/hyperlink" Target="https://thslc-houston.primo.exlibrisgroup.com/discovery/search?vid=01TEXASHEALTH_HOUSTON%3ATMC_INST&amp;query=any,contains,10.1097%2FJS9.0000000000004077&amp;lang=en" TargetMode="Externa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Memorial Hermann HCC system roadmap v0.9</dc:title>
  <dc:subject>Hepatocellular carcinoma</dc:subject>
  <dc:creator>Memorial Hermann / UTHealth Houston tumour roadmap programme</dc:creator>
  <dc:description>Draft under development. Not ratified clinical policy.</dc:description>
  <cp:lastModifiedBy>Un-named</cp:lastModifiedBy>
  <cp:revision>1</cp:revision>
  <dcterms:created xsi:type="dcterms:W3CDTF">2026-10-10T04:29:15.270Z</dcterms:created>
  <dcterms:modified xsi:type="dcterms:W3CDTF">2026-10-29T14:21:32Z</dcterms:modified>
</cp:coreProperties>
</file>

<file path=docProps/custom.xml><?xml version="1.0" encoding="utf-8"?>
<Properties xmlns="http://schemas.openxmlformats.org/officeDocument/2006/custom-properties" xmlns:vt="http://schemas.openxmlformats.org/officeDocument/2006/docPropsVTypes"/>
</file>