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Intrahepatic cholangiocarcinoma Standard / Guidance-Aligned Transplant Protocol</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pathway. Questions for consensus: iCCA_4_Standard_Pathway_Questions.docx. Decision discussion for all settings: iCCA_7_Decision_Discussion.docx. Web page: https://drliuhao.github.io/mh-liver-pathways/transplant/icca/ 3 statements corrected on 29 October 2026 against the full texts of papers previously cited from their abstracts.</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iCCA and mixed HCC-iCCA are not standardized diagnoses under OPTN Policy 9.5. The December 2025 guidance supports NLRB consideration for biopsy-proven, unresectable, solitary disease ≤3 cm in a candidate with cirrhosis after locoregional or systemic therapy and at least 6 months of stability, with no new lesions or extrahepatic disease. Recommended score: MMaT-3.</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Extension requests should document imaging every 3 months, tumor remaining ≤3 cm, and absence of extrahepatic disease.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1. Purpose and Scope</w:t>
      </w:r>
    </w:p>
    <w:p>
      <w:pPr>
        <w:pStyle w:val="Normal"/>
        <w:widowControl/>
      </w:pPr>
      <w:r>
        <w:t xml:space="preserve">This protocol establishes an institutional clinical pathway for liver transplantation in carefully selected patients with intrahepatic cholangiocarcinoma (iCCA). iCCA is not a standardized exception diagnosis in OPTN Policy 9.5; this pathway is aligned to the December 2025 transplant-oncology NLRB guidance, with NCCN and AASLD/AST sources used for clinical care.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2. Patient Selection Criteria</w:t>
      </w:r>
    </w:p>
    <w:p>
      <w:pPr>
        <w:pStyle w:val="Normal"/>
        <w:widowControl/>
      </w:pPr>
      <w:r>
        <w:t xml:space="preserve">Size-boundary disagreement — OPEN: NCCN BTC v1.2026 INTRA-1 footnote l describes selected small single tumors &lt;3 cm, whereas NLRB iCCA guidance uses ≤3 cm. Exactly 3.0 cm therefore requires explicit clinical benefit and measurement review; guidance-supported exception consideration is not unanimous clinical guideline endorsement.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keepNext/>
        <w:widowControl/>
      </w:pPr>
      <w:r>
        <w:t xml:space="preserve">2.1 Inclusion Criteria</w:t>
      </w:r>
    </w:p>
    <w:p>
      <w:pPr>
        <w:pStyle w:val="Normal"/>
        <w:widowControl/>
        <w:numPr>
          <w:ilvl w:val="0"/>
          <w:numId w:val="3"/>
        </w:numPr>
      </w:pPr>
      <w:r>
        <w:t xml:space="preserve">Biopsy-proven intrahepatic cholangiocarcinoma (iCCA) or mixed HCC-iCCA</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Solitary tumor with maximum diameter ≤3 cm</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Evidence note on the size threshold: the solitary 3 cm limit follows the OPTN transplant-oncology guidance. The strongest supporting outcome data are for very early iCCA defined as a SINGLE tumour 2 cm or less: 5-year cumulative recurrence 18% and 5-year actuarial survival 65% for single tumours 2 cm or less (n = 15), versus 61% recurrence and 45% survival for tumours above 2 cm or multifocal disease (n = 33). Sapisochin G et al., Hepatology 2016;64(4):1178-1188;  PMID 27481548. Candidates in the 2-3 cm band sit above the size range with the most favourable published outcomes; this must be stated in the consent discussion and in the NLRB narrative.</w:t>
      </w:r>
      <w:r>
        <w:t xml:space="preserve"> </w:t>
      </w:r>
      <w:r>
        <w:t xml:space="preserve"> </w:t>
      </w:r>
      <w:r>
        <w:t xml:space="preserve"> </w:t>
      </w:r>
      <w:r>
        <w:fldChar w:fldCharType="begin"/>
      </w:r>
      <w:r>
        <w:instrText xml:space="preserve"> ADDIN EN.CITE </w:instrText>
      </w:r>
      <w:r>
        <w:fldChar w:fldCharType="begin">
          <w:fldData>PEVuZE5vdGU+PENpdGU+PEF1dGhvcj5TYXBpc29jaGluPC9BdXRob3I+PFllYXI+MjAxNjwvWWVhcj48UmVjTnVtPjU8L1JlY051bT48RGlzcGxheVRleHQ+W1YxNi01XTwvRGlzcGxheVRleHQ+PHJlY29yZD48cmVjLW51bWJlcj41PC9yZWMtbnVtYmVyPjxmb3JlaWduLWtleXM+PGtleSBhcHA9IkVOIiBkYi1pZD0iNjJlZDYzYzYtODM5ZC01Yzk4LWFhNzktYmM1MTAwNTUwNTk4IiB0aW1lc3RhbXA9IjE3OTMyODM2ODQiPjU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pStyle w:val="Normal"/>
        <w:widowControl/>
        <w:numPr>
          <w:ilvl w:val="0"/>
          <w:numId w:val="3"/>
        </w:numPr>
      </w:pPr>
      <w:r>
        <w:t xml:space="preserve">Cirrhosis is REQUIRED: documented cirrhosis (histology, or unequivocal imaging plus clinical or laboratory evidence of portal hypertension), recorded explicitly in the NLRB narrative. Candidates without cirrhosis do not meet the guidance-supported category and may not be submitted under this pathway; any such request must be a separately justified non-standard submission reviewed by the selection committee and transplant-oncology conference, with the deviation stated explicitly.</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Unresectability is REQUIRED, determined by the hepatobiliary and transplant multidisciplinary tumour board, with the anatomic and functional reasons documented (remnant volume, vascular or biliary involvement, hepatic reserve).</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No extrahepatic disease on cross-sectional imaging (multiphasic CT or MRI of abdomen/pelvis and chest CT)</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No lymph node metastases on imaging and/or EUS-FNA</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ECOG performance status 0–1</w:t>
      </w:r>
    </w:p>
    <w:p>
      <w:pPr>
        <w:pStyle w:val="Normal"/>
        <w:widowControl/>
        <w:numPr>
          <w:ilvl w:val="0"/>
          <w:numId w:val="3"/>
        </w:numPr>
      </w:pPr>
      <w:r>
        <w:t xml:space="preserve">Age: no absolute upper age limit; OPTN policy sets none. Candidates over 70 years require documented enhanced physiologic assessment — frailty (Liver Frailty Index or equivalent), sarcopenia assessment, formal cardiopulmonary evaluation, and geriatric or anaesthesia consultation as indicated — and explicit selection-committee sign-off recording why the expected benefit justifies transplantation and lifelong immunosuppression. The committee may decline on physiologic grounds; it may not decline on chronological age alone.</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NzwvUmVjTnVtPjxEaXNwbGF5VGV4dD5bVjE2LTddPC9EaXNwbGF5VGV4dD48cmVjb3JkPjxyZWMtbnVtYmVyPjc8L3JlYy1udW1iZXI+PGZvcmVpZ24ta2V5cz48a2V5IGFwcD0iRU4iIGRiLWlkPSI2MmVkNjNjNi04MzlkLTVjOTgtYWE3OS1iYzUxMDA1NTA1OTgiIHRpbWVzdGFtcD0iMTc5MzI4MzY4NCI+Nz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No major comorbidities precluding transplantation per standard LT evaluation</w:t>
      </w:r>
    </w:p>
    <w:p>
      <w:pPr>
        <w:pStyle w:val="Heading3"/>
        <w:keepNext/>
        <w:widowControl/>
      </w:pPr>
      <w:r>
        <w:t xml:space="preserve">2.2 Exclusion Criteria</w:t>
      </w:r>
    </w:p>
    <w:p>
      <w:pPr>
        <w:pStyle w:val="Normal"/>
        <w:widowControl/>
        <w:numPr>
          <w:ilvl w:val="0"/>
          <w:numId w:val="3"/>
        </w:numPr>
      </w:pPr>
      <w:r>
        <w:t xml:space="preserve">Extrahepatic disease or intrahepatic metastases</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Macrovascular invasion</w:t>
      </w:r>
      <w:r>
        <w:t xml:space="preserve"> </w:t>
      </w:r>
      <w:r>
        <w:t xml:space="preserve"> </w:t>
      </w:r>
      <w:r>
        <w:t xml:space="preserve"> </w:t>
      </w:r>
      <w:r>
        <w:fldChar w:fldCharType="begin"/>
      </w:r>
      <w:r>
        <w:instrText xml:space="preserve"> ADDIN EN.CITE </w:instrText>
      </w:r>
      <w:r>
        <w:fldChar w:fldCharType="begin">
          <w:fldData>PEVuZE5vdGU+PENpdGU+PEF1dGhvcj5TY2hsZWltZXI8L0F1dGhvcj48WWVhcj4yMDI2PC9ZZWFyPjxSZWNOdW0+NzwvUmVjTnVtPjxEaXNwbGF5VGV4dD5bVjE2LTddPC9EaXNwbGF5VGV4dD48cmVjb3JkPjxyZWMtbnVtYmVyPjc8L3JlYy1udW1iZXI+PGZvcmVpZ24ta2V5cz48a2V5IGFwcD0iRU4iIGRiLWlkPSI2MmVkNjNjNi04MzlkLTVjOTgtYWE3OS1iYzUxMDA1NTA1OTgiIHRpbWVzdGFtcD0iMTc5MzI4MzY4NCI+Nz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Obtain expert-reviewed core tissue to establish iCCA versus mixed histology and differentiation, using a planned image-guided trajectory. Prior biopsy alone is not a pCCA-style categorical iCCA exclusion. Suspected or proven needle-track/peritoneal metastasis requires staging review and prevents advancement while unresolved or metastatic disease is present.</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Review prior operative/pathology records, margins, nodes, recurrence pattern and reconstruction feasibility. Prior resection alone is not listed as an automatic iCCA NLRB exclusion. Recurrent or otherwise outside-guidance phenotypes require explicit multidisciplinary and individualized allocation review; advanced-cohort inclusion after resection does not automatically establish standard-route eligibility.</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Uncontrolled infection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Poorly differentiated histology (relative contraindication)</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Inability to tolerate neoadjuvant systemic or locoregional therapy</w:t>
      </w:r>
    </w:p>
    <w:p>
      <w:pPr>
        <w:pStyle w:val="Heading2"/>
        <w:keepNext/>
        <w:widowControl/>
      </w:pPr>
      <w:r>
        <w:t xml:space="preserve">3. Pre-Transplant Workup</w:t>
      </w:r>
    </w:p>
    <w:p>
      <w:pPr>
        <w:pStyle w:val="Heading3"/>
        <w:keepNext/>
        <w:widowControl/>
      </w:pPr>
      <w:r>
        <w:t xml:space="preserve">3.1 Diagnostic Evaluation</w:t>
      </w:r>
    </w:p>
    <w:p>
      <w:pPr>
        <w:pStyle w:val="Normal"/>
        <w:widowControl/>
        <w:numPr>
          <w:ilvl w:val="0"/>
          <w:numId w:val="3"/>
        </w:numPr>
      </w:pPr>
      <w:r>
        <w:t xml:space="preserve">Multiphasic abdomen/pelvis CT or MRI with IV contrast (preferred)</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Chest CT ± contrast</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Obtain adequate tissue for expert pathological confirmation and biomarkers. Core biopsy is the preferred local sampling approach when feasible; the primary-biopsy avoidance rule for transplant-eligible pCCA does not apply to iCCA.</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Biomarker testing: comprehensive genomic profiling including MSI/MMR status, FGFR2 fusions, IDH1/2 mutations, BRAF, HER2, NTRK, RET</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Baseline tumor markers: CA 19-9, CEA, AFP</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Liver function tests, viral hepatitis serologies (HBV, HCV)</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MELD score calculation</w:t>
      </w:r>
    </w:p>
    <w:p>
      <w:pPr>
        <w:pStyle w:val="Normal"/>
        <w:widowControl/>
        <w:numPr>
          <w:ilvl w:val="0"/>
          <w:numId w:val="3"/>
        </w:numPr>
      </w:pPr>
      <w:r>
        <w:t xml:space="preserve">Standard LT evaluation (cardiac, pulmonary, psychosocial, nutritional)</w:t>
      </w:r>
    </w:p>
    <w:p>
      <w:pPr>
        <w:pStyle w:val="Heading3"/>
        <w:keepNext/>
        <w:widowControl/>
      </w:pPr>
      <w:r>
        <w:t xml:space="preserve">3.2 Staging Procedures</w:t>
      </w:r>
    </w:p>
    <w:p>
      <w:pPr>
        <w:pStyle w:val="Normal"/>
        <w:widowControl/>
        <w:numPr>
          <w:ilvl w:val="0"/>
          <w:numId w:val="3"/>
        </w:numPr>
      </w:pPr>
      <w:r>
        <w:t xml:space="preserve">Complete expert liver/chest/systemic staging and resolve suspicious regional nodes or extrahepatic lesions with targeted testing when indicated. Negative EUS sampling does not exclude all nodal disease. Hold advancement for unresolved suspicious lung, bone, pelvic or nodal findings; document the multidisciplinary interpretation and operative staging plan before LT.</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DwvUmVjTnVtPjxEaXNwbGF5VGV4dD5bVjE2LTEwXTwvRGlzcGxheVRleHQ+PHJlY29yZD48cmVjLW51bWJlcj4xMDwvcmVjLW51bWJlcj48Zm9yZWlnbi1rZXlzPjxrZXkgYXBwPSJFTiIgZGItaWQ9IjYyZWQ2M2M2LTgzOWQtNWM5OC1hYTc5LWJjNTEwMDU1MDU5OCIgdGltZXN0YW1wPSIxNzkzMjgzNjg0Ij4x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Consider PET-CT for occult extrahepatic disease</w:t>
      </w:r>
    </w:p>
    <w:p>
      <w:pPr>
        <w:pStyle w:val="Normal"/>
        <w:widowControl/>
        <w:numPr>
          <w:ilvl w:val="0"/>
          <w:numId w:val="3"/>
        </w:numPr>
      </w:pPr>
      <w:r>
        <w:t xml:space="preserve">Consider diagnostic laparoscopy prior to listing</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3"/>
        <w:widowControl/>
        <w:keepNext/>
      </w:pPr>
      <w:r>
        <w:t xml:space="preserve">Systemic treatment evidence and transplant boundaries</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pStyle w:val="Heading4"/>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t xml:space="preserve"> </w:t>
      </w:r>
      <w:r>
        <w:fldChar w:fldCharType="begin"/>
      </w:r>
      <w:r>
        <w:instrText xml:space="preserve"> ADDIN EN.CITE </w:instrText>
      </w:r>
      <w:r>
        <w:fldChar w:fldCharType="begin">
          <w:fldData>PEVuZE5vdGU+PENpdGU+PEF1dGhvcj5TaHJvZmYgUlQ8L0F1dGhvcj48WWVhcj4yMDI2PC9ZZWFyPjxSZWNOdW0+MTE8L1JlY051bT48RGlzcGxheVRleHQ+W1YxNi0xMV08L0Rpc3BsYXlUZXh0PjxyZWNvcmQ+PHJlYy1udW1iZXI+MTE8L3JlYy1udW1iZXI+PGZvcmVpZ24ta2V5cz48a2V5IGFwcD0iRU4iIGRiLWlkPSI2MmVkNjNjNi04MzlkLTVjOTgtYWE3OS1iYzUxMDA1NTA1OTgiIHRpbWVzdGFtcD0iMTc5MzI4MzY4NCI+MTE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[V16-11]</w:t>
      </w:r>
      <w:r>
        <w:fldChar w:fldCharType="end"/>
      </w:r>
      <w:r>
        <w:br/>
      </w:r>
      <w:hyperlink r:id="rId135">
        <w:r>
          <w:rPr>
            <w:color w:val="0563C1"/>
            <w:u w:val="single"/>
          </w:rPr>
          <w:t>Source</w:t>
        </w:r>
      </w:hyperlink>
      <w:r>
        <w:t xml:space="preserve"> · </w:t>
      </w:r>
      <w:hyperlink r:id="rId136">
        <w:r>
          <w:rPr>
            <w:color w:val="0563C1"/>
            <w:u w:val="single"/>
          </w:rPr>
          <w:t>PDF</w:t>
        </w:r>
      </w:hyperlink>
    </w:p>
    <w:p>
      <w:pPr>
        <w:pStyle w:val="Heading4"/>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t xml:space="preserve"> </w:t>
      </w:r>
      <w:r>
        <w:fldChar w:fldCharType="begin"/>
      </w:r>
      <w:r>
        <w:instrText xml:space="preserve"> ADDIN EN.CITE </w:instrText>
      </w:r>
      <w:r>
        <w:fldChar w:fldCharType="begin">
          <w:fldData>PEVuZE5vdGU+PENpdGU+PEF1dGhvcj5Wb2dlbCBBPC9BdXRob3I+PFllYXI+MjAyNDwvWWVhcj48UmVjTnVtPjEyPC9SZWNOdW0+PERpc3BsYXlUZXh0PltWMTYtMTJdPC9EaXNwbGF5VGV4dD48cmVjb3JkPjxyZWMtbnVtYmVyPjEyPC9yZWMtbnVtYmVyPjxmb3JlaWduLWtleXM+PGtleSBhcHA9IkVOIiBkYi1pZD0iNjJlZDYzYzYtODM5ZC01Yzk4LWFhNzktYmM1MTAwNTUwNTk4IiB0aW1lc3RhbXA9IjE3OTMyODM2ODQiPjEy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[V16-12]</w:t>
      </w:r>
      <w:r>
        <w:fldChar w:fldCharType="end"/>
      </w:r>
      <w:r>
        <w:br/>
      </w:r>
      <w:hyperlink r:id="rId137">
        <w:r>
          <w:rPr>
            <w:color w:val="0563C1"/>
            <w:u w:val="single"/>
          </w:rPr>
          <w:t>Source</w:t>
        </w:r>
      </w:hyperlink>
      <w:r>
        <w:t xml:space="preserve"> · </w:t>
      </w:r>
      <w:hyperlink r:id="rId138">
        <w:r>
          <w:rPr>
            <w:color w:val="0563C1"/>
            <w:u w:val="single"/>
          </w:rPr>
          <w:t>PDF</w:t>
        </w:r>
      </w:hyperlink>
    </w:p>
    <w:p>
      <w:pPr>
        <w:pStyle w:val="Heading4"/>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t xml:space="preserve"> </w:t>
      </w:r>
      <w:r>
        <w:fldChar w:fldCharType="begin"/>
      </w:r>
      <w:r>
        <w:instrText xml:space="preserve"> ADDIN EN.CITE </w:instrText>
      </w:r>
      <w:r>
        <w:fldChar w:fldCharType="begin">
          <w:fldData>PEVuZE5vdGU+PENpdGU+PEF1dGhvcj5Lb2JheWFzaGkgUzwvQXV0aG9yPjxZZWFyPjIwMTg8L1llYXI+PFJlY051bT4xMzwvUmVjTnVtPjxEaXNwbGF5VGV4dD5bVjE2LTEzXTwvRGlzcGxheVRleHQ+PHJlY29yZD48cmVjLW51bWJlcj4xMzwvcmVjLW51bWJlcj48Zm9yZWlnbi1rZXlzPjxrZXkgYXBwPSJFTiIgZGItaWQ9IjYyZWQ2M2M2LTgzOWQtNWM5OC1hYTc5LWJjNTEwMDU1MDU5OCIgdGltZXN0YW1wPSIxNzkzMjgzNjg0Ij4xMz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br/>
      </w:r>
      <w:hyperlink r:id="rId139">
        <w:r>
          <w:rPr>
            <w:color w:val="0563C1"/>
            <w:u w:val="single"/>
          </w:rPr>
          <w:t>Source</w:t>
        </w:r>
      </w:hyperlink>
      <w:r>
        <w:t xml:space="preserve"> · </w:t>
      </w:r>
      <w:hyperlink r:id="rId140">
        <w:r>
          <w:rPr>
            <w:color w:val="0563C1"/>
            <w:u w:val="single"/>
          </w:rPr>
          <w:t>PDF</w:t>
        </w:r>
      </w:hyperlink>
    </w:p>
    <w:p>
      <w:pPr>
        <w:pStyle w:val="Normal"/>
        <w:widowControl/>
        <w:spacing w:after="120"/>
      </w:pPr>
      <w:r>
        <w:t xml:space="preserve">Treatment comparisons and detailed regimen evidence: </w:t>
      </w:r>
      <w:hyperlink r:id="rId134">
        <w:r>
          <w:rPr>
            <w:color w:val="0563C1"/>
            <w:u w:val="single"/>
          </w:rPr>
          <w:t>Cross-tumor systemic matrix</w:t>
        </w:r>
      </w:hyperlink>
    </w:p>
    <w:p>
      <w:pPr>
        <w:pStyle w:val="Heading2"/>
        <w:keepNext/>
        <w:widowControl/>
      </w:pPr>
      <w:r>
        <w:t xml:space="preserve">4. Neoadjuvant Therapy</w:t>
      </w:r>
    </w:p>
    <w:p>
      <w:pPr>
        <w:pStyle w:val="Heading3"/>
        <w:keepNext/>
        <w:widowControl/>
      </w:pPr>
      <w:r>
        <w:t xml:space="preserve">4.1 Systemic Therapy</w:t>
      </w:r>
    </w:p>
    <w:p>
      <w:pPr>
        <w:pStyle w:val="Normal"/>
        <w:widowControl/>
      </w:pPr>
      <w:r>
        <w:t xml:space="preserve">Before listing, candidates must demonstrate at least 6 months of stability after locoregional or systemic therapy, selected by the multidisciplinary transplant-oncology team. No single systemic regimen is established as the standard neoadjuvant transplant regimen.</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Gemcitabine/cisplatin with durvalumab may be used for advanced biliary tract cancer, but its use as neoadjuvant therapy before LT is investigational.</w:t>
      </w:r>
    </w:p>
    <w:p>
      <w:pPr>
        <w:pStyle w:val="Normal"/>
        <w:widowControl/>
        <w:numPr>
          <w:ilvl w:val="0"/>
          <w:numId w:val="3"/>
        </w:numPr>
      </w:pPr>
      <w:r>
        <w:t xml:space="preserve">Gemcitabine/cisplatin with pembrolizumab may be used for advanced biliary tract cancer, but its use as neoadjuvant therapy before LT is investigational.</w:t>
      </w:r>
    </w:p>
    <w:p>
      <w:pPr>
        <w:pStyle w:val="Normal"/>
        <w:widowControl/>
      </w:pPr>
      <w:r>
        <w:t xml:space="preserve">Systemic alternatives, when systemic therapy is selected, include gemcitabine/cisplatin (with carboplatin substitution when appropriate), gemcitabine/oxaliplatin, or capecitabine/gemcitabine; selection requires current oncology and transplant-pharmacy review. These advanced-BTC chemotherapy options do not establish a validated transplant-conditioning regimen; use a named institutionally approved LT plan.</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Important note regarding immune checkpoint inhibitors (ICIs): ICI-containing therapy is not a validated neoadjuvant LT standard. If used under an approved protocol, require transplant-specific consent and a prospectively defined washout of at least 90 days. The 90-day interval is a protocol convention, not a validated threshold: no washout duration has been shown to eliminate rejection risk, and rejection has been reported after longer intervals. Record the interval used and the rationale for any deviation. The supporting evidence is largely retrospective and HCC-derived.</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Q8L1JlY051bT48RGlzcGxheVRleHQ+W1YxNi0xNF08L0Rpc3BsYXlUZXh0PjxyZWNvcmQ+PHJlYy1udW1iZXI+MTQ8L3JlYy1udW1iZXI+PGZvcmVpZ24ta2V5cz48a2V5IGFwcD0iRU4iIGRiLWlkPSI2MmVkNjNjNi04MzlkLTVjOTgtYWE3OS1iYzUxMDA1NTA1OTgiIHRpbWVzdGFtcD0iMTc5MzI4MzY4NCI+MTQ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YtMTVdPC9EaXNwbGF5VGV4dD48cmVjb3JkPjxyZWMtbnVtYmVyPjE1PC9yZWMtbnVtYmVyPjxmb3JlaWduLWtleXM+PGtleSBhcHA9IkVOIiBkYi1pZD0iNjJlZDYzYzYtODM5ZC01Yzk4LWFhNzktYmM1MTAwNTUwNTk4IiB0aW1lc3RhbXA9IjE3OTMyODM2ODQ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Ni0xNl08L0Rpc3BsYXlUZXh0PjxyZWNvcmQ+PHJlYy1udW1iZXI+MTY8L3JlYy1udW1iZXI+PGZvcmVpZ24ta2V5cz48a2V5IGFwcD0iRU4iIGRiLWlkPSI2MmVkNjNjNi04MzlkLTVjOTgtYWE3OS1iYzUxMDA1NTA1OTgiIHRpbWVzdGFtcD0iMTc5MzI4MzY4NC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Heading3"/>
        <w:keepNext/>
        <w:widowControl/>
      </w:pPr>
      <w:r>
        <w:t xml:space="preserve">4.2 Locoregional Therapy</w:t>
      </w:r>
    </w:p>
    <w:p>
      <w:pPr>
        <w:pStyle w:val="Normal"/>
        <w:widowControl/>
      </w:pPr>
      <w:r>
        <w:t xml:space="preserve">Consider as adjunct to systemic therapy:</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Transarterial chemoembolization (TACE)</w:t>
      </w:r>
    </w:p>
    <w:p>
      <w:pPr>
        <w:pStyle w:val="Normal"/>
        <w:widowControl/>
        <w:numPr>
          <w:ilvl w:val="0"/>
          <w:numId w:val="3"/>
        </w:numPr>
      </w:pPr>
      <w:r>
        <w:t xml:space="preserve">Yttrium-90 (Y-90) radioembolization</w:t>
      </w:r>
    </w:p>
    <w:p>
      <w:pPr>
        <w:pStyle w:val="Normal"/>
        <w:widowControl/>
        <w:numPr>
          <w:ilvl w:val="0"/>
          <w:numId w:val="3"/>
        </w:numPr>
      </w:pPr>
      <w:r>
        <w:t xml:space="preserve">Radiofrequency or microwave ablation for tumors ≤3 cm when anatomically appropriate</w:t>
      </w:r>
    </w:p>
    <w:p>
      <w:pPr>
        <w:pStyle w:val="Normal"/>
        <w:widowControl/>
        <w:numPr>
          <w:ilvl w:val="0"/>
          <w:numId w:val="3"/>
        </w:numPr>
      </w:pPr>
      <w:r>
        <w:t xml:space="preserve">Stereotactic body radiotherapy (SBRT)</w:t>
      </w:r>
    </w:p>
    <w:p>
      <w:pPr>
        <w:pStyle w:val="Heading3"/>
        <w:keepNext/>
        <w:widowControl/>
      </w:pPr>
      <w:r>
        <w:t xml:space="preserve">4.3 Disease Stability Requirement</w:t>
      </w:r>
    </w:p>
    <w:p>
      <w:pPr>
        <w:pStyle w:val="Normal"/>
        <w:widowControl/>
        <w:numPr>
          <w:ilvl w:val="0"/>
          <w:numId w:val="3"/>
        </w:numPr>
      </w:pPr>
      <w:r>
        <w:t xml:space="preserve">Clock clarification remains OPEN: guidance describes six months of stability after locoregional/systemic therapy and separately uses “from time of diagnosis or last treatment.” Record diagnosis, treatment starts/completions, last progression, first control and proposed request dates. Require a documented six-month stable course and explicit allocation sign-off on its anchor; do not assume diagnosis alone or automatically restart after every maintenance dose.</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Imaging surveillance every 3 months during the waiting period with multiphasic CT or MRI</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2"/>
        <w:keepNext/>
        <w:widowControl/>
      </w:pPr>
      <w:r>
        <w:t xml:space="preserve">5. MELD Exception and Listing</w:t>
      </w:r>
    </w:p>
    <w:p>
      <w:pPr>
        <w:pStyle w:val="Normal"/>
        <w:widowControl/>
        <w:numPr>
          <w:ilvl w:val="0"/>
          <w:numId w:val="3"/>
        </w:numPr>
      </w:pPr>
      <w:r>
        <w:t xml:space="preserve">Submit a non-standard NLRB exception request. The December 2025 guidance recommends consideration at MMaT-3; approval is not automatic.</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2MmVkNjNjNi04MzlkLTVjOTgtYWE3OS1iYzUxMDA1NTA1OTgiIHRpbWVzdGFtcD0iMTc5MzI4MzY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Imaging confirmation of disease stability every 3 months while listed</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The iCCA guidance requires a solitary tumor ≤3 cm with stability, no new lesions and no extrahepatic disease; image every three months for extension. Its section does not specify the CRLM &gt;10% diameter rule. New lesions, confirmed progression or extrahepatic disease are HOLD for MDT/allocation reassessment; CA19-9 rise alone is not proof of radiographic progression.</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2MmVkNjNjNi04MzlkLTVjOTgtYWE3OS1iYzUxMDA1NTA1OTgiIHRpbWVzdGFtcD0iMTc5MzI4MzY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Heading2"/>
        <w:keepNext/>
        <w:widowControl/>
      </w:pPr>
      <w:r>
        <w:t xml:space="preserve">6. Operative Staging and Transplant Procedure</w:t>
      </w:r>
    </w:p>
    <w:p>
      <w:pPr>
        <w:pStyle w:val="Heading3"/>
        <w:keepNext/>
        <w:widowControl/>
      </w:pPr>
      <w:r>
        <w:t xml:space="preserve">6.1 Staging Laparotomy</w:t>
      </w:r>
    </w:p>
    <w:p>
      <w:pPr>
        <w:pStyle w:val="Normal"/>
        <w:widowControl/>
        <w:numPr>
          <w:ilvl w:val="0"/>
          <w:numId w:val="3"/>
        </w:numPr>
      </w:pPr>
      <w:r>
        <w:t xml:space="preserve">For any approved LDLT pathway, coordinate recipient staging/technical clearance before irreversible donor surgery, with an explicit abort plan for occult nodes, peritoneal disease or unresectability. For DDLT, coordinate recipient staging and graft acceptance/backup plans according to the center's approved workflow. This is an operational safety proposal, not proof that negative staging eliminates recurrence.</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Perihepatic lymph node sampling with frozen-section analysis</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If frozen section identifies extrahepatic or extrabiliary spread, the transplant is aborted. The transplant center immediately notifies the host OPO so the organ can be reallocated through the OPTN match run; the center does not return the organ to a waitlist pool. Document the decision, the pathology and the notification time.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Heading3"/>
        <w:keepNext/>
        <w:widowControl/>
      </w:pPr>
      <w:r>
        <w:t xml:space="preserve">6.2 Transplant Surgery</w:t>
      </w:r>
    </w:p>
    <w:p>
      <w:pPr>
        <w:pStyle w:val="Normal"/>
        <w:widowControl/>
        <w:numPr>
          <w:ilvl w:val="0"/>
          <w:numId w:val="3"/>
        </w:numPr>
      </w:pPr>
      <w:r>
        <w:t xml:space="preserve">Standard orthotopic liver transplantation with caval anastomosis (piggyback technique preferred)</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Deceased donor or living donor liver transplantation per institutional protocol</w:t>
      </w:r>
    </w:p>
    <w:p>
      <w:pPr>
        <w:pStyle w:val="Heading2"/>
        <w:keepNext/>
        <w:widowControl/>
      </w:pPr>
      <w:r>
        <w:t xml:space="preserve">7. Post-Transplant Immunosuppression</w:t>
      </w:r>
    </w:p>
    <w:p>
      <w:pPr>
        <w:pStyle w:val="Heading3"/>
        <w:keepNext/>
        <w:widowControl/>
      </w:pPr>
      <w:r>
        <w:t xml:space="preserve">7.1 Induction</w:t>
      </w:r>
    </w:p>
    <w:p>
      <w:pPr>
        <w:pStyle w:val="Normal"/>
        <w:widowControl/>
        <w:numPr>
          <w:ilvl w:val="0"/>
          <w:numId w:val="3"/>
        </w:numPr>
      </w:pPr>
      <w:r>
        <w:t xml:space="preserve">Bolus steroid induction during the anhepatic phase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Steroid taper/withdrawal is individualized under the institutional LT and pharmacy protocol; a fixed postoperative day-30 withdrawal is not established by iCCA outcome evidence.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Heading3"/>
        <w:keepNext/>
        <w:widowControl/>
      </w:pPr>
      <w:r>
        <w:t xml:space="preserve">7.2 Maintenance</w:t>
      </w:r>
    </w:p>
    <w:p>
      <w:pPr>
        <w:pStyle w:val="Normal"/>
        <w:widowControl/>
        <w:numPr>
          <w:ilvl w:val="0"/>
          <w:numId w:val="3"/>
        </w:numPr>
      </w:pPr>
      <w:r>
        <w:t xml:space="preserve">Select and monitor initial immunosuppression under the institutional LT protocol. Do not require MMF cessation at day 30 solely because the recipient has iCCA; document the rationale for any minimization or conversion.</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4PC9SZWNOdW0+PERpc3BsYXlUZXh0PltWMTYtMThdPC9EaXNwbGF5VGV4dD48cmVjb3JkPjxyZWMtbnVtYmVyPjE4PC9yZWMtbnVtYmVyPjxmb3JlaWduLWtleXM+PGtleSBhcHA9IkVOIiBkYi1pZD0iNjJlZDYzYzYtODM5ZC01Yzk4LWFhNzktYmM1MTAwNTUwNTk4IiB0aW1lc3RhbXA9IjE3OTMyODM2ODQiPjE4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Everolimus with reduced-dose tacrolimus may be considered after multidisciplinary review; it is not mandatory and has no proven CCA-specific survival benefit. Do not administer everolimus earlier than 30 days after LT under the current US label. Initiate only when the graft, wound healing, vascular status, proteinuria, infection risk and interactions permit, with therapeutic drug monitoring. A median 38-day start in an observational series is not a validated deadline.</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Tk8L1JlY051bT48RGlzcGxheVRleHQ+W1YxNi0xOV08L0Rpc3BsYXlUZXh0PjxyZWNvcmQ+PHJlYy1udW1iZXI+MTk8L3JlYy1udW1iZXI+PGZvcmVpZ24ta2V5cz48a2V5IGFwcD0iRU4iIGRiLWlkPSI2MmVkNjNjNi04MzlkLTVjOTgtYWE3OS1iYzUxMDA1NTA1OTgiIHRpbWVzdGFtcD0iMTc5MzI4MzY4NCI+MTk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Ni0yMF08L0Rpc3BsYXlUZXh0PjxyZWNvcmQ+PHJlYy1udW1iZXI+MjA8L3JlYy1udW1iZXI+PGZvcmVpZ24ta2V5cz48a2V5IGFwcD0iRU4iIGRiLWlkPSI2MmVkNjNjNi04MzlkLTVjOTgtYWE3OS1iYzUxMDA1NTA1OTgiIHRpbWVzdGFtcD0iMTc5MzI4MzY4NC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p>
    <w:p>
      <w:pPr>
        <w:pStyle w:val="Normal"/>
        <w:widowControl/>
        <w:numPr>
          <w:ilvl w:val="0"/>
          <w:numId w:val="3"/>
        </w:numPr>
      </w:pPr>
      <w:r>
        <w:t xml:space="preserve">Immunosuppression minimization as tolerated</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Prior checkpoint-inhibitor exposure: allograft rejection is a recognised risk — in an HCC-only meta-analysis of 8 studies (1 RCT and 7 retrospective; n = 229), pooled post-transplant rejection was 19% (95% CI 12-30%), with complete recovery in 78% of patients with rejection, graft loss in 4% and rejection-related mortality in 2% ( PMID 41234720). There was no ICI-naive comparator, about half of rejections were not biopsy-confirmed, and the authors did not find rejection clearly higher than the 10-30% reported without ICI. Reported rejection onset ranged from 4 to 150 days after transplant; no pooled median time to onset was reported and none should be quoted.</w:t>
      </w:r>
    </w:p>
    <w:p>
      <w:pPr>
        <w:pStyle w:val="Normal"/>
        <w:widowControl/>
        <w:numPr>
          <w:ilvl w:val="0"/>
          <w:numId w:val="3"/>
        </w:numPr>
      </w:pPr>
      <w:r>
        <w:t xml:space="preserve">Operational rule for any recipient with pre-transplant ICI exposure: liver tests at least twice weekly for 4 weeks, then weekly to week 12; allograft biopsy for any unexplained rise in transaminases or cholestatic indices rather than empiric treatment; record the agent, last dose date and washout interval in the transplant record; manage suspected rejection per institutional protocol with early hepatology involvement.</w:t>
      </w:r>
    </w:p>
    <w:p>
      <w:pPr>
        <w:pStyle w:val="Heading2"/>
        <w:keepNext/>
        <w:widowControl/>
      </w:pPr>
      <w:r>
        <w:t xml:space="preserve">8. Adjuvant Therapy Post-Transplant</w:t>
      </w:r>
    </w:p>
    <w:p>
      <w:pPr>
        <w:pStyle w:val="Normal"/>
        <w:widowControl/>
        <w:numPr>
          <w:ilvl w:val="0"/>
          <w:numId w:val="3"/>
        </w:numPr>
      </w:pPr>
      <w:r>
        <w:t xml:space="preserve">Complete pathologic response on explant: surveillance without routine adjuvant therapy unless a separate prospective protocol specifies otherwise.</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Residual viable tumor on explant: no established post-LT adjuvant standard exists. Consider chemotherapy only case-by-case or within a prospective protocol; benefit and tolerability in immunosuppressed LT recipients are unproven.</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Heading2"/>
        <w:keepNext/>
        <w:widowControl/>
      </w:pPr>
      <w:r>
        <w:t xml:space="preserve">9. Post-Transplant Surveillance</w:t>
      </w:r>
    </w:p>
    <w:p>
      <w:pPr>
        <w:pStyle w:val="Heading3"/>
        <w:keepNext/>
        <w:widowControl/>
      </w:pPr>
      <w:r>
        <w:t xml:space="preserve">9.1 Oncologic Surveillance</w:t>
      </w:r>
    </w:p>
    <w:p>
      <w:pPr>
        <w:pStyle w:val="Normal"/>
        <w:widowControl/>
        <w:numPr>
          <w:ilvl w:val="0"/>
          <w:numId w:val="3"/>
        </w:numPr>
      </w:pPr>
      <w:r>
        <w:t xml:space="preserve">Proposed intensified local surveillance: chest CT plus contrast-enhanced abdominal/pelvic CT or MRI every 3 months in years 1–2 and every 6 months in years 3–5. This interval is an institutional proposal, not the schedule tested by Heinrich etal, whose incidental-BTC cohort used six-monthly imaging for 3 years then annual imaging through year 5. The group should approve modality, interval, renal/contrast adaptations and escalation triggers, and record the rationale.</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yMTwvUmVjTnVtPjxEaXNwbGF5VGV4dD5bVjE2LTIxXTwvRGlzcGxheVRleHQ+PHJlY29yZD48cmVjLW51bWJlcj4yMTwvcmVjLW51bWJlcj48Zm9yZWlnbi1rZXlzPjxrZXkgYXBwPSJFTiIgZGItaWQ9IjYyZWQ2M2M2LTgzOWQtNWM5OC1hYTc5LWJjNTEwMDU1MDU5OCIgdGltZXN0YW1wPSIxNzkzMjgzNjg0Ij4yM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p>
    <w:p>
      <w:pPr>
        <w:pStyle w:val="Normal"/>
        <w:widowControl/>
        <w:numPr>
          <w:ilvl w:val="0"/>
          <w:numId w:val="3"/>
        </w:numPr>
      </w:pPr>
      <w:r>
        <w:t xml:space="preserve">CA 19-9 and CEA at each surveillance visit</w:t>
      </w:r>
    </w:p>
    <w:p>
      <w:pPr>
        <w:pStyle w:val="Normal"/>
        <w:widowControl/>
        <w:numPr>
          <w:ilvl w:val="0"/>
          <w:numId w:val="3"/>
        </w:numPr>
      </w:pPr>
      <w:r>
        <w:t xml:space="preserve">Annual surveillance thereafter as clinically indicated</w:t>
      </w:r>
    </w:p>
    <w:p>
      <w:pPr>
        <w:pStyle w:val="Heading3"/>
        <w:keepNext/>
        <w:widowControl/>
      </w:pPr>
      <w:r>
        <w:t xml:space="preserve">9.2 General Post-Transplant Care</w:t>
      </w:r>
    </w:p>
    <w:p>
      <w:pPr>
        <w:pStyle w:val="Normal"/>
        <w:widowControl/>
        <w:numPr>
          <w:ilvl w:val="0"/>
          <w:numId w:val="3"/>
        </w:numPr>
      </w:pPr>
      <w:r>
        <w:t xml:space="preserve">Standard LT recipient monitoring: renal function, metabolic parameters, infection prophylaxis</w:t>
      </w:r>
    </w:p>
    <w:p>
      <w:pPr>
        <w:pStyle w:val="Normal"/>
        <w:widowControl/>
        <w:numPr>
          <w:ilvl w:val="0"/>
          <w:numId w:val="3"/>
        </w:numPr>
      </w:pPr>
      <w:r>
        <w:t xml:space="preserve">Perform yearly clinical skin examination and age/risk-appropriate cancer screening. In PSC with IBD, arrange annual colonoscopy with biopsies; in PSC without IBD, colonoscopy with ileal intubation and colonic biopsies every 5 years. For otherwise average-risk LT recipients, five-yearly colonoscopy may be considered under a weak guideline recommendation; do not present it as a mandatory interval for all recipients. Keep de novo screening separate from CCA-recurrence imaging.</w:t>
      </w:r>
      <w:r>
        <w:t xml:space="preserve"> </w:t>
      </w:r>
      <w:r>
        <w:t xml:space="preserve"> </w:t>
      </w:r>
      <w:r>
        <w:t xml:space="preserve"> </w:t>
      </w:r>
      <w:r>
        <w:fldChar w:fldCharType="begin"/>
      </w:r>
      <w:r>
        <w:instrText xml:space="preserve"> ADDIN EN.CITE </w:instrText>
      </w:r>
      <w:r>
        <w:fldChar w:fldCharType="begin">
          <w:fldData>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</w:fldData>
        </w:fldChar>
      </w:r>
      <w:r>
        <w:instrText xml:space="preserve"> ADDIN EN.CITE.DATA </w:instrText>
      </w:r>
      <w:r>
        <w:fldChar w:fldCharType="end"/>
      </w:r>
      <w:r>
        <w:fldChar w:fldCharType="separate"/>
      </w:r>
      <w:r>
        <w:t xml:space="preserve">[V16-22]</w:t>
      </w:r>
      <w:r>
        <w:fldChar w:fldCharType="end"/>
      </w:r>
    </w:p>
    <w:p>
      <w:pPr>
        <w:pStyle w:val="Heading2"/>
        <w:keepNext/>
        <w:widowControl/>
      </w:pPr>
      <w:r>
        <w:t xml:space="preserve">10. Recurrence Management</w:t>
      </w:r>
    </w:p>
    <w:p>
      <w:pPr>
        <w:pStyle w:val="Normal"/>
        <w:widowControl/>
        <w:numPr>
          <w:ilvl w:val="0"/>
          <w:numId w:val="3"/>
        </w:numPr>
      </w:pPr>
      <w:r>
        <w:t xml:space="preserve">Post-transplant recurrence is managed by individualized multidisciplinary decision. Resection or ablation may be considered for isolated, technically resectable recurrence, particularly when late; systemic therapy follows biliary-tract-cancer guidelines with attention to immunosuppressant interactions; palliative-intent care is appropriate for multifocal or early recurrence. No data support a uniformly aggressive multimodal approach in transplanted iCCA recipients.</w:t>
      </w:r>
      <w:r>
        <w:t xml:space="preserve"> </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After confirmed recurrence, discuss individualized immunosuppression minimization with transplant hepatology, surgery and oncology, balancing cancer control against rejection and graft dysfunction. Document the agent/dose changes and monitoring plan. Retrospective association supports consideration, not automatic withdrawal, guaranteed survival benefit or routine mTOR substitution.</w:t>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yMzwvUmVjTnVtPjxEaXNwbGF5VGV4dD5bVjE2LTIzXTwvRGlzcGxheVRleHQ+PHJlY29yZD48cmVjLW51bWJlcj4yMzwvcmVjLW51bWJlcj48Zm9yZWlnbi1rZXlzPjxrZXkgYXBwPSJFTiIgZGItaWQ9IjYyZWQ2M2M2LTgzOWQtNWM5OC1hYTc5LWJjNTEwMDU1MDU5OCIgdGltZXN0YW1wPSIxNzkzMjgzNjg0Ij4yMz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[V16-23]</w:t>
      </w:r>
      <w:r>
        <w:fldChar w:fldCharType="end"/>
      </w:r>
    </w:p>
    <w:p>
      <w:pPr>
        <w:pStyle w:val="Normal"/>
        <w:widowControl/>
        <w:numPr>
          <w:ilvl w:val="0"/>
          <w:numId w:val="3"/>
        </w:numPr>
      </w:pPr>
      <w:r>
        <w:t xml:space="preserve">Multidisciplinary tumor board review for all recurrences</w:t>
      </w:r>
    </w:p>
    <w:p>
      <w:pPr>
        <w:pStyle w:val="Normal"/>
        <w:widowControl/>
        <w:numPr>
          <w:ilvl w:val="0"/>
          <w:numId w:val="3"/>
        </w:numPr>
      </w:pPr>
      <w:r>
        <w:t xml:space="preserve">Molecular profiling of recurrent tumor to identify targetable alterations</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Heading2"/>
        <w:keepNext/>
        <w:widowControl/>
      </w:pPr>
      <w:r>
        <w:t xml:space="preserve">11. Multidisciplinary Team</w:t>
      </w:r>
    </w:p>
    <w:p>
      <w:pPr>
        <w:pStyle w:val="Normal"/>
        <w:widowControl/>
      </w:pPr>
      <w:r>
        <w:t xml:space="preserve">All cases must be reviewed by the UTHealth Houston Hepatobiliary Multidisciplinary Tumor Board, including:</w:t>
      </w:r>
    </w:p>
    <w:p>
      <w:pPr>
        <w:pStyle w:val="Normal"/>
        <w:widowControl/>
        <w:numPr>
          <w:ilvl w:val="0"/>
          <w:numId w:val="3"/>
        </w:numPr>
      </w:pPr>
      <w:r>
        <w:t xml:space="preserve">Transplant surgery</w:t>
      </w:r>
    </w:p>
    <w:p>
      <w:pPr>
        <w:pStyle w:val="Normal"/>
        <w:widowControl/>
        <w:numPr>
          <w:ilvl w:val="0"/>
          <w:numId w:val="3"/>
        </w:numPr>
      </w:pPr>
      <w:r>
        <w:t xml:space="preserve">Surgical oncology</w:t>
      </w:r>
    </w:p>
    <w:p>
      <w:pPr>
        <w:pStyle w:val="Normal"/>
        <w:widowControl/>
        <w:numPr>
          <w:ilvl w:val="0"/>
          <w:numId w:val="3"/>
        </w:numPr>
      </w:pPr>
      <w:r>
        <w:t xml:space="preserve">Medical oncology</w:t>
      </w:r>
    </w:p>
    <w:p>
      <w:pPr>
        <w:pStyle w:val="Normal"/>
        <w:widowControl/>
        <w:numPr>
          <w:ilvl w:val="0"/>
          <w:numId w:val="3"/>
        </w:numPr>
      </w:pPr>
      <w:r>
        <w:t xml:space="preserve">Hepatology</w:t>
      </w:r>
    </w:p>
    <w:p>
      <w:pPr>
        <w:pStyle w:val="Normal"/>
        <w:widowControl/>
        <w:numPr>
          <w:ilvl w:val="0"/>
          <w:numId w:val="3"/>
        </w:numPr>
      </w:pPr>
      <w:r>
        <w:t xml:space="preserve">Radiation oncology</w:t>
      </w:r>
    </w:p>
    <w:p>
      <w:pPr>
        <w:pStyle w:val="Normal"/>
        <w:widowControl/>
        <w:numPr>
          <w:ilvl w:val="0"/>
          <w:numId w:val="3"/>
        </w:numPr>
      </w:pPr>
      <w:r>
        <w:t xml:space="preserve">Interventional radiology</w:t>
      </w:r>
    </w:p>
    <w:p>
      <w:pPr>
        <w:pStyle w:val="Normal"/>
        <w:widowControl/>
        <w:numPr>
          <w:ilvl w:val="0"/>
          <w:numId w:val="3"/>
        </w:numPr>
      </w:pPr>
      <w:r>
        <w:t xml:space="preserve">Pathology</w:t>
      </w:r>
    </w:p>
    <w:p>
      <w:pPr>
        <w:pStyle w:val="Normal"/>
        <w:widowControl/>
        <w:numPr>
          <w:ilvl w:val="0"/>
          <w:numId w:val="3"/>
        </w:numPr>
      </w:pPr>
      <w:r>
        <w:t xml:space="preserve">Radiology</w:t>
      </w:r>
    </w:p>
    <w:p>
      <w:pPr>
        <w:pStyle w:val="Heading2"/>
        <w:keepNext/>
        <w:widowControl/>
      </w:pPr>
      <w:r>
        <w:t xml:space="preserve">12. Quality Metrics and Data Collection</w:t>
      </w:r>
    </w:p>
    <w:p>
      <w:pPr>
        <w:pStyle w:val="Normal"/>
        <w:widowControl/>
        <w:numPr>
          <w:ilvl w:val="0"/>
          <w:numId w:val="3"/>
        </w:numPr>
      </w:pPr>
      <w:r>
        <w:t xml:space="preserve">Track intent-to-treat survival, post-transplant survival, recurrence-free survival</w:t>
      </w:r>
    </w:p>
    <w:p>
      <w:pPr>
        <w:pStyle w:val="Normal"/>
        <w:widowControl/>
        <w:numPr>
          <w:ilvl w:val="0"/>
          <w:numId w:val="3"/>
        </w:numPr>
      </w:pPr>
      <w:r>
        <w:t xml:space="preserve">Document dropout rates and reasons</w:t>
      </w:r>
    </w:p>
    <w:p>
      <w:pPr>
        <w:pStyle w:val="Normal"/>
        <w:widowControl/>
        <w:numPr>
          <w:ilvl w:val="0"/>
          <w:numId w:val="3"/>
        </w:numPr>
      </w:pPr>
      <w:r>
        <w:t xml:space="preserve">Explant pathology correlation with pre-transplant imaging</w:t>
      </w:r>
    </w:p>
    <w:p>
      <w:pPr>
        <w:pStyle w:val="Normal"/>
        <w:widowControl/>
        <w:numPr>
          <w:ilvl w:val="0"/>
          <w:numId w:val="3"/>
        </w:numPr>
      </w:pPr>
      <w:r>
        <w:t xml:space="preserve">Report outcomes to UNOS/OPTN as required</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Ni0yMF08L0Rpc3BsYXlUZXh0PjxyZWNvcmQ+PHJlYy1udW1iZXI+MjA8L3JlYy1udW1iZXI+PGZvcmVpZ24ta2V5cz48a2V5IGFwcD0iRU4iIGRiLWlkPSI2MmVkNjNjNi04MzlkLTVjOTgtYWE3OS1iYzUxMDA1NTA1OTgiIHRpbWVzdGFtcD0iMTc5MzI4MzY4NC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[V16-20]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NDwvUmVjTnVtPjxEaXNwbGF5VGV4dD5bVjE2LTI0XTwvRGlzcGxheVRleHQ+PHJlY29yZD48cmVjLW51bWJlcj4yNDwvcmVjLW51bWJlcj48Zm9yZWlnbi1rZXlzPjxrZXkgYXBwPSJFTiIgZGItaWQ9IjYyZWQ2M2M2LTgzOWQtNWM5OC1hYTc5LWJjNTEwMDU1MDU5OCIgdGltZXN0YW1wPSIxNzkzMjgzNjg0Ij4yND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Heading2"/>
        <w:keepNext/>
        <w:widowControl/>
      </w:pPr>
      <w:r>
        <w:t xml:space="preserve">Outcome evidence within the standard pathway</w:t>
      </w:r>
    </w:p>
    <w:p>
      <w:pPr>
        <w:pStyle w:val="Normal"/>
        <w:widowControl/>
      </w:pPr>
      <w:r>
        <w:t xml:space="preserve">The following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jJlZDYzYzYtODM5ZC01Yzk4LWFhNzktYmM1MTAwNTUwNTk4IiB0aW1lc3RhbXA9IjE3OTMyODM2ODQ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1">
              <w:r>
                <w:rPr>
                  <w:color w:val="77230C"/>
                  <w:sz w:val="20"/>
                  <w:u w:val="single"/>
                </w:rPr>
                <w:t>Primary source</w:t>
              </w:r>
            </w:hyperlink>
            <w:r>
              <w:t xml:space="preserve"> | </w:t>
            </w:r>
            <w:hyperlink r:id="rId22">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1PC9SZWNOdW0+PERpc3BsYXlUZXh0PltWMTYtMjVdPC9EaXNwbGF5VGV4dD48cmVjb3JkPjxyZWMtbnVtYmVyPjI1PC9yZWMtbnVtYmVyPjxmb3JlaWduLWtleXM+PGtleSBhcHA9IkVOIiBkYi1pZD0iNjJlZDYzYzYtODM5ZC01Yzk4LWFhNzktYmM1MTAwNTUwNTk4IiB0aW1lc3RhbXA9IjE3OTMyODM2ODQiPjI1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r>
              <w:t xml:space="preserve">Selection: Methods specify persistent unresectability, multidisciplinary review and at least six months of stability/regression after ICI. Patients actually received heterogeneous ICI, chemotherapy, targeted agents and locoregional therapy; case histories include progression and salvage. The series does not establish a reproducible selection algorithm.</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Ni0yNl08L0Rpc3BsYXlUZXh0PjxyZWNvcmQ+PHJlYy1udW1iZXI+MjY8L3JlYy1udW1iZXI+PGZvcmVpZ24ta2V5cz48a2V5IGFwcD0iRU4iIGRiLWlkPSI2MmVkNjNjNi04MzlkLTVjOTgtYWE3OS1iYzUxMDA1NTA1OTgiIHRpbWVzdGFtcD0iMTc5MzI4MzY4NC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[V16-26]</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Ni0yN108L0Rpc3BsYXlUZXh0PjxyZWNvcmQ+PHJlYy1udW1iZXI+Mjc8L3JlYy1udW1iZXI+PGZvcmVpZ24ta2V5cz48a2V5IGFwcD0iRU4iIGRiLWlkPSI2MmVkNjNjNi04MzlkLTVjOTgtYWE3OS1iYzUxMDA1NTA1OTgiIHRpbWVzdGFtcD0iMTc5MzI4MzY4NC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[V16-27]</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YtMjhdPC9EaXNwbGF5VGV4dD48cmVjb3JkPjxyZWMtbnVtYmVyPjI4PC9yZWMtbnVtYmVyPjxmb3JlaWduLWtleXM+PGtleSBhcHA9IkVOIiBkYi1pZD0iNjJlZDYzYzYtODM5ZC01Yzk4LWFhNzktYmM1MTAwNTUwNTk4IiB0aW1lc3RhbXA9IjE3OTMyODM2ODQ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neoGOLP 2026</w:t>
            </w:r>
            <w:r>
              <w:t xml:space="preserve"> </w:t>
            </w:r>
            <w:r>
              <w:t xml:space="preserve"> </w:t>
            </w:r>
            <w:r>
              <w:t xml:space="preserve"> </w:t>
            </w:r>
            <w:r>
              <w:fldChar w:fldCharType="begin"/>
            </w:r>
            <w:r>
              <w:instrText xml:space="preserve"> ADDIN EN.CITE </w:instrText>
            </w:r>
            <w:r>
              <w:fldChar w:fldCharType="begin">
                <w:fldData>PEVuZE5vdGU+PENpdGU+PEF1dGhvcj5TaGk8L0F1dGhvcj48WWVhcj4yMDI2PC9ZZWFyPjxSZWNOdW0+Mjk8L1JlY051bT48RGlzcGxheVRleHQ+W1YxNi0yOV08L0Rpc3BsYXlUZXh0PjxyZWNvcmQ+PHJlYy1udW1iZXI+Mjk8L3JlYy1udW1iZXI+PGZvcmVpZ24ta2V5cz48a2V5IGFwcD0iRU4iIGRiLWlkPSI2MmVkNjNjNi04MzlkLTVjOTgtYWE3OS1iYzUxMDA1NTA1OTgiIHRpbWVzdGFtcD0iMTc5MzI4MzY4NCI+Mjk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[V16-29]</w:t>
            </w:r>
            <w:r>
              <w:fldChar w:fldCharType="end"/>
            </w:r>
          </w:p>
          <w:p>
            <w:pPr>
              <w:pStyle w:val="Normal"/>
              <w:widowControl/>
              <w:spacing w:before="60" w:after="20"/>
            </w:pPr>
            <w:r>
              <w:t xml:space="preserve">Open-label randomized phase 2–3 trial at 11 Chinese hospitals; 178 patients randomized to neoadjuvant GOLP (n=88) or immediate surgery (n=90), analyzed by intention to treat. Both groups were intended to receive postoperative capecitabine.</w:t>
            </w:r>
          </w:p>
          <w:p>
            <w:pPr>
              <w:pStyle w:val="Normal"/>
              <w:widowControl/>
              <w:spacing w:before="60" w:after="20"/>
            </w:pPr>
            <w:r>
              <w:t xml:space="preserve">Selection: Resectable high-risk iCCA, age 18–70, ECOG 0 and Child-Pugh A. High-risk features included tumor &gt;5 cm, vascular invasion, multifocality, hepatic-portal nodes or elevated CA19-9. GOLP was gemcitabine/oxaliplatin plus toripalimab for three cycles and lenvatinib for nine weeks, followed by resection assessment.</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pp2–4: methods and statistical boundaries; pp5–7: flow, baseline population and results; p8: EFS figure; pp9–10: interim OS and interpretation; p11: adverse-event table; p12: limitations.</w:t>
            </w:r>
          </w:p>
          <w:p>
            <w:pPr>
              <w:pStyle w:val="Normal"/>
              <w:widowControl/>
              <w:spacing w:before="60" w:after="20"/>
            </w:pPr>
            <w:r>
              <w:t xml:space="preserve">Review depth: Fresh complete reading of all 13 supplied PDF pages, including methods, results, tables, figures and discussion. Separately hosted protocol and supplementary appendix were not reviewed; no supplement-only claims are used.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EFS was 18.0 versus 8.7 months (P&lt;0.001); 24-month EFS was 37% versus 25%. No primary EFS hazard ratio was estimated because hazards were nonproportional. R0 resection occurred in 84/88 versus 84/90 randomized patients. At interim analysis, 24-month OS was 79% versus 61% (HR 0.43, 95% CI 0.23–0.79; P=0.005), which did NOT meet the prespecified interim OS significance boundary of P=0.0019.</w:t>
            </w:r>
          </w:p>
          <w:p>
            <w:pPr>
              <w:pStyle w:val="Normal"/>
              <w:widowControl/>
              <w:spacing w:before="60" w:after="20"/>
            </w:pPr>
            <w:r>
              <w:rPr>
                <w:b/>
              </w:rPr>
              <w:t xml:space="preserve">Do not infer: </w:t>
            </w:r>
            <w:r>
              <w:t xml:space="preserve">Highly fit resectable population; median follow-up 16.9 months and interim OS analysis. This was neither a conversion-to-transplant trial nor an allograft-safety study. It does not validate transplantation with nodal disease or macrovascular involvement. Do not conflate neoGOLP (toripalimab; major pathological response ≤10% viable tumor) with TransGOLP (a different regimen, population and pathological-response definition). Time origin: EFS and OS begin at randomization, not surgery or transplantation. EFS includes progression preventing radical resection, postoperative recurrence/metastasis, second primary cancer or death. Data cutoff: April 30, 2025.</w:t>
            </w:r>
          </w:p>
        </w:tc>
      </w:tr>
      <w:tr>
        <w:trPr/>
        <w:tc>
          <w:tcPr>
            <w:tcW w:w="3400" w:type="dxa"/>
            <w:tcMar>
              <w:top w:w="90" w:type="dxa"/>
              <w:left w:w="90" w:type="dxa"/>
              <w:bottom w:w="90" w:type="dxa"/>
              <w:right w:w="90" w:type="dxa"/>
            </w:tcMar>
          </w:tcPr>
          <w:p>
            <w:pPr>
              <w:pStyle w:val="Normal"/>
              <w:widowControl/>
              <w:spacing w:before="60" w:after="20"/>
            </w:pPr>
            <w:r>
              <w:rPr>
                <w:b/>
              </w:rPr>
              <w:t xml:space="preserve">Dageforde 2021</w:t>
            </w:r>
            <w:r>
              <w:t xml:space="preserve"> </w:t>
            </w:r>
            <w:r>
              <w:t xml:space="preserve"> </w:t>
            </w:r>
            <w:r>
              <w:t xml:space="preserve"> </w:t>
            </w:r>
            <w:r>
              <w:fldChar w:fldCharType="begin"/>
            </w:r>
            <w:r>
              <w:instrText xml:space="preserve"> ADDIN EN.CITE </w:instrText>
            </w:r>
            <w:r>
              <w:fldChar w:fldCharType="begin">
                <w:fldData>PEVuZE5vdGU+PENpdGU+PEF1dGhvcj5EYWdlZm9yZGU8L0F1dGhvcj48WWVhcj4yMDIxPC9ZZWFyPjxSZWNOdW0+MzA8L1JlY051bT48RGlzcGxheVRleHQ+W1YxNi0zMF08L0Rpc3BsYXlUZXh0PjxyZWNvcmQ+PHJlYy1udW1iZXI+MzA8L3JlYy1udW1iZXI+PGZvcmVpZ24ta2V5cz48a2V5IGFwcD0iRU4iIGRiLWlkPSI2MmVkNjNjNi04MzlkLTVjOTgtYWE3OS1iYzUxMDA1NTA1OTgiIHRpbWVzdGFtcD0iMTc5MzI4MzY4NCI+MzA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[V16-30]</w:t>
            </w:r>
            <w:r>
              <w:fldChar w:fldCharType="end"/>
            </w:r>
          </w:p>
          <w:p>
            <w:pPr>
              <w:pStyle w:val="Normal"/>
              <w:widowControl/>
              <w:spacing w:before="60" w:after="20"/>
            </w:pPr>
            <w:r>
              <w:t xml:space="preserve">12 centers, 2009–2017; 3206 patients (2998 HCC/208 mixed), including 99 mixed LT and 109 mixed resections. Of mixed LT: 67 within Milan, 14 beyond Milan/within UCSF, 18 beyond UCSF. Burden classified from initial-diagnosis imaging. Only two of 99 were known mixed tumors preoperatively; most presumed HCC.</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Complete original J Am Coll Surg 2021; 232:361–371 PDF, Methods and Tables 1–4/subgroup figures. A separate commentary begins but is incomplete.</w:t>
            </w:r>
          </w:p>
          <w:p>
            <w:pPr>
              <w:pStyle w:val="Normal"/>
              <w:widowControl/>
              <w:spacing w:before="60" w:after="20"/>
            </w:pPr>
            <w:r>
              <w:t xml:space="preserve">Review depth: Complete original J Am Coll Surg 2021; 232:361–371 study. Byte-identical to V7 PDF. Last page additionally starts a separate invited commentary; that separate commentary is incomplete and is not claimed as reviewed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Initial-imaging within-Milan mixed LT five-year OS was 70.1%, with recurrence 23.1%; corresponding HCC values were 73.4%/11.5%. Mixed LT versus resection within Milan: OS 70.1% versus 49.7%, p=.078; recurrence 23.1% versus 45.7%, p=.009. Beyond UCSF, mixed LT OS was 15.8%. DFS was approximately 70% versus 33.6%; text 70.3% and Table 4 70.1% conflict, so avoid unqualified precision.</w:t>
            </w:r>
          </w:p>
          <w:p>
            <w:pPr>
              <w:pStyle w:val="Normal"/>
              <w:widowControl/>
              <w:spacing w:before="60" w:after="20"/>
            </w:pPr>
            <w:r>
              <w:rPr>
                <w:b/>
              </w:rPr>
              <w:t xml:space="preserve">Do not infer: </w:t>
            </w:r>
            <w:r>
              <w:t xml:space="preserve">Only 2/99 mixed LT diagnoses were known preoperatively; burden was classified at initial imaging, not an approved prospective known-mixed expansion. Do not generalize the overall benefit association to beyond-UCSF disease.</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2020</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wPC9ZZWFyPjxSZWNOdW0+MzE8L1JlY051bT48RGlzcGxheVRleHQ+W1YxNi0zMV08L0Rpc3BsYXlUZXh0PjxyZWNvcmQ+PHJlYy1udW1iZXI+MzE8L3JlYy1udW1iZXI+PGZvcmVpZ24ta2V5cz48a2V5IGFwcD0iRU4iIGRiLWlkPSI2MmVkNjNjNi04MzlkLTVjOTgtYWE3OS1iYzUxMDA1NTA1OTgiIHRpbWVzdGFtcD0iMTc5MzI4MzY4NCI+Mz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[V16-31]</w:t>
            </w:r>
            <w:r>
              <w:fldChar w:fldCharType="end"/>
            </w:r>
          </w:p>
          <w:p>
            <w:pPr>
              <w:pStyle w:val="Normal"/>
              <w:widowControl/>
              <w:spacing w:before="60" w:after="20"/>
            </w:pPr>
            <w:r>
              <w:t xml:space="preserve">Cirrhosis cohort: 49 LT (24 pure/25 mixed) versus 26 resections (20 pure/six mixed); largest nodule ≤5 cm, not cumulative burden ≤5 cm. All LT diagnoses were incidental: 44 presumed HCC and five cirrhosis.</w:t>
            </w:r>
          </w:p>
          <w:p>
            <w:pPr>
              <w:pStyle w:val="Normal"/>
              <w:widowControl/>
              <w:spacing w:before="60" w:after="20"/>
            </w:pPr>
            <w:r>
              <w:t xml:space="preserve">Selection: Three French centers, 2002–2015; 75 cirrhotic patients with iCCA/mixed tumors and largest nodule ≤5 cm, NOT cumulative burden ≤5 cm. LT 49 (24 pure/25 mixed), resection 26 (20 pure/six mixed). All LT diagnoses were incidental: 44 presumed HCC, five decompensated cirrhosis; 31 received LRT, mostly TACE, not a planned iCCA induction protocol.</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Complete 14-page Liver Transpl 2020; 26:785–798 PDF, Methods, pathology, OS/RFS and multivariable/subgroup tables.</w:t>
            </w:r>
          </w:p>
          <w:p>
            <w:pPr>
              <w:pStyle w:val="Normal"/>
              <w:widowControl/>
              <w:spacing w:before="60" w:after="20"/>
            </w:pPr>
            <w:r>
              <w:t xml:space="preserve">Review depth: Complete original Liver Transpl 2020; 26:785–798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surgery, five-year OS was 67% versus 40%, p=.17; RFS 75% versus 36%, p=.004; recurrence 9/49 versus 12/26. Overall adjusted LT recurrence HR was .54 (CI .15–1.92), p=.34; &gt;2–5-cm subgroup HR .23 (.07–.82), p=.02. Grade HR was 3.74 (1.71–8.17).</w:t>
            </w:r>
          </w:p>
          <w:p>
            <w:pPr>
              <w:pStyle w:val="Normal"/>
              <w:widowControl/>
              <w:spacing w:before="60" w:after="20"/>
            </w:pPr>
            <w:r>
              <w:rPr>
                <w:b/>
              </w:rPr>
              <w:t xml:space="preserve">Do not infer: </w:t>
            </w:r>
            <w:r>
              <w:t xml:space="preserve">No ITT denominator or demonstrated OS advantage; long differential waiting, incidental/explant-defined mixed histology and nodal understaging. Does not validate prospectively known 5-cm or advanced mixed disease.</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t xml:space="preserve"> </w:t>
            </w:r>
            <w:r>
              <w:fldChar w:fldCharType="begin"/>
            </w:r>
            <w:r>
              <w:instrText xml:space="preserve"> ADDIN EN.CITE </w:instrText>
            </w:r>
            <w:r>
              <w:fldChar w:fldCharType="begin">
                <w:fldData>PEVuZE5vdGU+PENpdGU+PEF1dGhvcj5HaWd1ZXQ8L0F1dGhvcj48WWVhcj4yMDI2PC9ZZWFyPjxSZWNOdW0+MzI8L1JlY051bT48RGlzcGxheVRleHQ+W1YxNi0zMl08L0Rpc3BsYXlUZXh0PjxyZWNvcmQ+PHJlYy1udW1iZXI+MzI8L3JlYy1udW1iZXI+PGZvcmVpZ24ta2V5cz48a2V5IGFwcD0iRU4iIGRiLWlkPSI2MmVkNjNjNi04MzlkLTVjOTgtYWE3OS1iYzUxMDA1NTA1OTgiIHRpbWVzdGFtcD0iMTc5MzI4MzY4NCI+MzI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[V16-32]</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r>
              <w:t xml:space="preserve">Selection: ≥6 months of control; CT/MRI every two to three months. Median diagnosis-to-listing interval was 351 days and listing-to-LT 114 days. In one ICI-treated patient, the three-month interruption was before LISTING, not a proven stop-to-LT safety interval.</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Retrospective UPMC seven-iCCA-recipient LDLT series; 116 referrals were mixed CCA-associated diagnoses, not 116 pure iCCA. Thirty-one explorations, seven aborted; 24 total LDLT recipients included seven with iCCA.</w:t>
            </w:r>
          </w:p>
          <w:p>
            <w:pPr>
              <w:pStyle w:val="Normal"/>
              <w:widowControl/>
              <w:spacing w:before="60" w:after="20"/>
            </w:pPr>
            <w:r>
              <w:t xml:space="preserve">Selection: Generally ≥6 months of nonprogression; six planned biopsy-confirmed cases and one incidental case; recipient staging before donor surgery; no size/count cap. A three-week minimum ICI hold was center practice, not validated safety.</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Complete 11-page AJT 2026 proof, Methods, flow, Tables 1–2, recipient/donor outcomes and survival; DOI 10.1016/j.ajt.2026.09.039.</w:t>
            </w:r>
          </w:p>
          <w:p>
            <w:pPr>
              <w:pStyle w:val="Normal"/>
              <w:widowControl/>
              <w:spacing w:before="60" w:after="20"/>
            </w:pPr>
            <w:r>
              <w:t xml:space="preserve">Review depth: Complete original accepted/proof AJT article, accepted 23 September 2026. All main-paper pages reviewed; separate supplementary patient-level materials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5.1 years; two recurrences and one death. Five-year post-LDLT OS 85.7% (CI 33.4–97.9), RFS 71.4% (25.8–92.0), with OS/RFS risk sets of four/one at five years. Two recipient grade III complications. One of seven donors had postoperative-day-1 reoperation and month-2 percutaneous drainage; all donors were alive.</w:t>
            </w:r>
          </w:p>
          <w:p>
            <w:pPr>
              <w:pStyle w:val="Normal"/>
              <w:widowControl/>
              <w:spacing w:before="60" w:after="20"/>
            </w:pPr>
            <w:r>
              <w:rPr>
                <w:b/>
              </w:rPr>
              <w:t xml:space="preserve">Do not infer: </w:t>
            </w:r>
            <w:r>
              <w:t xml:space="preserve">Complete main PDF verified; remaining gaps are separate supplements, precise individual ICI intervals and causal comparative benefit, not absence of main methods or donor-morbidity information. Seven recipients and wide confidence intervals cannot establish net benefit.</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xMDwvUmVjTnVtPjxEaXNwbGF5VGV4dD5bVjE2LTEwXTwvRGlzcGxheVRleHQ+PHJlY29yZD48cmVjLW51bWJlcj4xMDwvcmVjLW51bWJlcj48Zm9yZWlnbi1rZXlzPjxrZXkgYXBwPSJFTiIgZGItaWQ9IjYyZWQ2M2M2LTgzOWQtNWM5OC1hYTc5LWJjNTEwMDU1MDU5OCIgdGltZXN0YW1wPSIxNzkzMjgzNjg0Ij4x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r>
              <w:t xml:space="preserve">Selection: Figure 1 specifies 12 months of response; median diagnosis-to-LT interval was 26 months.</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r>
              <w:t xml:space="preserve">Selection: At least six months of response/stability, typically GemCis; CT every three months. Intraliver progression deferred LT and could permit re-entry after control; extrahepatic disease prompted delisting. Prior resection did not categorically exclude this research cohort.</w:t>
            </w:r>
          </w:p>
          <w:p>
            <w:pPr>
              <w:pStyle w:val="Normal"/>
              <w:widowControl/>
              <w:spacing w:before="60" w:after="20"/>
            </w:pPr>
            <w:hyperlink r:id="rId43">
              <w:r>
                <w:rPr>
                  <w:color w:val="77230C"/>
                  <w:sz w:val="20"/>
                  <w:u w:val="single"/>
                </w:rPr>
                <w:t>Primary source</w:t>
              </w:r>
            </w:hyperlink>
            <w:r>
              <w:t xml:space="preserve"> | </w:t>
            </w:r>
            <w:hyperlink r:id="rId44">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YtMTVdPC9EaXNwbGF5VGV4dD48cmVjb3JkPjxyZWMtbnVtYmVyPjE1PC9yZWMtbnVtYmVyPjxmb3JlaWduLWtleXM+PGtleSBhcHA9IkVOIiBkYi1pZD0iNjJlZDYzYzYtODM5ZC01Yzk4LWFhNzktYmM1MTAwNTUwNTk4IiB0aW1lc3RhbXA9IjE3OTMyODM2ODQ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45">
              <w:r>
                <w:rPr>
                  <w:color w:val="77230C"/>
                  <w:sz w:val="20"/>
                  <w:u w:val="single"/>
                </w:rPr>
                <w:t>Primary source</w:t>
              </w:r>
            </w:hyperlink>
            <w:r>
              <w:t xml:space="preserve"> | </w:t>
            </w:r>
            <w:hyperlink r:id="rId46">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SWOG S1815</w:t>
            </w:r>
            <w:r>
              <w:t xml:space="preserve"> </w:t>
            </w:r>
            <w:r>
              <w:t xml:space="preserve"> </w:t>
            </w:r>
            <w:r>
              <w:t xml:space="preserve"> </w:t>
            </w:r>
            <w:r>
              <w:fldChar w:fldCharType="begin"/>
            </w:r>
            <w:r>
              <w:instrText xml:space="preserve"> ADDIN EN.CITE </w:instrText>
            </w:r>
            <w:r>
              <w:fldChar w:fldCharType="begin">
                <w:fldData>PEVuZE5vdGU+PENpdGU+PEF1dGhvcj5TaHJvZmY8L0F1dGhvcj48WWVhcj4yMDI1PC9ZZWFyPjxSZWNOdW0+MzM8L1JlY051bT48RGlzcGxheVRleHQ+W1YxNi0zM108L0Rpc3BsYXlUZXh0PjxyZWNvcmQ+PHJlYy1udW1iZXI+MzM8L3JlYy1udW1iZXI+PGZvcmVpZ24ta2V5cz48a2V5IGFwcD0iRU4iIGRiLWlkPSI2MmVkNjNjNi04MzlkLTVjOTgtYWE3OS1iYzUxMDA1NTA1OTgiIHRpbWVzdGFtcD0iMTc5MzI4MzY4NCI+MzM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p>
          <w:p>
            <w:pPr>
              <w:pStyle w:val="Normal"/>
              <w:widowControl/>
              <w:spacing w:before="60" w:after="20"/>
            </w:pPr>
            <w:r>
              <w:t xml:space="preserve">Multicenter open-label phase III trial, 2:1 gemcitabine/cisplatin/nab-paclitaxel (GAP) versus gemcitabine/cisplatin (GC). Of 452 randomized, 441 eligible participants were analyzed (294 versus 147); this is not an all-randomized 452-patient analysis.</w:t>
            </w:r>
          </w:p>
          <w:p>
            <w:pPr>
              <w:pStyle w:val="Normal"/>
              <w:widowControl/>
              <w:spacing w:before="60" w:after="20"/>
            </w:pPr>
            <w:r>
              <w:t xml:space="preserve">Selection: Previously untreated advanced biliary tract cancer, Zubrod performance status 0–1 and adequate organ function. Of 441, 297 (67%) had iCCA, 74 (17%) extrahepatic CCA and 70 (16%) gallbladder cancer; 323 (73%) had metastatic rather than locally advanced disease. No transplant selection strategy was tested.</w:t>
            </w:r>
          </w:p>
          <w:p>
            <w:pPr>
              <w:pStyle w:val="Normal"/>
              <w:widowControl/>
              <w:spacing w:before="60" w:after="20"/>
            </w:pPr>
            <w:hyperlink r:id="rId47">
              <w:r>
                <w:rPr>
                  <w:color w:val="77230C"/>
                  <w:sz w:val="20"/>
                  <w:u w:val="single"/>
                </w:rPr>
                <w:t>Primary source</w:t>
              </w:r>
            </w:hyperlink>
            <w:r>
              <w:t xml:space="preserve"> | </w:t>
            </w:r>
            <w:hyperlink r:id="rId48">
              <w:r>
                <w:rPr>
                  <w:color w:val="77230C"/>
                  <w:sz w:val="20"/>
                  <w:u w:val="single"/>
                </w:rPr>
                <w:t>Full-text PDF</w:t>
              </w:r>
            </w:hyperlink>
          </w:p>
          <w:p>
            <w:pPr>
              <w:pStyle w:val="Normal"/>
              <w:widowControl/>
              <w:spacing w:before="60" w:after="20"/>
            </w:pPr>
            <w:r>
              <w:t xml:space="preserve">Locator: PDF pp2–3: eligibility, analysis population and flow; p4: baseline data and survival; pp5–6: response and toxicity; p7: Table 3 adverse events; p8: interpretation; pp12–15: included Appendix Tables A1–A4.</w:t>
            </w:r>
          </w:p>
          <w:p>
            <w:pPr>
              <w:pStyle w:val="Normal"/>
              <w:widowControl/>
              <w:spacing w:before="60" w:after="20"/>
            </w:pPr>
            <w:r>
              <w:t xml:space="preserve">Review depth: Fresh complete reading of all 15 supplied PDF pages, including the main article, disclosures and included appendix tables. The separate trial protocol was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OS was 14.0 versus 13.6 months (HR 0.91, 95% CI 0.72–1.14; P=0.41); PFS was 7.5 versus 6.3 months (HR 0.89, 95% CI 0.71–1.12; P=0.32). Response was 91/290 (31%) versus 31/146 (21%) among response-evaluable patients. The iCCA subgroup had median OS 13.5 versus 13.6 months; exploratory locally advanced/subsite signals did not establish an OS-benefiting subgroup.</w:t>
            </w:r>
          </w:p>
          <w:p>
            <w:pPr>
              <w:pStyle w:val="Normal"/>
              <w:widowControl/>
              <w:spacing w:before="60" w:after="20"/>
            </w:pPr>
            <w:r>
              <w:rPr>
                <w:b/>
              </w:rPr>
              <w:t xml:space="preserve">Do not infer: </w:t>
            </w:r>
            <w:r>
              <w:t xml:space="preserve">Mostly metastatic and mixed-subsite population; no ICI comparator, LT arm or prospective conversion-to-LT endpoint. Exploratory subgroup analyses and higher response cannot establish a transplant survival benefit. Response assessment was local rather than central; dose-intensity information was not collected. Time origin: OS and PFS begin at random assignment. Outcomes are not post-LT survival and should not be plotted as though they share the starting point of recipient-only LT series.</w:t>
            </w:r>
          </w:p>
        </w:tc>
      </w:tr>
      <w:tr>
        <w:trPr/>
        <w:tc>
          <w:tcPr>
            <w:tcW w:w="3400" w:type="dxa"/>
            <w:tcMar>
              <w:top w:w="90" w:type="dxa"/>
              <w:left w:w="90" w:type="dxa"/>
              <w:bottom w:w="90" w:type="dxa"/>
              <w:right w:w="90" w:type="dxa"/>
            </w:tcMar>
          </w:tcPr>
          <w:p>
            <w:pPr>
              <w:pStyle w:val="Normal"/>
              <w:widowControl/>
              <w:spacing w:before="60" w:after="20"/>
            </w:pPr>
            <w:r>
              <w:rPr>
                <w:b/>
              </w:rPr>
              <w:t xml:space="preserve">Gül-Klein 2022</w:t>
            </w:r>
            <w:r>
              <w:t xml:space="preserve"> </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yMzwvUmVjTnVtPjxEaXNwbGF5VGV4dD5bVjE2LTIzXTwvRGlzcGxheVRleHQ+PHJlY29yZD48cmVjLW51bWJlcj4yMzwvcmVjLW51bWJlcj48Zm9yZWlnbi1rZXlzPjxrZXkgYXBwPSJFTiIgZGItaWQ9IjYyZWQ2M2M2LTgzOWQtNWM5OC1hYTc5LWJjNTEwMDU1MDU5OCIgdGltZXN0YW1wPSIxNzkzMjgzNjg0Ij4yMz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Historical single-center retrospective cohort, 1988–2022: 67 LT recipients (37 pCCA, 17 iCCA, 13 mixed HCC-CCA); 44 recurred. Twenty-three of 44 underwent restrictive immunosuppression management (RIM).</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Full-text PDF</w:t>
              </w:r>
            </w:hyperlink>
          </w:p>
          <w:p>
            <w:pPr>
              <w:pStyle w:val="Normal"/>
              <w:widowControl/>
              <w:spacing w:before="60" w:after="20"/>
            </w:pPr>
            <w:r>
              <w:t xml:space="preserve">Locator: PDF pp 2–3 methods and RIM definition; p 7 RIM results; pp 8–9/Table 3 models; pp 10–11 limitations.</w:t>
            </w:r>
          </w:p>
          <w:p>
            <w:pPr>
              <w:pStyle w:val="Normal"/>
              <w:widowControl/>
              <w:spacing w:before="60" w:after="20"/>
            </w:pPr>
            <w:r>
              <w:t xml:space="preserve">Review depth: Complete 14-page main paper read. Some PDF text is duplicated by overlaid proof/extraction layers; the scientific main article is complete.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RIM meant reducing/discontinuing calcineurin inhibitors, MMF and/or steroids. Merely adding mTOR therapy without reducing another agent was not classified as RIM.; Median post-recurrence OS was 16.7 months with RIM versus 5.3 months without it. Absence of RIM was associated with worse survival in the adjusted model (HR 4.19, 95% CI 1.29–13.58).; No clinically significant rejection was reported after RIM, but the sample and design cannot guarantee safety for an individual recipient.; mTOR treatment before or after recurrence did not show an independent survival association. Table 3 post-recurrence mTOR HR was 0.91 (0.28–2.91; p=.87).; Surgical treatment of recurrence was also associated with longer survival, but selection by fitness, tumor distribution and treatability strongly limits causal interpretation.</w:t>
            </w:r>
          </w:p>
          <w:p>
            <w:pPr>
              <w:pStyle w:val="Normal"/>
              <w:widowControl/>
              <w:spacing w:before="60" w:after="20"/>
            </w:pPr>
            <w:r>
              <w:rPr>
                <w:b/>
              </w:rPr>
              <w:t xml:space="preserve">Do not infer: </w:t>
            </w:r>
            <w:r>
              <w:t xml:space="preserve">Small, nonrandomized, &gt;30-year mixed-disease cohort; treatment selection and performance-status confounding; RIM not standardized; era differences; no proof that reducing immunosuppression causes survival improvement or that mTOR alone prevents recurrence. Time origin: Recurrence-management OS starts at recurrence, not LT. Median LT-to-recurrence was 15.8 months and median post-recurrence OS 7.4 months.</w:t>
            </w:r>
          </w:p>
        </w:tc>
      </w:tr>
      <w:tr>
        <w:trPr/>
        <w:tc>
          <w:tcPr>
            <w:tcW w:w="3400" w:type="dxa"/>
            <w:tcMar>
              <w:top w:w="90" w:type="dxa"/>
              <w:left w:w="90" w:type="dxa"/>
              <w:bottom w:w="90" w:type="dxa"/>
              <w:right w:w="90" w:type="dxa"/>
            </w:tcMar>
          </w:tcPr>
          <w:p>
            <w:pPr>
              <w:pStyle w:val="Normal"/>
              <w:widowControl/>
              <w:spacing w:before="60" w:after="20"/>
            </w:pPr>
            <w:r>
              <w:rPr>
                <w:b/>
              </w:rPr>
              <w:t xml:space="preserve">Sharma 2025</w:t>
            </w:r>
            <w:r>
              <w:t xml:space="preserve"> </w:t>
            </w:r>
            <w:r>
              <w:t xml:space="preserve"> </w:t>
            </w:r>
            <w:r>
              <w:t xml:space="preserve"> </w:t>
            </w:r>
            <w:r>
              <w:fldChar w:fldCharType="begin"/>
            </w:r>
            <w:r>
              <w:instrText xml:space="preserve"> ADDIN EN.CITE </w:instrText>
            </w:r>
            <w:r>
              <w:fldChar w:fldCharType="begin">
                <w:fldData>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</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AASLD/AST adult LT practice guideline, online 2025 and 2026 issue, addressing non-graft complications. The recurrent HCC/CCA disease-specific management domain is explicitly outside this cancer-screening section.</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Full-text PDF</w:t>
              </w:r>
            </w:hyperlink>
          </w:p>
          <w:p>
            <w:pPr>
              <w:pStyle w:val="Normal"/>
              <w:widowControl/>
              <w:spacing w:before="60" w:after="20"/>
            </w:pPr>
            <w:r>
              <w:t xml:space="preserve">Locator: PDF p 12/Table 3; p 14/journal 1170 statements 44–46; p 15/journal 1171 statements 47–51 and rationale.</w:t>
            </w:r>
          </w:p>
          <w:p>
            <w:pPr>
              <w:pStyle w:val="Normal"/>
              <w:widowControl/>
              <w:spacing w:before="60" w:after="20"/>
            </w:pPr>
            <w:r>
              <w:t xml:space="preserve">Review depth: Targeted full-text review of guideline scope and cancer-screening sections: PDF p 1, p 12/Table 3 and pp 14–15/statements 44–51. Not a claim to have reread all 37 pages on unrelated non-graft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Statements 44–45 support age-appropriate cancer screening and yearly clinical skin examinations.; Statement 49 says average-risk LT recipients may consider five-yearly colonoscopy (weak recommendation, level 3), not that this interval is mandatory for everyone.; Statement 50 recommends annual colonoscopy with random biopsies for PSC with IBD (strong, level 2).; Statement 51 recommends colonoscopy with ileal intubation and colonic biopsies every five years for PSC without IBD (strong, level 3).; Colonoscopy is preferred over stool testing in the discussed LT context because of limited advanced-adenoma sensitivity; de novo screening should not be confused with CCA-recurrence imaging.</w:t>
            </w:r>
          </w:p>
          <w:p>
            <w:pPr>
              <w:pStyle w:val="Normal"/>
              <w:widowControl/>
              <w:spacing w:before="60" w:after="20"/>
            </w:pPr>
            <w:r>
              <w:rPr>
                <w:b/>
              </w:rPr>
              <w:t xml:space="preserve">Do not infer: </w:t>
            </w:r>
            <w:r>
              <w:t xml:space="preserve">Recommendation strengths differ; population screening and recurrent-cancer surveillance are separate. No support for using this guideline as proof of a particular iCCA recurrence-imaging interval. Time origin: Not applicable; screening guidance rather than a new survival cohort.</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t xml:space="preserve"> </w:t>
            </w:r>
            <w:r>
              <w:fldChar w:fldCharType="begin"/>
            </w:r>
            <w:r>
              <w:instrText xml:space="preserve"> ADDIN EN.CITE </w:instrText>
            </w:r>
            <w:r>
              <w:fldChar w:fldCharType="begin">
                <w:fldData>PEVuZE5vdGU+PENpdGU+PEF1dGhvcj5TZW1hYW48L0F1dGhvcj48WWVhcj4yMDI1PC9ZZWFyPjxSZWNOdW0+MTk8L1JlY051bT48RGlzcGxheVRleHQ+W1YxNi0xOV08L0Rpc3BsYXlUZXh0PjxyZWNvcmQ+PHJlYy1udW1iZXI+MTk8L3JlYy1udW1iZXI+PGZvcmVpZ24ta2V5cz48a2V5IGFwcD0iRU4iIGRiLWlkPSI2MmVkNjNjNi04MzlkLTVjOTgtYWE3OS1iYzUxMDA1NTA1OTgiIHRpbWVzdGFtcD0iMTc5MzI4MzY4NCI+MTk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t xml:space="preserve"> </w:t>
            </w:r>
            <w:r>
              <w:fldChar w:fldCharType="begin"/>
            </w:r>
            <w:r>
              <w:instrText xml:space="preserve"> ADDIN EN.CITE </w:instrText>
            </w:r>
            <w:r>
              <w:fldChar w:fldCharType="begin">
                <w:fldData>PEVuZE5vdGU+PENpdGU+PEF1dGhvcj5SYW1hbmFuPC9BdXRob3I+PFllYXI+MjAxNzwvWWVhcj48UmVjTnVtPjE4PC9SZWNOdW0+PERpc3BsYXlUZXh0PltWMTYtMThdPC9EaXNwbGF5VGV4dD48cmVjb3JkPjxyZWMtbnVtYmVyPjE4PC9yZWMtbnVtYmVyPjxmb3JlaWduLWtleXM+PGtleSBhcHA9IkVOIiBkYi1pZD0iNjJlZDYzYzYtODM5ZC01Yzk4LWFhNzktYmM1MTAwNTUwNTk4IiB0aW1lc3RhbXA9IjE3OTMyODM2ODQiPjE4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t xml:space="preserve"> </w:t>
            </w:r>
            <w:r>
              <w:fldChar w:fldCharType="begin"/>
            </w:r>
            <w:r>
              <w:instrText xml:space="preserve"> ADDIN EN.CITE </w:instrText>
            </w:r>
            <w:r>
              <w:fldChar w:fldCharType="begin">
                <w:fldData>PEVuZE5vdGU+PENpdGU+PEF1dGhvcj5IZWlucmljaDwvQXV0aG9yPjxZZWFyPjIwMjY8L1llYXI+PFJlY051bT4yMTwvUmVjTnVtPjxEaXNwbGF5VGV4dD5bVjE2LTIxXTwvRGlzcGxheVRleHQ+PHJlY29yZD48cmVjLW51bWJlcj4yMTwvcmVjLW51bWJlcj48Zm9yZWlnbi1rZXlzPjxrZXkgYXBwPSJFTiIgZGItaWQ9IjYyZWQ2M2M2LTgzOWQtNWM5OC1hYTc5LWJjNTEwMDU1MDU5OCIgdGltZXN0YW1wPSIxNzkzMjgzNjg0Ij4yM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NCCN Biliary Tract Cancers v1.2026</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jJlZDYzYzYtODM5ZC01Yzk4LWFhNzktYmM1MTAwNTUwNTk4IiB0aW1lc3RhbXA9IjE3OTMyODM2ODQ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PDF 23 EXTRA-1 footnote h; PDF 65 MS-18 transplantation discussion; PDF 16 INTRA-1 footnotes l and s; PDF 61 MS-14; PDF 23 EXTRA-1 footnote h; PDF 58–59 MS-11–12; PDF 16 INTRA-1 and PDF 21 INTRA-C; PDF 18 INTRA-A; PDF 25 EXTRA-A; PDF 59 MS-12; PDF 16 INTRA-1 footnotes; PDF 61 MS-14; PDF 36 BIL-C 1; PDF 37 BIL-C 2; PDF 41 BIL-D; PDF 65 MS-18; PDF 23 EXTRA-1; PDF 37 BIL-C 2; PDF 65 MS-18; PDF 17 INTRA-2; PDF 24 EXTRA-2; PDF 61 MS-14 and PDF 65 MS-18</w:t>
            </w:r>
          </w:p>
          <w:p>
            <w:pPr>
              <w:pStyle w:val="Normal"/>
              <w:widowControl/>
              <w:spacing w:before="60" w:after="20"/>
            </w:pPr>
            <w:r>
              <w:t xml:space="preserve">Review depth: Targeted complete relevant guideline sections reviewed; exact pages and limits in nccn_biliary_final_check.json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uses radial size ≤3 cm for highly selected pCCA LT consideration, with no nodal, intrahepatic or extrahepatic metastatic disease. This differs from current OPTN Policy 9.5.A's single mass &lt;3 cm requirement. The transplant-referral option links to footnote l for small single tumors &lt;3 cm. Footnotes also describe biopsy-proven iCCA/mixed HCC-iCCA, cirrhosis, unresectability, prior locoregional/systemic therapy and six months from diagnosis or last treatment without new lesions/extrahepatic disease. Current NLRB guidance uses ≤3 cm, so the exactly 3.0 cm boundary is not identical. Determine pCCA resection/transplant status before primary biopsy; potential LT candidates should be referred before transperitoneal or surgical primary-tumor biopsy. For unresectable iCCA, obtain tissue confirmation and biomarkers. A preoperative biopsy is not always necessary when proceeding directly to potentially curative resection. These are different clinical settings. Resection remains the standard potentially curative route when feasible. For pCCA, assess functional/volumetric FLR, arterial and portal inflow, biliary drainage, and whether remnant-directed drainage/PVE or expert vascular reconstruction can permit R 0 surgery. The guideline does not define a universal numeric FLR cutoff in these sections. The original diagnosis-or-last-treatment wording is genuinely present in this version of NCCN, not a fabricated phrase. NCCN's summary does not resolve the two formulations in the controlling NLRB guidance. The systemic-therapy page's named neoadjuvant subsection is for gallbladder cancer only. Unresectable/metastatic BTC regimens include GemCis plus durvalumab/pembrolizumab as preferred options, and chemotherapy-only alternatives. This does not establish a transplant-specific NAT regimen or pre-LT ICI safety. The pCCA LT discussion cites selected neoadjuvant chemoradiation experience without prescribing a universal radiation schedule. NCCN supports tissue/genomic assessment for unresectable disease to guide systemic treatment. It does not establish a blanket permanent LT exclusion for every prior targeted or other systemic therapy. The postoperative-resection algorithms suggest abdominal/pelvic cross-sectional imaging plus chest CT every 3–6 months for 2 years, then every 6–12 months through year 5. Both explicitly acknowledge lack of data for an optimal schedule and cite the BILCAP schedule. NCCN summarizes highly selected observational and small prospective LT experience and notes selection differences in pCCA LT/resection comparisons. This does not overturn the main-paper evidence audit or validate expanded advanced/node-positive disease.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t xml:space="preserve"> </w:t>
            </w:r>
            <w:r>
              <w:fldChar w:fldCharType="begin"/>
            </w:r>
            <w:r>
              <w:instrText xml:space="preserve"> ADDIN EN.CITE </w:instrText>
            </w:r>
            <w:r>
              <w:fldChar w:fldCharType="begin">
                <w:fldData>PEVuZE5vdGU+PENpdGU+PEF1dGhvcj5UZTwvQXV0aG9yPjxZZWFyPjIwMjU8L1llYXI+PFJlY051bT4yNDwvUmVjTnVtPjxEaXNwbGF5VGV4dD5bVjE2LTI0XTwvRGlzcGxheVRleHQ+PHJlY29yZD48cmVjLW51bWJlcj4yNDwvcmVjLW51bWJlcj48Zm9yZWlnbi1rZXlzPjxrZXkgYXBwPSJFTiIgZGItaWQ9IjYyZWQ2M2M2LTgzOWQtNWM5OC1hYTc5LWJjNTEwMDU1MDU5OCIgdGltZXN0YW1wPSIxNzkzMjgzNjg0Ij4yND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2LTZdPC9EaXNwbGF5VGV4dD48cmVjb3JkPjxyZWMtbnVtYmVyPjY8L3JlYy1udW1iZXI+PGZvcmVpZ24ta2V5cz48a2V5IGFwcD0iRU4iIGRiLWlkPSI2MmVkNjNjNi04MzlkLTVjOTgtYWE3OS1iYzUxMDA1NTA1OTgiIHRpbWVzdGFtcD0iMTc5MzI4MzY4NC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63">
              <w:r>
                <w:rPr>
                  <w:color w:val="77230C"/>
                  <w:sz w:val="20"/>
                  <w:u w:val="single"/>
                </w:rPr>
                <w:t>Primary source</w:t>
              </w:r>
            </w:hyperlink>
            <w:r>
              <w:t xml:space="preserve"> | </w:t>
            </w:r>
            <w:hyperlink r:id="rId64">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Oh 2025</w:t>
            </w:r>
            <w:r>
              <w:t xml:space="preserve"> </w:t>
            </w:r>
            <w:r>
              <w:t xml:space="preserve"> </w:t>
            </w:r>
            <w:r>
              <w:t xml:space="preserve"> </w:t>
            </w:r>
            <w:r>
              <w:fldChar w:fldCharType="begin"/>
            </w:r>
            <w:r>
              <w:instrText xml:space="preserve"> ADDIN EN.CITE </w:instrText>
            </w:r>
            <w:r>
              <w:fldChar w:fldCharType="begin">
                <w:fldData>PEVuZE5vdGU+PENpdGU+PEF1dGhvcj5PaDwvQXV0aG9yPjxZZWFyPjIwMjU8L1llYXI+PFJlY051bT4zNDwvUmVjTnVtPjxEaXNwbGF5VGV4dD5bVjE2LTM0XTwvRGlzcGxheVRleHQ+PHJlY29yZD48cmVjLW51bWJlcj4zNDwvcmVjLW51bWJlcj48Zm9yZWlnbi1rZXlzPjxrZXkgYXBwPSJFTiIgZGItaWQ9IjYyZWQ2M2M2LTgzOWQtNWM5OC1hYTc5LWJjNTEwMDU1MDU5OCIgdGltZXN0YW1wPSIxNzkzMjgzNjg0Ij4zND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[V16-34]</w:t>
            </w:r>
            <w:r>
              <w:fldChar w:fldCharType="end"/>
            </w:r>
          </w:p>
          <w:p>
            <w:pPr>
              <w:pStyle w:val="Normal"/>
              <w:widowControl/>
              <w:spacing w:before="60" w:after="20"/>
            </w:pPr>
            <w:r>
              <w:t xml:space="preserve">Exploratory three-year update of randomized TOPAZ-1: 685 participants, 341 durvalumab/GemCis and 344 placebo/GemCis; not an independent new trial.</w:t>
            </w:r>
          </w:p>
          <w:p>
            <w:pPr>
              <w:pStyle w:val="Normal"/>
              <w:widowControl/>
              <w:spacing w:before="60" w:after="20"/>
            </w:pPr>
            <w:r>
              <w:t xml:space="preserve">Selection: 589/685 metastatic, 95 locally advanced and one unknown; 383 iCCA. Not a liver-only, six-month-response-selected LT population.</w:t>
            </w:r>
          </w:p>
          <w:p>
            <w:pPr>
              <w:pStyle w:val="Normal"/>
              <w:widowControl/>
              <w:spacing w:before="60" w:after="20"/>
            </w:pPr>
            <w:hyperlink r:id="rId65">
              <w:r>
                <w:rPr>
                  <w:color w:val="77230C"/>
                  <w:sz w:val="20"/>
                  <w:u w:val="single"/>
                </w:rPr>
                <w:t>Primary source</w:t>
              </w:r>
            </w:hyperlink>
            <w:r>
              <w:t xml:space="preserve"> | </w:t>
            </w:r>
            <w:hyperlink r:id="rId66">
              <w:r>
                <w:rPr>
                  <w:color w:val="77230C"/>
                  <w:sz w:val="20"/>
                  <w:u w:val="single"/>
                </w:rPr>
                <w:t>Full-text PDF</w:t>
              </w:r>
            </w:hyperlink>
          </w:p>
          <w:p>
            <w:pPr>
              <w:pStyle w:val="Normal"/>
              <w:widowControl/>
              <w:spacing w:before="60" w:after="20"/>
            </w:pPr>
            <w:r>
              <w:t xml:space="preserve">Locator: Complete 11-page J Hepatol 2025; 83:1092–1101 PDF, Methods, baseline, survival and safety.</w:t>
            </w:r>
          </w:p>
          <w:p>
            <w:pPr>
              <w:pStyle w:val="Normal"/>
              <w:widowControl/>
              <w:spacing w:before="60" w:after="20"/>
            </w:pPr>
            <w:r>
              <w:t xml:space="preserve">Review depth: Complete J Hepatol 2025; 83:1092–1101 article plus graphical-abstract cover; all main-paper pages reviewed. Exploratory three-year update of the existing randomized trial, not a new trial.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median OS 12.9 versus 11.3 months; HR .74 (CI .63–.87), 36-month OS 14.6% versus 6.9%, median follow-up 41.3 months. Serious adverse events: 165/338 versus 152/342; treatment-related serious events: 52/338 versus 59/342.</w:t>
            </w:r>
          </w:p>
          <w:p>
            <w:pPr>
              <w:pStyle w:val="Normal"/>
              <w:widowControl/>
              <w:spacing w:before="60" w:after="20"/>
            </w:pPr>
            <w:r>
              <w:rPr>
                <w:b/>
              </w:rPr>
              <w:t xml:space="preserve">Do not infer: </w:t>
            </w:r>
            <w:r>
              <w:t xml:space="preserve">Strong non-LT systemic evidence, not validation of LT benefit, pre-LT ICI safety or washout. No formal confirmatory test in this update; only serious-adverse-event collection continued after February 2022.</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Ni0xNl08L0Rpc3BsYXlUZXh0PjxyZWNvcmQ+PHJlYy1udW1iZXI+MTY8L3JlYy1udW1iZXI+PGZvcmVpZ24ta2V5cz48a2V5IGFwcD0iRU4iIGRiLWlkPSI2MmVkNjNjNi04MzlkLTVjOTgtYWE3OS1iYzUxMDA1NTA1OTgiIHRpbWVzdGFtcD0iMTc5MzI4MzY4NC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[V16-16]</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67">
              <w:r>
                <w:rPr>
                  <w:color w:val="77230C"/>
                  <w:sz w:val="20"/>
                  <w:u w:val="single"/>
                </w:rPr>
                <w:t>Primary source</w:t>
              </w:r>
            </w:hyperlink>
            <w:r>
              <w:t xml:space="preserve"> | </w:t>
            </w:r>
            <w:hyperlink r:id="rId68">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bl>
    <w:p>
      <w:pPr>
        <w:pStyle w:val="Normal"/>
        <w:widowControl/>
      </w:pPr>
      <w:hyperlink r:id="rId69">
        <w:r>
          <w:rPr>
            <w:color w:val="77230C"/>
            <w:sz w:val="20"/>
            <w:u w:val="single"/>
          </w:rPr>
          <w:t>Separate evidence/alignment meeting record — OPEN boundary decisions</w:t>
        </w:r>
      </w:hyperlink>
    </w:p>
    <w:p>
      <w:pPr>
        <w:pStyle w:val="Normal"/>
        <w:widowControl/>
      </w:pPr>
      <w:r>
        <w:t xml:space="preserve">Evidence review record: </w:t>
      </w:r>
      <w:hyperlink r:id="rId70">
        <w:r>
          <w:rPr>
            <w:color w:val="77230C"/>
            <w:sz w:val="20"/>
            <w:u w:val="single"/>
          </w:rPr>
          <w:t>Five analyst comments and reconciliation</w:t>
        </w:r>
      </w:hyperlink>
      <w:r>
        <w:t xml:space="preserve">  |  </w:t>
      </w:r>
      <w:hyperlink r:id="rId71">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iCCA_B4"/>
      <w:r>
        <w:t xml:space="preserve">iCCA-B4 — Previously treated nodal or extrahepatic disease</w:t>
      </w:r>
      <w:bookmarkEnd w:id="16010"/>
    </w:p>
    <w:p>
      <w:pPr>
        <w:pStyle w:val="Normal"/>
        <w:widowControl/>
        <w:spacing w:after="120"/>
      </w:pPr>
      <w:r>
        <w:t xml:space="preserve">Status: Closed. OPEN proposal for multidisciplinary review; not activated.</w:t>
      </w:r>
    </w:p>
    <w:p>
      <w:pPr>
        <w:pStyle w:val="Normal"/>
        <w:widowControl/>
        <w:spacing w:after="120"/>
      </w:pPr>
      <w:r>
        <w:t xml:space="preserve">Question: Should a patient whose iCCA nodal or extrahepatic disease has responded or been resected ever be considered for transplantation?</w:t>
      </w:r>
    </w:p>
    <w:p>
      <w:pPr>
        <w:pStyle w:val="Normal"/>
        <w:widowControl/>
        <w:spacing w:after="120"/>
      </w:pPr>
      <w:r>
        <w:t xml:space="preserve">Proposed position (OPEN): Keep closed. Proven nodal metastasis or extrahepatic disease, current or previously treated (including resected), excludes the small-cirrhotic route and the advanced-iCCA study. Confirm node-negative status with tissue before listing, and characterize every indeterminate extrahepatic lesion. Applies also to mixed HCC–iCCA.</w:t>
      </w:r>
    </w:p>
    <w:p>
      <w:pPr>
        <w:pStyle w:val="Heading3"/>
        <w:widowControl/>
        <w:keepNext/>
      </w:pPr>
      <w:r>
        <w:t xml:space="preserve">Proposed rules</w:t>
      </w:r>
    </w:p>
    <w:p>
      <w:pPr>
        <w:pStyle w:val="Normal"/>
        <w:widowControl/>
        <w:spacing w:after="120"/>
        <w:numPr>
          <w:ilvl w:val="0"/>
          <w:numId w:val="5"/>
        </w:numPr>
      </w:pPr>
      <w:r>
        <w:t xml:space="preserve">Previously proven malignant nodes, even after radiological or pathological response, and any previous distant metastasis (peritoneum, lung, bone, distant nodes) are outside the initial iCCA routes. Resection of an extrahepatic site does not clear this history.</w:t>
      </w:r>
    </w:p>
    <w:p>
      <w:pPr>
        <w:pStyle w:val="Normal"/>
        <w:widowControl/>
        <w:spacing w:after="120"/>
        <w:numPr>
          <w:ilvl w:val="0"/>
          <w:numId w:val="5"/>
        </w:numPr>
      </w:pPr>
      <w:r>
        <w:t xml:space="preserve">Suspicious or indeterminate nodes are HOLD until resolved with tissue; an imaging response is not nodal clearance.</w:t>
      </w:r>
    </w:p>
    <w:p>
      <w:pPr>
        <w:pStyle w:val="Normal"/>
        <w:widowControl/>
        <w:spacing w:after="120"/>
        <w:numPr>
          <w:ilvl w:val="0"/>
          <w:numId w:val="5"/>
        </w:numPr>
      </w:pPr>
      <w:r>
        <w:t xml:space="preserve">Advanced-iCCA study: before listing, sample stations 8 and 12 surgically, plus any suspicious node (EUS-FNA or surgical). For living donation, complete this before listing, not only at the combined donor–recipient laparotomy. A positive result ends the route.</w:t>
      </w:r>
    </w:p>
    <w:p>
      <w:pPr>
        <w:pStyle w:val="Normal"/>
        <w:widowControl/>
        <w:spacing w:after="120"/>
        <w:numPr>
          <w:ilvl w:val="0"/>
          <w:numId w:val="5"/>
        </w:numPr>
      </w:pPr>
      <w:r>
        <w:t xml:space="preserve">Indeterminate extrahepatic lesions (subcentimetre lung nodules, bone lesions) need biopsy or interval imaging; “stable on chemotherapy” is not clearance.</w:t>
      </w:r>
    </w:p>
    <w:p>
      <w:pPr>
        <w:pStyle w:val="Normal"/>
        <w:widowControl/>
        <w:spacing w:after="120"/>
        <w:numPr>
          <w:ilvl w:val="0"/>
          <w:numId w:val="5"/>
        </w:numPr>
      </w:pPr>
      <w:r>
        <w:t xml:space="preserve">Previously node-positive disease that has cleared is a separate future research question; do not combine it with multifocal, G3 or living-donor expansions.</w:t>
      </w:r>
    </w:p>
    <w:p>
      <w:pPr>
        <w:pStyle w:val="Normal"/>
        <w:widowControl/>
        <w:spacing w:after="120"/>
      </w:pPr>
      <w:r>
        <w:t xml:space="preserve">Why: Published iCCA transplant protocols exclude proven nodal and extrahepatic disease (one pilot, Wong 2019, admitted regional lymphadenopathy), and the Milan protocol excludes even resected extrahepatic spread. In the published series, early recurrences came from nodal disease missed by imaging, from indeterminate lesions accepted as stable, or from positive margins and perihilar-fat invasion.</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Lunsford 2018 · Houston iCCA protocol</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Houston prospective protocol; 6 transplanted. Excluded extrahepatic metastases and lymph-node involvement; suspicious regional nodes biopsied by EUS.</w:t>
            </w:r>
          </w:p>
        </w:tc>
        <w:tc>
          <w:tcPr>
            <w:tcW w:w="3743" w:type="dxa"/>
            <w:vAlign w:val="top"/>
            <w:shd w:fill="F1F5F8"/>
          </w:tcPr>
          <w:p>
            <w:pPr>
              <w:pStyle w:val="Normal"/>
              <w:widowControl/>
              <w:spacing w:after="55" w:line="240" w:lineRule="auto"/>
              <w:keepNext w:val="0"/>
              <w:keepLines/>
            </w:pPr>
            <w:r>
              <w:rPr>
                <w:sz w:val="21"/>
                <w:szCs w:val="21"/>
              </w:rPr>
              <w:t xml:space="preserve">Results: One recipient with unbiopsied, PET-negative periportal nodes that regressed (node-negative on explant) recurred in the peritoneum at 9.7 months, attributed by the authors to perihilar-fat invasion with a positive margin; in 2 of 6, “stable” extrahepatic lesions proved metastatic after transplant.</w:t>
            </w:r>
          </w:p>
          <w:p>
            <w:pPr>
              <w:pStyle w:val="Normal"/>
              <w:widowControl/>
              <w:spacing w:after="55" w:line="240" w:lineRule="auto"/>
              <w:keepNext w:val="0"/>
              <w:keepLines/>
            </w:pPr>
            <w:r>
              <w:rPr>
                <w:sz w:val="21"/>
                <w:szCs w:val="21"/>
              </w:rPr>
              <w:t xml:space="preserve">Limits: Six recipients.</w:t>
            </w:r>
          </w:p>
          <w:p>
            <w:pPr>
              <w:pStyle w:val="Normal"/>
              <w:widowControl/>
              <w:spacing w:after="55" w:line="240" w:lineRule="auto"/>
              <w:keepNext w:val="0"/>
              <w:keepLines/>
            </w:pPr>
            <w:r>
              <w:rPr>
                <w:sz w:val="21"/>
                <w:szCs w:val="21"/>
              </w:rPr>
              <w:t xml:space="preserve">Lancet Gastroenterol Hepatol 2018; Methods, Table 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2LTE3XTwvRGlzcGxheVRleHQ+PHJlY29yZD48cmVjLW51bWJlcj4xNzwvcmVjLW51bWJlcj48Zm9yZWlnbi1rZXlzPjxrZXkgYXBwPSJFTiIgZGItaWQ9IjYyZWQ2M2M2LTgzOWQtNWM5OC1hYTc5LWJjNTEwMDU1MDU5OCIgdGltZXN0YW1wPSIxNzkzMjgzNjg0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Z1bGwgdGV4dCByZWFkIGZvciB0aGUgVjE2IGV4dHJhaGVwYXRpYy1kaXNlYXNlIHJldmlldyAoY29tcGxldGUgbWFpbiB0ZXh0OyByZWxldmFudCBjb21wbGV0ZSBzZWN0aW9ucyBmb3IgbG9uZyBndWlkZWxpbmVzKS4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[V16-17]</w:t>
            </w:r>
            <w:r>
              <w:fldChar w:fldCharType="end"/>
            </w:r>
            <w:r>
              <w:br/>
            </w:r>
            <w:hyperlink r:id="rId209">
              <w:r>
                <w:rPr>
                  <w:color w:val="0563C1"/>
                  <w:u w:val="single"/>
                </w:rPr>
                <w:t>Source</w:t>
              </w:r>
            </w:hyperlink>
            <w:r>
              <w:t xml:space="preserve"> · </w:t>
            </w:r>
            <w:hyperlink r:id="rId210">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McMillan 2021 · Houston iCCA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Houston extended series; 32 listed, 18 transplanted. Nodal or distant metastasis defined as extrahepatic disease and excluded; delisted on extrahepatic progression.</w:t>
            </w:r>
          </w:p>
        </w:tc>
        <w:tc>
          <w:tcPr>
            <w:tcW w:w="3743" w:type="dxa"/>
            <w:vAlign w:val="top"/>
            <w:shd w:fill="FFFFFF"/>
          </w:tcPr>
          <w:p>
            <w:pPr>
              <w:pStyle w:val="Normal"/>
              <w:widowControl/>
              <w:spacing w:after="55" w:line="240" w:lineRule="auto"/>
              <w:keepNext w:val="0"/>
              <w:keepLines/>
            </w:pPr>
            <w:r>
              <w:rPr>
                <w:sz w:val="21"/>
                <w:szCs w:val="21"/>
              </w:rPr>
              <w:t xml:space="preserve">Results: Survival from listing 100/71/57% at 1/3/5 years (all listed: 90/61/49%); one explant had metastatic carcinoma in 4 of 7 hilar nodes; two early recurrences arose from indeterminate pre-transplant lesions.</w:t>
            </w:r>
          </w:p>
          <w:p>
            <w:pPr>
              <w:pStyle w:val="Normal"/>
              <w:widowControl/>
              <w:spacing w:after="55" w:line="240" w:lineRule="auto"/>
              <w:keepNext w:val="0"/>
              <w:keepLines/>
            </w:pPr>
            <w:r>
              <w:rPr>
                <w:sz w:val="21"/>
                <w:szCs w:val="21"/>
              </w:rPr>
              <w:t xml:space="preserve">Limits: Single centre.</w:t>
            </w:r>
          </w:p>
          <w:p>
            <w:pPr>
              <w:pStyle w:val="Normal"/>
              <w:widowControl/>
              <w:spacing w:after="55" w:line="240" w:lineRule="auto"/>
              <w:keepNext w:val="0"/>
              <w:keepLines/>
            </w:pPr>
            <w:r>
              <w:rPr>
                <w:sz w:val="21"/>
                <w:szCs w:val="21"/>
              </w:rPr>
              <w:t xml:space="preserve">Am J Transplant 2022 (online 2021); Sections 2.1–2.2, 3.4–3.5.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YtOF08L0Rpc3BsYXlUZXh0PjxyZWNvcmQ+PHJlYy1udW1iZXI+ODwvcmVjLW51bWJlcj48Zm9yZWlnbi1rZXlzPjxrZXkgYXBwPSJFTiIgZGItaWQ9IjYyZWQ2M2M2LTgzOWQtNWM5OC1hYTc5LWJjNTEwMDU1MDU5OCIgdGltZXN0YW1wPSIxNzkzMjgzNjg0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RnVsbCB0ZXh0IHJlYWQgZm9yIHRoZSBWMTYgZXh0cmFoZXBhdGljLWRpc2Vhc2UgcmV2aWV3IChjb21wbGV0ZSBtYWluIHRleHQ7IHJlbGV2YW50IGNvbXBsZXRlIHNlY3Rpb25zIGZvciBsb25nIGd1aWRlbGluZXMpLiBWOCBleHRyYWN0aW9uIGFuZCBsaW1pdGF0aW9uczogc291cmNlL2JpbGlhcnlfZnVsbHRleHRfcmV2aWV3Lmpzb248L25vdGVzPjx1cmxzPjxyZWxhdGVkLXVybHM+PHVybD5odHRwczovL2RvaS5vcmcvMTAuMTExMS9hanQuMTY5MDY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br/>
            </w:r>
            <w:hyperlink r:id="rId211">
              <w:r>
                <w:rPr>
                  <w:color w:val="0563C1"/>
                  <w:u w:val="single"/>
                </w:rPr>
                <w:t>Source</w:t>
              </w:r>
            </w:hyperlink>
            <w:r>
              <w:t xml:space="preserve"> · </w:t>
            </w:r>
            <w:hyperlink r:id="rId212">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Maspero 2024 · Milan SYS-TARE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Milan SYS-TARE protocol; 13 enrolled, 4 transplanted. Excludes “prior resected extrahepatic tumor spread”; surgical sampling of stations 8 and 12 before listing.</w:t>
            </w:r>
          </w:p>
        </w:tc>
        <w:tc>
          <w:tcPr>
            <w:tcW w:w="3743" w:type="dxa"/>
            <w:vAlign w:val="top"/>
            <w:shd w:fill="F1F5F8"/>
          </w:tcPr>
          <w:p>
            <w:pPr>
              <w:pStyle w:val="Normal"/>
              <w:widowControl/>
              <w:spacing w:after="55" w:line="240" w:lineRule="auto"/>
              <w:keepNext w:val="0"/>
              <w:keepLines/>
            </w:pPr>
            <w:r>
              <w:rPr>
                <w:sz w:val="21"/>
                <w:szCs w:val="21"/>
              </w:rPr>
              <w:t xml:space="preserve">Results: Positive nodes in 2 of 6 explored, missed by imaging and PET; all 4 transplanted patients disease-free at 8–73 months.</w:t>
            </w:r>
          </w:p>
          <w:p>
            <w:pPr>
              <w:pStyle w:val="Normal"/>
              <w:widowControl/>
              <w:spacing w:after="55" w:line="240" w:lineRule="auto"/>
              <w:keepNext w:val="0"/>
              <w:keepLines/>
            </w:pPr>
            <w:r>
              <w:rPr>
                <w:sz w:val="21"/>
                <w:szCs w:val="21"/>
              </w:rPr>
              <w:t xml:space="preserve">Limits: Small; abstract and Results drop-out counts differ.</w:t>
            </w:r>
          </w:p>
          <w:p>
            <w:pPr>
              <w:pStyle w:val="Normal"/>
              <w:widowControl/>
              <w:spacing w:after="55" w:line="240" w:lineRule="auto"/>
              <w:keepNext w:val="0"/>
              <w:keepLines/>
            </w:pPr>
            <w:r>
              <w:rPr>
                <w:sz w:val="21"/>
                <w:szCs w:val="21"/>
              </w:rPr>
              <w:t xml:space="preserve">Transpl Int 2024; Methods,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NwZXJvPC9BdXRob3I+PFllYXI+MjAyNDwvWWVhcj48UmVjTnVtPjM1PC9SZWNOdW0+PERpc3BsYXlUZXh0PltWMTYtMzVdPC9EaXNwbGF5VGV4dD48cmVjb3JkPjxyZWMtbnVtYmVyPjM1PC9yZWMtbnVtYmVyPjxmb3JlaWduLWtleXM+PGtleSBhcHA9IkVOIiBkYi1pZD0iNjJlZDYzYzYtODM5ZC01Yzk4LWFhNzktYmM1MTAwNTUwNTk4IiB0aW1lc3RhbXA9IjE3OTMyODM2ODQiPjM1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WFkIGZvciB0aGUgVjE2IGV4dHJhaGVwYXRpYy1kaXNlYXNlIHJldmlldyAoY29tcGxldGUgbWFpbiB0ZXh0OyByZWxldmFudCBjb21wbGV0ZSBzZWN0aW9ucyBmb3IgbG9uZyBndWlkZWxpbmVzKS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y8+PC91cmxzPjwvcmVjb3JkPjwvQ2l0ZT48L0VuZE5vdGU+</w:fldData>
              </w:fldChar>
            </w:r>
            <w:r>
              <w:instrText xml:space="preserve"> ADDIN EN.CITE.DATA </w:instrText>
            </w:r>
            <w:r>
              <w:fldChar w:fldCharType="end"/>
            </w:r>
            <w:r>
              <w:fldChar w:fldCharType="separate"/>
            </w:r>
            <w:r>
              <w:t xml:space="preserve">[V16-35]</w:t>
            </w:r>
            <w:r>
              <w:fldChar w:fldCharType="end"/>
            </w:r>
            <w:r>
              <w:br/>
            </w:r>
            <w:hyperlink r:id="rId213">
              <w:r>
                <w:rPr>
                  <w:color w:val="0563C1"/>
                  <w:u w:val="single"/>
                </w:rPr>
                <w:t>Source</w:t>
              </w:r>
            </w:hyperlink>
            <w:r>
              <w:t xml:space="preserve"> · </w:t>
            </w:r>
            <w:hyperlink r:id="rId214">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Sethi 2026 · UPMC LDLT for iCCA</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UPMC living-donor series, 7 recipients (co-authored by Hao Liu). Liver-confined disease; nodes biopsied at the combined laparotomy.</w:t>
            </w:r>
          </w:p>
        </w:tc>
        <w:tc>
          <w:tcPr>
            <w:tcW w:w="3743" w:type="dxa"/>
            <w:vAlign w:val="top"/>
            <w:shd w:fill="FFFFFF"/>
          </w:tcPr>
          <w:p>
            <w:pPr>
              <w:pStyle w:val="Normal"/>
              <w:widowControl/>
              <w:spacing w:after="55" w:line="240" w:lineRule="auto"/>
              <w:keepNext w:val="0"/>
              <w:keepLines/>
            </w:pPr>
            <w:r>
              <w:rPr>
                <w:sz w:val="21"/>
                <w:szCs w:val="21"/>
              </w:rPr>
              <w:t xml:space="preserve">Results: 2 of 6 explants with viable tumor were node-positive although the protocol included nodal biopsy at the same laparotomy; one died at about 7 months; a sub-PET-threshold lung nodule became a metastasis.</w:t>
            </w:r>
          </w:p>
          <w:p>
            <w:pPr>
              <w:pStyle w:val="Normal"/>
              <w:widowControl/>
              <w:spacing w:after="55" w:line="240" w:lineRule="auto"/>
              <w:keepNext w:val="0"/>
              <w:keepLines/>
            </w:pPr>
            <w:r>
              <w:rPr>
                <w:sz w:val="21"/>
                <w:szCs w:val="21"/>
              </w:rPr>
              <w:t xml:space="preserve">Limits: Seven patients.</w:t>
            </w:r>
          </w:p>
          <w:p>
            <w:pPr>
              <w:pStyle w:val="Normal"/>
              <w:widowControl/>
              <w:spacing w:after="55" w:line="240" w:lineRule="auto"/>
              <w:keepNext w:val="0"/>
              <w:keepLines/>
            </w:pPr>
            <w:r>
              <w:rPr>
                <w:sz w:val="21"/>
                <w:szCs w:val="21"/>
              </w:rPr>
              <w:t xml:space="preserve">Am J Transplant 2026; Results, Table 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ZXRoaTwvQXV0aG9yPjxZZWFyPjIwMjY8L1llYXI+PFJlY051bT45PC9SZWNOdW0+PERpc3BsYXlUZXh0PltWMTYtOV08L0Rpc3BsYXlUZXh0PjxyZWNvcmQ+PHJlYy1udW1iZXI+OTwvcmVjLW51bWJlcj48Zm9yZWlnbi1rZXlzPjxrZXkgYXBwPSJFTiIgZGItaWQ9IjYyZWQ2M2M2LTgzOWQtNWM5OC1hYTc5LWJjNTEwMDU1MDU5OCIgdGltZXN0YW1wPSIxNzkzMjgzNjg0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GdWxsIHRleHQgcmVhZCBmb3IgdGhlIFYxNiBleHRyYWhlcGF0aWMtZGlzZWFzZSByZXZpZXcgKGNvbXBsZXRlIG1haW4gdGV4dDsgcmVsZXZhbnQgY29tcGxldGUgc2VjdGlvbnMgZm9yIGxvbmcgZ3VpZGVsaW5lcykuIFY4IGV4dHJhY3Rpb24gYW5kIGxpbWl0YXRpb25zOiBzb3VyY2UvYmlsaWFyeV9mdWxsdGV4dF9yZXZpZXcuanNvbjwvbm90ZXM+PHVybHM+PHJlbGF0ZWQtdXJscz48dXJsPmh0dHBzOi8vZG9pLm9yZy8xMC4xMDE2L2ouYWp0LjIwMjYuMDkuMDM5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br/>
            </w:r>
            <w:hyperlink r:id="rId215">
              <w:r>
                <w:rPr>
                  <w:color w:val="0563C1"/>
                  <w:u w:val="single"/>
                </w:rPr>
                <w:t>Source</w:t>
              </w:r>
            </w:hyperlink>
            <w:r>
              <w:t xml:space="preserve"> · </w:t>
            </w:r>
            <w:hyperlink r:id="rId216">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Campbell 2026 · biliary cancer LT, single centre</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Single-centre series, 98 biliary-cancer transplants. Explant nodal status.</w:t>
            </w:r>
          </w:p>
        </w:tc>
        <w:tc>
          <w:tcPr>
            <w:tcW w:w="3743" w:type="dxa"/>
            <w:vAlign w:val="top"/>
            <w:shd w:fill="F1F5F8"/>
          </w:tcPr>
          <w:p>
            <w:pPr>
              <w:pStyle w:val="Normal"/>
              <w:widowControl/>
              <w:spacing w:after="55" w:line="240" w:lineRule="auto"/>
              <w:keepNext w:val="0"/>
              <w:keepLines/>
            </w:pPr>
            <w:r>
              <w:rPr>
                <w:sz w:val="21"/>
                <w:szCs w:val="21"/>
              </w:rPr>
              <w:t xml:space="preserve">Results: Node positivity predicted recurrence (HR 3.27, 1.32–8.10) but not overall survival (p=0.14); in the intentional pCCA/iCCA subset (n=53) the recurrence HR was 2.48 and not significant (p=0.17).</w:t>
            </w:r>
          </w:p>
          <w:p>
            <w:pPr>
              <w:pStyle w:val="Normal"/>
              <w:widowControl/>
              <w:spacing w:after="55" w:line="240" w:lineRule="auto"/>
              <w:keepNext w:val="0"/>
              <w:keepLines/>
            </w:pPr>
            <w:r>
              <w:rPr>
                <w:sz w:val="21"/>
                <w:szCs w:val="21"/>
              </w:rPr>
              <w:t xml:space="preserve">Limits: Mixed subtypes; nodes found on explant, not before.</w:t>
            </w:r>
          </w:p>
          <w:p>
            <w:pPr>
              <w:pStyle w:val="Normal"/>
              <w:widowControl/>
              <w:spacing w:after="55" w:line="240" w:lineRule="auto"/>
              <w:keepNext w:val="0"/>
              <w:keepLines/>
            </w:pPr>
            <w:r>
              <w:rPr>
                <w:sz w:val="21"/>
                <w:szCs w:val="21"/>
              </w:rPr>
              <w:t xml:space="preserve">Ann Surg Oncol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I0NS9zMTA0MzQtMDI2LTE5OTc1LTY8L3VybD48L3JlbGF0ZWQtdXJscz48L3VybHM+PC9yZWNvcmQ+PC9DaXRlPjwvRW5kTm90ZT4=</w:fldData>
              </w:fldChar>
            </w:r>
            <w:r>
              <w:instrText xml:space="preserve"> ADDIN EN.CITE.DATA </w:instrText>
            </w:r>
            <w:r>
              <w:fldChar w:fldCharType="end"/>
            </w:r>
            <w:r>
              <w:fldChar w:fldCharType="separate"/>
            </w:r>
            <w:r>
              <w:t xml:space="preserve">[V16-36]</w:t>
            </w:r>
            <w:r>
              <w:fldChar w:fldCharType="end"/>
            </w:r>
            <w:r>
              <w:br/>
            </w:r>
            <w:hyperlink r:id="rId217">
              <w:r>
                <w:rPr>
                  <w:color w:val="0563C1"/>
                  <w:u w:val="single"/>
                </w:rPr>
                <w:t>Source</w:t>
              </w:r>
            </w:hyperlink>
            <w:r>
              <w:t xml:space="preserve"> · </w:t>
            </w:r>
            <w:r>
              <w:t xml:space="preserve">full PDF pending</w:t>
            </w:r>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ILTS–ILCA 2024 consensus (Kodali 2026)</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2024 ILTS–ILCA consensus. Transplant for iCCA only without extrahepatic metastasis (cirrhotic ≤3 cm) or for liver-confined disease within protocols.</w:t>
            </w:r>
          </w:p>
        </w:tc>
        <w:tc>
          <w:tcPr>
            <w:tcW w:w="3743" w:type="dxa"/>
            <w:vAlign w:val="top"/>
            <w:shd w:fill="FFFFFF"/>
          </w:tcPr>
          <w:p>
            <w:pPr>
              <w:pStyle w:val="Normal"/>
              <w:widowControl/>
              <w:spacing w:after="55" w:line="240" w:lineRule="auto"/>
              <w:keepNext w:val="0"/>
              <w:keepLines/>
            </w:pPr>
            <w:r>
              <w:rPr>
                <w:sz w:val="21"/>
                <w:szCs w:val="21"/>
              </w:rPr>
              <w:t xml:space="preserve">Results: No outcome data.</w:t>
            </w:r>
          </w:p>
          <w:p>
            <w:pPr>
              <w:pStyle w:val="Normal"/>
              <w:widowControl/>
              <w:spacing w:after="55" w:line="240" w:lineRule="auto"/>
              <w:keepNext w:val="0"/>
              <w:keepLines/>
            </w:pPr>
            <w:r>
              <w:rPr>
                <w:sz w:val="21"/>
                <w:szCs w:val="21"/>
              </w:rPr>
              <w:t xml:space="preserve">Limits: Silent on previously treated disease.</w:t>
            </w:r>
          </w:p>
          <w:p>
            <w:pPr>
              <w:pStyle w:val="Normal"/>
              <w:widowControl/>
              <w:spacing w:after="55" w:line="240" w:lineRule="auto"/>
              <w:keepNext w:val="0"/>
              <w:keepLines/>
            </w:pPr>
            <w:r>
              <w:rPr>
                <w:sz w:val="21"/>
                <w:szCs w:val="21"/>
              </w:rPr>
              <w:t xml:space="preserve">Liver Cancer 2026; Working Group statements.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b2RhbGk8L0F1dGhvcj48WWVhcj4yMDI1PC9ZZWFyPjxSZWNOdW0+Mzc8L1JlY051bT48RGlzcGxheVRleHQ+W1YxNi0zN108L0Rpc3BsYXlUZXh0PjxyZWNvcmQ+PHJlYy1udW1iZXI+Mzc8L3JlYy1udW1iZXI+PGZvcmVpZ24ta2V5cz48a2V5IGFwcD0iRU4iIGRiLWlkPSI2MmVkNjNjNi04MzlkLTVjOTgtYWE3OS1iYzUxMDA1NTA1OTgiIHRpbWVzdGFtcD0iMTc5MzI4MzY4NCI+Mzc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RnVsbCB0ZXh0IHJlYWQgZm9yIHRoZSBWMTYgZXh0cmFoZXBhdGljLWRpc2Vhc2UgcmV2aWV3IChjb21wbGV0ZSBtYWluIHRleHQ7IHJlbGV2YW50IGNvbXBsZXRlIHNlY3Rpb25zIGZvciBsb25nIGd1aWRlbGluZXMp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[V16-37]</w:t>
            </w:r>
            <w:r>
              <w:fldChar w:fldCharType="end"/>
            </w:r>
            <w:r>
              <w:br/>
            </w:r>
            <w:hyperlink r:id="rId218">
              <w:r>
                <w:rPr>
                  <w:color w:val="0563C1"/>
                  <w:u w:val="single"/>
                </w:rPr>
                <w:t>Source</w:t>
              </w:r>
            </w:hyperlink>
            <w:r>
              <w:t xml:space="preserve"> · </w:t>
            </w:r>
            <w:hyperlink r:id="rId219">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Hu 2011 · LT for iCCA</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Single-centre series, 20 transplants. Nodal invasion recorded.</w:t>
            </w:r>
          </w:p>
        </w:tc>
        <w:tc>
          <w:tcPr>
            <w:tcW w:w="3743" w:type="dxa"/>
            <w:vAlign w:val="top"/>
            <w:shd w:fill="F1F5F8"/>
          </w:tcPr>
          <w:p>
            <w:pPr>
              <w:pStyle w:val="Normal"/>
              <w:widowControl/>
              <w:spacing w:after="55" w:line="240" w:lineRule="auto"/>
              <w:keepNext w:val="0"/>
              <w:keepLines/>
            </w:pPr>
            <w:r>
              <w:rPr>
                <w:sz w:val="21"/>
                <w:szCs w:val="21"/>
              </w:rPr>
              <w:t xml:space="preserve">Results: Nodal invasion an independent predictor of death.</w:t>
            </w:r>
          </w:p>
          <w:p>
            <w:pPr>
              <w:pStyle w:val="Normal"/>
              <w:widowControl/>
              <w:spacing w:after="55" w:line="240" w:lineRule="auto"/>
              <w:keepNext w:val="0"/>
              <w:keepLines/>
            </w:pPr>
            <w:r>
              <w:rPr>
                <w:sz w:val="21"/>
                <w:szCs w:val="21"/>
              </w:rPr>
              <w:t xml:space="preserve">Limits: Small, older series.</w:t>
            </w:r>
          </w:p>
          <w:p>
            <w:pPr>
              <w:pStyle w:val="Normal"/>
              <w:widowControl/>
              <w:spacing w:after="55" w:line="240" w:lineRule="auto"/>
              <w:keepNext w:val="0"/>
              <w:keepLines/>
            </w:pPr>
            <w:r>
              <w:rPr>
                <w:sz w:val="21"/>
                <w:szCs w:val="21"/>
              </w:rPr>
              <w:t xml:space="preserve">Hepatogastroenterology 2011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</w:fldData>
              </w:fldChar>
            </w:r>
            <w:r>
              <w:instrText xml:space="preserve"> ADDIN EN.CITE.DATA </w:instrText>
            </w:r>
            <w:r>
              <w:fldChar w:fldCharType="end"/>
            </w:r>
            <w:r>
              <w:fldChar w:fldCharType="separate"/>
            </w:r>
            <w:r>
              <w:t xml:space="preserve">[V16-38]</w:t>
            </w:r>
            <w:r>
              <w:fldChar w:fldCharType="end"/>
            </w:r>
            <w:r>
              <w:br/>
            </w:r>
            <w:hyperlink r:id="rId220">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One pilot admitted regional lymphadenopathy in mixed hilar and intrahepatic tumors (5 of 18 transplanted, one nodal recurrence); whether the nodes were proven malignant is not reported in the abstract, and it cannot establish a cleared-node pathway.</w:t>
      </w:r>
    </w:p>
    <w:p>
      <w:pPr>
        <w:pStyle w:val="Normal"/>
        <w:widowControl/>
        <w:spacing w:after="120"/>
      </w:pPr>
      <w:r>
        <w:t xml:space="preserve">Certainty: Low that liver-confined disease after sustained response selects better recipients; very low for transplantation after previously malignant nodes; none for previously treated distant disease.</w:t>
      </w:r>
    </w:p>
    <w:p>
      <w:pPr>
        <w:pStyle w:val="Normal"/>
        <w:widowControl/>
        <w:spacing w:after="120"/>
      </w:pPr>
      <w:r>
        <w:t xml:space="preserve">What would change the answer: A protocol series with tissue-proven nodal clearance before listing and ≥3-year outcomes.</w:t>
      </w:r>
    </w:p>
    <w:p>
      <w:pPr>
        <w:pStyle w:val="Normal"/>
        <w:widowControl/>
        <w:spacing w:after="120"/>
      </w:pPr>
      <w:r>
        <w:t xml:space="preserve">Meeting question iCCA-B4,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Selected-recipient survival and early LDLT reports omitted key timing and donor-morbidity qualifications. </w:t>
      </w:r>
      <w:r>
        <w:rPr>
          <w:b/>
        </w:rPr>
        <w:t xml:space="preserve">Correction and reason: </w:t>
      </w:r>
      <w:r>
        <w:t xml:space="preserve">Added listing-based time origins, occult adverse pathology, donor reoperation/drainage and the distinction between conversion-to-resection evidence and transplant evidence.</w:t>
      </w:r>
    </w:p>
    <w:p>
      <w:pPr>
        <w:pStyle w:val="Normal"/>
        <w:keepNext/>
        <w:widowControl/>
        <w:keepLines/>
      </w:pPr>
      <w:r>
        <w:rPr>
          <w:b/>
        </w:rPr>
        <w:t xml:space="preserve">Problem: </w:t>
      </w:r>
      <w:r>
        <w:t xml:space="preserve">pCCA-specific biopsy/resection exclusions and a CRLM growth rule had been imported into iCCA. </w:t>
      </w:r>
      <w:r>
        <w:rPr>
          <w:b/>
        </w:rPr>
        <w:t xml:space="preserve">Correction and reason: </w:t>
      </w:r>
      <w:r>
        <w:t xml:space="preserve">Removed those cross-disease errors; retained required tissue diagnosis, appropriate reassessment and the actual iCCA guidance criteria.</w:t>
      </w:r>
    </w:p>
    <w:p>
      <w:pPr>
        <w:pStyle w:val="Normal"/>
        <w:keepNext/>
        <w:widowControl/>
        <w:keepLines/>
      </w:pPr>
      <w:r>
        <w:rPr>
          <w:b/>
        </w:rPr>
        <w:t xml:space="preserve">Problem: </w:t>
      </w:r>
      <w:r>
        <w:t xml:space="preserve">Six-month clock wording and the 2–3-cm evidence boundary were oversimplified. </w:t>
      </w:r>
      <w:r>
        <w:rPr>
          <w:b/>
        </w:rPr>
        <w:t xml:space="preserve">Correction and reason: </w:t>
      </w:r>
      <w:r>
        <w:t xml:space="preserve">Kept both official clock formulations visible for allocation clarification and distinguished selected early-iCCA outcomes from expanded LT evidence.</w:t>
      </w:r>
    </w:p>
    <w:p>
      <w:pPr>
        <w:pStyle w:val="Normal"/>
        <w:keepNext/>
        <w:widowControl/>
        <w:keepLines/>
      </w:pPr>
      <w:r>
        <w:rPr>
          <w:b/>
        </w:rPr>
        <w:t xml:space="preserve">Problem: </w:t>
      </w:r>
      <w:r>
        <w:t xml:space="preserve">A cohort median mTOR start and surveillance practice appeared as mandatory rules. </w:t>
      </w:r>
      <w:r>
        <w:rPr>
          <w:b/>
        </w:rPr>
        <w:t xml:space="preserve">Correction and reason: </w:t>
      </w:r>
      <w:r>
        <w:t xml:space="preserve">Removed the fixed conversion deadline and unproven cancer benefit; retained day-30 everolimus safety, graft safeguards and explicitly proposed follow-up.</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Revision history</w:t>
      </w:r>
    </w:p>
    <w:p>
      <w:pPr>
        <w:pStyle w:val="Normal"/>
        <w:widowControl/>
        <w:spacing w:after="120"/>
      </w:pPr>
      <w:r>
        <w:t xml:space="preserve">2026-10-25 04:38 CDT. Problem and correction: Integrate iCCA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221">
        <w:r>
          <w:rPr>
            <w:color w:val="0563C1"/>
            <w:u w:val="single"/>
          </w:rPr>
          <w:t>Source</w:t>
        </w:r>
      </w:hyperlink>
      <w:r>
        <w:t xml:space="preserve"> | </w:t>
      </w:r>
      <w:hyperlink r:id="rId222">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223">
        <w:r>
          <w:rPr>
            <w:color w:val="0563C1"/>
            <w:u w:val="single"/>
          </w:rPr>
          <w:t>Source</w:t>
        </w:r>
      </w:hyperlink>
      <w:r>
        <w:t xml:space="preserve"> | </w:t>
      </w:r>
      <w:hyperlink r:id="rId224">
        <w:r>
          <w:rPr>
            <w:color w:val="0563C1"/>
            <w:u w:val="single"/>
          </w:rPr>
          <w:t>Full-text access</w:t>
        </w:r>
      </w:hyperlink>
    </w:p>
    <w:p>
      <w:pPr>
        <w:pStyle w:val="Normal"/>
        <w:widowControl/>
        <w:spacing w:after="120"/>
      </w:pPr>
      <w:r>
        <w:t xml:space="preserve"/>
      </w:r>
      <w:r>
        <w:t xml:space="preserve">[V16-3] National Comprehensive Cancer Network. NCCN Clinical Practice Guidelines in Oncology: Biliary Tract Cancers, Version 1.2026 (10 March 2026). . 2026. </w:t>
      </w:r>
      <w:hyperlink r:id="rId225">
        <w:r>
          <w:rPr>
            <w:color w:val="0563C1"/>
            <w:u w:val="single"/>
          </w:rPr>
          <w:t>Source</w:t>
        </w:r>
      </w:hyperlink>
      <w:r>
        <w:t xml:space="preserve"> | </w:t>
      </w:r>
      <w:hyperlink r:id="rId226">
        <w:r>
          <w:rPr>
            <w:color w:val="0563C1"/>
            <w:u w:val="single"/>
          </w:rPr>
          <w:t>Full-text access</w:t>
        </w:r>
      </w:hyperlink>
    </w:p>
    <w:p>
      <w:pPr>
        <w:pStyle w:val="Normal"/>
        <w:widowControl/>
        <w:spacing w:after="120"/>
      </w:pPr>
      <w:r>
        <w:t xml:space="preserve"/>
      </w:r>
      <w:r>
        <w:t xml:space="preserve">[V16-4] Dove, Lorna; Chadha, Ryan M.; Lai, Jennifer C.; et al. AASLD AST Practice Guideline on adult liver transplantation: Candidate evaluation. Hepatology. 2026; 83(6):1609-1645. </w:t>
      </w:r>
      <w:hyperlink r:id="rId227">
        <w:r>
          <w:rPr>
            <w:color w:val="0563C1"/>
            <w:u w:val="single"/>
          </w:rPr>
          <w:t>Source</w:t>
        </w:r>
      </w:hyperlink>
      <w:r>
        <w:t xml:space="preserve"> | </w:t>
      </w:r>
      <w:hyperlink r:id="rId228">
        <w:r>
          <w:rPr>
            <w:color w:val="0563C1"/>
            <w:u w:val="single"/>
          </w:rPr>
          <w:t>Full-text access</w:t>
        </w:r>
      </w:hyperlink>
    </w:p>
    <w:p>
      <w:pPr>
        <w:pStyle w:val="Normal"/>
        <w:widowControl/>
        <w:spacing w:after="120"/>
      </w:pPr>
      <w:r>
        <w:t xml:space="preserve"/>
      </w:r>
      <w:r>
        <w:t xml:space="preserve">[V16-5] Sapisochin, G; Facciuto, M; Rubbia-Brandt, L; et al. Liver transplantation for "very early" intrahepatic cholangiocarcinoma: International retrospective study supporting a prospective assessment. Hepatology (Baltimore, Md.). 2016; 64(4):1178-88. </w:t>
      </w:r>
      <w:hyperlink r:id="rId229">
        <w:r>
          <w:rPr>
            <w:color w:val="0563C1"/>
            <w:u w:val="single"/>
          </w:rPr>
          <w:t>Source</w:t>
        </w:r>
      </w:hyperlink>
      <w:r>
        <w:t xml:space="preserve"> | </w:t>
      </w:r>
      <w:hyperlink r:id="rId230">
        <w:r>
          <w:rPr>
            <w:color w:val="0563C1"/>
            <w:u w:val="single"/>
          </w:rPr>
          <w:t>Full-text access</w:t>
        </w:r>
      </w:hyperlink>
    </w:p>
    <w:p>
      <w:pPr>
        <w:pStyle w:val="Normal"/>
        <w:widowControl/>
        <w:spacing w:after="120"/>
      </w:pPr>
      <w:r>
        <w:t xml:space="preserve"/>
      </w:r>
      <w:r>
        <w:t xml:space="preserve">[V16-6] Bowlus, Christopher L.; Arrivé, Lionel; Bergquist, Annika; et al. AASLD practice guidance on primary sclerosing cholangitis and cholangiocarcinoma. Hepatology. 2022; 77(2):659-702. </w:t>
      </w:r>
      <w:hyperlink r:id="rId231">
        <w:r>
          <w:rPr>
            <w:color w:val="0563C1"/>
            <w:u w:val="single"/>
          </w:rPr>
          <w:t>Source</w:t>
        </w:r>
      </w:hyperlink>
      <w:r>
        <w:t xml:space="preserve"> | </w:t>
      </w:r>
      <w:hyperlink r:id="rId232">
        <w:r>
          <w:rPr>
            <w:color w:val="0563C1"/>
            <w:u w:val="single"/>
          </w:rPr>
          <w:t>Full-text access</w:t>
        </w:r>
      </w:hyperlink>
    </w:p>
    <w:p>
      <w:pPr>
        <w:pStyle w:val="Normal"/>
        <w:widowControl/>
        <w:spacing w:after="120"/>
      </w:pPr>
      <w:r>
        <w:t xml:space="preserve"/>
      </w:r>
      <w:r>
        <w:t xml:space="preserve">[V16-7] Schleimer, Lauren E; Rousian, Merve; Alessandris, Remo; et al. Eligibility for Liver Transplantation in Patients with Intrahepatic Cholangiocarcinoma. Annals of surgical oncology. 2026; 33(7):6099-6109. </w:t>
      </w:r>
      <w:hyperlink r:id="rId233">
        <w:r>
          <w:rPr>
            <w:color w:val="0563C1"/>
            <w:u w:val="single"/>
          </w:rPr>
          <w:t>Source</w:t>
        </w:r>
      </w:hyperlink>
      <w:r>
        <w:t xml:space="preserve"> | </w:t>
      </w:r>
      <w:hyperlink r:id="rId234">
        <w:r>
          <w:rPr>
            <w:color w:val="0563C1"/>
            <w:u w:val="single"/>
          </w:rPr>
          <w:t>Full-text access</w:t>
        </w:r>
      </w:hyperlink>
    </w:p>
    <w:p>
      <w:pPr>
        <w:pStyle w:val="Normal"/>
        <w:widowControl/>
        <w:spacing w:after="120"/>
      </w:pPr>
      <w:r>
        <w:t xml:space="preserve"/>
      </w:r>
      <w:r>
        <w:t xml:space="preserve">[V16-8] McMillan, Robert R; Javle, Milind; Kodali, Sudha; et al. Survival following liver transplantation for locally advanced, unresectable intrahepatic cholangiocarcinoma. American journal of transplantation : official journal of the American Society of Transplantation and the American Society of Transplant Surgeons. 2022; 22(3):823-832. </w:t>
      </w:r>
      <w:hyperlink r:id="rId235">
        <w:r>
          <w:rPr>
            <w:color w:val="0563C1"/>
            <w:u w:val="single"/>
          </w:rPr>
          <w:t>Source</w:t>
        </w:r>
      </w:hyperlink>
      <w:r>
        <w:t xml:space="preserve"> | </w:t>
      </w:r>
      <w:hyperlink r:id="rId236">
        <w:r>
          <w:rPr>
            <w:color w:val="0563C1"/>
            <w:u w:val="single"/>
          </w:rPr>
          <w:t>Full-text access</w:t>
        </w:r>
      </w:hyperlink>
    </w:p>
    <w:p>
      <w:pPr>
        <w:pStyle w:val="Normal"/>
        <w:widowControl/>
        <w:spacing w:after="120"/>
      </w:pPr>
      <w:r>
        <w:t xml:space="preserve"/>
      </w:r>
      <w:r>
        <w:t xml:space="preserve">[V16-9] Sethi, Vrishketan; Gunabushanam, Vikraman; Liu, Hao; et al. Outcomes after living donor liver transplant for intrahepatic cholangiocarcinoma. American Journal of Transplantation. 2026. </w:t>
      </w:r>
      <w:hyperlink r:id="rId237">
        <w:r>
          <w:rPr>
            <w:color w:val="0563C1"/>
            <w:u w:val="single"/>
          </w:rPr>
          <w:t>Source</w:t>
        </w:r>
      </w:hyperlink>
      <w:r>
        <w:t xml:space="preserve"> | </w:t>
      </w:r>
      <w:hyperlink r:id="rId238">
        <w:r>
          <w:rPr>
            <w:color w:val="0563C1"/>
            <w:u w:val="single"/>
          </w:rPr>
          <w:t>Full-text access</w:t>
        </w:r>
      </w:hyperlink>
    </w:p>
    <w:p>
      <w:pPr>
        <w:pStyle w:val="Normal"/>
        <w:widowControl/>
        <w:spacing w:after="120"/>
      </w:pPr>
      <w:r>
        <w:t xml:space="preserve"/>
      </w:r>
      <w:r>
        <w:t xml:space="preserve">[V16-10] Yaqub, Sheraz; Busund, Sondre; Smedman, Tor Magnus; et al. Liver transplantation for locally advanced non-resectable intrahepatic cholangiocarcinoma treated with neoadjuvant therapy: early results from the TESLA trial. British Journal of Surgery. 2025. </w:t>
      </w:r>
      <w:hyperlink r:id="rId239">
        <w:r>
          <w:rPr>
            <w:color w:val="0563C1"/>
            <w:u w:val="single"/>
          </w:rPr>
          <w:t>Source</w:t>
        </w:r>
      </w:hyperlink>
      <w:r>
        <w:t xml:space="preserve"> | </w:t>
      </w:r>
      <w:hyperlink r:id="rId240">
        <w:r>
          <w:rPr>
            <w:color w:val="0563C1"/>
            <w:u w:val="single"/>
          </w:rPr>
          <w:t>Full-text access</w:t>
        </w:r>
      </w:hyperlink>
    </w:p>
    <w:p>
      <w:pPr>
        <w:pStyle w:val="Normal"/>
        <w:widowControl/>
        <w:spacing w:after="120"/>
      </w:pPr>
      <w:r>
        <w:t xml:space="preserve"/>
      </w:r>
      <w:r>
        <w:t xml:space="preserve">[V16-11] Shroff RT; Kennedy EB; Alarcon Rozas AE; et al. Treatment of Advanced Biliary Tract Cancer: ASCO Living Guideline, Version 2026.1.0.. Journal of clinical oncology : official journal of the American Society of Clinical Oncology. 2026; :101200JCO2602462. </w:t>
      </w:r>
      <w:hyperlink r:id="rId241">
        <w:r>
          <w:rPr>
            <w:color w:val="0563C1"/>
            <w:u w:val="single"/>
          </w:rPr>
          <w:t>Source</w:t>
        </w:r>
      </w:hyperlink>
      <w:r>
        <w:t xml:space="preserve"> | </w:t>
      </w:r>
      <w:hyperlink r:id="rId242">
        <w:r>
          <w:rPr>
            <w:color w:val="0563C1"/>
            <w:u w:val="single"/>
          </w:rPr>
          <w:t>Full-text access</w:t>
        </w:r>
      </w:hyperlink>
    </w:p>
    <w:p>
      <w:pPr>
        <w:pStyle w:val="Normal"/>
        <w:widowControl/>
        <w:spacing w:after="120"/>
      </w:pPr>
      <w:r>
        <w:t xml:space="preserve"/>
      </w:r>
      <w:r>
        <w:t xml:space="preserve">[V16-12]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243">
        <w:r>
          <w:rPr>
            <w:color w:val="0563C1"/>
            <w:u w:val="single"/>
          </w:rPr>
          <w:t>Source</w:t>
        </w:r>
      </w:hyperlink>
      <w:r>
        <w:t xml:space="preserve"> | </w:t>
      </w:r>
      <w:hyperlink r:id="rId244">
        <w:r>
          <w:rPr>
            <w:color w:val="0563C1"/>
            <w:u w:val="single"/>
          </w:rPr>
          <w:t>Full-text access</w:t>
        </w:r>
      </w:hyperlink>
    </w:p>
    <w:p>
      <w:pPr>
        <w:pStyle w:val="Normal"/>
        <w:widowControl/>
        <w:spacing w:after="120"/>
      </w:pPr>
      <w:r>
        <w:t xml:space="preserve"/>
      </w:r>
      <w:r>
        <w:t xml:space="preserve">[V16-13] Kobayashi S; Terashima T; Shiba S; et al. Multicenter retrospective analysis of systemic chemotherapy for unresectable combined hepatocellular and cholangiocarcinoma.. Cancer science. 2018; 109(8):2549-2557. </w:t>
      </w:r>
      <w:hyperlink r:id="rId245">
        <w:r>
          <w:rPr>
            <w:color w:val="0563C1"/>
            <w:u w:val="single"/>
          </w:rPr>
          <w:t>Source</w:t>
        </w:r>
      </w:hyperlink>
      <w:r>
        <w:t xml:space="preserve"> | </w:t>
      </w:r>
      <w:hyperlink r:id="rId246">
        <w:r>
          <w:rPr>
            <w:color w:val="0563C1"/>
            <w:u w:val="single"/>
          </w:rPr>
          <w:t>Full-text access</w:t>
        </w:r>
      </w:hyperlink>
    </w:p>
    <w:p>
      <w:pPr>
        <w:pStyle w:val="Normal"/>
        <w:widowControl/>
        <w:spacing w:after="120"/>
      </w:pPr>
      <w:r>
        <w:t xml:space="preserve"/>
      </w:r>
      <w:r>
        <w:t xml:space="preserve">[V16-14] Singal, Amit G; Llovet, Josep M; Yarchoan, Mark; et al. AASLD Practice Guidance on prevention, diagnosis, and treatment of hepatocellular carcinoma. Hepatology (Baltimore, Md.). 2023; 78(6):1922-1965. </w:t>
      </w:r>
      <w:hyperlink r:id="rId247">
        <w:r>
          <w:rPr>
            <w:color w:val="0563C1"/>
            <w:u w:val="single"/>
          </w:rPr>
          <w:t>Source</w:t>
        </w:r>
      </w:hyperlink>
      <w:r>
        <w:t xml:space="preserve"> | </w:t>
      </w:r>
      <w:hyperlink r:id="rId248">
        <w:r>
          <w:rPr>
            <w:color w:val="0563C1"/>
            <w:u w:val="single"/>
          </w:rPr>
          <w:t>Full-text access</w:t>
        </w:r>
      </w:hyperlink>
    </w:p>
    <w:p>
      <w:pPr>
        <w:pStyle w:val="Normal"/>
        <w:widowControl/>
        <w:spacing w:after="120"/>
      </w:pPr>
      <w:r>
        <w:t xml:space="preserve"/>
      </w:r>
      <w:r>
        <w:t xml:space="preserve">[V16-15] Moeckli, Beat; Wassmer, Charles-Henri; El Hajji, Sofia; et al. Determining safe washout period for immune checkpoint inhibitors prior to liver transplantation: An international retrospective cohort study. Hepatology. 2025; 82(5):1122-1137. </w:t>
      </w:r>
      <w:hyperlink r:id="rId249">
        <w:r>
          <w:rPr>
            <w:color w:val="0563C1"/>
            <w:u w:val="single"/>
          </w:rPr>
          <w:t>Source</w:t>
        </w:r>
      </w:hyperlink>
      <w:r>
        <w:t xml:space="preserve"> | </w:t>
      </w:r>
      <w:hyperlink r:id="rId250">
        <w:r>
          <w:rPr>
            <w:color w:val="0563C1"/>
            <w:u w:val="single"/>
          </w:rPr>
          <w:t>Full-text access</w:t>
        </w:r>
      </w:hyperlink>
    </w:p>
    <w:p>
      <w:pPr>
        <w:pStyle w:val="Normal"/>
        <w:widowControl/>
        <w:spacing w:after="120"/>
      </w:pPr>
      <w:r>
        <w:t xml:space="preserve"/>
      </w:r>
      <w:r>
        <w:t xml:space="preserve">[V16-16] Tabrizian, Parissa; Holzner, Matthew L.; Ajmera, Veeral; et al. Intention-to-treat outcomes of patients with hepatocellular carcinoma receiving immunotherapy before liver transplant: The multicenter VITALITY study. Journal of Hepatology. 2025; 82(3):512-522. </w:t>
      </w:r>
      <w:hyperlink r:id="rId251">
        <w:r>
          <w:rPr>
            <w:color w:val="0563C1"/>
            <w:u w:val="single"/>
          </w:rPr>
          <w:t>Source</w:t>
        </w:r>
      </w:hyperlink>
      <w:r>
        <w:t xml:space="preserve"> | </w:t>
      </w:r>
      <w:hyperlink r:id="rId252">
        <w:r>
          <w:rPr>
            <w:color w:val="0563C1"/>
            <w:u w:val="single"/>
          </w:rPr>
          <w:t>Full-text access</w:t>
        </w:r>
      </w:hyperlink>
    </w:p>
    <w:p>
      <w:pPr>
        <w:pStyle w:val="Normal"/>
        <w:widowControl/>
        <w:spacing w:after="120"/>
      </w:pPr>
      <w:r>
        <w:t xml:space="preserve"/>
      </w:r>
      <w:r>
        <w:t xml:space="preserve">[V16-17] Lunsford, Keri E; Javle, Milind; Heyne, Kirk; et al. Liver transplantation for locally advanced intrahepatic cholangiocarcinoma treated with neoadjuvant therapy: a prospective case-series. The lancet. Gastroenterology &amp; hepatology. 2018; 3(5):337-348. </w:t>
      </w:r>
      <w:hyperlink r:id="rId253">
        <w:r>
          <w:rPr>
            <w:color w:val="0563C1"/>
            <w:u w:val="single"/>
          </w:rPr>
          <w:t>Source</w:t>
        </w:r>
      </w:hyperlink>
      <w:r>
        <w:t xml:space="preserve"> | </w:t>
      </w:r>
      <w:hyperlink r:id="rId254">
        <w:r>
          <w:rPr>
            <w:color w:val="0563C1"/>
            <w:u w:val="single"/>
          </w:rPr>
          <w:t>Full-text access</w:t>
        </w:r>
      </w:hyperlink>
    </w:p>
    <w:p>
      <w:pPr>
        <w:pStyle w:val="Normal"/>
        <w:widowControl/>
        <w:spacing w:after="120"/>
      </w:pPr>
      <w:r>
        <w:t xml:space="preserve"/>
      </w:r>
      <w:r>
        <w:t xml:space="preserve">[V16-18] Ramanan, Poornima; Cummins, Nathan W.; Wilhelm, Mark P.; et al. Epidemiology, risk factors, and outcomes of infections in patients undergoing liver transplantation for hilar cholangiocarcinoma. Clinical Transplantation. 2017; 31(8). </w:t>
      </w:r>
      <w:hyperlink r:id="rId255">
        <w:r>
          <w:rPr>
            <w:color w:val="0563C1"/>
            <w:u w:val="single"/>
          </w:rPr>
          <w:t>Source</w:t>
        </w:r>
      </w:hyperlink>
      <w:r>
        <w:t xml:space="preserve"> | </w:t>
      </w:r>
      <w:hyperlink r:id="rId256">
        <w:r>
          <w:rPr>
            <w:color w:val="0563C1"/>
            <w:u w:val="single"/>
          </w:rPr>
          <w:t>Full-text access</w:t>
        </w:r>
      </w:hyperlink>
    </w:p>
    <w:p>
      <w:pPr>
        <w:pStyle w:val="Normal"/>
        <w:widowControl/>
        <w:spacing w:after="120"/>
      </w:pPr>
      <w:r>
        <w:t xml:space="preserve"/>
      </w:r>
      <w:r>
        <w:t xml:space="preserve">[V16-19] Semaan, Samar; Connor, Ashton A.; Saharia, Ashish; et al. Transplantation for Peri-Hilar and Intrahepatic Cholangiocarcinoma With mTOR Immunosuppression. Transplantation Proceedings. 2025; 57(2):255-263. </w:t>
      </w:r>
      <w:hyperlink r:id="rId257">
        <w:r>
          <w:rPr>
            <w:color w:val="0563C1"/>
            <w:u w:val="single"/>
          </w:rPr>
          <w:t>Source</w:t>
        </w:r>
      </w:hyperlink>
      <w:r>
        <w:t xml:space="preserve"> | </w:t>
      </w:r>
      <w:hyperlink r:id="rId258">
        <w:r>
          <w:rPr>
            <w:color w:val="0563C1"/>
            <w:u w:val="single"/>
          </w:rPr>
          <w:t>Full-text access</w:t>
        </w:r>
      </w:hyperlink>
    </w:p>
    <w:p>
      <w:pPr>
        <w:pStyle w:val="Normal"/>
        <w:widowControl/>
        <w:spacing w:after="120"/>
      </w:pPr>
      <w:r>
        <w:t xml:space="preserve"/>
      </w:r>
      <w:r>
        <w:t xml:space="preserve">[V16-20] Novartis Pharmaceuticals Corporation. Zortress (everolimus) US prescribing information, updated 16 September 2026. DailyMed. 2026. </w:t>
      </w:r>
      <w:hyperlink r:id="rId259">
        <w:r>
          <w:rPr>
            <w:color w:val="0563C1"/>
            <w:u w:val="single"/>
          </w:rPr>
          <w:t>Source</w:t>
        </w:r>
      </w:hyperlink>
      <w:r>
        <w:t xml:space="preserve"> | </w:t>
      </w:r>
      <w:hyperlink r:id="rId260">
        <w:r>
          <w:rPr>
            <w:color w:val="0563C1"/>
            <w:u w:val="single"/>
          </w:rPr>
          <w:t>Full-text access</w:t>
        </w:r>
      </w:hyperlink>
    </w:p>
    <w:p>
      <w:pPr>
        <w:pStyle w:val="Normal"/>
        <w:widowControl/>
        <w:spacing w:after="120"/>
      </w:pPr>
      <w:r>
        <w:t xml:space="preserve"/>
      </w:r>
      <w:r>
        <w:t xml:space="preserve">[V16-21]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261">
        <w:r>
          <w:rPr>
            <w:color w:val="0563C1"/>
            <w:u w:val="single"/>
          </w:rPr>
          <w:t>Source</w:t>
        </w:r>
      </w:hyperlink>
      <w:r>
        <w:t xml:space="preserve"> | </w:t>
      </w:r>
      <w:hyperlink r:id="rId262">
        <w:r>
          <w:rPr>
            <w:color w:val="0563C1"/>
            <w:u w:val="single"/>
          </w:rPr>
          <w:t>Full-text access</w:t>
        </w:r>
      </w:hyperlink>
    </w:p>
    <w:p>
      <w:pPr>
        <w:pStyle w:val="Normal"/>
        <w:widowControl/>
        <w:spacing w:after="120"/>
      </w:pPr>
      <w:r>
        <w:t xml:space="preserve"/>
      </w:r>
      <w:r>
        <w:t xml:space="preserve">[V16-22] Sharma, Pratima; Izzy, Manhal; Ghabril, Marwan S.; et al. AASLD AST Practice Guideline on adult liver transplantation: Diagnosis and post-transplant management of non-graft–related complications. Liver Transplantation. 2025; 32(8):1157-1193. </w:t>
      </w:r>
      <w:hyperlink r:id="rId263">
        <w:r>
          <w:rPr>
            <w:color w:val="0563C1"/>
            <w:u w:val="single"/>
          </w:rPr>
          <w:t>Source</w:t>
        </w:r>
      </w:hyperlink>
      <w:r>
        <w:t xml:space="preserve"> | </w:t>
      </w:r>
      <w:hyperlink r:id="rId264">
        <w:r>
          <w:rPr>
            <w:color w:val="0563C1"/>
            <w:u w:val="single"/>
          </w:rPr>
          <w:t>Full-text access</w:t>
        </w:r>
      </w:hyperlink>
    </w:p>
    <w:p>
      <w:pPr>
        <w:pStyle w:val="Normal"/>
        <w:widowControl/>
        <w:spacing w:after="120"/>
      </w:pPr>
      <w:r>
        <w:t xml:space="preserve"/>
      </w:r>
      <w:r>
        <w:t xml:space="preserve">[V16-23] Gül-Klein, Safak; Schmitz, Paulina; Schöning, Wenzel; et al. The Role of Immunosuppression for Recurrent Cholangiocellular Carcinoma after Liver Transplantation. Cancers. 2022; 14(12):2890. </w:t>
      </w:r>
      <w:hyperlink r:id="rId265">
        <w:r>
          <w:rPr>
            <w:color w:val="0563C1"/>
            <w:u w:val="single"/>
          </w:rPr>
          <w:t>Source</w:t>
        </w:r>
      </w:hyperlink>
      <w:r>
        <w:t xml:space="preserve"> | </w:t>
      </w:r>
      <w:hyperlink r:id="rId266">
        <w:r>
          <w:rPr>
            <w:color w:val="0563C1"/>
            <w:u w:val="single"/>
          </w:rPr>
          <w:t>Full-text access</w:t>
        </w:r>
      </w:hyperlink>
    </w:p>
    <w:p>
      <w:pPr>
        <w:pStyle w:val="Normal"/>
        <w:widowControl/>
        <w:spacing w:after="120"/>
      </w:pPr>
      <w:r>
        <w:t xml:space="preserve"/>
      </w:r>
      <w:r>
        <w:t xml:space="preserve">[V16-24] Te, Helen S.; Agopian, Vatche G.; Demetris, Anthony J.; et al. AASLD AST Practice Guideline on adult liver transplantation: Diagnosis and management of graft-related complications. Liver Transplantation. 2025; 32(3):444-490. </w:t>
      </w:r>
      <w:hyperlink r:id="rId267">
        <w:r>
          <w:rPr>
            <w:color w:val="0563C1"/>
            <w:u w:val="single"/>
          </w:rPr>
          <w:t>Source</w:t>
        </w:r>
      </w:hyperlink>
      <w:r>
        <w:t xml:space="preserve"> | </w:t>
      </w:r>
      <w:hyperlink r:id="rId268">
        <w:r>
          <w:rPr>
            <w:color w:val="0563C1"/>
            <w:u w:val="single"/>
          </w:rPr>
          <w:t>Full-text access</w:t>
        </w:r>
      </w:hyperlink>
    </w:p>
    <w:p>
      <w:pPr>
        <w:pStyle w:val="Normal"/>
        <w:widowControl/>
        <w:spacing w:after="120"/>
      </w:pPr>
      <w:r>
        <w:t xml:space="preserve"/>
      </w:r>
      <w:r>
        <w:t xml:space="preserve">[V16-25] Abdelrahim, Maen; Esmail, Abdullah; Connor, Ashton A; et al. Utilization of immunotherapy as a neoadjuvant treatment in liver transplant recipients with hepatobiliary carcinoma. Frontiers in oncology. 2026; 16:1866870. </w:t>
      </w:r>
      <w:hyperlink r:id="rId269">
        <w:r>
          <w:rPr>
            <w:color w:val="0563C1"/>
            <w:u w:val="single"/>
          </w:rPr>
          <w:t>Source</w:t>
        </w:r>
      </w:hyperlink>
      <w:r>
        <w:t xml:space="preserve"> | </w:t>
      </w:r>
      <w:hyperlink r:id="rId270">
        <w:r>
          <w:rPr>
            <w:color w:val="0563C1"/>
            <w:u w:val="single"/>
          </w:rPr>
          <w:t>Full-text access</w:t>
        </w:r>
      </w:hyperlink>
    </w:p>
    <w:p>
      <w:pPr>
        <w:pStyle w:val="Normal"/>
        <w:widowControl/>
        <w:spacing w:after="120"/>
      </w:pPr>
      <w:r>
        <w:t xml:space="preserve"/>
      </w:r>
      <w:r>
        <w:t xml:space="preserve">[V16-26] Abecassis, M.M.; Fisher, R.A.; Olthoff, K.M.; et al. Complications of Living Donor Hepatic Lobectomy—A Comprehensive Report. American Journal of Transplantation. 2012; 12(5):1208-1217. </w:t>
      </w:r>
      <w:hyperlink r:id="rId271">
        <w:r>
          <w:rPr>
            <w:color w:val="0563C1"/>
            <w:u w:val="single"/>
          </w:rPr>
          <w:t>Source</w:t>
        </w:r>
      </w:hyperlink>
      <w:r>
        <w:t xml:space="preserve"> | </w:t>
      </w:r>
      <w:hyperlink r:id="rId272">
        <w:r>
          <w:rPr>
            <w:color w:val="0563C1"/>
            <w:u w:val="single"/>
          </w:rPr>
          <w:t>Full-text access</w:t>
        </w:r>
      </w:hyperlink>
    </w:p>
    <w:p>
      <w:pPr>
        <w:pStyle w:val="Normal"/>
        <w:widowControl/>
        <w:spacing w:after="120"/>
      </w:pPr>
      <w:r>
        <w:t xml:space="preserve"/>
      </w:r>
      <w:r>
        <w:t xml:space="preserve">[V16-27] DiMartini, A.; Dew, M.A.; Liu, Q.; et al. Social and Financial Outcomes of Living Liver Donation: A Prospective Investigation Within the Adult-to-Adult Living Donor Liver Transplantation Cohort Study 2 (A2ALL-2). American Journal of Transplantation. 2017; 17(4):1081-1096. </w:t>
      </w:r>
      <w:hyperlink r:id="rId273">
        <w:r>
          <w:rPr>
            <w:color w:val="0563C1"/>
            <w:u w:val="single"/>
          </w:rPr>
          <w:t>Source</w:t>
        </w:r>
      </w:hyperlink>
      <w:r>
        <w:t xml:space="preserve"> | </w:t>
      </w:r>
      <w:hyperlink r:id="rId274">
        <w:r>
          <w:rPr>
            <w:color w:val="0563C1"/>
            <w:u w:val="single"/>
          </w:rPr>
          <w:t>Full-text access</w:t>
        </w:r>
      </w:hyperlink>
    </w:p>
    <w:p>
      <w:pPr>
        <w:pStyle w:val="Normal"/>
        <w:widowControl/>
        <w:spacing w:after="120"/>
      </w:pPr>
      <w:r>
        <w:t xml:space="preserve"/>
      </w:r>
      <w:r>
        <w:t xml:space="preserve">[V16-28] Xiao, Jieling; Zeng, Rebecca Wenling; Lim, Wen Hui; et al. The incidence of adverse outcome in donors after living donor liver transplantation: A meta-analysis of 60,829 donors. Liver Transplantation. 2024; 30(5):493-504. </w:t>
      </w:r>
      <w:hyperlink r:id="rId275">
        <w:r>
          <w:rPr>
            <w:color w:val="0563C1"/>
            <w:u w:val="single"/>
          </w:rPr>
          <w:t>Source</w:t>
        </w:r>
      </w:hyperlink>
      <w:r>
        <w:t xml:space="preserve"> | </w:t>
      </w:r>
      <w:hyperlink r:id="rId276">
        <w:r>
          <w:rPr>
            <w:color w:val="0563C1"/>
            <w:u w:val="single"/>
          </w:rPr>
          <w:t>Full-text access</w:t>
        </w:r>
      </w:hyperlink>
    </w:p>
    <w:p>
      <w:pPr>
        <w:pStyle w:val="Normal"/>
        <w:widowControl/>
        <w:spacing w:after="120"/>
      </w:pPr>
      <w:r>
        <w:t xml:space="preserve"/>
      </w:r>
      <w:r>
        <w:t xml:space="preserve">[V16-29] Shi, Guo-Ming; Huang, Xiao-Yong; Liang, Fei; et al. Neoadjuvant GOLP in Resectable High-Risk Intrahepatic Cholangiocarcinoma. The New England journal of medicine. 2026; 394(10):983-995. </w:t>
      </w:r>
      <w:hyperlink r:id="rId277">
        <w:r>
          <w:rPr>
            <w:color w:val="0563C1"/>
            <w:u w:val="single"/>
          </w:rPr>
          <w:t>Source</w:t>
        </w:r>
      </w:hyperlink>
      <w:r>
        <w:t xml:space="preserve"> | </w:t>
      </w:r>
      <w:hyperlink r:id="rId278">
        <w:r>
          <w:rPr>
            <w:color w:val="0563C1"/>
            <w:u w:val="single"/>
          </w:rPr>
          <w:t>Full-text access</w:t>
        </w:r>
      </w:hyperlink>
    </w:p>
    <w:p>
      <w:pPr>
        <w:pStyle w:val="Normal"/>
        <w:widowControl/>
        <w:spacing w:after="120"/>
      </w:pPr>
      <w:r>
        <w:t xml:space="preserve"/>
      </w:r>
      <w:r>
        <w:t xml:space="preserve">[V16-30] Dageforde, Leigh Anne; Vachharajani, Neeta; Tabrizian, Parissa; et al. Multi-Center Analysis of Liver Transplantation for Combined Hepatocellular Carcinoma-Cholangiocarcinoma Liver Tumors. Journal of the American College of Surgeons. 2021. </w:t>
      </w:r>
      <w:hyperlink r:id="rId279">
        <w:r>
          <w:rPr>
            <w:color w:val="0563C1"/>
            <w:u w:val="single"/>
          </w:rPr>
          <w:t>Source</w:t>
        </w:r>
      </w:hyperlink>
      <w:r>
        <w:t xml:space="preserve"> | </w:t>
      </w:r>
      <w:hyperlink r:id="rId280">
        <w:r>
          <w:rPr>
            <w:color w:val="0563C1"/>
            <w:u w:val="single"/>
          </w:rPr>
          <w:t>Full-text access</w:t>
        </w:r>
      </w:hyperlink>
    </w:p>
    <w:p>
      <w:pPr>
        <w:pStyle w:val="Normal"/>
        <w:widowControl/>
        <w:spacing w:after="120"/>
      </w:pPr>
      <w:r>
        <w:t xml:space="preserve"/>
      </w:r>
      <w:r>
        <w:t xml:space="preserve">[V16-31] De Martin, E; Rayar, M; Golse, N; et al. Analysis of Liver Resection Versus Liver Transplantation on Outcome of Small Intrahepatic Cholangiocarcinoma and Combined Hepatocellular-Cholangiocarcinoma in the Setting of Cirrhosis. Liver Transplantation. 2020. </w:t>
      </w:r>
      <w:hyperlink r:id="rId281">
        <w:r>
          <w:rPr>
            <w:color w:val="0563C1"/>
            <w:u w:val="single"/>
          </w:rPr>
          <w:t>Source</w:t>
        </w:r>
      </w:hyperlink>
      <w:r>
        <w:t xml:space="preserve"> | </w:t>
      </w:r>
      <w:hyperlink r:id="rId282">
        <w:r>
          <w:rPr>
            <w:color w:val="0563C1"/>
            <w:u w:val="single"/>
          </w:rPr>
          <w:t>Full-text access</w:t>
        </w:r>
      </w:hyperlink>
    </w:p>
    <w:p>
      <w:pPr>
        <w:pStyle w:val="Normal"/>
        <w:widowControl/>
        <w:spacing w:after="120"/>
      </w:pPr>
      <w:r>
        <w:t xml:space="preserve"/>
      </w:r>
      <w:r>
        <w:t xml:space="preserve">[V16-32] Giguet, Baptiste; Artru, Florent; Jeddou, Heithem; et al. Liver transplantation in unresectable intrahepatic cholangiocarcinoma following neoadjuvant chemotherapy and SIRT. JHEP Reports. 2026. </w:t>
      </w:r>
      <w:hyperlink r:id="rId283">
        <w:r>
          <w:rPr>
            <w:color w:val="0563C1"/>
            <w:u w:val="single"/>
          </w:rPr>
          <w:t>Source</w:t>
        </w:r>
      </w:hyperlink>
      <w:r>
        <w:t xml:space="preserve"> | </w:t>
      </w:r>
      <w:hyperlink r:id="rId284">
        <w:r>
          <w:rPr>
            <w:color w:val="0563C1"/>
            <w:u w:val="single"/>
          </w:rPr>
          <w:t>Full-text access</w:t>
        </w:r>
      </w:hyperlink>
    </w:p>
    <w:p>
      <w:pPr>
        <w:pStyle w:val="Normal"/>
        <w:widowControl/>
        <w:spacing w:after="120"/>
      </w:pPr>
      <w:r>
        <w:t xml:space="preserve"/>
      </w:r>
      <w:r>
        <w:t xml:space="preserve">[V16-33] Shroff, Rachna T; King, Gentry; Colby, Sarah; et al. SWOG S1815: A Phase III Randomized Trial of Gemcitabine, Cisplatin, and Nab-Paclitaxel Versus Gemcitabine and Cisplatin in Newly Diagnosed, Advanced Biliary Tract Cancers. Journal of clinical oncology : official journal of the American Society of Clinical Oncology. 2025; 43(5):536-544. </w:t>
      </w:r>
      <w:hyperlink r:id="rId285">
        <w:r>
          <w:rPr>
            <w:color w:val="0563C1"/>
            <w:u w:val="single"/>
          </w:rPr>
          <w:t>Source</w:t>
        </w:r>
      </w:hyperlink>
      <w:r>
        <w:t xml:space="preserve"> | </w:t>
      </w:r>
      <w:hyperlink r:id="rId286">
        <w:r>
          <w:rPr>
            <w:color w:val="0563C1"/>
            <w:u w:val="single"/>
          </w:rPr>
          <w:t>Full-text access</w:t>
        </w:r>
      </w:hyperlink>
    </w:p>
    <w:p>
      <w:pPr>
        <w:pStyle w:val="Normal"/>
        <w:widowControl/>
        <w:spacing w:after="120"/>
      </w:pPr>
      <w:r>
        <w:t xml:space="preserve"/>
      </w:r>
      <w:r>
        <w:t xml:space="preserve">[V16-34] Oh, Do-Youn; He, Aiwu Ruth; Qin, Shukui; et al. Durvalumab plus chemotherapy in advanced biliary tract cancer: 3-year overall survival update from the phase III TOPAZ-1 study. Journal of Hepatology. 2025. </w:t>
      </w:r>
      <w:hyperlink r:id="rId287">
        <w:r>
          <w:rPr>
            <w:color w:val="0563C1"/>
            <w:u w:val="single"/>
          </w:rPr>
          <w:t>Source</w:t>
        </w:r>
      </w:hyperlink>
      <w:r>
        <w:t xml:space="preserve"> | </w:t>
      </w:r>
      <w:hyperlink r:id="rId288">
        <w:r>
          <w:rPr>
            <w:color w:val="0563C1"/>
            <w:u w:val="single"/>
          </w:rPr>
          <w:t>Full-text access</w:t>
        </w:r>
      </w:hyperlink>
    </w:p>
    <w:p>
      <w:pPr>
        <w:pStyle w:val="Normal"/>
        <w:widowControl/>
        <w:spacing w:after="120"/>
      </w:pPr>
      <w:r>
        <w:t xml:space="preserve"/>
      </w:r>
      <w:r>
        <w:t xml:space="preserve">[V16-35]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289">
        <w:r>
          <w:rPr>
            <w:color w:val="0563C1"/>
            <w:u w:val="single"/>
          </w:rPr>
          <w:t>Source</w:t>
        </w:r>
      </w:hyperlink>
      <w:r>
        <w:t xml:space="preserve"> | </w:t>
      </w:r>
      <w:hyperlink r:id="rId290">
        <w:r>
          <w:rPr>
            <w:color w:val="0563C1"/>
            <w:u w:val="single"/>
          </w:rPr>
          <w:t>Full-text access</w:t>
        </w:r>
      </w:hyperlink>
    </w:p>
    <w:p>
      <w:pPr>
        <w:pStyle w:val="Normal"/>
        <w:widowControl/>
        <w:spacing w:after="120"/>
      </w:pPr>
      <w:r>
        <w:t xml:space="preserve"/>
      </w:r>
      <w:r>
        <w:t xml:space="preserve">[V16-36] Campbell, Sally; Ahmed, Ola; Cullinan, Darren; et al. Liver Transplantation for Unresectable Biliary Tract Cancers: Largest Single-Center Analysis of Subtype-Specific Survival and Recurrence (2007-2025). Annals of surgical oncology. 2026; 33(9):7870-7880. </w:t>
      </w:r>
      <w:hyperlink r:id="rId291">
        <w:r>
          <w:rPr>
            <w:color w:val="0563C1"/>
            <w:u w:val="single"/>
          </w:rPr>
          <w:t>Source</w:t>
        </w:r>
      </w:hyperlink>
      <w:r>
        <w:t xml:space="preserve"> | Local PDF not available in this update</w:t>
      </w:r>
    </w:p>
    <w:p>
      <w:pPr>
        <w:pStyle w:val="Normal"/>
        <w:widowControl/>
        <w:spacing w:after="120"/>
      </w:pPr>
      <w:r>
        <w:t xml:space="preserve"/>
      </w:r>
      <w:r>
        <w:t xml:space="preserve">[V16-37]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292">
        <w:r>
          <w:rPr>
            <w:color w:val="0563C1"/>
            <w:u w:val="single"/>
          </w:rPr>
          <w:t>Source</w:t>
        </w:r>
      </w:hyperlink>
      <w:r>
        <w:t xml:space="preserve"> | </w:t>
      </w:r>
      <w:hyperlink r:id="rId293">
        <w:r>
          <w:rPr>
            <w:color w:val="0563C1"/>
            <w:u w:val="single"/>
          </w:rPr>
          <w:t>Full-text access</w:t>
        </w:r>
      </w:hyperlink>
    </w:p>
    <w:p>
      <w:pPr>
        <w:pStyle w:val="Normal"/>
        <w:widowControl/>
        <w:spacing w:after="120"/>
      </w:pPr>
      <w:r>
        <w:t xml:space="preserve"/>
      </w:r>
      <w:r>
        <w:t xml:space="preserve">[V16-38] Hu, Xiao-Xing; Yan, Lu-Nan. Retrospective analysis of prognostic factors after liver transplantation for intrahepatic cholangiocarcinoma in China: a single-center experience. Hepato-gastroenterology. 2011; 58(109):1255-9. </w:t>
      </w:r>
      <w:hyperlink r:id="rId294">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iCCA-B4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qa-q5pxnh6rlrbigja05" Type="http://schemas.openxmlformats.org/officeDocument/2006/relationships/hyperlink" Target="https://www.nccn.org/professionals/physician_gls/pdf/btc.pdf#page=16" TargetMode="External"/><Relationship Id="rIdsfzbedrz9qzcr937bzzuc" Type="http://schemas.openxmlformats.org/officeDocument/2006/relationships/hyperlink" Target="https://doi.org/10.1097/HEP.0000000000001644" TargetMode="External"/><Relationship Id="rIdcg8meyfsz0bmjnhwzvczz" Type="http://schemas.openxmlformats.org/officeDocument/2006/relationships/hyperlink" Target="https://doi.org/10.1002/hep.32771" TargetMode="External"/><Relationship Id="rIdhpve-elr2_shlzi_mvxxl" Type="http://schemas.openxmlformats.org/officeDocument/2006/relationships/hyperlink" Target="https://pubmed.ncbi.nlm.nih.gov/41991890" TargetMode="External"/><Relationship Id="rIdexda8wsukgi3v3vy8b8pf" Type="http://schemas.openxmlformats.org/officeDocument/2006/relationships/hyperlink" Target="https://pubmed.ncbi.nlm.nih.gov/42073607" TargetMode="External"/><Relationship Id="rId1v8pv354vpkxaaef2ri8t" Type="http://schemas.openxmlformats.org/officeDocument/2006/relationships/hyperlink" Target="https://www.ncbi.nlm.nih.gov/pmc/articles/PMC10663390/" TargetMode="External"/><Relationship Id="rIdpgx8utgpalcrktmuninc4" Type="http://schemas.openxmlformats.org/officeDocument/2006/relationships/hyperlink" Target="https://meetings.asco.org/abstracts-presentations/247656" TargetMode="External"/><Relationship Id="rId2v02qz9e8hk69cpv1wpda" Type="http://schemas.openxmlformats.org/officeDocument/2006/relationships/hyperlink" Target="https://meetings.asco.org/abstracts-presentations/255564" TargetMode="External"/><Relationship Id="rIdezmd3b86lfy-ymntip4zo" Type="http://schemas.openxmlformats.org/officeDocument/2006/relationships/hyperlink" Target="https://pubmed.ncbi.nlm.nih.gov/29548617" TargetMode="External"/><Relationship Id="rIdbzxdx5z8iv-cu9gjngpt0" Type="http://schemas.openxmlformats.org/officeDocument/2006/relationships/hyperlink" Target="https://onlinelibrary.wiley.com/doi/10.1111/ctr.13023" TargetMode="External"/><Relationship Id="rIdszyp66l9fiesl4dpma6yy" Type="http://schemas.openxmlformats.org/officeDocument/2006/relationships/hyperlink" Target="https://pubmed.ncbi.nlm.nih.gov/39939239" TargetMode="External"/><Relationship Id="rId5eboyzog_xvnwugtgbhjc" Type="http://schemas.openxmlformats.org/officeDocument/2006/relationships/hyperlink" Target="https://onlinelibrary.wiley.com/doi/10.1111/ctr.70547" TargetMode="External"/><Relationship Id="rIdjfu1dqn2hmy7dilosodu2" Type="http://schemas.openxmlformats.org/officeDocument/2006/relationships/hyperlink" Target="https://doi.org/10.1097/LVT.0000000000000785" TargetMode="External"/><Relationship Id="rIdcljpb_ryluws-ziqqiu2e" Type="http://schemas.openxmlformats.org/officeDocument/2006/relationships/hyperlink" Target="https://pubmed.ncbi.nlm.nih.gov/35740555" TargetMode="External"/><Relationship Id="rId20" Type="http://schemas.openxmlformats.org/officeDocument/2006/relationships/fontTable" Target="fontTable.xml"/><Relationship Id="rId21" Type="http://schemas.openxmlformats.org/officeDocument/2006/relationships/hyperlink" Target="https://doi.org/10.1097/HEP.0000000000001644"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3389/fonc.2026.1866870"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111/j.1600-6143.2011.03972.x"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111/ajt.14055"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97/LVT.0000000000000303"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56/NEJMoa2513918"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pubmed.ncbi.nlm.nih.gov/33316425/"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onlinelibrary.wiley.com/doi/full/10.1002/lt.25737"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pmc.ncbi.nlm.nih.gov/articles/PMC13254992/"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016/j.ajt.2026.09.039"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academic.oup.com/bjs/article/112/3/znaf054/8083032"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111/ajt.16906"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097/HEP.0000000000001289"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200/JCO-24-01383"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pubmed.ncbi.nlm.nih.gov/35740555"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097/lvt.0000000000000785"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pubmed.ncbi.nlm.nih.gov/39939239"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onlinelibrary.wiley.com/doi/10.1111/ctr.13023"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onlinelibrary.wiley.com/doi/10.1111/ctr.70547"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www.nccn.org/professionals/physician_gls/pdf/btc.pdf#page=16"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oi.org/10.1097/lvt.0000000000000715"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oi.org/10.1002/hep.32771"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www.journal-of-hepatology.eu/article/S0168-8278(25)02201-9/fulltext"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016/j.jhep.2024.09.003"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www.hrsa.gov/sites/default/files/hrsa/optn/optn_policies.pdf"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www.hrsa.gov/sites/default/files/hrsa/optn/adult-meld-exception-transplant-oncology-review-guidance.pdf"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www.nccn.org/professionals/physician_gls/pdf/btc.pdf#page=16"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097/HEP.0000000000001644"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doi.org/10.1002/hep.28744"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oi.org/10.1002/hep.32771"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245/s10434-026-19652-8"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111/ajt.16906"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16/j.ajt.2026.09.039"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academic.oup.com/bjs/article/112/3/znaf054/8083032"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doi.org/10.1097/HEP.0000000000000466"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oi.org/10.1097/HEP.0000000000001289"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16/j.jhep.2024.09.003"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S2468-1253(18)30045-1"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onlinelibrary.wiley.com/doi/10.1111/ctr.13023"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pubmed.ncbi.nlm.nih.gov/39939239"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ailymed.nlm.nih.gov/dailymed/drugInfo.cfm?setid=e082a024-7850-400b-a5c2-2a140612562a"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onlinelibrary.wiley.com/doi/10.1111/ctr.70547"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97/lvt.0000000000000785"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pubmed.ncbi.nlm.nih.gov/35740555"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97/lvt.0000000000000715"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3389/fonc.2026.1866870"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111/j.1600-6143.2011.03972.x"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111/ajt.14055"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97/LVT.0000000000000303"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doi.org/10.1056/NEJMoa2513918"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pubmed.ncbi.nlm.nih.gov/33316425/"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onlinelibrary.wiley.com/doi/full/10.1002/lt.25737"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pmc.ncbi.nlm.nih.gov/articles/PMC13254992/"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doi.org/10.1200/JCO-24-01383"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www.journal-of-hepatology.eu/article/S0168-8278(25)02201-9/fulltext"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oi.org/10.1200/JCO-26-02462"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doi.org/10.1016/S2468-1253(24)00119-5"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oi.org/10.1111/cas.13656"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www.hrsa.gov/sites/default/files/hrsa/optn/optn_policies.pdf" TargetMode="External"/><Relationship Id="rId142" Type="http://schemas.openxmlformats.org/officeDocument/2006/relationships/hyperlink" Target="https://drliuhao.github.io/mh-liver-pathways/evidence-libraries/" TargetMode="External"/><Relationship Id="rId143" Type="http://schemas.openxmlformats.org/officeDocument/2006/relationships/hyperlink" Target="https://www.hrsa.gov/sites/default/files/hrsa/optn/adult-meld-exception-transplant-oncology-review-guidance.pdf"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www.nccn.org/professionals/physician_gls/pdf/btc.pdf#page=16"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097/HEP.0000000000001644"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02/hep.28744"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doi.org/10.1002/hep.32771"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oi.org/10.1245/s10434-026-19652-8"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111/ajt.16906"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doi.org/10.1016/j.ajt.2026.09.039"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academic.oup.com/bjs/article/112/3/znaf054/8083032"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doi.org/10.1200/JCO-26-02462"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016/S2468-1253(24)00119-5"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111/cas.13656"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97/HEP.0000000000000466"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97/HEP.0000000000001289"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016/j.jhep.2024.09.003"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016/S2468-1253(18)30045-1" TargetMode="External"/><Relationship Id="rId174" Type="http://schemas.openxmlformats.org/officeDocument/2006/relationships/hyperlink" Target="https://drliuhao.github.io/mh-liver-pathways/evidence-libraries/" TargetMode="External"/><Relationship Id="rId175" Type="http://schemas.openxmlformats.org/officeDocument/2006/relationships/hyperlink" Target="https://onlinelibrary.wiley.com/doi/10.1111/ctr.13023" TargetMode="External"/><Relationship Id="rId176" Type="http://schemas.openxmlformats.org/officeDocument/2006/relationships/hyperlink" Target="https://drliuhao.github.io/mh-liver-pathways/evidence-libraries/" TargetMode="External"/><Relationship Id="rId177" Type="http://schemas.openxmlformats.org/officeDocument/2006/relationships/hyperlink" Target="https://pubmed.ncbi.nlm.nih.gov/39939239" TargetMode="External"/><Relationship Id="rId178" Type="http://schemas.openxmlformats.org/officeDocument/2006/relationships/hyperlink" Target="https://drliuhao.github.io/mh-liver-pathways/evidence-libraries/" TargetMode="External"/><Relationship Id="rId179" Type="http://schemas.openxmlformats.org/officeDocument/2006/relationships/hyperlink" Target="https://dailymed.nlm.nih.gov/dailymed/drugInfo.cfm?setid=e082a024-7850-400b-a5c2-2a140612562a" TargetMode="External"/><Relationship Id="rId180" Type="http://schemas.openxmlformats.org/officeDocument/2006/relationships/hyperlink" Target="https://drliuhao.github.io/mh-liver-pathways/evidence-libraries/" TargetMode="External"/><Relationship Id="rId181" Type="http://schemas.openxmlformats.org/officeDocument/2006/relationships/hyperlink" Target="https://onlinelibrary.wiley.com/doi/10.1111/ctr.70547" TargetMode="External"/><Relationship Id="rId182" Type="http://schemas.openxmlformats.org/officeDocument/2006/relationships/hyperlink" Target="https://drliuhao.github.io/mh-liver-pathways/evidence-libraries/" TargetMode="External"/><Relationship Id="rId183" Type="http://schemas.openxmlformats.org/officeDocument/2006/relationships/hyperlink" Target="https://doi.org/10.1097/lvt.0000000000000785" TargetMode="External"/><Relationship Id="rId184" Type="http://schemas.openxmlformats.org/officeDocument/2006/relationships/hyperlink" Target="https://drliuhao.github.io/mh-liver-pathways/evidence-libraries/" TargetMode="External"/><Relationship Id="rId185" Type="http://schemas.openxmlformats.org/officeDocument/2006/relationships/hyperlink" Target="https://pubmed.ncbi.nlm.nih.gov/35740555" TargetMode="External"/><Relationship Id="rId186" Type="http://schemas.openxmlformats.org/officeDocument/2006/relationships/hyperlink" Target="https://drliuhao.github.io/mh-liver-pathways/evidence-libraries/" TargetMode="External"/><Relationship Id="rId187" Type="http://schemas.openxmlformats.org/officeDocument/2006/relationships/hyperlink" Target="https://doi.org/10.1097/lvt.0000000000000715" TargetMode="External"/><Relationship Id="rId188" Type="http://schemas.openxmlformats.org/officeDocument/2006/relationships/hyperlink" Target="https://drliuhao.github.io/mh-liver-pathways/evidence-libraries/" TargetMode="External"/><Relationship Id="rId189" Type="http://schemas.openxmlformats.org/officeDocument/2006/relationships/hyperlink" Target="https://doi.org/10.3389/fonc.2026.1866870" TargetMode="External"/><Relationship Id="rId190" Type="http://schemas.openxmlformats.org/officeDocument/2006/relationships/hyperlink" Target="https://drliuhao.github.io/mh-liver-pathways/evidence-libraries/" TargetMode="External"/><Relationship Id="rId191" Type="http://schemas.openxmlformats.org/officeDocument/2006/relationships/hyperlink" Target="https://doi.org/10.1111/j.1600-6143.2011.03972.x" TargetMode="External"/><Relationship Id="rId192" Type="http://schemas.openxmlformats.org/officeDocument/2006/relationships/hyperlink" Target="https://drliuhao.github.io/mh-liver-pathways/evidence-libraries/" TargetMode="External"/><Relationship Id="rId193" Type="http://schemas.openxmlformats.org/officeDocument/2006/relationships/hyperlink" Target="https://doi.org/10.1111/ajt.14055" TargetMode="External"/><Relationship Id="rId194" Type="http://schemas.openxmlformats.org/officeDocument/2006/relationships/hyperlink" Target="https://drliuhao.github.io/mh-liver-pathways/evidence-libraries/" TargetMode="External"/><Relationship Id="rId195" Type="http://schemas.openxmlformats.org/officeDocument/2006/relationships/hyperlink" Target="https://doi.org/10.1097/LVT.0000000000000303" TargetMode="External"/><Relationship Id="rId196" Type="http://schemas.openxmlformats.org/officeDocument/2006/relationships/hyperlink" Target="https://drliuhao.github.io/mh-liver-pathways/evidence-libraries/" TargetMode="External"/><Relationship Id="rId197" Type="http://schemas.openxmlformats.org/officeDocument/2006/relationships/hyperlink" Target="https://doi.org/10.1056/NEJMoa2513918" TargetMode="External"/><Relationship Id="rId198" Type="http://schemas.openxmlformats.org/officeDocument/2006/relationships/hyperlink" Target="https://drliuhao.github.io/mh-liver-pathways/evidence-libraries/" TargetMode="External"/><Relationship Id="rId199" Type="http://schemas.openxmlformats.org/officeDocument/2006/relationships/hyperlink" Target="https://pubmed.ncbi.nlm.nih.gov/33316425/" TargetMode="External"/><Relationship Id="rId200" Type="http://schemas.openxmlformats.org/officeDocument/2006/relationships/hyperlink" Target="https://drliuhao.github.io/mh-liver-pathways/evidence-libraries/" TargetMode="External"/><Relationship Id="rId201" Type="http://schemas.openxmlformats.org/officeDocument/2006/relationships/hyperlink" Target="https://onlinelibrary.wiley.com/doi/full/10.1002/lt.25737" TargetMode="External"/><Relationship Id="rId202" Type="http://schemas.openxmlformats.org/officeDocument/2006/relationships/hyperlink" Target="https://drliuhao.github.io/mh-liver-pathways/evidence-libraries/" TargetMode="External"/><Relationship Id="rId203" Type="http://schemas.openxmlformats.org/officeDocument/2006/relationships/hyperlink" Target="https://pmc.ncbi.nlm.nih.gov/articles/PMC13254992/" TargetMode="External"/><Relationship Id="rId204" Type="http://schemas.openxmlformats.org/officeDocument/2006/relationships/hyperlink" Target="https://drliuhao.github.io/mh-liver-pathways/evidence-libraries/" TargetMode="External"/><Relationship Id="rId205" Type="http://schemas.openxmlformats.org/officeDocument/2006/relationships/hyperlink" Target="https://doi.org/10.1200/JCO-24-01383" TargetMode="External"/><Relationship Id="rId206" Type="http://schemas.openxmlformats.org/officeDocument/2006/relationships/hyperlink" Target="https://drliuhao.github.io/mh-liver-pathways/evidence-libraries/" TargetMode="External"/><Relationship Id="rId207" Type="http://schemas.openxmlformats.org/officeDocument/2006/relationships/hyperlink" Target="https://www.journal-of-hepatology.eu/article/S0168-8278(25)02201-9/fulltext" TargetMode="External"/><Relationship Id="rId208" Type="http://schemas.openxmlformats.org/officeDocument/2006/relationships/hyperlink" Target="https://drliuhao.github.io/mh-liver-pathways/evidence-libraries/" TargetMode="External"/><Relationship Id="rId209" Type="http://schemas.openxmlformats.org/officeDocument/2006/relationships/hyperlink" Target="https://doi.org/10.1016/S2468-1253(18)30045-1" TargetMode="External"/><Relationship Id="rId210" Type="http://schemas.openxmlformats.org/officeDocument/2006/relationships/hyperlink" Target="https://drliuhao.github.io/mh-liver-pathways/evidence-libraries/" TargetMode="External"/><Relationship Id="rId211" Type="http://schemas.openxmlformats.org/officeDocument/2006/relationships/hyperlink" Target="https://doi.org/10.1111/ajt.16906" TargetMode="External"/><Relationship Id="rId212" Type="http://schemas.openxmlformats.org/officeDocument/2006/relationships/hyperlink" Target="https://drliuhao.github.io/mh-liver-pathways/evidence-libraries/" TargetMode="External"/><Relationship Id="rId213" Type="http://schemas.openxmlformats.org/officeDocument/2006/relationships/hyperlink" Target="https://doi.org/10.3389/ti.2024.13641" TargetMode="External"/><Relationship Id="rId214" Type="http://schemas.openxmlformats.org/officeDocument/2006/relationships/hyperlink" Target="https://drliuhao.github.io/mh-liver-pathways/evidence-libraries/" TargetMode="External"/><Relationship Id="rId215" Type="http://schemas.openxmlformats.org/officeDocument/2006/relationships/hyperlink" Target="https://doi.org/10.1016/j.ajt.2026.09.039"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doi.org/10.1245/s10434-026-19975-6" TargetMode="External"/><Relationship Id="rId218" Type="http://schemas.openxmlformats.org/officeDocument/2006/relationships/hyperlink" Target="https://doi.org/10.1097/LVT.0000000000000589" TargetMode="External"/><Relationship Id="rId219" Type="http://schemas.openxmlformats.org/officeDocument/2006/relationships/hyperlink" Target="https://drliuhao.github.io/mh-liver-pathways/evidence-libraries/" TargetMode="External"/><Relationship Id="rId220" Type="http://schemas.openxmlformats.org/officeDocument/2006/relationships/hyperlink" Target="https://doi.org/10.5754/hge10704" TargetMode="External"/><Relationship Id="rId221" Type="http://schemas.openxmlformats.org/officeDocument/2006/relationships/hyperlink" Target="https://www.hrsa.gov/sites/default/files/hrsa/optn/optn_policies.pdf"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www.hrsa.gov/sites/default/files/hrsa/optn/adult-meld-exception-transplant-oncology-review-guidance.pdf"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www.nccn.org/professionals/physician_gls/pdf/btc.pdf#page=16"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doi.org/10.1097/HEP.0000000000001644"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002/hep.28744"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doi.org/10.1002/hep.32771" TargetMode="External"/><Relationship Id="rId232" Type="http://schemas.openxmlformats.org/officeDocument/2006/relationships/hyperlink" Target="https://drliuhao.github.io/mh-liver-pathways/evidence-libraries/" TargetMode="External"/><Relationship Id="rId233" Type="http://schemas.openxmlformats.org/officeDocument/2006/relationships/hyperlink" Target="https://doi.org/10.1245/s10434-026-19652-8"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doi.org/10.1111/ajt.16906" TargetMode="External"/><Relationship Id="rId236" Type="http://schemas.openxmlformats.org/officeDocument/2006/relationships/hyperlink" Target="https://drliuhao.github.io/mh-liver-pathways/evidence-libraries/" TargetMode="External"/><Relationship Id="rId237" Type="http://schemas.openxmlformats.org/officeDocument/2006/relationships/hyperlink" Target="https://doi.org/10.1016/j.ajt.2026.09.039" TargetMode="External"/><Relationship Id="rId238" Type="http://schemas.openxmlformats.org/officeDocument/2006/relationships/hyperlink" Target="https://drliuhao.github.io/mh-liver-pathways/evidence-libraries/" TargetMode="External"/><Relationship Id="rId239" Type="http://schemas.openxmlformats.org/officeDocument/2006/relationships/hyperlink" Target="https://academic.oup.com/bjs/article/112/3/znaf054/8083032" TargetMode="External"/><Relationship Id="rId240" Type="http://schemas.openxmlformats.org/officeDocument/2006/relationships/hyperlink" Target="https://drliuhao.github.io/mh-liver-pathways/evidence-libraries/" TargetMode="External"/><Relationship Id="rId241" Type="http://schemas.openxmlformats.org/officeDocument/2006/relationships/hyperlink" Target="https://doi.org/10.1200/JCO-26-02462" TargetMode="External"/><Relationship Id="rId242" Type="http://schemas.openxmlformats.org/officeDocument/2006/relationships/hyperlink" Target="https://drliuhao.github.io/mh-liver-pathways/evidence-libraries/" TargetMode="External"/><Relationship Id="rId243" Type="http://schemas.openxmlformats.org/officeDocument/2006/relationships/hyperlink" Target="https://doi.org/10.1016/S2468-1253(24)00119-5" TargetMode="External"/><Relationship Id="rId244" Type="http://schemas.openxmlformats.org/officeDocument/2006/relationships/hyperlink" Target="https://drliuhao.github.io/mh-liver-pathways/evidence-libraries/" TargetMode="External"/><Relationship Id="rId245" Type="http://schemas.openxmlformats.org/officeDocument/2006/relationships/hyperlink" Target="https://doi.org/10.1111/cas.13656" TargetMode="External"/><Relationship Id="rId246" Type="http://schemas.openxmlformats.org/officeDocument/2006/relationships/hyperlink" Target="https://drliuhao.github.io/mh-liver-pathways/evidence-libraries/" TargetMode="External"/><Relationship Id="rId247" Type="http://schemas.openxmlformats.org/officeDocument/2006/relationships/hyperlink" Target="https://doi.org/10.1097/HEP.0000000000000466" TargetMode="External"/><Relationship Id="rId248" Type="http://schemas.openxmlformats.org/officeDocument/2006/relationships/hyperlink" Target="https://drliuhao.github.io/mh-liver-pathways/evidence-libraries/" TargetMode="External"/><Relationship Id="rId249" Type="http://schemas.openxmlformats.org/officeDocument/2006/relationships/hyperlink" Target="https://doi.org/10.1097/HEP.0000000000001289" TargetMode="External"/><Relationship Id="rId250" Type="http://schemas.openxmlformats.org/officeDocument/2006/relationships/hyperlink" Target="https://drliuhao.github.io/mh-liver-pathways/evidence-libraries/" TargetMode="External"/><Relationship Id="rId251" Type="http://schemas.openxmlformats.org/officeDocument/2006/relationships/hyperlink" Target="https://doi.org/10.1016/j.jhep.2024.09.003" TargetMode="External"/><Relationship Id="rId252" Type="http://schemas.openxmlformats.org/officeDocument/2006/relationships/hyperlink" Target="https://drliuhao.github.io/mh-liver-pathways/evidence-libraries/" TargetMode="External"/><Relationship Id="rId253" Type="http://schemas.openxmlformats.org/officeDocument/2006/relationships/hyperlink" Target="https://doi.org/10.1016/S2468-1253(18)30045-1" TargetMode="External"/><Relationship Id="rId254" Type="http://schemas.openxmlformats.org/officeDocument/2006/relationships/hyperlink" Target="https://drliuhao.github.io/mh-liver-pathways/evidence-libraries/" TargetMode="External"/><Relationship Id="rId255" Type="http://schemas.openxmlformats.org/officeDocument/2006/relationships/hyperlink" Target="https://onlinelibrary.wiley.com/doi/10.1111/ctr.13023" TargetMode="External"/><Relationship Id="rId256" Type="http://schemas.openxmlformats.org/officeDocument/2006/relationships/hyperlink" Target="https://drliuhao.github.io/mh-liver-pathways/evidence-libraries/" TargetMode="External"/><Relationship Id="rId257" Type="http://schemas.openxmlformats.org/officeDocument/2006/relationships/hyperlink" Target="https://pubmed.ncbi.nlm.nih.gov/39939239" TargetMode="External"/><Relationship Id="rId258" Type="http://schemas.openxmlformats.org/officeDocument/2006/relationships/hyperlink" Target="https://drliuhao.github.io/mh-liver-pathways/evidence-libraries/" TargetMode="External"/><Relationship Id="rId259" Type="http://schemas.openxmlformats.org/officeDocument/2006/relationships/hyperlink" Target="https://dailymed.nlm.nih.gov/dailymed/drugInfo.cfm?setid=e082a024-7850-400b-a5c2-2a140612562a" TargetMode="External"/><Relationship Id="rId260" Type="http://schemas.openxmlformats.org/officeDocument/2006/relationships/hyperlink" Target="https://drliuhao.github.io/mh-liver-pathways/evidence-libraries/" TargetMode="External"/><Relationship Id="rId261" Type="http://schemas.openxmlformats.org/officeDocument/2006/relationships/hyperlink" Target="https://onlinelibrary.wiley.com/doi/10.1111/ctr.70547" TargetMode="External"/><Relationship Id="rId262" Type="http://schemas.openxmlformats.org/officeDocument/2006/relationships/hyperlink" Target="https://drliuhao.github.io/mh-liver-pathways/evidence-libraries/" TargetMode="External"/><Relationship Id="rId263" Type="http://schemas.openxmlformats.org/officeDocument/2006/relationships/hyperlink" Target="https://doi.org/10.1097/lvt.0000000000000785" TargetMode="External"/><Relationship Id="rId264" Type="http://schemas.openxmlformats.org/officeDocument/2006/relationships/hyperlink" Target="https://drliuhao.github.io/mh-liver-pathways/evidence-libraries/" TargetMode="External"/><Relationship Id="rId265" Type="http://schemas.openxmlformats.org/officeDocument/2006/relationships/hyperlink" Target="https://pubmed.ncbi.nlm.nih.gov/35740555" TargetMode="External"/><Relationship Id="rId266" Type="http://schemas.openxmlformats.org/officeDocument/2006/relationships/hyperlink" Target="https://drliuhao.github.io/mh-liver-pathways/evidence-libraries/" TargetMode="External"/><Relationship Id="rId267" Type="http://schemas.openxmlformats.org/officeDocument/2006/relationships/hyperlink" Target="https://doi.org/10.1097/lvt.0000000000000715" TargetMode="External"/><Relationship Id="rId268" Type="http://schemas.openxmlformats.org/officeDocument/2006/relationships/hyperlink" Target="https://drliuhao.github.io/mh-liver-pathways/evidence-libraries/" TargetMode="External"/><Relationship Id="rId269" Type="http://schemas.openxmlformats.org/officeDocument/2006/relationships/hyperlink" Target="https://doi.org/10.3389/fonc.2026.1866870" TargetMode="External"/><Relationship Id="rId270" Type="http://schemas.openxmlformats.org/officeDocument/2006/relationships/hyperlink" Target="https://drliuhao.github.io/mh-liver-pathways/evidence-libraries/" TargetMode="External"/><Relationship Id="rId271" Type="http://schemas.openxmlformats.org/officeDocument/2006/relationships/hyperlink" Target="https://doi.org/10.1111/j.1600-6143.2011.03972.x" TargetMode="External"/><Relationship Id="rId272" Type="http://schemas.openxmlformats.org/officeDocument/2006/relationships/hyperlink" Target="https://drliuhao.github.io/mh-liver-pathways/evidence-libraries/" TargetMode="External"/><Relationship Id="rId273" Type="http://schemas.openxmlformats.org/officeDocument/2006/relationships/hyperlink" Target="https://doi.org/10.1111/ajt.14055" TargetMode="External"/><Relationship Id="rId274" Type="http://schemas.openxmlformats.org/officeDocument/2006/relationships/hyperlink" Target="https://drliuhao.github.io/mh-liver-pathways/evidence-libraries/" TargetMode="External"/><Relationship Id="rId275" Type="http://schemas.openxmlformats.org/officeDocument/2006/relationships/hyperlink" Target="https://doi.org/10.1097/LVT.0000000000000303" TargetMode="External"/><Relationship Id="rId276" Type="http://schemas.openxmlformats.org/officeDocument/2006/relationships/hyperlink" Target="https://drliuhao.github.io/mh-liver-pathways/evidence-libraries/" TargetMode="External"/><Relationship Id="rId277" Type="http://schemas.openxmlformats.org/officeDocument/2006/relationships/hyperlink" Target="https://doi.org/10.1056/NEJMoa2513918" TargetMode="External"/><Relationship Id="rId278" Type="http://schemas.openxmlformats.org/officeDocument/2006/relationships/hyperlink" Target="https://drliuhao.github.io/mh-liver-pathways/evidence-libraries/" TargetMode="External"/><Relationship Id="rId279" Type="http://schemas.openxmlformats.org/officeDocument/2006/relationships/hyperlink" Target="https://pubmed.ncbi.nlm.nih.gov/33316425/" TargetMode="External"/><Relationship Id="rId280" Type="http://schemas.openxmlformats.org/officeDocument/2006/relationships/hyperlink" Target="https://drliuhao.github.io/mh-liver-pathways/evidence-libraries/" TargetMode="External"/><Relationship Id="rId281" Type="http://schemas.openxmlformats.org/officeDocument/2006/relationships/hyperlink" Target="https://onlinelibrary.wiley.com/doi/full/10.1002/lt.25737" TargetMode="External"/><Relationship Id="rId282" Type="http://schemas.openxmlformats.org/officeDocument/2006/relationships/hyperlink" Target="https://drliuhao.github.io/mh-liver-pathways/evidence-libraries/" TargetMode="External"/><Relationship Id="rId283" Type="http://schemas.openxmlformats.org/officeDocument/2006/relationships/hyperlink" Target="https://pmc.ncbi.nlm.nih.gov/articles/PMC13254992/" TargetMode="External"/><Relationship Id="rId284" Type="http://schemas.openxmlformats.org/officeDocument/2006/relationships/hyperlink" Target="https://drliuhao.github.io/mh-liver-pathways/evidence-libraries/" TargetMode="External"/><Relationship Id="rId285" Type="http://schemas.openxmlformats.org/officeDocument/2006/relationships/hyperlink" Target="https://doi.org/10.1200/JCO-24-01383" TargetMode="External"/><Relationship Id="rId286" Type="http://schemas.openxmlformats.org/officeDocument/2006/relationships/hyperlink" Target="https://drliuhao.github.io/mh-liver-pathways/evidence-libraries/" TargetMode="External"/><Relationship Id="rId287" Type="http://schemas.openxmlformats.org/officeDocument/2006/relationships/hyperlink" Target="https://www.journal-of-hepatology.eu/article/S0168-8278(25)02201-9/fulltext" TargetMode="External"/><Relationship Id="rId288" Type="http://schemas.openxmlformats.org/officeDocument/2006/relationships/hyperlink" Target="https://drliuhao.github.io/mh-liver-pathways/evidence-libraries/" TargetMode="External"/><Relationship Id="rId289" Type="http://schemas.openxmlformats.org/officeDocument/2006/relationships/hyperlink" Target="https://doi.org/10.3389/ti.2024.13641" TargetMode="External"/><Relationship Id="rId290" Type="http://schemas.openxmlformats.org/officeDocument/2006/relationships/hyperlink" Target="https://drliuhao.github.io/mh-liver-pathways/evidence-libraries/" TargetMode="External"/><Relationship Id="rId291" Type="http://schemas.openxmlformats.org/officeDocument/2006/relationships/hyperlink" Target="https://doi.org/10.1245/s10434-026-19975-6" TargetMode="External"/><Relationship Id="rId292" Type="http://schemas.openxmlformats.org/officeDocument/2006/relationships/hyperlink" Target="https://doi.org/10.1097/LVT.0000000000000589" TargetMode="External"/><Relationship Id="rId293" Type="http://schemas.openxmlformats.org/officeDocument/2006/relationships/hyperlink" Target="https://drliuhao.github.io/mh-liver-pathways/evidence-libraries/" TargetMode="External"/><Relationship Id="rId294" Type="http://schemas.openxmlformats.org/officeDocument/2006/relationships/hyperlink" Target="https://doi.org/10.5754/hge1070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2026-07-15T23:24:01.673Z</dcterms:created>
  <dcterms:modified xsi:type="dcterms:W3CDTF">2026-10-29T14:21:25Z</dcterms:modified>
  <dc:title>UTHealth Houston / Memorial Hermann — Intrahepatic cholangiocarcinoma Standard / Guidance-Aligned Transplant Protocol V8</dc:title>
  <dc:subject>Non-standard NLRB pathway under December 2025 transplant-oncology guidance</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