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Intrahepatic cholangiocarcinoma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https://drliuhao.github.io/mh-liver-pathways/transplant/icca/#meeting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iCCA_3_Standard_Pathway.docx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iCCA_7_Decision_Discussion.docx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G1 / G2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Will the local protocol include mixed HCC-iCCA?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expert pathology and obtain explicit local program acceptance for mixed tumors; do not silently equate the two evidence bases.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Is NLRB alignment sufficient, or do we require a prospective program?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Retain a prospective/registry-based institutional restriction until the group approves the program and consent requirements.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control strategy and ICI safety rules will be used?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a patient-specific MDT control plan and separately review any checkpoint exposure. Record intended effect and transplant implications before treatment.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event starts or restarts the six-month stability interval?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both diagnosis and last-treatment dates. If the starting point is uncertain, obtain an interpretation from the clinician responsible for MELD-exception requests before submission.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verifies nonstandard submission and three-month imaging?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Name the clinician responsible for allocation and a separate clinical reviewer; compare each renewal with the original histology and selection criteria.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iCCA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post-transplant recurrence surveillance will the program adopt?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Agree an oncology and transplant follow-up schedule based on recurrence risk, and a plan for prospective outcome collection before the program begins treating patients.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iCCA G1 / G2 — Will the local protocol include mixed HCC-iCCA?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Establish histology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“iCCA or mixed hepatocellular carcinoma/intrahepatic cholangiocarcinoma”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iCCA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Very-early iCCA cohort evidence does not automatically establish the same benefit for every mixed tumor presentation.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expert pathology and obtain explicit local program acceptance for mixed tumors; do not silently equate the two evidence bases.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NLRB scope and cohort populations are not identical.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oncology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G1 /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G2 — Is NLRB alignment sufficient, or do we require a prospective program?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Check clinical selection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“unresectable solitary intrahepatic cholangiocarcinoma”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Phenotype criteria, p.7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Retrospective selected data support very-early disease; this is not randomized evidence for routine LT.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Retain a prospective/registry-based institutional restriction until the group approves the program and consent requirements.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An allocation review pathway is not an institution-wide adoption decision.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governance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G3 — Which control strategy and ICI safety rules will be used?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Plan pretransplant treatment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“Locoregional or systemic therapy for iCCA”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iCCA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Treatment options depend on stage, resectability and clinical condition; this does not specify one transplant bridge regimen.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pCCA diagnosis / transplantation · PDF pp.26–28; iCCA treatment section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a patient-specific MDT control plan and separately review any checkpoint exposure. Record intended effect and transplant implications before treatment.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Therapy eligibility, efficacy and transplant safety are separate judgments.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IR · transplant pharmacy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G4 — Which event starts or restarts the six-month stability interval?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Demonstrate stability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“6 months from time of diagnosis or last treatment of tumor stability”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iCCA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very-early cohort reports transplant outcomes; the NLRB guidance specifies the observation interval for MELD-exception review.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both diagnosis and last-treatment dates. If the starting point is uncertain, obtain an interpretation from the clinician responsible for MELD-exception requests before submission.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Do not substitute the shortest convenient interval for ambiguous wording.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physician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G5 — Who verifies nonstandard submission and three-month imaging?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Request an individual iCCA MELD exception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“Every 3 months”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imaging requirement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Name the clinician responsible for allocation and a separate clinical reviewer; compare each renewal with the original histology and selection criteria.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prior exception does not remove the requirement for ongoing control.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physician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iCCA G6 — What post-transplant recurrence surveillance will the program adopt?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8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Very-early iCCA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Selected transplant outcome data do not establish a single optimal surveillance interval.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Sapisochin et al. · Hepatology · 2016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iCCA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addresses exception review and extensions, not a complete post-LT surveillance regimen.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pp.7–8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Agree an oncology and transplant follow-up schedule based on recurrence risk, and a plan for prospective outcome collection before the program begins treating patients.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Avoid presenting a local schedule as a national requirement.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transplant team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iCCA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AASLD · CCA</w:t>
      </w:r>
      <w:r>
        <w:rPr>
          <w:b w:val="0"/>
          <w:i w:val="0"/>
          <w:sz w:val="19"/>
        </w:rPr>
        <w:t xml:space="preserve"> — AASLD Practice Guidance on PSC and cholangiocarcinoma</w:t>
      </w:r>
      <w:r>
        <w:rPr>
          <w:b w:val="0"/>
          <w:i w:val="0"/>
          <w:sz w:val="19"/>
        </w:rPr>
        <w:t xml:space="preserve">  </w:t>
      </w:r>
      <w:hyperlink r:id="rId2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iCCA</w:t>
      </w:r>
      <w:r>
        <w:rPr>
          <w:b w:val="0"/>
          <w:i w:val="0"/>
          <w:sz w:val="19"/>
        </w:rPr>
        <w:t xml:space="preserve"> — Adult MELD exception review guidance — iCCA / mixed HCC-iCCA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Very-early iCCA</w:t>
      </w:r>
      <w:r>
        <w:rPr>
          <w:b w:val="0"/>
          <w:i w:val="0"/>
          <w:sz w:val="19"/>
        </w:rPr>
        <w:t xml:space="preserve"> — Liver transplantation for very early iCCA: international retrospective study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icca/#diagnosis" TargetMode="External"/><Relationship Id="rId9" Type="http://schemas.openxmlformats.org/officeDocument/2006/relationships/hyperlink" Target="https://drliuhao.github.io/mh-liver-pathways/transplant/icca/#meeting-histology" TargetMode="External"/><Relationship Id="rId10" Type="http://schemas.openxmlformats.org/officeDocument/2006/relationships/hyperlink" Target="https://drliuhao.github.io/mh-liver-pathways/transplant/icca/#phenotype" TargetMode="External"/><Relationship Id="rId11" Type="http://schemas.openxmlformats.org/officeDocument/2006/relationships/hyperlink" Target="https://drliuhao.github.io/mh-liver-pathways/transplant/icca/#meeting-phenotype" TargetMode="External"/><Relationship Id="rId12" Type="http://schemas.openxmlformats.org/officeDocument/2006/relationships/hyperlink" Target="https://drliuhao.github.io/mh-liver-pathways/transplant/icca/#therapy" TargetMode="External"/><Relationship Id="rId13" Type="http://schemas.openxmlformats.org/officeDocument/2006/relationships/hyperlink" Target="https://drliuhao.github.io/mh-liver-pathways/transplant/icca/#meeting-therapy" TargetMode="External"/><Relationship Id="rId14" Type="http://schemas.openxmlformats.org/officeDocument/2006/relationships/hyperlink" Target="https://drliuhao.github.io/mh-liver-pathways/transplant/icca/#stability" TargetMode="External"/><Relationship Id="rId15" Type="http://schemas.openxmlformats.org/officeDocument/2006/relationships/hyperlink" Target="https://drliuhao.github.io/mh-liver-pathways/transplant/icca/#meeting-stability-clock" TargetMode="External"/><Relationship Id="rId16" Type="http://schemas.openxmlformats.org/officeDocument/2006/relationships/hyperlink" Target="https://drliuhao.github.io/mh-liver-pathways/transplant/icca/#review" TargetMode="External"/><Relationship Id="rId17" Type="http://schemas.openxmlformats.org/officeDocument/2006/relationships/hyperlink" Target="https://drliuhao.github.io/mh-liver-pathways/transplant/icca/#meeting-review-ownership" TargetMode="External"/><Relationship Id="rId18" Type="http://schemas.openxmlformats.org/officeDocument/2006/relationships/hyperlink" Target="https://drliuhao.github.io/mh-liver-pathways/transplant/icca/#follow-up" TargetMode="External"/><Relationship Id="rId19" Type="http://schemas.openxmlformats.org/officeDocument/2006/relationships/hyperlink" Target="https://drliuhao.github.io/mh-liver-pathways/transplant/icca/#meeting-surveillance" TargetMode="External"/><Relationship Id="rId20" Type="http://schemas.openxmlformats.org/officeDocument/2006/relationships/hyperlink" Target="https://doi.org/10.1002/hep.32771" TargetMode="External"/><Relationship Id="rId21" Type="http://schemas.openxmlformats.org/officeDocument/2006/relationships/hyperlink" Target="https://www.hrsa.gov/sites/default/files/hrsa/optn/adult-meld-exception-transplant-oncology-review-guidance.pdf#page=7" TargetMode="External"/><Relationship Id="rId22" Type="http://schemas.openxmlformats.org/officeDocument/2006/relationships/hyperlink" Target="https://doi.org/10.1002/hep.28744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