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Intrahepatic cholangiocarcinoma — High-risk pathway: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pathway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https://drliuhao.github.io/mh-liver-pathways/transplant/icca/#high-risk</w:t>
      </w:r>
    </w:p>
    <w:p>
      <w:pPr>
        <w:spacing w:after="160"/>
      </w:pPr>
      <w:r>
        <w:rPr>
          <w:b/>
          <w:i w:val="0"/>
        </w:rPr>
        <w:t xml:space="preserve">Companion files: </w:t>
      </w:r>
      <w:r>
        <w:rPr>
          <w:b w:val="0"/>
          <w:i w:val="0"/>
          <w:sz w:val="20"/>
        </w:rPr>
        <w:t xml:space="preserve">Full content: </w:t>
      </w:r>
      <w:r>
        <w:rPr>
          <w:b w:val="0"/>
          <w:i/>
        </w:rPr>
        <w:t>iCCA_5_High_Risk_Pathway.docx</w:t>
      </w:r>
      <w:r>
        <w:rPr>
          <w:b w:val="0"/>
          <w:i w:val="0"/>
          <w:sz w:val="20"/>
        </w:rPr>
        <w:t xml:space="preserve"> · Decision discussion for all settings: </w:t>
      </w:r>
      <w:r>
        <w:rPr>
          <w:b w:val="0"/>
          <w:i/>
        </w:rPr>
        <w:t>iCCA_7_Decision_Discussion.docx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iCCA-B1</w:t>
            </w:r>
          </w:p>
        </w:tc>
        <w:tc>
          <w:tcPr>
            <w:tcW w:type="dxa" w:w="2520"/>
            <w:tcW w:w="3500" w:type="dxa"/>
            <w:shd w:val="clear" w:color="auto" w:fill="F1F5F8"/>
          </w:tcPr>
          <w:p>
            <w:pPr>
              <w:spacing w:after="0"/>
            </w:pPr>
            <w:r>
              <w:rPr>
                <w:b w:val="0"/>
                <w:i w:val="0"/>
                <w:sz w:val="19"/>
              </w:rPr>
              <w:t>Do we preserve separate small-cirrhotic and advanced-disease pathways?</w:t>
            </w:r>
          </w:p>
        </w:tc>
        <w:tc>
          <w:tcPr>
            <w:tcW w:type="dxa" w:w="2520"/>
            <w:tcW w:w="3780" w:type="dxa"/>
            <w:shd w:val="clear" w:color="auto" w:fill="F1F5F8"/>
          </w:tcPr>
          <w:p>
            <w:pPr>
              <w:spacing w:after="0"/>
            </w:pPr>
            <w:r>
              <w:rPr>
                <w:b w:val="0"/>
                <w:i w:val="0"/>
                <w:sz w:val="19"/>
              </w:rPr>
              <w:t>Keep the small-cirrhotic pathway separate; define the initial advanced study by pure, favorable-grade, localized morphology rather than an invented size cap.</w:t>
            </w:r>
          </w:p>
        </w:tc>
        <w:tc>
          <w:tcPr>
            <w:tcW w:type="dxa" w:w="2520"/>
            <w:tcW w:w="1500" w:type="dxa"/>
            <w:shd w:val="clear" w:color="auto" w:fill="F1F5F8"/>
          </w:tcPr>
          <w:p>
            <w:pPr>
              <w:spacing w:after="0"/>
            </w:pPr>
            <w:r>
              <w:rPr>
                <w:b w:val="0"/>
                <w:i w:val="0"/>
                <w:color w:val="5A6069"/>
                <w:sz w:val="18"/>
              </w:rPr>
              <w:t>OPEN proposal · not activated</w:t>
            </w:r>
          </w:p>
        </w:tc>
      </w:tr>
      <w:tr>
        <w:trPr>
          <w:cantSplit/>
        </w:trPr>
        <w:tc>
          <w:tcPr>
            <w:tcW w:type="dxa" w:w="2520"/>
            <w:tcW w:w="1300" w:type="dxa"/>
            <w:shd w:val="clear" w:color="auto" w:fill="FFFFFF"/>
          </w:tcPr>
          <w:p>
            <w:pPr>
              <w:spacing w:after="0"/>
            </w:pPr>
            <w:r>
              <w:rPr>
                <w:b/>
                <w:i w:val="0"/>
                <w:sz w:val="19"/>
              </w:rPr>
              <w:t>iCCA-B2</w:t>
            </w:r>
          </w:p>
        </w:tc>
        <w:tc>
          <w:tcPr>
            <w:tcW w:type="dxa" w:w="2520"/>
            <w:tcW w:w="3500" w:type="dxa"/>
            <w:shd w:val="clear" w:color="auto" w:fill="FFFFFF"/>
          </w:tcPr>
          <w:p>
            <w:pPr>
              <w:spacing w:after="0"/>
            </w:pPr>
            <w:r>
              <w:rPr>
                <w:b w:val="0"/>
                <w:i w:val="0"/>
                <w:sz w:val="19"/>
              </w:rPr>
              <w:t>What does sustained control have to prove before transplant activation?</w:t>
            </w:r>
          </w:p>
        </w:tc>
        <w:tc>
          <w:tcPr>
            <w:tcW w:type="dxa" w:w="2520"/>
            <w:tcW w:w="3780" w:type="dxa"/>
            <w:shd w:val="clear" w:color="auto" w:fill="FFFFFF"/>
          </w:tcPr>
          <w:p>
            <w:pPr>
              <w:spacing w:after="0"/>
            </w:pPr>
            <w:r>
              <w:rPr>
                <w:b w:val="0"/>
                <w:i w:val="0"/>
                <w:sz w:val="19"/>
              </w:rPr>
              <w:t>Require six months of continuous disease control, but distinguish liver-only progression with salvage from permanent exclusion.</w:t>
            </w:r>
          </w:p>
        </w:tc>
        <w:tc>
          <w:tcPr>
            <w:tcW w:type="dxa" w:w="2520"/>
            <w:tcW w:w="1500" w:type="dxa"/>
            <w:shd w:val="clear" w:color="auto" w:fill="FFFFFF"/>
          </w:tcPr>
          <w:p>
            <w:pPr>
              <w:spacing w:after="0"/>
            </w:pPr>
            <w:r>
              <w:rPr>
                <w:b w:val="0"/>
                <w:i w:val="0"/>
                <w:color w:val="5A6069"/>
                <w:sz w:val="18"/>
              </w:rPr>
              <w:t>OPEN proposal · not activated</w:t>
            </w:r>
          </w:p>
        </w:tc>
      </w:tr>
      <w:tr>
        <w:trPr>
          <w:cantSplit/>
        </w:trPr>
        <w:tc>
          <w:tcPr>
            <w:tcW w:type="dxa" w:w="2520"/>
            <w:tcW w:w="1300" w:type="dxa"/>
            <w:shd w:val="clear" w:color="auto" w:fill="F1F5F8"/>
          </w:tcPr>
          <w:p>
            <w:pPr>
              <w:spacing w:after="0"/>
            </w:pPr>
            <w:r>
              <w:rPr>
                <w:b/>
                <w:i w:val="0"/>
                <w:sz w:val="19"/>
              </w:rPr>
              <w:t>iCCA-B3</w:t>
            </w:r>
          </w:p>
        </w:tc>
        <w:tc>
          <w:tcPr>
            <w:tcW w:type="dxa" w:w="2520"/>
            <w:tcW w:w="3500" w:type="dxa"/>
            <w:shd w:val="clear" w:color="auto" w:fill="F1F5F8"/>
          </w:tcPr>
          <w:p>
            <w:pPr>
              <w:spacing w:after="0"/>
            </w:pPr>
            <w:r>
              <w:rPr>
                <w:b w:val="0"/>
                <w:i w:val="0"/>
                <w:sz w:val="19"/>
              </w:rPr>
              <w:t>Does access to LDLT change the evidentiary threshold?</w:t>
            </w:r>
          </w:p>
        </w:tc>
        <w:tc>
          <w:tcPr>
            <w:tcW w:type="dxa" w:w="2520"/>
            <w:tcW w:w="3780" w:type="dxa"/>
            <w:shd w:val="clear" w:color="auto" w:fill="F1F5F8"/>
          </w:tcPr>
          <w:p>
            <w:pPr>
              <w:spacing w:after="0"/>
            </w:pPr>
            <w:r>
              <w:rPr>
                <w:b w:val="0"/>
                <w:i w:val="0"/>
                <w:sz w:val="19"/>
              </w:rPr>
              <w:t>Develop a prospective LDLT feasibility study, but do not permit transplantation under this proposal yet.</w:t>
            </w:r>
          </w:p>
        </w:tc>
        <w:tc>
          <w:tcPr>
            <w:tcW w:type="dxa" w:w="2520"/>
            <w:tcW w:w="1500" w:type="dxa"/>
            <w:shd w:val="clear" w:color="auto" w:fill="F1F5F8"/>
          </w:tcPr>
          <w:p>
            <w:pPr>
              <w:spacing w:after="0"/>
            </w:pPr>
            <w:r>
              <w:rPr>
                <w:b w:val="0"/>
                <w:i w:val="0"/>
                <w:color w:val="5A6069"/>
                <w:sz w:val="18"/>
              </w:rPr>
              <w:t>Study development · no transplantation yet · not activated</w:t>
            </w:r>
          </w:p>
        </w:tc>
      </w:tr>
      <w:tr>
        <w:trPr>
          <w:cantSplit/>
        </w:trPr>
        <w:tc>
          <w:tcPr>
            <w:tcW w:type="dxa" w:w="2520"/>
            <w:tcW w:w="1300" w:type="dxa"/>
            <w:shd w:val="clear" w:color="auto" w:fill="FFFFFF"/>
          </w:tcPr>
          <w:p>
            <w:pPr>
              <w:spacing w:after="0"/>
            </w:pPr>
            <w:r>
              <w:rPr>
                <w:b/>
                <w:i w:val="0"/>
                <w:sz w:val="19"/>
              </w:rPr>
              <w:t>iCCA-B4</w:t>
            </w:r>
          </w:p>
        </w:tc>
        <w:tc>
          <w:tcPr>
            <w:tcW w:type="dxa" w:w="2520"/>
            <w:tcW w:w="3500" w:type="dxa"/>
            <w:shd w:val="clear" w:color="auto" w:fill="FFFFFF"/>
          </w:tcPr>
          <w:p>
            <w:pPr>
              <w:spacing w:after="0"/>
            </w:pPr>
            <w:r>
              <w:rPr>
                <w:b w:val="0"/>
                <w:i w:val="0"/>
                <w:sz w:val="19"/>
              </w:rPr>
              <w:t>Should a patient whose iCCA nodal or extrahepatic disease has responded or been resected ever be considered for transplantation?</w:t>
            </w:r>
          </w:p>
        </w:tc>
        <w:tc>
          <w:tcPr>
            <w:tcW w:type="dxa" w:w="2520"/>
            <w:tcW w:w="3780" w:type="dxa"/>
            <w:shd w:val="clear" w:color="auto" w:fill="FFFFFF"/>
          </w:tcPr>
          <w:p>
            <w:pPr>
              <w:spacing w:after="0"/>
            </w:pPr>
            <w:r>
              <w:rPr>
                <w:b w:val="0"/>
                <w:i w:val="0"/>
                <w:sz w:val="19"/>
              </w:rPr>
              <w:t>Keep closed. Proven malignant nodes or extrahepatic disease, current or previously treated, exclude the small-cirrhotic route and the advanced-iCCA study. Confirm node-negative status pathologically before listing.</w:t>
            </w:r>
          </w:p>
        </w:tc>
        <w:tc>
          <w:tcPr>
            <w:tcW w:type="dxa" w:w="2520"/>
            <w:tcW w:w="1500" w:type="dxa"/>
            <w:shd w:val="clear" w:color="auto" w:fill="FFFFFF"/>
          </w:tcPr>
          <w:p>
            <w:pPr>
              <w:spacing w:after="0"/>
            </w:pPr>
            <w:r>
              <w:rPr>
                <w:b w:val="0"/>
                <w:i w:val="0"/>
                <w:color w:val="5A6069"/>
                <w:sz w:val="18"/>
              </w:rPr>
              <w:t>Closed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iCCA-B1 — Advanced disease: tumor distribution and grade</w:t>
      </w:r>
    </w:p>
    <w:p>
      <w:pPr>
        <w:spacing w:after="80"/>
      </w:pPr>
      <w:r>
        <w:rPr>
          <w:b w:val="0"/>
          <w:i w:val="0"/>
          <w:color w:val="5A6069"/>
          <w:sz w:val="18"/>
        </w:rPr>
        <w:t>OPEN proposal · not activated · High-risk review</w:t>
      </w:r>
    </w:p>
    <w:p>
      <w:pPr>
        <w:spacing w:after="80"/>
      </w:pPr>
      <w:r>
        <w:rPr>
          <w:b/>
          <w:i w:val="0"/>
        </w:rPr>
        <w:t xml:space="preserve">Question: </w:t>
      </w:r>
      <w:r>
        <w:rPr>
          <w:b w:val="0"/>
          <w:i w:val="0"/>
        </w:rPr>
        <w:t>Do we preserve separate small-cirrhotic and advanced-disease pathways?</w:t>
      </w:r>
    </w:p>
    <w:p>
      <w:pPr>
        <w:spacing w:after="80"/>
      </w:pPr>
      <w:r>
        <w:rPr>
          <w:b/>
          <w:i w:val="0"/>
        </w:rPr>
        <w:t xml:space="preserve">When it applies: </w:t>
      </w:r>
      <w:r>
        <w:rPr>
          <w:b w:val="0"/>
          <w:i w:val="0"/>
        </w:rPr>
        <w:t>Confirm the actual lesion distribution and tumor grade before considering the proposed advanced-disease study.</w:t>
      </w:r>
    </w:p>
    <w:p>
      <w:pPr>
        <w:spacing w:after="80"/>
      </w:pPr>
      <w:r>
        <w:rPr>
          <w:b/>
          <w:i w:val="0"/>
        </w:rPr>
        <w:t xml:space="preserve">Where it is decided: </w:t>
      </w:r>
      <w:hyperlink r:id="rId6">
        <w:r>
          <w:rPr>
            <w:color w:val="0563C1"/>
            <w:u w:val="single"/>
          </w:rPr>
          <w:t xml:space="preserve">Establish histology</w:t>
        </w:r>
      </w:hyperlink>
      <w:r>
        <w:rPr>
          <w:b w:val="0"/>
          <w:i w:val="0"/>
        </w:rPr>
        <w:t xml:space="preserve"> · </w:t>
      </w:r>
      <w:hyperlink r:id="rId9">
        <w:r>
          <w:rPr>
            <w:color w:val="0563C1"/>
            <w:u w:val="single"/>
          </w:rPr>
          <w:t xml:space="preserve">Check clinical selection criteria</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SYS-TARE 2024</w:t>
            </w:r>
          </w:p>
        </w:tc>
        <w:tc>
          <w:tcPr>
            <w:tcW w:type="dxa" w:w="3360"/>
            <w:tcW w:w="5480" w:type="dxa"/>
            <w:shd w:val="clear" w:color="auto" w:fill="F1F5F8"/>
          </w:tcPr>
          <w:p>
            <w:pPr>
              <w:spacing w:after="0"/>
            </w:pPr>
            <w:r>
              <w:rPr>
                <w:b w:val="0"/>
                <w:i w:val="0"/>
                <w:sz w:val="19"/>
              </w:rPr>
              <w:t>“a single measurable lesion with or without associated peritumoral satellites” A narrower studied morphology; it does not prove a safe upper diameter.</w:t>
            </w:r>
          </w:p>
        </w:tc>
        <w:tc>
          <w:tcPr>
            <w:tcW w:type="dxa" w:w="3360"/>
            <w:tcW w:w="2400" w:type="dxa"/>
            <w:shd w:val="clear" w:color="auto" w:fill="F1F5F8"/>
          </w:tcPr>
          <w:p>
            <w:pPr>
              <w:spacing w:after="0"/>
            </w:pPr>
            <w:r>
              <w:rPr>
                <w:b w:val="0"/>
                <w:i w:val="0"/>
                <w:color w:val="5A6069"/>
                <w:sz w:val="18"/>
              </w:rPr>
              <w:t>Published PDF pp2–3, Patients and Methods</w:t>
            </w:r>
          </w:p>
        </w:tc>
      </w:tr>
      <w:tr>
        <w:trPr>
          <w:cantSplit/>
        </w:trPr>
        <w:tc>
          <w:tcPr>
            <w:tcW w:type="dxa" w:w="3360"/>
            <w:tcW w:w="2200" w:type="dxa"/>
            <w:shd w:val="clear" w:color="auto" w:fill="FFFFFF"/>
          </w:tcPr>
          <w:p>
            <w:pPr>
              <w:spacing w:after="0"/>
            </w:pPr>
            <w:r>
              <w:rPr>
                <w:b/>
                <w:i w:val="0"/>
                <w:sz w:val="19"/>
              </w:rPr>
              <w:t>ILTS–ILCA consensus</w:t>
            </w:r>
          </w:p>
        </w:tc>
        <w:tc>
          <w:tcPr>
            <w:tcW w:type="dxa" w:w="3360"/>
            <w:tcW w:w="5480" w:type="dxa"/>
            <w:shd w:val="clear" w:color="auto" w:fill="FFFFFF"/>
          </w:tcPr>
          <w:p>
            <w:pPr>
              <w:spacing w:after="0"/>
            </w:pPr>
            <w:r>
              <w:rPr>
                <w:b w:val="0"/>
                <w:i w:val="0"/>
                <w:sz w:val="19"/>
              </w:rPr>
              <w:t>“no agreement was reached regarding LT in this population.” Refers to large/locally advanced or noncirrhotic iCCA; consensus did not endorse universal expansion.</w:t>
            </w:r>
          </w:p>
        </w:tc>
        <w:tc>
          <w:tcPr>
            <w:tcW w:type="dxa" w:w="3360"/>
            <w:tcW w:w="2400" w:type="dxa"/>
            <w:shd w:val="clear" w:color="auto" w:fill="FFFFFF"/>
          </w:tcPr>
          <w:p>
            <w:pPr>
              <w:spacing w:after="0"/>
            </w:pPr>
            <w:r>
              <w:rPr>
                <w:b w:val="0"/>
                <w:i w:val="0"/>
                <w:color w:val="5A6069"/>
                <w:sz w:val="18"/>
              </w:rPr>
              <w:t>Consensus manuscript PDF p14, iCCA discussion</w:t>
            </w:r>
          </w:p>
        </w:tc>
      </w:tr>
      <w:tr>
        <w:trPr>
          <w:cantSplit/>
        </w:trPr>
        <w:tc>
          <w:tcPr>
            <w:tcW w:type="dxa" w:w="3360"/>
            <w:tcW w:w="2200" w:type="dxa"/>
            <w:shd w:val="clear" w:color="auto" w:fill="F1F5F8"/>
          </w:tcPr>
          <w:p>
            <w:pPr>
              <w:spacing w:after="0"/>
            </w:pPr>
            <w:r>
              <w:rPr>
                <w:b/>
                <w:i w:val="0"/>
                <w:sz w:val="19"/>
              </w:rPr>
              <w:t>AASLD/AST candidate evaluation</w:t>
            </w:r>
          </w:p>
        </w:tc>
        <w:tc>
          <w:tcPr>
            <w:tcW w:type="dxa" w:w="3360"/>
            <w:tcW w:w="5480" w:type="dxa"/>
            <w:shd w:val="clear" w:color="auto" w:fill="F1F5F8"/>
          </w:tcPr>
          <w:p>
            <w:pPr>
              <w:spacing w:after="0"/>
            </w:pPr>
            <w:r>
              <w:rPr>
                <w:b w:val="0"/>
                <w:i w:val="0"/>
                <w:sz w:val="19"/>
              </w:rPr>
              <w:t>“a maximum diameter &lt; 3 cm” The clinical recommendation uses a strict inequality. Its rationale discusses solitary disease in cirrhosis; this is not the advanced-study population.</w:t>
            </w:r>
          </w:p>
        </w:tc>
        <w:tc>
          <w:tcPr>
            <w:tcW w:type="dxa" w:w="3360"/>
            <w:tcW w:w="2400" w:type="dxa"/>
            <w:shd w:val="clear" w:color="auto" w:fill="F1F5F8"/>
          </w:tcPr>
          <w:p>
            <w:pPr>
              <w:spacing w:after="0"/>
            </w:pPr>
            <w:r>
              <w:rPr>
                <w:b w:val="0"/>
                <w:i w:val="0"/>
                <w:color w:val="5A6069"/>
                <w:sz w:val="18"/>
              </w:rPr>
              <w:t>AASLD/AST candidate-evaluation manuscript PDF p8, statement 11</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“less than or equal to 3 cm” Allocation guidance includes equality. Exactly 3.0 cm requires clinical adjudication; preserve the exact allocation wording instead of silently harmonizing it.</w:t>
            </w:r>
          </w:p>
        </w:tc>
        <w:tc>
          <w:tcPr>
            <w:tcW w:type="dxa" w:w="3360"/>
            <w:tcW w:w="2400" w:type="dxa"/>
            <w:shd w:val="clear" w:color="auto" w:fill="FFFFFF"/>
          </w:tcPr>
          <w:p>
            <w:pPr>
              <w:spacing w:after="0"/>
            </w:pPr>
            <w:r>
              <w:rPr>
                <w:b w:val="0"/>
                <w:i w:val="0"/>
                <w:color w:val="5A6069"/>
                <w:sz w:val="18"/>
              </w:rPr>
              <w:t>December 2025 oncology guidance p8, iCCA initial/extension criteria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Sapisochin 2016 · very early iCCA</w:t>
            </w:r>
          </w:p>
        </w:tc>
        <w:tc>
          <w:tcPr>
            <w:tcW w:type="dxa" w:w="3360"/>
            <w:tcW w:w="3900" w:type="dxa"/>
            <w:shd w:val="clear" w:color="auto" w:fill="F1F5F8"/>
          </w:tcPr>
          <w:p>
            <w:pPr>
              <w:spacing w:after="0"/>
            </w:pPr>
            <w:r>
              <w:rPr>
                <w:b w:val="0"/>
                <w:i w:val="0"/>
                <w:sz w:val="19"/>
              </w:rPr>
              <w:t>International retrospective explant-defined pure iCCA; 48 recipients, 15 very-early solitary ≤ 2 cm, 33 larger/multifocal. Cirrhosis and predominantly incidental/misclassified tumors, not a planned advanced-iCCA induction pathway.</w:t>
            </w:r>
          </w:p>
        </w:tc>
        <w:tc>
          <w:tcPr>
            <w:tcW w:type="dxa" w:w="3360"/>
            <w:tcW w:w="4180" w:type="dxa"/>
            <w:shd w:val="clear" w:color="auto" w:fill="F1F5F8"/>
          </w:tcPr>
          <w:p>
            <w:pPr>
              <w:spacing w:after="0"/>
            </w:pPr>
            <w:r>
              <w:rPr>
                <w:b w:val="0"/>
                <w:i w:val="0"/>
                <w:sz w:val="19"/>
              </w:rPr>
              <w:t>Five-year post-LT OS 65% very-early versus 45% advanced; 5-year recurrence 18% versus 61%.</w:t>
            </w:r>
          </w:p>
          <w:p>
            <w:pPr>
              <w:spacing w:after="0"/>
            </w:pPr>
            <w:r>
              <w:rPr>
                <w:b w:val="0"/>
                <w:i/>
                <w:sz w:val="19"/>
              </w:rPr>
              <w:t>Limits: Small retrospective pathological strata, not validation of ≤ 3 cm guidance or response-selected large disease. Preoperative sampling/recognition differs from known iCCA.</w:t>
            </w:r>
          </w:p>
          <w:p>
            <w:pPr>
              <w:spacing w:after="0"/>
            </w:pPr>
            <w:r>
              <w:rPr>
                <w:b w:val="0"/>
                <w:i w:val="0"/>
                <w:color w:val="5A6069"/>
                <w:sz w:val="18"/>
              </w:rPr>
              <w:t>Hepatology 2016; 64: 1178–1188; Methods and very-early/advanced survival analyses; full PDF.</w:t>
            </w:r>
          </w:p>
        </w:tc>
      </w:tr>
      <w:tr>
        <w:trPr>
          <w:cantSplit/>
        </w:trPr>
        <w:tc>
          <w:tcPr>
            <w:tcW w:type="dxa" w:w="3360"/>
            <w:tcW w:w="2000" w:type="dxa"/>
            <w:shd w:val="clear" w:color="auto" w:fill="FFFFFF"/>
          </w:tcPr>
          <w:p>
            <w:pPr>
              <w:spacing w:after="0"/>
            </w:pPr>
            <w:r>
              <w:rPr>
                <w:b/>
                <w:i w:val="0"/>
                <w:sz w:val="19"/>
              </w:rPr>
              <w:t>De Martin 2020</w:t>
            </w:r>
          </w:p>
        </w:tc>
        <w:tc>
          <w:tcPr>
            <w:tcW w:type="dxa" w:w="3360"/>
            <w:tcW w:w="3900" w:type="dxa"/>
            <w:shd w:val="clear" w:color="auto" w:fill="FFFFFF"/>
          </w:tcPr>
          <w:p>
            <w:pPr>
              <w:spacing w:after="0"/>
            </w:pPr>
            <w:r>
              <w:rPr>
                <w:b w:val="0"/>
                <w:i w:val="0"/>
                <w:sz w:val="19"/>
              </w:rPr>
              <w:t>Three-center retrospective cirrhosis cohort; 49 LT versus 26 resection, iCCA/mixed ≤ 5 cm. All LT diagnoses were incidental; 44/49 presumed HCC, 5 decompensated cirrhosis.</w:t>
            </w:r>
          </w:p>
        </w:tc>
        <w:tc>
          <w:tcPr>
            <w:tcW w:type="dxa" w:w="3360"/>
            <w:tcW w:w="4180" w:type="dxa"/>
            <w:shd w:val="clear" w:color="auto" w:fill="FFFFFF"/>
          </w:tcPr>
          <w:p>
            <w:pPr>
              <w:spacing w:after="0"/>
            </w:pPr>
            <w:r>
              <w:rPr>
                <w:b w:val="0"/>
                <w:i w:val="0"/>
                <w:sz w:val="19"/>
              </w:rPr>
              <w:t>From surgery, 5-year OS 67% LT versus 40% resection (p=.17), RFS 75% vs 36%(p=.004), recurrence 18% vs 46%. Differentiation independently predicted recurrence (HR 3.74).</w:t>
            </w:r>
          </w:p>
          <w:p>
            <w:pPr>
              <w:spacing w:after="0"/>
            </w:pPr>
            <w:r>
              <w:rPr>
                <w:b w:val="0"/>
                <w:i/>
                <w:sz w:val="19"/>
              </w:rPr>
              <w:t>Limits: Not proof to prospectively transplant known 5-cm pure/mixed disease; heterogeneous histology, small numbers, per-protocol selection.</w:t>
            </w:r>
          </w:p>
          <w:p>
            <w:pPr>
              <w:spacing w:after="0"/>
            </w:pPr>
            <w:r>
              <w:rPr>
                <w:b w:val="0"/>
                <w:i w:val="0"/>
                <w:color w:val="5A6069"/>
                <w:sz w:val="18"/>
              </w:rPr>
              <w:t>Liver Transpl 2020; 26: 785–798; Methods, OS/RFS and pathological-risk analyses.</w:t>
            </w:r>
          </w:p>
        </w:tc>
      </w:tr>
      <w:tr>
        <w:trPr>
          <w:cantSplit/>
        </w:trPr>
        <w:tc>
          <w:tcPr>
            <w:tcW w:type="dxa" w:w="3360"/>
            <w:tcW w:w="2000" w:type="dxa"/>
            <w:shd w:val="clear" w:color="auto" w:fill="F1F5F8"/>
          </w:tcPr>
          <w:p>
            <w:pPr>
              <w:spacing w:after="0"/>
            </w:pPr>
            <w:r>
              <w:rPr>
                <w:b/>
                <w:i w:val="0"/>
                <w:sz w:val="19"/>
              </w:rPr>
              <w:t>Dageforde 2021</w:t>
            </w:r>
          </w:p>
        </w:tc>
        <w:tc>
          <w:tcPr>
            <w:tcW w:type="dxa" w:w="3360"/>
            <w:tcW w:w="3900" w:type="dxa"/>
            <w:shd w:val="clear" w:color="auto" w:fill="F1F5F8"/>
          </w:tcPr>
          <w:p>
            <w:pPr>
              <w:spacing w:after="0"/>
            </w:pPr>
            <w:r>
              <w:rPr>
                <w:b w:val="0"/>
                <w:i w:val="0"/>
                <w:sz w:val="19"/>
              </w:rPr>
              <w:t>12-center retrospective; 208 mixed tumors, 99 LT and 109 resection; 67 LT within Milan, 14 beyond Milan/within UCSF, 18 beyond UCSF. Only 2/99 LT mixed diagnoses known preoperatively; most transplanted for presumed HCC.</w:t>
            </w:r>
          </w:p>
        </w:tc>
        <w:tc>
          <w:tcPr>
            <w:tcW w:type="dxa" w:w="3360"/>
            <w:tcW w:w="4180" w:type="dxa"/>
            <w:shd w:val="clear" w:color="auto" w:fill="F1F5F8"/>
          </w:tcPr>
          <w:p>
            <w:pPr>
              <w:spacing w:after="0"/>
            </w:pPr>
            <w:r>
              <w:rPr>
                <w:b w:val="0"/>
                <w:i w:val="0"/>
                <w:sz w:val="19"/>
              </w:rPr>
              <w:t>Within Milan 5-year post-LT OS 70.1%, recurrence 23.1%; HCC comparators 73.4%/11.5%. Beyond UCSF mixed 5-year OS 15.8%. Within Milan LT versus resection 5-year DFS 70.3% vs 33.6%.</w:t>
            </w:r>
          </w:p>
          <w:p>
            <w:pPr>
              <w:spacing w:after="0"/>
            </w:pPr>
            <w:r>
              <w:rPr>
                <w:b w:val="0"/>
                <w:i/>
                <w:sz w:val="19"/>
              </w:rPr>
              <w:t>Limits: Benefit is concentrated in small selected disease; does not validate advanced known mixed inclusion. Explant classification and preoperative misdiagnosis constrain applicability.</w:t>
            </w:r>
          </w:p>
          <w:p>
            <w:pPr>
              <w:spacing w:after="0"/>
            </w:pPr>
            <w:r>
              <w:rPr>
                <w:b w:val="0"/>
                <w:i w:val="0"/>
                <w:color w:val="5A6069"/>
                <w:sz w:val="18"/>
              </w:rPr>
              <w:t>J Am Coll Surg 2021; 232: 361–371; pp 363–367, Tables 1–3 and tumor-burden subgroup results; local PDF.</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65 referred, 37 listed; five converted to resection, 32 LT-pathway analysis, 18 LT. No imposed size/number limits; 10/18 multifocal, median cumulative burden 10.4 cm; six poorly differentiated on explant.</w:t>
            </w:r>
          </w:p>
        </w:tc>
        <w:tc>
          <w:tcPr>
            <w:tcW w:type="dxa" w:w="3360"/>
            <w:tcW w:w="4180" w:type="dxa"/>
            <w:shd w:val="clear" w:color="auto" w:fill="FFFFFF"/>
          </w:tcPr>
          <w:p>
            <w:pPr>
              <w:spacing w:after="0"/>
            </w:pPr>
            <w:r>
              <w:rPr>
                <w:b w:val="0"/>
                <w:i w:val="0"/>
                <w:sz w:val="19"/>
              </w:rPr>
              <w:t>Five-year OS 49% all 32 and 57% recipient subgroup, each FROM LISTING; 7/18 recurrences.</w:t>
            </w:r>
          </w:p>
          <w:p>
            <w:pPr>
              <w:spacing w:after="0"/>
            </w:pPr>
            <w:r>
              <w:rPr>
                <w:b w:val="0"/>
                <w:i/>
                <w:sz w:val="19"/>
              </w:rPr>
              <w:t>Limits: Overlap with Lunsford; selection and immortal-time bias. Inclusion of G3/multifocal disease does not establish their safety, but contradicts claiming such patients were universally excluded by evidence.</w:t>
            </w:r>
          </w:p>
          <w:p>
            <w:pPr>
              <w:spacing w:after="0"/>
            </w:pPr>
            <w:r>
              <w:rPr>
                <w:b w:val="0"/>
                <w:i w:val="0"/>
                <w:color w:val="5A6069"/>
                <w:sz w:val="18"/>
              </w:rPr>
              <w:t>AJT 2022; 22: 823–832; Methods Statistics, Tables 1–2 and §3.5.</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Rennes retrospective SIRT pathway; 147 treated, 44 younger controlled cases, 19 resections, eight listed including two external referrals, six LT. Large predominantly unifocal tumors; median baseline total 10 cm; diffuse multifocal, MVI and EHD excluded.</w:t>
            </w:r>
          </w:p>
        </w:tc>
        <w:tc>
          <w:tcPr>
            <w:tcW w:type="dxa" w:w="3360"/>
            <w:tcW w:w="4180" w:type="dxa"/>
            <w:shd w:val="clear" w:color="auto" w:fill="F1F5F8"/>
          </w:tcPr>
          <w:p>
            <w:pPr>
              <w:spacing w:after="0"/>
            </w:pPr>
            <w:r>
              <w:rPr>
                <w:b w:val="0"/>
                <w:i w:val="0"/>
                <w:sz w:val="19"/>
              </w:rPr>
              <w:t>Post-LT 5-year OS 100%, PFS 44.4%; 3/6 recurrences.</w:t>
            </w:r>
          </w:p>
          <w:p>
            <w:pPr>
              <w:spacing w:after="0"/>
            </w:pPr>
            <w:r>
              <w:rPr>
                <w:b w:val="0"/>
                <w:i/>
                <w:sz w:val="19"/>
              </w:rPr>
              <w:t>Limits: Only six recipients over 15 years; eight refers to listing, not completed LT. No size cap validated.</w:t>
            </w:r>
          </w:p>
          <w:p>
            <w:pPr>
              <w:spacing w:after="0"/>
            </w:pPr>
            <w:r>
              <w:rPr>
                <w:b w:val="0"/>
                <w:i w:val="0"/>
                <w:color w:val="5A6069"/>
                <w:sz w:val="18"/>
              </w:rPr>
              <w:t>JHEP Rep 2026; 8: 101830; Eligibility, cohort flow, Tables 1–3.</w:t>
            </w:r>
          </w:p>
        </w:tc>
      </w:tr>
    </w:tbl>
    <w:p>
      <w:pPr>
        <w:spacing w:after="40"/>
      </w:pPr>
    </w:p>
    <w:p>
      <w:pPr>
        <w:pStyle w:val="Heading3"/>
        <w:keepNext/>
        <w:spacing w:before="120" w:after="80"/>
      </w:pPr>
      <w:r>
        <w:rPr>
          <w:b w:val="0"/>
          <w:i w:val="0"/>
        </w:rPr>
        <w:t>Our proposed selection (OPEN)</w:t>
      </w:r>
    </w:p>
    <w:p>
      <w:pPr>
        <w:spacing w:after="80"/>
      </w:pPr>
      <w:r>
        <w:rPr>
          <w:b w:val="0"/>
          <w:i w:val="0"/>
        </w:rPr>
        <w:t>Keep the small-cirrhotic pathway separate; define the initial advanced study by pure, favorable-grade, localized morphology rather than an invented size cap.</w:t>
      </w:r>
    </w:p>
    <w:p>
      <w:pPr>
        <w:numPr>
          <w:ilvl w:val="0"/>
          <w:numId w:val="5"/>
        </w:numPr>
        <w:spacing w:after="40"/>
      </w:pPr>
      <w:r>
        <w:rPr>
          <w:b w:val="0"/>
          <w:i w:val="0"/>
        </w:rPr>
        <w:t>Proposed advanced entry phenotype: pure iCCA, G1–2, one mass-forming focus with or without adjacent peritumoral satellites; no separate multifocal deposits across distinct segments. No universal 8 cm/three-lesion rule is adopted.</w:t>
      </w:r>
    </w:p>
    <w:p>
      <w:pPr>
        <w:numPr>
          <w:ilvl w:val="0"/>
          <w:numId w:val="5"/>
        </w:numPr>
        <w:spacing w:after="40"/>
      </w:pPr>
      <w:r>
        <w:rPr>
          <w:b w:val="0"/>
          <w:i w:val="0"/>
        </w:rPr>
        <w:t>Exclude known G3/poor differentiation, mixed HCC-iCCA, macroscopic tumor thrombus, proven malignant nodes, peritoneal or other extrahepatic disease, current or previously treated (iCCA-B4), from the initial advanced pilot. Negative core sampling cannot guarantee the whole tumor grade; record this limitation.</w:t>
      </w:r>
    </w:p>
    <w:p>
      <w:pPr>
        <w:numPr>
          <w:ilvl w:val="0"/>
          <w:numId w:val="5"/>
        </w:numPr>
        <w:spacing w:after="40"/>
      </w:pPr>
      <w:r>
        <w:rPr>
          <w:b w:val="0"/>
          <w:i w:val="0"/>
        </w:rPr>
        <w:t>Intrahepatic vascular encasement without tumor thrombus may be considered if complete explant/reconstruction is technically feasible. Larger size needs individualized technical/biological review, not an automatic permission.</w:t>
      </w:r>
    </w:p>
    <w:p>
      <w:pPr>
        <w:numPr>
          <w:ilvl w:val="0"/>
          <w:numId w:val="5"/>
        </w:numPr>
        <w:spacing w:after="40"/>
      </w:pPr>
      <w:r>
        <w:rPr>
          <w:b w:val="0"/>
          <w:i w:val="0"/>
        </w:rPr>
        <w:t>Do not apply the advanced-study mixed-histology exclusion to the separate NLRB small-cirrhotic route. Preserve ≤3 cm guidance wording and flag the exactly-3.0 cm clinical discrepancy with &lt;3 cm candidate-evaluation prose.</w:t>
      </w:r>
    </w:p>
    <w:p>
      <w:pPr>
        <w:spacing w:after="80"/>
      </w:pPr>
      <w:r>
        <w:rPr>
          <w:b/>
          <w:i w:val="0"/>
        </w:rPr>
        <w:t xml:space="preserve">Why: </w:t>
      </w:r>
      <w:r>
        <w:rPr>
          <w:b w:val="0"/>
          <w:i w:val="0"/>
        </w:rPr>
        <w:t>Small incidental iCCA/mixed disease cannot simply be pooled with known advanced pure iCCA. Large unifocal tumors can have durable post-LT survival after selection, but recurrence remains common and the screened-to-LT yield is low. Multifocality and poor differentiation are adverse signals; their precise exclusion boundaries remain unvalidated. Known advanced mixed tumors have particularly weak prospective support.</w:t>
      </w:r>
    </w:p>
    <w:p>
      <w:pPr>
        <w:spacing w:after="80"/>
      </w:pPr>
      <w:r>
        <w:rPr>
          <w:b/>
          <w:i w:val="0"/>
        </w:rPr>
        <w:t xml:space="preserve">Against, or uncertain: </w:t>
      </w:r>
      <w:r>
        <w:rPr>
          <w:b w:val="0"/>
          <w:i w:val="0"/>
        </w:rPr>
        <w:t>Houston included multifocal/G3 explants and TESLA intentionally enrolled extensive burden; therefore G1–2/unifocal restrictions are local conservatism, not universal trial criteria. Conversely, small mixed-tumor success does not rescue beyond-UCSF outcomes or validate advanced mixed inclusion. Negative limited biopsy cannot eliminate heterogeneous high-grade/mixed components.</w:t>
      </w:r>
    </w:p>
    <w:p>
      <w:pPr>
        <w:spacing w:after="80"/>
      </w:pPr>
      <w:r>
        <w:rPr>
          <w:b/>
          <w:i w:val="0"/>
        </w:rPr>
        <w:t xml:space="preserve">Certainty: </w:t>
      </w:r>
      <w:r>
        <w:rPr>
          <w:b w:val="0"/>
          <w:i w:val="0"/>
        </w:rPr>
        <w:t>Low for small retrospective cohorts; very low for benefit and optimal thresholds in advanced disease. No randomized advanced-iCCA LT comparison or validated universal diameter/lesion-count limit.</w:t>
      </w:r>
    </w:p>
    <w:p>
      <w:pPr>
        <w:spacing w:after="80"/>
      </w:pPr>
      <w:r>
        <w:rPr>
          <w:b/>
          <w:i w:val="0"/>
        </w:rPr>
        <w:t xml:space="preserve">Tests and records: </w:t>
      </w:r>
      <w:r>
        <w:rPr>
          <w:b w:val="0"/>
          <w:i w:val="0"/>
        </w:rPr>
        <w:t>Expert core-pathology review including pure versus mixed and grade; MRI/CT segment map; chest/systemic staging; nodal resolution; vascular thrombus versus encasement; resection review.</w:t>
      </w:r>
    </w:p>
    <w:p>
      <w:pPr>
        <w:spacing w:after="80"/>
      </w:pPr>
      <w:r>
        <w:rPr>
          <w:b/>
          <w:i w:val="0"/>
        </w:rPr>
        <w:t xml:space="preserve">Allocation: </w:t>
      </w:r>
      <w:r>
        <w:rPr>
          <w:b w:val="0"/>
          <w:i w:val="0"/>
        </w:rPr>
        <w:t>Advanced noncirrhotic or larger disease does not inherit the small-cirrhotic favorable NLRB pathway. Organ-route and research decisions remain explicit.</w:t>
      </w:r>
    </w:p>
    <w:p>
      <w:pPr>
        <w:spacing w:after="40"/>
      </w:pPr>
      <w:r>
        <w:rPr>
          <w:b/>
          <w:i w:val="0"/>
        </w:rPr>
        <w:t xml:space="preserve">Basis for the proposed thresholds: </w:t>
      </w:r>
    </w:p>
    <w:p>
      <w:pPr>
        <w:numPr>
          <w:ilvl w:val="0"/>
          <w:numId w:val="5"/>
        </w:numPr>
        <w:spacing w:after="40"/>
      </w:pPr>
      <w:r>
        <w:rPr>
          <w:b w:val="0"/>
          <w:i w:val="0"/>
        </w:rPr>
        <w:t>GUIDANCE: current NLRB small-cirrhotic unresectable solitary iCCA/mixed ≤ 3 cm after 6 months stability is a separate reviewed-exception lane; AASLD candidate wording uses &lt; 3 cm. STUDY: SYS-TARE/Rennes use restricted burden; Houston/TESLA use broader burden. LOCAL: G1–2 and unifocal±adjacent satellites is a conservative first-study definition, not an evidence-proven optimum.</w:t>
      </w:r>
    </w:p>
    <w:p>
      <w:pPr>
        <w:pStyle w:val="Heading3"/>
        <w:keepNext/>
        <w:spacing w:before="120" w:after="80"/>
      </w:pPr>
      <w:r>
        <w:rPr>
          <w:b w:val="0"/>
          <w:i w:val="0"/>
        </w:rPr>
        <w:t>iCCA-B1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iCCA-B2 — Response, progression and the observation period</w:t>
      </w:r>
    </w:p>
    <w:p>
      <w:pPr>
        <w:spacing w:after="80"/>
      </w:pPr>
      <w:r>
        <w:rPr>
          <w:b w:val="0"/>
          <w:i w:val="0"/>
          <w:color w:val="5A6069"/>
          <w:sz w:val="18"/>
        </w:rPr>
        <w:t>OPEN proposal · not activated · High-risk review</w:t>
      </w:r>
    </w:p>
    <w:p>
      <w:pPr>
        <w:spacing w:after="80"/>
      </w:pPr>
      <w:r>
        <w:rPr>
          <w:b/>
          <w:i w:val="0"/>
        </w:rPr>
        <w:t xml:space="preserve">Question: </w:t>
      </w:r>
      <w:r>
        <w:rPr>
          <w:b w:val="0"/>
          <w:i w:val="0"/>
        </w:rPr>
        <w:t>What does sustained control have to prove before transplant activation?</w:t>
      </w:r>
    </w:p>
    <w:p>
      <w:pPr>
        <w:spacing w:after="80"/>
      </w:pPr>
      <w:r>
        <w:rPr>
          <w:b/>
          <w:i w:val="0"/>
        </w:rPr>
        <w:t xml:space="preserve">When it applies: </w:t>
      </w:r>
      <w:r>
        <w:rPr>
          <w:b w:val="0"/>
          <w:i w:val="0"/>
        </w:rPr>
        <w:t>Use the full treatment and progression history to decide whether further observation or another treatment is needed.</w:t>
      </w:r>
    </w:p>
    <w:p>
      <w:pPr>
        <w:spacing w:after="80"/>
      </w:pPr>
      <w:r>
        <w:rPr>
          <w:b/>
          <w:i w:val="0"/>
        </w:rPr>
        <w:t xml:space="preserve">Where it is decided: </w:t>
      </w:r>
      <w:hyperlink r:id="rId11">
        <w:r>
          <w:rPr>
            <w:color w:val="0563C1"/>
            <w:u w:val="single"/>
          </w:rPr>
          <w:t xml:space="preserve">Plan pretransplant treatment</w:t>
        </w:r>
      </w:hyperlink>
      <w:r>
        <w:rPr>
          <w:b w:val="0"/>
          <w:i w:val="0"/>
        </w:rPr>
        <w:t xml:space="preserve"> · </w:t>
      </w:r>
      <w:hyperlink r:id="rId12">
        <w:r>
          <w:rPr>
            <w:color w:val="0563C1"/>
            <w:u w:val="single"/>
          </w:rPr>
          <w:t xml:space="preserve">Demonstrate stability</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Lunsford 2018 · Houston</w:t>
            </w:r>
          </w:p>
        </w:tc>
        <w:tc>
          <w:tcPr>
            <w:tcW w:type="dxa" w:w="3360"/>
            <w:tcW w:w="5480" w:type="dxa"/>
            <w:shd w:val="clear" w:color="auto" w:fill="F1F5F8"/>
          </w:tcPr>
          <w:p>
            <w:pPr>
              <w:spacing w:after="0"/>
            </w:pPr>
            <w:r>
              <w:rPr>
                <w:b w:val="0"/>
                <w:i w:val="0"/>
                <w:sz w:val="19"/>
              </w:rPr>
              <w:t>“disease must have been controlled for 6 months on that regimen.” Six months on an effective strategy has direct study precedent, including second-line treatment.</w:t>
            </w:r>
          </w:p>
        </w:tc>
        <w:tc>
          <w:tcPr>
            <w:tcW w:type="dxa" w:w="3360"/>
            <w:tcW w:w="2400" w:type="dxa"/>
            <w:shd w:val="clear" w:color="auto" w:fill="F1F5F8"/>
          </w:tcPr>
          <w:p>
            <w:pPr>
              <w:spacing w:after="0"/>
            </w:pPr>
            <w:r>
              <w:rPr>
                <w:b w:val="0"/>
                <w:i w:val="0"/>
                <w:color w:val="5A6069"/>
                <w:sz w:val="18"/>
              </w:rPr>
              <w:t>Published PDF p3, Methods—Study design and participants</w:t>
            </w:r>
          </w:p>
        </w:tc>
      </w:tr>
      <w:tr>
        <w:trPr>
          <w:cantSplit/>
        </w:trPr>
        <w:tc>
          <w:tcPr>
            <w:tcW w:type="dxa" w:w="3360"/>
            <w:tcW w:w="2200" w:type="dxa"/>
            <w:shd w:val="clear" w:color="auto" w:fill="FFFFFF"/>
          </w:tcPr>
          <w:p>
            <w:pPr>
              <w:spacing w:after="0"/>
            </w:pPr>
            <w:r>
              <w:rPr>
                <w:b/>
                <w:i w:val="0"/>
                <w:sz w:val="19"/>
              </w:rPr>
              <w:t>McMillan 2022 · Houston update</w:t>
            </w:r>
          </w:p>
        </w:tc>
        <w:tc>
          <w:tcPr>
            <w:tcW w:type="dxa" w:w="3360"/>
            <w:tcW w:w="5480" w:type="dxa"/>
            <w:shd w:val="clear" w:color="auto" w:fill="FFFFFF"/>
          </w:tcPr>
          <w:p>
            <w:pPr>
              <w:spacing w:after="0"/>
            </w:pPr>
            <w:r>
              <w:rPr>
                <w:b w:val="0"/>
                <w:i w:val="0"/>
                <w:sz w:val="19"/>
              </w:rPr>
              <w:t>“Patients who developed extrahepatic disease were delisted.” Liver-only progression was deferred and could be reconsidered; it was not treated identically to extrahepatic spread.</w:t>
            </w:r>
          </w:p>
        </w:tc>
        <w:tc>
          <w:tcPr>
            <w:tcW w:type="dxa" w:w="3360"/>
            <w:tcW w:w="2400" w:type="dxa"/>
            <w:shd w:val="clear" w:color="auto" w:fill="FFFFFF"/>
          </w:tcPr>
          <w:p>
            <w:pPr>
              <w:spacing w:after="0"/>
            </w:pPr>
            <w:r>
              <w:rPr>
                <w:b w:val="0"/>
                <w:i w:val="0"/>
                <w:color w:val="5A6069"/>
                <w:sz w:val="18"/>
              </w:rPr>
              <w:t>Full text, section 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Lunsford 2018 · Houston</w:t>
            </w:r>
          </w:p>
        </w:tc>
        <w:tc>
          <w:tcPr>
            <w:tcW w:type="dxa" w:w="3360"/>
            <w:tcW w:w="3900" w:type="dxa"/>
            <w:shd w:val="clear" w:color="auto" w:fill="F1F5F8"/>
          </w:tcPr>
          <w:p>
            <w:pPr>
              <w:spacing w:after="0"/>
            </w:pPr>
            <w:r>
              <w:rPr>
                <w:b w:val="0"/>
                <w:i w:val="0"/>
                <w:sz w:val="19"/>
              </w:rPr>
              <w:t>Prospective case series: 21 referrals, 12 accepted and six LT recipients. Unresectable, liver-confined pure iCCA without macrovascular invasion. Six months of response/stability required; second/third-line therapy allowed after six months of control on that regimen.</w:t>
            </w:r>
          </w:p>
        </w:tc>
        <w:tc>
          <w:tcPr>
            <w:tcW w:type="dxa" w:w="3360"/>
            <w:tcW w:w="4180" w:type="dxa"/>
            <w:shd w:val="clear" w:color="auto" w:fill="F1F5F8"/>
          </w:tcPr>
          <w:p>
            <w:pPr>
              <w:spacing w:after="0"/>
            </w:pPr>
            <w:r>
              <w:rPr>
                <w:b w:val="0"/>
                <w:i w:val="0"/>
                <w:sz w:val="19"/>
              </w:rPr>
              <w:t>Median diagnosis-to-LT interval 26 months. Post-LT 1-/3-/5-year OS 100%/83.3%/83.3%; five-year CI 27.3–97.5. Three of six recurred, median 7.6 months; RFS 50%.</w:t>
            </w:r>
          </w:p>
          <w:p>
            <w:pPr>
              <w:spacing w:after="0"/>
            </w:pPr>
            <w:r>
              <w:rPr>
                <w:b w:val="0"/>
                <w:i/>
                <w:sz w:val="19"/>
              </w:rPr>
              <w:t>Limits: Six highly selected recipients, wide intervals and substantial pre-LT survival. Does not establish six months as optimal or one salvage line as the maximum.</w:t>
            </w:r>
          </w:p>
          <w:p>
            <w:pPr>
              <w:spacing w:after="0"/>
            </w:pPr>
            <w:r>
              <w:rPr>
                <w:b w:val="0"/>
                <w:i w:val="0"/>
                <w:color w:val="5A6069"/>
                <w:sz w:val="18"/>
              </w:rPr>
              <w:t>Lancet Gastroenterol Hepatol 2018; 3: 337–348; Eligibility/Protocol, Table 1 and Figure 2; full local PDF.</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Expanded Houston cohort, overlapping Lunsford. Six-month gemcitabine-based induction; liver progression deferred LT, with reconsideration after control; extrahepatic progression prompted delisting.</w:t>
            </w:r>
          </w:p>
        </w:tc>
        <w:tc>
          <w:tcPr>
            <w:tcW w:type="dxa" w:w="3360"/>
            <w:tcW w:w="4180" w:type="dxa"/>
            <w:shd w:val="clear" w:color="auto" w:fill="FFFFFF"/>
          </w:tcPr>
          <w:p>
            <w:pPr>
              <w:spacing w:after="0"/>
            </w:pPr>
            <w:r>
              <w:rPr>
                <w:b w:val="0"/>
                <w:i w:val="0"/>
                <w:sz w:val="19"/>
              </w:rPr>
              <w:t>Five listed patients converted to resection; seven others delisted and seven remained listed at cutoff.</w:t>
            </w:r>
          </w:p>
          <w:p>
            <w:pPr>
              <w:spacing w:after="0"/>
            </w:pPr>
            <w:r>
              <w:rPr>
                <w:b w:val="0"/>
                <w:i/>
                <w:sz w:val="19"/>
              </w:rPr>
              <w:t>Limits: No timing or salvage comparator; keep referral, listing and LT clocks distinct.</w:t>
            </w:r>
          </w:p>
          <w:p>
            <w:pPr>
              <w:spacing w:after="0"/>
            </w:pPr>
            <w:r>
              <w:rPr>
                <w:b w:val="0"/>
                <w:i w:val="0"/>
                <w:color w:val="5A6069"/>
                <w:sz w:val="18"/>
              </w:rPr>
              <w:t>AJT 2022; Methods eligibility and §§3.1–3.3.</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Thirteen entrants; four LT recipients. At least four months of response/stability after systemic treatment/Y 90 before staging; renewed control after salvage could qualify.</w:t>
            </w:r>
          </w:p>
        </w:tc>
        <w:tc>
          <w:tcPr>
            <w:tcW w:type="dxa" w:w="3360"/>
            <w:tcW w:w="4180" w:type="dxa"/>
            <w:shd w:val="clear" w:color="auto" w:fill="F1F5F8"/>
          </w:tcPr>
          <w:p>
            <w:pPr>
              <w:spacing w:after="0"/>
            </w:pPr>
            <w:r>
              <w:rPr>
                <w:b w:val="0"/>
                <w:i w:val="0"/>
                <w:sz w:val="19"/>
              </w:rPr>
              <w:t>All four recipients had RECIST stable disease and Choi response, with median density reduction 52.5%. One FGFR 2-targeted pemigatinib rescue reached LT. Two of six staged patients had positive nodes.</w:t>
            </w:r>
          </w:p>
          <w:p>
            <w:pPr>
              <w:spacing w:after="0"/>
            </w:pPr>
            <w:r>
              <w:rPr>
                <w:b w:val="0"/>
                <w:i/>
                <w:sz w:val="19"/>
              </w:rPr>
              <w:t>Limits: One rescue does not validate a general reset rule. PET-negative imaging cannot replace pathological staging.</w:t>
            </w:r>
          </w:p>
          <w:p>
            <w:pPr>
              <w:spacing w:after="0"/>
            </w:pPr>
            <w:r>
              <w:rPr>
                <w:b w:val="0"/>
                <w:i w:val="0"/>
                <w:color w:val="5A6069"/>
                <w:sz w:val="18"/>
              </w:rPr>
              <w:t>Transpl Int 2024; Protocol, restaging and individual-recipient tables;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Early prospective report; five LT recipients. The referral-flow figure specifies twelve months of treatment response; median diagnosis-to-LT interval 26 months.</w:t>
            </w:r>
          </w:p>
        </w:tc>
        <w:tc>
          <w:tcPr>
            <w:tcW w:type="dxa" w:w="3360"/>
            <w:tcW w:w="4180" w:type="dxa"/>
            <w:shd w:val="clear" w:color="auto" w:fill="FFFFFF"/>
          </w:tcPr>
          <w:p>
            <w:pPr>
              <w:spacing w:after="0"/>
            </w:pPr>
            <w:r>
              <w:rPr>
                <w:b w:val="0"/>
                <w:i w:val="0"/>
                <w:sz w:val="19"/>
              </w:rPr>
              <w:t>Two extensively multifocal patients recurred despite prolonged selection.</w:t>
            </w:r>
          </w:p>
          <w:p>
            <w:pPr>
              <w:spacing w:after="0"/>
            </w:pPr>
            <w:r>
              <w:rPr>
                <w:b w:val="0"/>
                <w:i/>
                <w:sz w:val="19"/>
              </w:rPr>
              <w:t>Limits: Supplementary eligibility needs checking; time alone does not neutralize burden.</w:t>
            </w:r>
          </w:p>
          <w:p>
            <w:pPr>
              <w:spacing w:after="0"/>
            </w:pPr>
            <w:r>
              <w:rPr>
                <w:b w:val="0"/>
                <w:i w:val="0"/>
                <w:color w:val="5A6069"/>
                <w:sz w:val="18"/>
              </w:rPr>
              <w:t>BJS 2025; Figure 1 flowchart and Table 1.</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Six-recipient retrospective series. At least six months of response/stability, CT/MRI every 2–3 months; median diagnosis-to-listing 351 days.</w:t>
            </w:r>
          </w:p>
        </w:tc>
        <w:tc>
          <w:tcPr>
            <w:tcW w:type="dxa" w:w="3360"/>
            <w:tcW w:w="4180" w:type="dxa"/>
            <w:shd w:val="clear" w:color="auto" w:fill="F1F5F8"/>
          </w:tcPr>
          <w:p>
            <w:pPr>
              <w:spacing w:after="0"/>
            </w:pPr>
            <w:r>
              <w:rPr>
                <w:b w:val="0"/>
                <w:i w:val="0"/>
                <w:sz w:val="19"/>
              </w:rPr>
              <w:t>Nineteen controlled younger patients underwent secondary resection.</w:t>
            </w:r>
          </w:p>
          <w:p>
            <w:pPr>
              <w:spacing w:after="0"/>
            </w:pPr>
            <w:r>
              <w:rPr>
                <w:b w:val="0"/>
                <w:i/>
                <w:sz w:val="19"/>
              </w:rPr>
              <w:t>Limits: Observed longer selection does not prove a twelve-month requirement.</w:t>
            </w:r>
          </w:p>
          <w:p>
            <w:pPr>
              <w:spacing w:after="0"/>
            </w:pPr>
            <w:r>
              <w:rPr>
                <w:b w:val="0"/>
                <w:i w:val="0"/>
                <w:color w:val="5A6069"/>
                <w:sz w:val="18"/>
              </w:rPr>
              <w:t>JHEP Rep 2026; neoadjuvant/listing and Results sections.</w:t>
            </w:r>
          </w:p>
        </w:tc>
      </w:tr>
      <w:tr>
        <w:trPr>
          <w:cantSplit/>
        </w:trPr>
        <w:tc>
          <w:tcPr>
            <w:tcW w:type="dxa" w:w="3360"/>
            <w:tcW w:w="2000" w:type="dxa"/>
            <w:shd w:val="clear" w:color="auto" w:fill="FFFFFF"/>
          </w:tcPr>
          <w:p>
            <w:pPr>
              <w:spacing w:after="0"/>
            </w:pPr>
            <w:r>
              <w:rPr>
                <w:b/>
                <w:i w:val="0"/>
                <w:sz w:val="19"/>
              </w:rPr>
              <w:t>Schleimer 2026 · non-LT comparator</w:t>
            </w:r>
          </w:p>
        </w:tc>
        <w:tc>
          <w:tcPr>
            <w:tcW w:type="dxa" w:w="3360"/>
            <w:tcW w:w="3900" w:type="dxa"/>
            <w:shd w:val="clear" w:color="auto" w:fill="FFFFFF"/>
          </w:tcPr>
          <w:p>
            <w:pPr>
              <w:spacing w:after="0"/>
            </w:pPr>
            <w:r>
              <w:rPr>
                <w:b w:val="0"/>
                <w:i w:val="0"/>
                <w:sz w:val="19"/>
              </w:rPr>
              <w:t>Two-center retrospective: 1, 407 total iCCA, 327 advanced liver-confined; 180 progressed/died before six months, 47 converted to resection, 39 potentially LT-eligible. Response-selected non-LT patients; 22 of 39 received HAIP.</w:t>
            </w:r>
          </w:p>
        </w:tc>
        <w:tc>
          <w:tcPr>
            <w:tcW w:type="dxa" w:w="3360"/>
            <w:tcW w:w="4180" w:type="dxa"/>
            <w:shd w:val="clear" w:color="auto" w:fill="FFFFFF"/>
          </w:tcPr>
          <w:p>
            <w:pPr>
              <w:spacing w:after="0"/>
            </w:pPr>
            <w:r>
              <w:rPr>
                <w:b w:val="0"/>
                <w:i w:val="0"/>
                <w:sz w:val="19"/>
              </w:rPr>
              <w:t>Median survival 39 months from diagnosis; 3-/5-year survival 46%/26% from the six-month estimated-eligibility landmark.</w:t>
            </w:r>
          </w:p>
          <w:p>
            <w:pPr>
              <w:spacing w:after="0"/>
            </w:pPr>
            <w:r>
              <w:rPr>
                <w:b w:val="0"/>
                <w:i/>
                <w:sz w:val="19"/>
              </w:rPr>
              <w:t>Limits: Favorable biology selects survivors before any LT. Historical 2008–2018 cohort, not a randomized treatment comparison.</w:t>
            </w:r>
          </w:p>
          <w:p>
            <w:pPr>
              <w:spacing w:after="0"/>
            </w:pPr>
            <w:r>
              <w:rPr>
                <w:b w:val="0"/>
                <w:i w:val="0"/>
                <w:color w:val="5A6069"/>
                <w:sz w:val="18"/>
              </w:rPr>
              <w:t>Ann Surg Oncol 2026; survival methods, Results and Table 2; full PDF.</w:t>
            </w:r>
          </w:p>
        </w:tc>
      </w:tr>
      <w:tr>
        <w:trPr>
          <w:cantSplit/>
        </w:trPr>
        <w:tc>
          <w:tcPr>
            <w:tcW w:type="dxa" w:w="3360"/>
            <w:tcW w:w="2000" w:type="dxa"/>
            <w:shd w:val="clear" w:color="auto" w:fill="F1F5F8"/>
          </w:tcPr>
          <w:p>
            <w:pPr>
              <w:spacing w:after="0"/>
            </w:pPr>
            <w:r>
              <w:rPr>
                <w:b/>
                <w:i w:val="0"/>
                <w:sz w:val="19"/>
              </w:rPr>
              <w:t>PUMP-2</w:t>
            </w:r>
          </w:p>
        </w:tc>
        <w:tc>
          <w:tcPr>
            <w:tcW w:type="dxa" w:w="3360"/>
            <w:tcW w:w="3900" w:type="dxa"/>
            <w:shd w:val="clear" w:color="auto" w:fill="F1F5F8"/>
          </w:tcPr>
          <w:p>
            <w:pPr>
              <w:spacing w:after="0"/>
            </w:pPr>
            <w:r>
              <w:rPr>
                <w:b w:val="0"/>
                <w:i w:val="0"/>
                <w:sz w:val="19"/>
              </w:rPr>
              <w:t>Prospective phase II: 50 pump placements, 48 received FUDR, 37 concurrent GemCis. Regional/systemic treatment for selected unresectable iCCA, not an LT trial.</w:t>
            </w:r>
          </w:p>
        </w:tc>
        <w:tc>
          <w:tcPr>
            <w:tcW w:type="dxa" w:w="3360"/>
            <w:tcW w:w="4180" w:type="dxa"/>
            <w:shd w:val="clear" w:color="auto" w:fill="F1F5F8"/>
          </w:tcPr>
          <w:p>
            <w:pPr>
              <w:spacing w:after="0"/>
            </w:pPr>
            <w:r>
              <w:rPr>
                <w:b w:val="0"/>
                <w:i w:val="0"/>
                <w:sz w:val="19"/>
              </w:rPr>
              <w:t>Partial response 44%, disease control at six months 84%; five resected, one pathological complete response. Median survival 22.3 months, three-year 31.5%.</w:t>
            </w:r>
          </w:p>
          <w:p>
            <w:pPr>
              <w:spacing w:after="0"/>
            </w:pPr>
            <w:r>
              <w:rPr>
                <w:b w:val="0"/>
                <w:i/>
                <w:sz w:val="19"/>
              </w:rPr>
              <w:t>Limits: Does not validate a pre-LT clearance test or subsequent arterial safety. Reassess resection after response.</w:t>
            </w:r>
          </w:p>
          <w:p>
            <w:pPr>
              <w:spacing w:after="0"/>
            </w:pPr>
            <w:r>
              <w:rPr>
                <w:b w:val="0"/>
                <w:i w:val="0"/>
                <w:color w:val="5A6069"/>
                <w:sz w:val="18"/>
              </w:rPr>
              <w:t>JCO 2026; PUMP-2 Methods/Results; full PDF.</w:t>
            </w:r>
          </w:p>
        </w:tc>
      </w:tr>
    </w:tbl>
    <w:p>
      <w:pPr>
        <w:spacing w:after="40"/>
      </w:pPr>
    </w:p>
    <w:p>
      <w:pPr>
        <w:pStyle w:val="Heading3"/>
        <w:keepNext/>
        <w:spacing w:before="120" w:after="80"/>
      </w:pPr>
      <w:r>
        <w:rPr>
          <w:b w:val="0"/>
          <w:i w:val="0"/>
        </w:rPr>
        <w:t>Our proposed selection (OPEN)</w:t>
      </w:r>
    </w:p>
    <w:p>
      <w:pPr>
        <w:spacing w:after="80"/>
      </w:pPr>
      <w:r>
        <w:rPr>
          <w:b w:val="0"/>
          <w:i w:val="0"/>
        </w:rPr>
        <w:t>Require six months of continuous disease control, but distinguish liver-only progression with salvage from permanent exclusion.</w:t>
      </w:r>
    </w:p>
    <w:p>
      <w:pPr>
        <w:numPr>
          <w:ilvl w:val="0"/>
          <w:numId w:val="5"/>
        </w:numPr>
        <w:spacing w:after="40"/>
      </w:pPr>
      <w:r>
        <w:rPr>
          <w:b w:val="0"/>
          <w:i w:val="0"/>
        </w:rPr>
        <w:t>Proposed clock: ≥6 consecutive months of radiological response/stability from initiation of the effective strategy after the most recent confirmed progression, with baseline imaging, no extrahepatic disease and persistent unresectability. Image approximately every eight weeks and restage at completion.</w:t>
      </w:r>
    </w:p>
    <w:p>
      <w:pPr>
        <w:numPr>
          <w:ilvl w:val="0"/>
          <w:numId w:val="5"/>
        </w:numPr>
        <w:spacing w:after="40"/>
      </w:pPr>
      <w:r>
        <w:rPr>
          <w:b w:val="0"/>
          <w:i w:val="0"/>
        </w:rPr>
        <w:t>Dose reduction, toxicity-driven substitution or planned consolidation does not automatically reset the clock when control is continuous. Confirmed liver-only progression pauses eligibility; allow one separately reported salvage re-entry after a fresh six months of control.</w:t>
      </w:r>
    </w:p>
    <w:p>
      <w:pPr>
        <w:numPr>
          <w:ilvl w:val="0"/>
          <w:numId w:val="5"/>
        </w:numPr>
        <w:spacing w:after="40"/>
      </w:pPr>
      <w:r>
        <w:rPr>
          <w:b w:val="0"/>
          <w:i w:val="0"/>
        </w:rPr>
        <w:t>Further progression after that salvage strategy, proven malignant nodes or extrahepatic spread excludes the patient from the initial study. Reassess resection after each major response and immediately before LT; conversion to feasible curative resection redirects to resection.</w:t>
      </w:r>
    </w:p>
    <w:p>
      <w:pPr>
        <w:spacing w:after="80"/>
      </w:pPr>
      <w:r>
        <w:rPr>
          <w:b/>
          <w:i w:val="0"/>
        </w:rPr>
        <w:t xml:space="preserve">Why: </w:t>
      </w:r>
      <w:r>
        <w:rPr>
          <w:b w:val="0"/>
          <w:i w:val="0"/>
        </w:rPr>
        <w:t>A six-month control requirement is a defensible tested entry rule, not an established biological truth. SYS-TARE, TESLA and Rennes used different selection intervals. Stable measurable disease can qualify without RECIST partial response. New lesions or extrahepatic spread cannot be dismissed as stable biology. Regression can change the correct operation to resection.</w:t>
      </w:r>
    </w:p>
    <w:p>
      <w:pPr>
        <w:spacing w:after="80"/>
      </w:pPr>
      <w:r>
        <w:rPr>
          <w:b/>
          <w:i w:val="0"/>
        </w:rPr>
        <w:t xml:space="preserve">Against, or uncertain: </w:t>
      </w:r>
      <w:r>
        <w:rPr>
          <w:b w:val="0"/>
          <w:i w:val="0"/>
        </w:rPr>
        <w:t>Successful later-line cases refute a categorical ban on all salvage but do not validate unrestricted repeated resets. Patients controlled for six months already have better non-LT prognosis. Comparing their post-LT survival with unselected advanced-cancer median survival exaggerates benefit. Unresolved lung, bone or nodal findings require adjudication before activation.</w:t>
      </w:r>
    </w:p>
    <w:p>
      <w:pPr>
        <w:spacing w:after="80"/>
      </w:pPr>
      <w:r>
        <w:rPr>
          <w:b/>
          <w:i w:val="0"/>
        </w:rPr>
        <w:t xml:space="preserve">Certainty: </w:t>
      </w:r>
      <w:r>
        <w:rPr>
          <w:b w:val="0"/>
          <w:i w:val="0"/>
        </w:rPr>
        <w:t>Very low certainty for the optimal control clock, imaging metric or allowable salvage count; low certainty for sustained control as a useful selection approach.</w:t>
      </w:r>
    </w:p>
    <w:p>
      <w:pPr>
        <w:spacing w:after="80"/>
      </w:pPr>
      <w:r>
        <w:rPr>
          <w:b/>
          <w:i w:val="0"/>
        </w:rPr>
        <w:t xml:space="preserve">Tests and records: </w:t>
      </w:r>
      <w:r>
        <w:rPr>
          <w:b w:val="0"/>
          <w:i w:val="0"/>
        </w:rPr>
        <w:t>Dated regimen/response timeline; comparable liver imaging and systemic staging; RECIST and multidisciplinary adjudication; CA19-9 in obstruction context; repeated HPB review. Record latest confirmed progression, current effective-strategy start, first control, each imaging assessment and the proposed activation date; repeat R0/functional-FLR review after meaningful response.</w:t>
      </w:r>
    </w:p>
    <w:p>
      <w:pPr>
        <w:spacing w:after="80"/>
      </w:pPr>
      <w:r>
        <w:rPr>
          <w:b/>
          <w:i w:val="0"/>
        </w:rPr>
        <w:t xml:space="preserve">Allocation: </w:t>
      </w:r>
      <w:r>
        <w:rPr>
          <w:b w:val="0"/>
          <w:i w:val="0"/>
        </w:rPr>
        <w:t>This is the advanced-study clock; do not substitute it for the separate small-cirrhotic NLRB observation/exception requirements.</w:t>
      </w:r>
    </w:p>
    <w:p>
      <w:pPr>
        <w:spacing w:after="40"/>
      </w:pPr>
      <w:r>
        <w:rPr>
          <w:b/>
          <w:i w:val="0"/>
        </w:rPr>
        <w:t xml:space="preserve">Basis for the proposed thresholds: </w:t>
      </w:r>
    </w:p>
    <w:p>
      <w:pPr>
        <w:numPr>
          <w:ilvl w:val="0"/>
          <w:numId w:val="5"/>
        </w:numPr>
        <w:spacing w:after="40"/>
      </w:pPr>
      <w:r>
        <w:rPr>
          <w:b w:val="0"/>
          <w:i w:val="0"/>
        </w:rPr>
        <w:t>STUDY: six months in Houston/Rennes, four months in SYS-TARE and twelve months of treatment response in the TESLA flow diagram. LOCAL: approximately eight-week monitoring and one salvage re-entry. GUIDANCE: preserve the separate NLRB small-cirrhotic clock ('from diagnosis or last treatment'); do not silently replace it with the advanced research clock.</w:t>
      </w:r>
    </w:p>
    <w:p>
      <w:pPr>
        <w:pStyle w:val="Heading3"/>
        <w:keepNext/>
        <w:spacing w:before="120" w:after="80"/>
      </w:pPr>
      <w:r>
        <w:rPr>
          <w:b w:val="0"/>
          <w:i w:val="0"/>
        </w:rPr>
        <w:t>iCCA-B2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iCCA-B3 — Living-donor transplantation: study readiness</w:t>
      </w:r>
    </w:p>
    <w:p>
      <w:pPr>
        <w:spacing w:after="80"/>
      </w:pPr>
      <w:r>
        <w:rPr>
          <w:b w:val="0"/>
          <w:i w:val="0"/>
          <w:color w:val="5A6069"/>
          <w:sz w:val="18"/>
        </w:rPr>
        <w:t>Study development · no transplantation yet · not activated · High-risk review</w:t>
      </w:r>
    </w:p>
    <w:p>
      <w:pPr>
        <w:spacing w:after="80"/>
      </w:pPr>
      <w:r>
        <w:rPr>
          <w:b/>
          <w:i w:val="0"/>
        </w:rPr>
        <w:t xml:space="preserve">Question: </w:t>
      </w:r>
      <w:r>
        <w:rPr>
          <w:b w:val="0"/>
          <w:i w:val="0"/>
        </w:rPr>
        <w:t>Does access to LDLT change the evidentiary threshold?</w:t>
      </w:r>
    </w:p>
    <w:p>
      <w:pPr>
        <w:spacing w:after="80"/>
      </w:pPr>
      <w:r>
        <w:rPr>
          <w:b/>
          <w:i w:val="0"/>
        </w:rPr>
        <w:t xml:space="preserve">When it applies: </w:t>
      </w:r>
      <w:r>
        <w:rPr>
          <w:b w:val="0"/>
          <w:i w:val="0"/>
        </w:rPr>
        <w:t>A potential living donor does not by itself establish recipient eligibility or make a proposed study ready to open.</w:t>
      </w:r>
    </w:p>
    <w:p>
      <w:pPr>
        <w:spacing w:after="80"/>
      </w:pPr>
      <w:r>
        <w:rPr>
          <w:b/>
          <w:i w:val="0"/>
        </w:rPr>
        <w:t xml:space="preserve">Where it is decided: </w:t>
      </w:r>
      <w:hyperlink r:id="rId14">
        <w:r>
          <w:rPr>
            <w:color w:val="0563C1"/>
            <w:u w:val="single"/>
          </w:rPr>
          <w:t xml:space="preserve">Request an individual iCCA MELD exception</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Sethi 2026 · iCCA LDLT</w:t>
            </w:r>
          </w:p>
        </w:tc>
        <w:tc>
          <w:tcPr>
            <w:tcW w:type="dxa" w:w="3360"/>
            <w:tcW w:w="5480" w:type="dxa"/>
            <w:shd w:val="clear" w:color="auto" w:fill="F1F5F8"/>
          </w:tcPr>
          <w:p>
            <w:pPr>
              <w:spacing w:after="0"/>
            </w:pPr>
            <w:r>
              <w:rPr>
                <w:b w:val="0"/>
                <w:i w:val="0"/>
                <w:sz w:val="19"/>
              </w:rPr>
              <w:t>“This retrospective, single-center study investigated outcomes for seven patients” The complete main paper was reviewed. Seven selected recipients, wide confidence intervals and donor reoperation/drainage support prospective study development, not routine LDLT access. Separate supplementary details and individual ICI intervals remain unverified.</w:t>
            </w:r>
          </w:p>
        </w:tc>
        <w:tc>
          <w:tcPr>
            <w:tcW w:type="dxa" w:w="3360"/>
            <w:tcW w:w="2400" w:type="dxa"/>
            <w:shd w:val="clear" w:color="auto" w:fill="F1F5F8"/>
          </w:tcPr>
          <w:p>
            <w:pPr>
              <w:spacing w:after="0"/>
            </w:pPr>
            <w:r>
              <w:rPr>
                <w:b w:val="0"/>
                <w:i w:val="0"/>
                <w:color w:val="5A6069"/>
                <w:sz w:val="18"/>
              </w:rPr>
              <w:t>Complete 11-page AJT 2026 main-paper proof; Methods, referral flow, Tables 1–2 and recipient/donor outcomes</w:t>
            </w:r>
          </w:p>
        </w:tc>
      </w:tr>
      <w:tr>
        <w:trPr>
          <w:cantSplit/>
        </w:trPr>
        <w:tc>
          <w:tcPr>
            <w:tcW w:type="dxa" w:w="3360"/>
            <w:tcW w:w="2200" w:type="dxa"/>
            <w:shd w:val="clear" w:color="auto" w:fill="FFFFFF"/>
          </w:tcPr>
          <w:p>
            <w:pPr>
              <w:spacing w:after="0"/>
            </w:pPr>
            <w:r>
              <w:rPr>
                <w:b/>
                <w:i w:val="0"/>
                <w:sz w:val="19"/>
              </w:rPr>
              <w:t>Schleimer 2026 · non-LT comparator</w:t>
            </w:r>
          </w:p>
        </w:tc>
        <w:tc>
          <w:tcPr>
            <w:tcW w:type="dxa" w:w="3360"/>
            <w:tcW w:w="5480" w:type="dxa"/>
            <w:shd w:val="clear" w:color="auto" w:fill="FFFFFF"/>
          </w:tcPr>
          <w:p>
            <w:pPr>
              <w:spacing w:after="0"/>
            </w:pPr>
            <w:r>
              <w:rPr>
                <w:b w:val="0"/>
                <w:i w:val="0"/>
                <w:sz w:val="19"/>
              </w:rPr>
              <w:t>“Their median survival from diagnosis was 39 months” Selected contemporary non-LT survival is a relevant comparator; this is not a randomized LT-benefit estimate.</w:t>
            </w:r>
          </w:p>
        </w:tc>
        <w:tc>
          <w:tcPr>
            <w:tcW w:type="dxa" w:w="3360"/>
            <w:tcW w:w="2400" w:type="dxa"/>
            <w:shd w:val="clear" w:color="auto" w:fill="FFFFFF"/>
          </w:tcPr>
          <w:p>
            <w:pPr>
              <w:spacing w:after="0"/>
            </w:pPr>
            <w:r>
              <w:rPr>
                <w:b w:val="0"/>
                <w:i w:val="0"/>
                <w:color w:val="5A6069"/>
                <w:sz w:val="18"/>
              </w:rPr>
              <w:t>Published PDF p1 / journal p6099,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Sethi 2026 · iCCA LDLT</w:t>
            </w:r>
          </w:p>
        </w:tc>
        <w:tc>
          <w:tcPr>
            <w:tcW w:type="dxa" w:w="3360"/>
            <w:tcW w:w="3900" w:type="dxa"/>
            <w:shd w:val="clear" w:color="auto" w:fill="F1F5F8"/>
          </w:tcPr>
          <w:p>
            <w:pPr>
              <w:spacing w:after="0"/>
            </w:pPr>
            <w:r>
              <w:rPr>
                <w:b w:val="0"/>
                <w:i w:val="0"/>
                <w:sz w:val="19"/>
              </w:rPr>
              <w:t>Retrospective single-center seven-recipient LDLT series. Six received systemic treatment, four locoregional treatment; median MELD 8 and wait 38 days.</w:t>
            </w:r>
          </w:p>
        </w:tc>
        <w:tc>
          <w:tcPr>
            <w:tcW w:type="dxa" w:w="3360"/>
            <w:tcW w:w="4180" w:type="dxa"/>
            <w:shd w:val="clear" w:color="auto" w:fill="F1F5F8"/>
          </w:tcPr>
          <w:p>
            <w:pPr>
              <w:spacing w:after="0"/>
            </w:pPr>
            <w:r>
              <w:rPr>
                <w:b w:val="0"/>
                <w:i w:val="0"/>
                <w:sz w:val="19"/>
              </w:rPr>
              <w:t>Median follow-up 5.1 years; two recurrences, one death. Five-year OS 85.7% (CI 33.4–97.9), RFS 71.4% (CI 25.8–92.0). Two gradeIII complications within six months; all donors alive.</w:t>
            </w:r>
          </w:p>
          <w:p>
            <w:pPr>
              <w:spacing w:after="0"/>
            </w:pPr>
            <w:r>
              <w:rPr>
                <w:b w:val="0"/>
                <w:i/>
                <w:sz w:val="19"/>
              </w:rPr>
              <w:t>Limits: Abstract independently checked; full selection, screened denominator and donor morbidity require PDF. Seven recipients cannot establish net benefit.</w:t>
            </w:r>
          </w:p>
          <w:p>
            <w:pPr>
              <w:spacing w:after="0"/>
            </w:pPr>
            <w:r>
              <w:rPr>
                <w:b w:val="0"/>
                <w:i w:val="0"/>
                <w:color w:val="5A6069"/>
                <w:sz w:val="18"/>
              </w:rPr>
              <w:t>AJT online 29 September 2026; primary abstract, PMID 42810588.</w:t>
            </w:r>
          </w:p>
        </w:tc>
      </w:tr>
      <w:tr>
        <w:trPr>
          <w:cantSplit/>
        </w:trPr>
        <w:tc>
          <w:tcPr>
            <w:tcW w:type="dxa" w:w="3360"/>
            <w:tcW w:w="2000" w:type="dxa"/>
            <w:shd w:val="clear" w:color="auto" w:fill="FFFFFF"/>
          </w:tcPr>
          <w:p>
            <w:pPr>
              <w:spacing w:after="0"/>
            </w:pPr>
            <w:r>
              <w:rPr>
                <w:b/>
                <w:i w:val="0"/>
                <w:sz w:val="19"/>
              </w:rPr>
              <w:t>Lunsford 2018 · Houston</w:t>
            </w:r>
          </w:p>
        </w:tc>
        <w:tc>
          <w:tcPr>
            <w:tcW w:type="dxa" w:w="3360"/>
            <w:tcW w:w="3900" w:type="dxa"/>
            <w:shd w:val="clear" w:color="auto" w:fill="FFFFFF"/>
          </w:tcPr>
          <w:p>
            <w:pPr>
              <w:spacing w:after="0"/>
            </w:pPr>
            <w:r>
              <w:rPr>
                <w:b w:val="0"/>
                <w:i w:val="0"/>
                <w:sz w:val="19"/>
              </w:rPr>
              <w:t>Twenty-one referrals, twelve accepted, six recipients. Six-month controlled, liver-confined unresectable iCCA.</w:t>
            </w:r>
          </w:p>
        </w:tc>
        <w:tc>
          <w:tcPr>
            <w:tcW w:type="dxa" w:w="3360"/>
            <w:tcW w:w="4180" w:type="dxa"/>
            <w:shd w:val="clear" w:color="auto" w:fill="FFFFFF"/>
          </w:tcPr>
          <w:p>
            <w:pPr>
              <w:spacing w:after="0"/>
            </w:pPr>
            <w:r>
              <w:rPr>
                <w:b w:val="0"/>
                <w:i w:val="0"/>
                <w:sz w:val="19"/>
              </w:rPr>
              <w:t>Five-year post-LT survival 83.3% with very wide CI; three of six recurred.</w:t>
            </w:r>
          </w:p>
          <w:p>
            <w:pPr>
              <w:spacing w:after="0"/>
            </w:pPr>
            <w:r>
              <w:rPr>
                <w:b w:val="0"/>
                <w:i/>
                <w:sz w:val="19"/>
              </w:rPr>
              <w:t>Limits: Feasibility, not LDLT-specific causal benefit; overlaps McMillan.</w:t>
            </w:r>
          </w:p>
          <w:p>
            <w:pPr>
              <w:spacing w:after="0"/>
            </w:pPr>
            <w:r>
              <w:rPr>
                <w:b w:val="0"/>
                <w:i w:val="0"/>
                <w:color w:val="5A6069"/>
                <w:sz w:val="18"/>
              </w:rPr>
              <w:t>Lancet Gastroenterol Hepatol 2018; Methods/Results; local PDF.</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Six selected deceased-donor recipients. French declined-graft route, not LDLT.</w:t>
            </w:r>
          </w:p>
        </w:tc>
        <w:tc>
          <w:tcPr>
            <w:tcW w:type="dxa" w:w="3360"/>
            <w:tcW w:w="4180" w:type="dxa"/>
            <w:shd w:val="clear" w:color="auto" w:fill="F1F5F8"/>
          </w:tcPr>
          <w:p>
            <w:pPr>
              <w:spacing w:after="0"/>
            </w:pPr>
            <w:r>
              <w:rPr>
                <w:b w:val="0"/>
                <w:i w:val="0"/>
                <w:sz w:val="19"/>
              </w:rPr>
              <w:t>Arterial complications 3/6 and biliary 4/6; one late retransplant and one septic-cholangitis death at 6.4 years despite five-year OS 100%.</w:t>
            </w:r>
          </w:p>
          <w:p>
            <w:pPr>
              <w:spacing w:after="0"/>
            </w:pPr>
            <w:r>
              <w:rPr>
                <w:b w:val="0"/>
                <w:i/>
                <w:sz w:val="19"/>
              </w:rPr>
              <w:t>Limits: High survival is not low morbidity or cure; SIRT, surgery and graft-quality effects cannot be separated.</w:t>
            </w:r>
          </w:p>
          <w:p>
            <w:pPr>
              <w:spacing w:after="0"/>
            </w:pPr>
            <w:r>
              <w:rPr>
                <w:b w:val="0"/>
                <w:i w:val="0"/>
                <w:color w:val="5A6069"/>
                <w:sz w:val="18"/>
              </w:rPr>
              <w:t>JHEP Rep 2026; Table 3 and late-complication Results.</w:t>
            </w:r>
          </w:p>
        </w:tc>
      </w:tr>
      <w:tr>
        <w:trPr>
          <w:cantSplit/>
        </w:trPr>
        <w:tc>
          <w:tcPr>
            <w:tcW w:type="dxa" w:w="3360"/>
            <w:tcW w:w="2000" w:type="dxa"/>
            <w:shd w:val="clear" w:color="auto" w:fill="FFFFFF"/>
          </w:tcPr>
          <w:p>
            <w:pPr>
              <w:spacing w:after="0"/>
            </w:pPr>
            <w:r>
              <w:rPr>
                <w:b/>
                <w:i w:val="0"/>
                <w:sz w:val="19"/>
              </w:rPr>
              <w:t>Schleimer 2026 · non-LT comparator</w:t>
            </w:r>
          </w:p>
        </w:tc>
        <w:tc>
          <w:tcPr>
            <w:tcW w:type="dxa" w:w="3360"/>
            <w:tcW w:w="3900" w:type="dxa"/>
            <w:shd w:val="clear" w:color="auto" w:fill="FFFFFF"/>
          </w:tcPr>
          <w:p>
            <w:pPr>
              <w:spacing w:after="0"/>
            </w:pPr>
            <w:r>
              <w:rPr>
                <w:b w:val="0"/>
                <w:i w:val="0"/>
                <w:sz w:val="19"/>
              </w:rPr>
              <w:t>Thirty-nine selected non-LT patients from 327 advanced liver-confined cases; 22 received HAIP. Retrospective LT-eligibility assessment after six months of control.</w:t>
            </w:r>
          </w:p>
        </w:tc>
        <w:tc>
          <w:tcPr>
            <w:tcW w:type="dxa" w:w="3360"/>
            <w:tcW w:w="4180" w:type="dxa"/>
            <w:shd w:val="clear" w:color="auto" w:fill="FFFFFF"/>
          </w:tcPr>
          <w:p>
            <w:pPr>
              <w:spacing w:after="0"/>
            </w:pPr>
            <w:r>
              <w:rPr>
                <w:b w:val="0"/>
                <w:i w:val="0"/>
                <w:sz w:val="19"/>
              </w:rPr>
              <w:t>Median 39 months from diagnosis; five-year survival 26% from the six-month landmark.</w:t>
            </w:r>
          </w:p>
          <w:p>
            <w:pPr>
              <w:spacing w:after="0"/>
            </w:pPr>
            <w:r>
              <w:rPr>
                <w:b w:val="0"/>
                <w:i/>
                <w:sz w:val="19"/>
              </w:rPr>
              <w:t>Limits: More relevant than unselected metastatic BTC but historical and nonrandomized; cannot yield precise individual LT benefit.</w:t>
            </w:r>
          </w:p>
          <w:p>
            <w:pPr>
              <w:spacing w:after="0"/>
            </w:pPr>
            <w:r>
              <w:rPr>
                <w:b w:val="0"/>
                <w:i w:val="0"/>
                <w:color w:val="5A6069"/>
                <w:sz w:val="18"/>
              </w:rPr>
              <w:t>Ann Surg Oncol 2026; Methods/Results/Table 2; local PDF.</w:t>
            </w:r>
          </w:p>
        </w:tc>
      </w:tr>
      <w:tr>
        <w:trPr>
          <w:cantSplit/>
        </w:trPr>
        <w:tc>
          <w:tcPr>
            <w:tcW w:type="dxa" w:w="3360"/>
            <w:tcW w:w="2000" w:type="dxa"/>
            <w:shd w:val="clear" w:color="auto" w:fill="F1F5F8"/>
          </w:tcPr>
          <w:p>
            <w:pPr>
              <w:spacing w:after="0"/>
            </w:pPr>
            <w:r>
              <w:rPr>
                <w:b/>
                <w:i w:val="0"/>
                <w:sz w:val="19"/>
              </w:rPr>
              <w:t>PUMP-2</w:t>
            </w:r>
          </w:p>
        </w:tc>
        <w:tc>
          <w:tcPr>
            <w:tcW w:type="dxa" w:w="3360"/>
            <w:tcW w:w="3900" w:type="dxa"/>
            <w:shd w:val="clear" w:color="auto" w:fill="F1F5F8"/>
          </w:tcPr>
          <w:p>
            <w:pPr>
              <w:spacing w:after="0"/>
            </w:pPr>
            <w:r>
              <w:rPr>
                <w:b w:val="0"/>
                <w:i w:val="0"/>
                <w:sz w:val="19"/>
              </w:rPr>
              <w:t>Fifty pump placements; 48 received FUDR; single-arm phaseII. Non-LT unresectable iCCA.</w:t>
            </w:r>
          </w:p>
        </w:tc>
        <w:tc>
          <w:tcPr>
            <w:tcW w:type="dxa" w:w="3360"/>
            <w:tcW w:w="4180" w:type="dxa"/>
            <w:shd w:val="clear" w:color="auto" w:fill="F1F5F8"/>
          </w:tcPr>
          <w:p>
            <w:pPr>
              <w:spacing w:after="0"/>
            </w:pPr>
            <w:r>
              <w:rPr>
                <w:b w:val="0"/>
                <w:i w:val="0"/>
                <w:sz w:val="19"/>
              </w:rPr>
              <w:t>Median survival 22.3 months; three-year 31.5%; five conversion resections. Arterial dissection prevented treatment in one patient.</w:t>
            </w:r>
          </w:p>
          <w:p>
            <w:pPr>
              <w:spacing w:after="0"/>
            </w:pPr>
            <w:r>
              <w:rPr>
                <w:b w:val="0"/>
                <w:i/>
                <w:sz w:val="19"/>
              </w:rPr>
              <w:t>Limits: A current regional option, not a randomized LDLT comparator or proof of later graft-arterial safety.</w:t>
            </w:r>
          </w:p>
          <w:p>
            <w:pPr>
              <w:spacing w:after="0"/>
            </w:pPr>
            <w:r>
              <w:rPr>
                <w:b w:val="0"/>
                <w:i w:val="0"/>
                <w:color w:val="5A6069"/>
                <w:sz w:val="18"/>
              </w:rPr>
              <w:t>JCO 2026 PUMP-2; full-PDF Methods/Results and adverse events.</w:t>
            </w:r>
          </w:p>
        </w:tc>
      </w:tr>
      <w:tr>
        <w:trPr>
          <w:cantSplit/>
        </w:trPr>
        <w:tc>
          <w:tcPr>
            <w:tcW w:type="dxa" w:w="3360"/>
            <w:tcW w:w="2000" w:type="dxa"/>
            <w:shd w:val="clear" w:color="auto" w:fill="FFFFFF"/>
          </w:tcPr>
          <w:p>
            <w:pPr>
              <w:spacing w:after="0"/>
            </w:pPr>
            <w:r>
              <w:rPr>
                <w:b/>
                <w:i w:val="0"/>
                <w:sz w:val="19"/>
              </w:rPr>
              <w:t>Oh 2025</w:t>
            </w:r>
          </w:p>
        </w:tc>
        <w:tc>
          <w:tcPr>
            <w:tcW w:type="dxa" w:w="3360"/>
            <w:tcW w:w="3900" w:type="dxa"/>
            <w:shd w:val="clear" w:color="auto" w:fill="FFFFFF"/>
          </w:tcPr>
          <w:p>
            <w:pPr>
              <w:spacing w:after="0"/>
            </w:pPr>
            <w:r>
              <w:rPr>
                <w:b w:val="0"/>
                <w:i w:val="0"/>
                <w:sz w:val="19"/>
              </w:rPr>
              <w:t>Randomized phaseIII advanced BTC: 685 participants, 341 durvalumab/GemCis and 344 placebo/GemCis. Mixed biliary sites and locally advanced/metastatic disease, not a six-month LT-selected population.</w:t>
            </w:r>
          </w:p>
        </w:tc>
        <w:tc>
          <w:tcPr>
            <w:tcW w:type="dxa" w:w="3360"/>
            <w:tcW w:w="4180" w:type="dxa"/>
            <w:shd w:val="clear" w:color="auto" w:fill="FFFFFF"/>
          </w:tcPr>
          <w:p>
            <w:pPr>
              <w:spacing w:after="0"/>
            </w:pPr>
            <w:r>
              <w:rPr>
                <w:b w:val="0"/>
                <w:i w:val="0"/>
                <w:sz w:val="19"/>
              </w:rPr>
              <w:t>Median OS 12.9 versus 11.3 months; HR 0.74 (CI 0.63–0.87), 36-month OS 14.6% versus 6.9%, median follow-up 41.3 months.</w:t>
            </w:r>
          </w:p>
          <w:p>
            <w:pPr>
              <w:spacing w:after="0"/>
            </w:pPr>
            <w:r>
              <w:rPr>
                <w:b w:val="0"/>
                <w:i/>
                <w:sz w:val="19"/>
              </w:rPr>
              <w:t>Limits: High-level evidence for non-LT therapy, not pre-LT ICI safety or an exchangeable control for LT recipients.</w:t>
            </w:r>
          </w:p>
          <w:p>
            <w:pPr>
              <w:spacing w:after="0"/>
            </w:pPr>
            <w:r>
              <w:rPr>
                <w:b w:val="0"/>
                <w:i w:val="0"/>
                <w:color w:val="5A6069"/>
                <w:sz w:val="18"/>
              </w:rPr>
              <w:t>J Hepatol 2025; 83: 1092–1101; primary three-year update.</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SRTR 1989–2023: 8, 981 eligible donors, 8, 619 mortality analysis and 8, 314 secondary follow-up. Donors aged 18–65 across all indications, not iCCA-specific.</w:t>
            </w:r>
          </w:p>
        </w:tc>
        <w:tc>
          <w:tcPr>
            <w:tcW w:type="dxa" w:w="3360"/>
            <w:tcW w:w="4180" w:type="dxa"/>
            <w:shd w:val="clear" w:color="auto" w:fill="F1F5F8"/>
          </w:tcPr>
          <w:p>
            <w:pPr>
              <w:spacing w:after="0"/>
            </w:pPr>
            <w:r>
              <w:rPr>
                <w:b w:val="0"/>
                <w:i w:val="0"/>
                <w:sz w:val="19"/>
              </w:rPr>
              <w:t>Eight 90-day deaths (0.1%), 18 within two years (0.2%). Contemporary 90-day mortality approximately 0.04%. Secondary-outcome completeness 60–67% at six months and 37–39% at two years.</w:t>
            </w:r>
          </w:p>
          <w:p>
            <w:pPr>
              <w:spacing w:after="0"/>
            </w:pPr>
            <w:r>
              <w:rPr>
                <w:b w:val="0"/>
                <w:i/>
                <w:sz w:val="19"/>
              </w:rPr>
              <w:t>Limits: All-cause deaths are not all donation-attributable. Missingness, historical eras and mixed graft types limit individual risk estimates; employment burden also matters.</w:t>
            </w:r>
          </w:p>
          <w:p>
            <w:pPr>
              <w:spacing w:after="0"/>
            </w:pPr>
            <w:r>
              <w:rPr>
                <w:b w:val="0"/>
                <w:i w:val="0"/>
                <w:color w:val="5A6069"/>
                <w:sz w:val="18"/>
              </w:rPr>
              <w:t>J Transplant 2026: 2545887; Missing Data and Results§§3.1–3.3; complete 8-page PDF.</w:t>
            </w:r>
          </w:p>
        </w:tc>
      </w:tr>
    </w:tbl>
    <w:p>
      <w:pPr>
        <w:spacing w:after="40"/>
      </w:pPr>
    </w:p>
    <w:p>
      <w:pPr>
        <w:pStyle w:val="Heading3"/>
        <w:keepNext/>
        <w:spacing w:before="120" w:after="80"/>
      </w:pPr>
      <w:r>
        <w:rPr>
          <w:b w:val="0"/>
          <w:i w:val="0"/>
        </w:rPr>
        <w:t>Our proposed selection (OPEN)</w:t>
      </w:r>
    </w:p>
    <w:p>
      <w:pPr>
        <w:spacing w:after="80"/>
      </w:pPr>
      <w:r>
        <w:rPr>
          <w:b w:val="0"/>
          <w:i w:val="0"/>
        </w:rPr>
        <w:t>Develop a prospective LDLT feasibility study, but do not permit transplantation under this proposal yet.</w:t>
      </w:r>
    </w:p>
    <w:p>
      <w:pPr>
        <w:numPr>
          <w:ilvl w:val="0"/>
          <w:numId w:val="5"/>
        </w:numPr>
        <w:spacing w:after="40"/>
      </w:pPr>
      <w:r>
        <w:rPr>
          <w:b w:val="0"/>
          <w:i w:val="0"/>
        </w:rPr>
        <w:t>Before this study can open: all six readiness domains complete—approved recipient rules; independent benefit/comparator review; separate donor/advocate clearance; explicit uncertainty/graft-use consent; funded donor follow-up; and an all-screened registry with independently approved safety monitoring.</w:t>
      </w:r>
    </w:p>
    <w:p>
      <w:pPr>
        <w:numPr>
          <w:ilvl w:val="0"/>
          <w:numId w:val="5"/>
        </w:numPr>
        <w:spacing w:after="40"/>
      </w:pPr>
      <w:r>
        <w:rPr>
          <w:b w:val="0"/>
          <w:i w:val="0"/>
        </w:rPr>
        <w:t>Donor availability never lowers iCCA-B1/B2 selection or control requirements. Retain ordinary donor safety criteria and independent withdrawal rights.</w:t>
      </w:r>
    </w:p>
    <w:p>
      <w:pPr>
        <w:numPr>
          <w:ilvl w:val="0"/>
          <w:numId w:val="5"/>
        </w:numPr>
        <w:spacing w:after="40"/>
      </w:pPr>
      <w:r>
        <w:rPr>
          <w:b w:val="0"/>
          <w:i w:val="0"/>
        </w:rPr>
        <w:t>Do not use predicted five-year survival ≥50%, or another unvalidated number, as proof of readiness. Until approvals are complete: screening/registry and study development only, no protocol-directed LT.</w:t>
      </w:r>
    </w:p>
    <w:p>
      <w:pPr>
        <w:spacing w:after="80"/>
      </w:pPr>
      <w:r>
        <w:rPr>
          <w:b/>
          <w:i w:val="0"/>
        </w:rPr>
        <w:t xml:space="preserve">Why: </w:t>
      </w:r>
      <w:r>
        <w:rPr>
          <w:b w:val="0"/>
          <w:i w:val="0"/>
        </w:rPr>
        <w:t>The seven-recipient LDLT experience supports developing a carefully governed study, not announcing a standard indication. A shorter wait may avoid dropout but can also remove the biological observation that selected successful cohorts. Donor availability does not erase recipient uncertainty or non-LT alternatives. Benefit and donor harm require separate analyses and independent consent.</w:t>
      </w:r>
    </w:p>
    <w:p>
      <w:pPr>
        <w:spacing w:after="80"/>
      </w:pPr>
      <w:r>
        <w:rPr>
          <w:b/>
          <w:i w:val="0"/>
        </w:rPr>
        <w:t xml:space="preserve">Against, or uncertain: </w:t>
      </w:r>
      <w:r>
        <w:rPr>
          <w:b w:val="0"/>
          <w:i w:val="0"/>
        </w:rPr>
        <w:t>No randomized advanced-iCCA LDLT-benefit trial or validated minimum five-year survival forecast establishes study readiness. Response-selected non-LT patients may live for years. National mortality is small but nonzero and does not capture all financial, psychological or functional burden. Seven living donors reported alive is not a safety guarantee.</w:t>
      </w:r>
    </w:p>
    <w:p>
      <w:pPr>
        <w:spacing w:after="80"/>
      </w:pPr>
      <w:r>
        <w:rPr>
          <w:b/>
          <w:i w:val="0"/>
        </w:rPr>
        <w:t xml:space="preserve">Certainty: </w:t>
      </w:r>
      <w:r>
        <w:rPr>
          <w:b w:val="0"/>
          <w:i w:val="0"/>
        </w:rPr>
        <w:t>Very low certainty for causal LDLT benefit and the disease-specific donor-risk tradeoff; moderate confidence in broad national donor-mortality estimates, with limited individual transferability.</w:t>
      </w:r>
    </w:p>
    <w:p>
      <w:pPr>
        <w:spacing w:after="80"/>
      </w:pPr>
      <w:r>
        <w:rPr>
          <w:b/>
          <w:i w:val="0"/>
        </w:rPr>
        <w:t xml:space="preserve">Tests and records: </w:t>
      </w:r>
      <w:r>
        <w:rPr>
          <w:b w:val="0"/>
          <w:i w:val="0"/>
        </w:rPr>
        <w:t>Written study, statistical/safety plan, non-LT alternatives including HAI/conversion, donor resources, consent forms and documented independent approvals.</w:t>
      </w:r>
    </w:p>
    <w:p>
      <w:pPr>
        <w:spacing w:after="80"/>
      </w:pPr>
      <w:r>
        <w:rPr>
          <w:b/>
          <w:i w:val="0"/>
        </w:rPr>
        <w:t xml:space="preserve">Allocation: </w:t>
      </w:r>
      <w:r>
        <w:rPr>
          <w:b w:val="0"/>
          <w:i w:val="0"/>
        </w:rPr>
        <w:t>LDLT avoids allocation of that deceased-donor graft but adds healthy-donor risk and potential retransplant demand; it does not itself prove net benefit.</w:t>
      </w:r>
    </w:p>
    <w:p>
      <w:pPr>
        <w:spacing w:after="40"/>
      </w:pPr>
      <w:r>
        <w:rPr>
          <w:b/>
          <w:i w:val="0"/>
        </w:rPr>
        <w:t xml:space="preserve">Basis for the proposed thresholds: </w:t>
      </w:r>
    </w:p>
    <w:p>
      <w:pPr>
        <w:numPr>
          <w:ilvl w:val="0"/>
          <w:numId w:val="5"/>
        </w:numPr>
        <w:spacing w:after="40"/>
      </w:pPr>
      <w:r>
        <w:rPr>
          <w:b w:val="0"/>
          <w:i w:val="0"/>
        </w:rPr>
        <w:t>POLICY: donor independence, informed consent and withdrawal protections remain mandatory. STUDY: seven-recipient LDLT feasibility with wide confidence intervals; no validated minimum survival forecast. LOCAL: assessment of the six readiness domains. Recipient boundaries and safety stopping rules require prospective institutional approval before the first pair.</w:t>
      </w:r>
    </w:p>
    <w:p>
      <w:pPr>
        <w:pStyle w:val="Heading3"/>
        <w:keepNext/>
        <w:spacing w:before="120" w:after="80"/>
      </w:pPr>
      <w:r>
        <w:rPr>
          <w:b w:val="0"/>
          <w:i w:val="0"/>
        </w:rPr>
        <w:t>iCCA-B3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iCCA-B4 — Previously treated nodal or extrahepatic disease</w:t>
      </w:r>
    </w:p>
    <w:p>
      <w:pPr>
        <w:spacing w:after="80"/>
      </w:pPr>
      <w:r>
        <w:rPr>
          <w:b w:val="0"/>
          <w:i w:val="0"/>
          <w:color w:val="5A6069"/>
          <w:sz w:val="18"/>
        </w:rPr>
        <w:t>Closed · not activated · High-risk review</w:t>
      </w:r>
    </w:p>
    <w:p>
      <w:pPr>
        <w:spacing w:after="80"/>
      </w:pPr>
      <w:r>
        <w:rPr>
          <w:b/>
          <w:i w:val="0"/>
        </w:rPr>
        <w:t xml:space="preserve">Question: </w:t>
      </w:r>
      <w:r>
        <w:rPr>
          <w:b w:val="0"/>
          <w:i w:val="0"/>
        </w:rPr>
        <w:t>Should a patient whose iCCA nodal or extrahepatic disease has responded or been resected ever be considered for transplantation?</w:t>
      </w:r>
    </w:p>
    <w:p>
      <w:pPr>
        <w:spacing w:after="80"/>
      </w:pPr>
      <w:r>
        <w:rPr>
          <w:b/>
          <w:i w:val="0"/>
        </w:rPr>
        <w:t xml:space="preserve">When it applies: </w:t>
      </w:r>
      <w:r>
        <w:rPr>
          <w:b w:val="0"/>
          <w:i w:val="0"/>
        </w:rPr>
        <w:t>Use when iCCA has involved regional lymph nodes or any site outside the liver, including disease that later responded to chemotherapy or was resected or irradiated.</w:t>
      </w:r>
    </w:p>
    <w:p>
      <w:pPr>
        <w:spacing w:after="80"/>
      </w:pPr>
      <w:r>
        <w:rPr>
          <w:b/>
          <w:i w:val="0"/>
        </w:rPr>
        <w:t xml:space="preserve">Where it is decided: </w:t>
      </w:r>
      <w:hyperlink r:id="rId9">
        <w:r>
          <w:rPr>
            <w:color w:val="0563C1"/>
            <w:u w:val="single"/>
          </w:rPr>
          <w:t xml:space="preserve">Check clinical selection criteria</w:t>
        </w:r>
      </w:hyperlink>
      <w:r>
        <w:rPr>
          <w:b w:val="0"/>
          <w:i w:val="0"/>
        </w:rPr>
        <w:t xml:space="preserve"> · </w:t>
      </w:r>
      <w:hyperlink r:id="rId12">
        <w:r>
          <w:rPr>
            <w:color w:val="0563C1"/>
            <w:u w:val="single"/>
          </w:rPr>
          <w:t xml:space="preserve">Demonstrate stability</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ILTS–ILCA consensus</w:t>
            </w:r>
          </w:p>
        </w:tc>
        <w:tc>
          <w:tcPr>
            <w:tcW w:type="dxa" w:w="3360"/>
            <w:tcW w:w="3900" w:type="dxa"/>
            <w:shd w:val="clear" w:color="auto" w:fill="F1F5F8"/>
          </w:tcPr>
          <w:p>
            <w:pPr>
              <w:spacing w:after="0"/>
            </w:pPr>
            <w:r>
              <w:rPr>
                <w:b w:val="0"/>
                <w:i w:val="0"/>
                <w:sz w:val="19"/>
              </w:rPr>
              <w:t>2024 ILTS–ILCA Delphi consensus with external review. Cirrhotic, unresectable iCCA ≤3 cm: transplantation may be considered after a period of stability and without extrahepatic metastasis. Non-cirrhotic: only within investigational protocols for unresectable, liver-confined disease after at least six months of stability.</w:t>
            </w:r>
          </w:p>
        </w:tc>
        <w:tc>
          <w:tcPr>
            <w:tcW w:type="dxa" w:w="3360"/>
            <w:tcW w:w="4180" w:type="dxa"/>
            <w:shd w:val="clear" w:color="auto" w:fill="F1F5F8"/>
          </w:tcPr>
          <w:p>
            <w:pPr>
              <w:spacing w:after="0"/>
            </w:pPr>
            <w:r>
              <w:rPr>
                <w:b w:val="0"/>
                <w:i w:val="0"/>
                <w:sz w:val="19"/>
              </w:rPr>
              <w:t>No statement addresses previously treated nodal or extrahepatic disease.</w:t>
            </w:r>
          </w:p>
          <w:p>
            <w:pPr>
              <w:spacing w:after="0"/>
            </w:pPr>
            <w:r>
              <w:rPr>
                <w:b w:val="0"/>
                <w:i/>
                <w:sz w:val="19"/>
              </w:rPr>
              <w:t>Limits: Expert consensus.</w:t>
            </w:r>
          </w:p>
          <w:p>
            <w:pPr>
              <w:spacing w:after="0"/>
            </w:pPr>
            <w:r>
              <w:rPr>
                <w:b w:val="0"/>
                <w:i w:val="0"/>
                <w:color w:val="5A6069"/>
                <w:sz w:val="18"/>
              </w:rPr>
              <w:t>Liver Transpl 2025 and Liver Cancer 2026 (PMC13271748); iCCA statements.</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Houston prospective neoadjuvant program for locally advanced unresectable iCCA; 32 listed, 18 transplanted. Six-month gemcitabine-based induction with stability and no extrahepatic disease; extrahepatic progression prompted delisting.</w:t>
            </w:r>
          </w:p>
        </w:tc>
        <w:tc>
          <w:tcPr>
            <w:tcW w:type="dxa" w:w="3360"/>
            <w:tcW w:w="4180" w:type="dxa"/>
            <w:shd w:val="clear" w:color="auto" w:fill="FFFFFF"/>
          </w:tcPr>
          <w:p>
            <w:pPr>
              <w:spacing w:after="0"/>
            </w:pPr>
            <w:r>
              <w:rPr>
                <w:b w:val="0"/>
                <w:i w:val="0"/>
                <w:sz w:val="19"/>
              </w:rPr>
              <w:t>Five-year overall survival 57% from listing among recipients (49% for all 32 listed); one explant had carcinoma in 4 of 7 hilar nodes; two early recurrences arose from indeterminate pre-transplant lesions.</w:t>
            </w:r>
          </w:p>
          <w:p>
            <w:pPr>
              <w:spacing w:after="0"/>
            </w:pPr>
            <w:r>
              <w:rPr>
                <w:b w:val="0"/>
                <w:i/>
                <w:sz w:val="19"/>
              </w:rPr>
              <w:t>Limits: Single program; previous nodal or extrahepatic disease was not studied.</w:t>
            </w:r>
          </w:p>
          <w:p>
            <w:pPr>
              <w:spacing w:after="0"/>
            </w:pPr>
            <w:r>
              <w:rPr>
                <w:b w:val="0"/>
                <w:i w:val="0"/>
                <w:color w:val="5A6069"/>
                <w:sz w:val="18"/>
              </w:rPr>
              <w:t>Am J Transplant 2022; Sections 2.1–2.2 and 3.4–3.5 (full text).</w:t>
            </w:r>
          </w:p>
        </w:tc>
      </w:tr>
      <w:tr>
        <w:trPr>
          <w:cantSplit/>
        </w:trPr>
        <w:tc>
          <w:tcPr>
            <w:tcW w:type="dxa" w:w="3360"/>
            <w:tcW w:w="2000" w:type="dxa"/>
            <w:shd w:val="clear" w:color="auto" w:fill="F1F5F8"/>
          </w:tcPr>
          <w:p>
            <w:pPr>
              <w:spacing w:after="0"/>
            </w:pPr>
            <w:r>
              <w:rPr>
                <w:b/>
                <w:i w:val="0"/>
                <w:sz w:val="19"/>
              </w:rPr>
              <w:t>Maspero 2024 · Milan SYS-TARE</w:t>
            </w:r>
          </w:p>
        </w:tc>
        <w:tc>
          <w:tcPr>
            <w:tcW w:type="dxa" w:w="3360"/>
            <w:tcW w:w="3900" w:type="dxa"/>
            <w:shd w:val="clear" w:color="auto" w:fill="F1F5F8"/>
          </w:tcPr>
          <w:p>
            <w:pPr>
              <w:spacing w:after="0"/>
            </w:pPr>
            <w:r>
              <w:rPr>
                <w:b w:val="0"/>
                <w:i w:val="0"/>
                <w:sz w:val="19"/>
              </w:rPr>
              <w:t>Prospective intention-to-treat protocol (Milan): 13 patients with unresectable iCCA treated with chemotherapy and radioembolization. Inclusion: no lymphatic or extrahepatic spread. Exclusion: prior resected extrahepatic tumour spread. Surgical sampling of stations 8 and 12 before listing; extrahepatic progression or positive nodal sampling ended the protocol.</w:t>
            </w:r>
          </w:p>
        </w:tc>
        <w:tc>
          <w:tcPr>
            <w:tcW w:type="dxa" w:w="3360"/>
            <w:tcW w:w="4180" w:type="dxa"/>
            <w:shd w:val="clear" w:color="auto" w:fill="F1F5F8"/>
          </w:tcPr>
          <w:p>
            <w:pPr>
              <w:spacing w:after="0"/>
            </w:pPr>
            <w:r>
              <w:rPr>
                <w:b w:val="0"/>
                <w:i w:val="0"/>
                <w:sz w:val="19"/>
              </w:rPr>
              <w:t>Nine of 13 dropped out (3 progression, 4 extrahepatic disease, 2 positive nodes at pre-listing exploration); all four transplanted patients were alive and disease-free at 8–73 months.</w:t>
            </w:r>
          </w:p>
          <w:p>
            <w:pPr>
              <w:spacing w:after="0"/>
            </w:pPr>
            <w:r>
              <w:rPr>
                <w:b w:val="0"/>
                <w:i/>
                <w:sz w:val="19"/>
              </w:rPr>
              <w:t>Limits: Small single-centre series.</w:t>
            </w:r>
          </w:p>
          <w:p>
            <w:pPr>
              <w:spacing w:after="0"/>
            </w:pPr>
            <w:r>
              <w:rPr>
                <w:b w:val="0"/>
                <w:i w:val="0"/>
                <w:color w:val="5A6069"/>
                <w:sz w:val="18"/>
              </w:rPr>
              <w:t>Transpl Int 2024; Methods (criteria) and Results.</w:t>
            </w:r>
          </w:p>
        </w:tc>
      </w:tr>
      <w:tr>
        <w:trPr>
          <w:cantSplit/>
        </w:trPr>
        <w:tc>
          <w:tcPr>
            <w:tcW w:type="dxa" w:w="3360"/>
            <w:tcW w:w="2000" w:type="dxa"/>
            <w:shd w:val="clear" w:color="auto" w:fill="FFFFFF"/>
          </w:tcPr>
          <w:p>
            <w:pPr>
              <w:spacing w:after="0"/>
            </w:pPr>
            <w:r>
              <w:rPr>
                <w:b/>
                <w:i w:val="0"/>
                <w:sz w:val="19"/>
              </w:rPr>
              <w:t>Giguet 2026</w:t>
            </w:r>
          </w:p>
        </w:tc>
        <w:tc>
          <w:tcPr>
            <w:tcW w:type="dxa" w:w="3360"/>
            <w:tcW w:w="3900" w:type="dxa"/>
            <w:shd w:val="clear" w:color="auto" w:fill="FFFFFF"/>
          </w:tcPr>
          <w:p>
            <w:pPr>
              <w:spacing w:after="0"/>
            </w:pPr>
            <w:r>
              <w:rPr>
                <w:b w:val="0"/>
                <w:i w:val="0"/>
                <w:sz w:val="19"/>
              </w:rPr>
              <w:t>Retrospective Rennes series after neoadjuvant chemotherapy and SIRT; six transplanted. Laparoscopic sampling of station 8 (common hepatic artery) and station 12 (hepatoduodenal ligament) nodes before listing; diffuse multifocal disease, macrovascular invasion and extrahepatic disease excluded.</w:t>
            </w:r>
          </w:p>
        </w:tc>
        <w:tc>
          <w:tcPr>
            <w:tcW w:type="dxa" w:w="3360"/>
            <w:tcW w:w="4180" w:type="dxa"/>
            <w:shd w:val="clear" w:color="auto" w:fill="FFFFFF"/>
          </w:tcPr>
          <w:p>
            <w:pPr>
              <w:spacing w:after="0"/>
            </w:pPr>
            <w:r>
              <w:rPr>
                <w:b w:val="0"/>
                <w:i w:val="0"/>
                <w:sz w:val="19"/>
              </w:rPr>
              <w:t>Five-year overall survival 100% and progression-free survival 44.4% after transplantation; three of six recurred.</w:t>
            </w:r>
          </w:p>
          <w:p>
            <w:pPr>
              <w:spacing w:after="0"/>
            </w:pPr>
            <w:r>
              <w:rPr>
                <w:b w:val="0"/>
                <w:i/>
                <w:sz w:val="19"/>
              </w:rPr>
              <w:t>Limits: Six recipients; retrospective.</w:t>
            </w:r>
          </w:p>
          <w:p>
            <w:pPr>
              <w:spacing w:after="0"/>
            </w:pPr>
            <w:r>
              <w:rPr>
                <w:b w:val="0"/>
                <w:i w:val="0"/>
                <w:color w:val="5A6069"/>
                <w:sz w:val="18"/>
              </w:rPr>
              <w:t>JHEP Rep 2026; Methods.</w:t>
            </w:r>
          </w:p>
        </w:tc>
      </w:tr>
      <w:tr>
        <w:trPr>
          <w:cantSplit/>
        </w:trPr>
        <w:tc>
          <w:tcPr>
            <w:tcW w:type="dxa" w:w="3360"/>
            <w:tcW w:w="2000" w:type="dxa"/>
            <w:shd w:val="clear" w:color="auto" w:fill="F1F5F8"/>
          </w:tcPr>
          <w:p>
            <w:pPr>
              <w:spacing w:after="0"/>
            </w:pPr>
            <w:r>
              <w:rPr>
                <w:b/>
                <w:i w:val="0"/>
                <w:sz w:val="19"/>
              </w:rPr>
              <w:t>Malikowski 2020 · EUS nodal staging</w:t>
            </w:r>
          </w:p>
        </w:tc>
        <w:tc>
          <w:tcPr>
            <w:tcW w:type="dxa" w:w="3360"/>
            <w:tcW w:w="3900" w:type="dxa"/>
            <w:shd w:val="clear" w:color="auto" w:fill="F1F5F8"/>
          </w:tcPr>
          <w:p>
            <w:pPr>
              <w:spacing w:after="0"/>
            </w:pPr>
            <w:r>
              <w:rPr>
                <w:b w:val="0"/>
                <w:i w:val="0"/>
                <w:sz w:val="19"/>
              </w:rPr>
              <w:t>Single-centre EUS staging cohort: 157 cholangiocarcinoma patients (24 intrahepatic). Consecutive EUS staging; malignant regional nodes preclude resection or transplantation at this centre.</w:t>
            </w:r>
          </w:p>
        </w:tc>
        <w:tc>
          <w:tcPr>
            <w:tcW w:type="dxa" w:w="3360"/>
            <w:tcW w:w="4180" w:type="dxa"/>
            <w:shd w:val="clear" w:color="auto" w:fill="F1F5F8"/>
          </w:tcPr>
          <w:p>
            <w:pPr>
              <w:spacing w:after="0"/>
            </w:pPr>
            <w:r>
              <w:rPr>
                <w:b w:val="0"/>
                <w:i w:val="0"/>
                <w:sz w:val="19"/>
              </w:rPr>
              <w:t>EUS identified regional nodes more often than cross-sectional imaging (iCCA 83% versus 50%); malignant nodes in 4 of 24 with iCCA; a malignant node was associated with death (HR 4.1).</w:t>
            </w:r>
          </w:p>
          <w:p>
            <w:pPr>
              <w:spacing w:after="0"/>
            </w:pPr>
            <w:r>
              <w:rPr>
                <w:b w:val="0"/>
                <w:i/>
                <w:sz w:val="19"/>
              </w:rPr>
              <w:t>Limits: Single centre; mostly perihilar disease.</w:t>
            </w:r>
          </w:p>
          <w:p>
            <w:pPr>
              <w:spacing w:after="0"/>
            </w:pPr>
            <w:r>
              <w:rPr>
                <w:b w:val="0"/>
                <w:i w:val="0"/>
                <w:color w:val="5A6069"/>
                <w:sz w:val="18"/>
              </w:rPr>
              <w:t>Hepatology 2020; abstract.</w:t>
            </w:r>
          </w:p>
        </w:tc>
      </w:tr>
      <w:tr>
        <w:trPr>
          <w:cantSplit/>
        </w:trPr>
        <w:tc>
          <w:tcPr>
            <w:tcW w:type="dxa" w:w="3360"/>
            <w:tcW w:w="2000" w:type="dxa"/>
            <w:shd w:val="clear" w:color="auto" w:fill="FFFFFF"/>
          </w:tcPr>
          <w:p>
            <w:pPr>
              <w:spacing w:after="0"/>
            </w:pPr>
            <w:r>
              <w:rPr>
                <w:b/>
                <w:i w:val="0"/>
                <w:sz w:val="19"/>
              </w:rPr>
              <w:t>Wong 2019 · downstaging pilot</w:t>
            </w:r>
          </w:p>
        </w:tc>
        <w:tc>
          <w:tcPr>
            <w:tcW w:type="dxa" w:w="3360"/>
            <w:tcW w:w="3900" w:type="dxa"/>
            <w:shd w:val="clear" w:color="auto" w:fill="FFFFFF"/>
          </w:tcPr>
          <w:p>
            <w:pPr>
              <w:spacing w:after="0"/>
            </w:pPr>
            <w:r>
              <w:rPr>
                <w:b w:val="0"/>
                <w:i w:val="0"/>
                <w:sz w:val="19"/>
              </w:rPr>
              <w:t>Prospective pilot of neoadjuvant therapy before transplantation for locally advanced hilar and intrahepatic cholangiocarcinoma; 18 started treatment. Hilar ≤3.5 cm or intrahepatic ≤8 cm; regional lymphadenopathy allowed, distant metastasis excluded.</w:t>
            </w:r>
          </w:p>
        </w:tc>
        <w:tc>
          <w:tcPr>
            <w:tcW w:type="dxa" w:w="3360"/>
            <w:tcW w:w="4180" w:type="dxa"/>
            <w:shd w:val="clear" w:color="auto" w:fill="FFFFFF"/>
          </w:tcPr>
          <w:p>
            <w:pPr>
              <w:spacing w:after="0"/>
            </w:pPr>
            <w:r>
              <w:rPr>
                <w:b w:val="0"/>
                <w:i w:val="0"/>
                <w:sz w:val="19"/>
              </w:rPr>
              <w:t>Eleven of 18 dropped out; five transplanted, three recurrence-free at 14.5–29.2 months, one isolated portacaval nodal recurrence at 12 months; all dropouts died (median 14.4 months from diagnosis).</w:t>
            </w:r>
          </w:p>
          <w:p>
            <w:pPr>
              <w:spacing w:after="0"/>
            </w:pPr>
            <w:r>
              <w:rPr>
                <w:b w:val="0"/>
                <w:i/>
                <w:sz w:val="19"/>
              </w:rPr>
              <w:t>Limits: Mixed tumour types and tiny numbers; nodal pathology not reported in the abstract.</w:t>
            </w:r>
          </w:p>
          <w:p>
            <w:pPr>
              <w:spacing w:after="0"/>
            </w:pPr>
            <w:r>
              <w:rPr>
                <w:b w:val="0"/>
                <w:i w:val="0"/>
                <w:color w:val="5A6069"/>
                <w:sz w:val="18"/>
              </w:rPr>
              <w:t>J Surg Res 2019; abstract.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OPTN/NLRB guidance: Adult MELD Exceptions for Transplant Oncology. Small-cirrhotic iCCA: six months of stability with no new lesions or extrahepatic disease before applying; no extrahepatic disease before extending the exception.</w:t>
            </w:r>
          </w:p>
        </w:tc>
        <w:tc>
          <w:tcPr>
            <w:tcW w:type="dxa" w:w="3360"/>
            <w:tcW w:w="4180" w:type="dxa"/>
            <w:shd w:val="clear" w:color="auto" w:fill="F1F5F8"/>
          </w:tcPr>
          <w:p>
            <w:pPr>
              <w:spacing w:after="0"/>
            </w:pPr>
            <w:r>
              <w:rPr>
                <w:b w:val="0"/>
                <w:i w:val="0"/>
                <w:sz w:val="19"/>
              </w:rPr>
              <w:t>Allocation guidance; no outcome data.</w:t>
            </w:r>
          </w:p>
          <w:p>
            <w:pPr>
              <w:spacing w:after="0"/>
            </w:pPr>
            <w:r>
              <w:rPr>
                <w:b w:val="0"/>
                <w:i/>
                <w:sz w:val="19"/>
              </w:rPr>
              <w:t>Limits: Applies to the small-cirrhotic route only.</w:t>
            </w:r>
          </w:p>
          <w:p>
            <w:pPr>
              <w:spacing w:after="0"/>
            </w:pPr>
            <w:r>
              <w:rPr>
                <w:b w:val="0"/>
                <w:i w:val="0"/>
                <w:color w:val="5A6069"/>
                <w:sz w:val="18"/>
              </w:rPr>
              <w:t>Official PDF, iCCA section.</w:t>
            </w:r>
          </w:p>
        </w:tc>
      </w:tr>
      <w:tr>
        <w:trPr>
          <w:cantSplit/>
        </w:trPr>
        <w:tc>
          <w:tcPr>
            <w:tcW w:type="dxa" w:w="3360"/>
            <w:tcW w:w="2000" w:type="dxa"/>
            <w:shd w:val="clear" w:color="auto" w:fill="FFFFFF"/>
          </w:tcPr>
          <w:p>
            <w:pPr>
              <w:spacing w:after="0"/>
            </w:pPr>
            <w:r>
              <w:rPr>
                <w:b/>
                <w:i w:val="0"/>
                <w:sz w:val="19"/>
              </w:rPr>
              <w:t>Lunsford 2018 · Houston</w:t>
            </w:r>
          </w:p>
        </w:tc>
        <w:tc>
          <w:tcPr>
            <w:tcW w:type="dxa" w:w="3360"/>
            <w:tcW w:w="3900" w:type="dxa"/>
            <w:shd w:val="clear" w:color="auto" w:fill="FFFFFF"/>
          </w:tcPr>
          <w:p>
            <w:pPr>
              <w:spacing w:after="0"/>
            </w:pPr>
            <w:r>
              <w:rPr>
                <w:b w:val="0"/>
                <w:i w:val="0"/>
                <w:sz w:val="19"/>
              </w:rPr>
              <w:t>Houston prospective protocol; 21 referred, 6 transplanted. Excluded extrahepatic metastases and lymph-node involvement; suspicious regional nodes biopsied by EUS before treatment.</w:t>
            </w:r>
          </w:p>
        </w:tc>
        <w:tc>
          <w:tcPr>
            <w:tcW w:type="dxa" w:w="3360"/>
            <w:tcW w:w="4180" w:type="dxa"/>
            <w:shd w:val="clear" w:color="auto" w:fill="FFFFFF"/>
          </w:tcPr>
          <w:p>
            <w:pPr>
              <w:spacing w:after="0"/>
            </w:pPr>
            <w:r>
              <w:rPr>
                <w:b w:val="0"/>
                <w:i w:val="0"/>
                <w:sz w:val="19"/>
              </w:rPr>
              <w:t>One recipient with unbiopsied, PET-negative periportal nodes that regressed (node-negative on explant) recurred in the peritoneum at 9.7 months, attributed by the authors to perihilar-fat invasion with a positive margin; in 2 of 6, “stable” extrahepatic lesions proved metastatic after transplantation.</w:t>
            </w:r>
          </w:p>
          <w:p>
            <w:pPr>
              <w:spacing w:after="0"/>
            </w:pPr>
            <w:r>
              <w:rPr>
                <w:b w:val="0"/>
                <w:i/>
                <w:sz w:val="19"/>
              </w:rPr>
              <w:t>Limits: Six recipients; interim report.</w:t>
            </w:r>
          </w:p>
          <w:p>
            <w:pPr>
              <w:spacing w:after="0"/>
            </w:pPr>
            <w:r>
              <w:rPr>
                <w:b w:val="0"/>
                <w:i w:val="0"/>
                <w:color w:val="5A6069"/>
                <w:sz w:val="18"/>
              </w:rPr>
              <w:t>Lancet Gastroenterol Hepatol 2018; Methods, Table 2 (full text).</w:t>
            </w:r>
          </w:p>
        </w:tc>
      </w:tr>
      <w:tr>
        <w:trPr>
          <w:cantSplit/>
        </w:trPr>
        <w:tc>
          <w:tcPr>
            <w:tcW w:type="dxa" w:w="3360"/>
            <w:tcW w:w="2000" w:type="dxa"/>
            <w:shd w:val="clear" w:color="auto" w:fill="F1F5F8"/>
          </w:tcPr>
          <w:p>
            <w:pPr>
              <w:spacing w:after="0"/>
            </w:pPr>
            <w:r>
              <w:rPr>
                <w:b/>
                <w:i w:val="0"/>
                <w:sz w:val="19"/>
              </w:rPr>
              <w:t>Sethi 2026 · iCCA LDLT</w:t>
            </w:r>
          </w:p>
        </w:tc>
        <w:tc>
          <w:tcPr>
            <w:tcW w:type="dxa" w:w="3360"/>
            <w:tcW w:w="3900" w:type="dxa"/>
            <w:shd w:val="clear" w:color="auto" w:fill="F1F5F8"/>
          </w:tcPr>
          <w:p>
            <w:pPr>
              <w:spacing w:after="0"/>
            </w:pPr>
            <w:r>
              <w:rPr>
                <w:b w:val="0"/>
                <w:i w:val="0"/>
                <w:sz w:val="19"/>
              </w:rPr>
              <w:t>UPMC living-donor series, 7 recipients. Unresectable, liver-confined iCCA; nodes biopsied at the combined donor–recipient laparotomy.</w:t>
            </w:r>
          </w:p>
        </w:tc>
        <w:tc>
          <w:tcPr>
            <w:tcW w:type="dxa" w:w="3360"/>
            <w:tcW w:w="4180" w:type="dxa"/>
            <w:shd w:val="clear" w:color="auto" w:fill="F1F5F8"/>
          </w:tcPr>
          <w:p>
            <w:pPr>
              <w:spacing w:after="0"/>
            </w:pPr>
            <w:r>
              <w:rPr>
                <w:b w:val="0"/>
                <w:i w:val="0"/>
                <w:sz w:val="19"/>
              </w:rPr>
              <w:t>2 of 6 explants with viable tumour were node-positive although the protocol included nodal biopsy at the same laparotomy; one died at about 7 months, the other was disease-free at 2.4 years; a sub-PET-threshold lung nodule became a metastasis.</w:t>
            </w:r>
          </w:p>
          <w:p>
            <w:pPr>
              <w:spacing w:after="0"/>
            </w:pPr>
            <w:r>
              <w:rPr>
                <w:b w:val="0"/>
                <w:i/>
                <w:sz w:val="19"/>
              </w:rPr>
              <w:t>Limits: Seven patients.</w:t>
            </w:r>
          </w:p>
          <w:p>
            <w:pPr>
              <w:spacing w:after="0"/>
            </w:pPr>
            <w:r>
              <w:rPr>
                <w:b w:val="0"/>
                <w:i w:val="0"/>
                <w:color w:val="5A6069"/>
                <w:sz w:val="18"/>
              </w:rPr>
              <w:t>Am J Transplant 2026; Results, Table 2 (full text).</w:t>
            </w:r>
          </w:p>
        </w:tc>
      </w:tr>
      <w:tr>
        <w:trPr>
          <w:cantSplit/>
        </w:trPr>
        <w:tc>
          <w:tcPr>
            <w:tcW w:type="dxa" w:w="3360"/>
            <w:tcW w:w="2000" w:type="dxa"/>
            <w:shd w:val="clear" w:color="auto" w:fill="FFFFFF"/>
          </w:tcPr>
          <w:p>
            <w:pPr>
              <w:spacing w:after="0"/>
            </w:pPr>
            <w:r>
              <w:rPr>
                <w:b/>
                <w:i w:val="0"/>
                <w:sz w:val="19"/>
              </w:rPr>
              <w:t>Campbell 2026 · biliary cancer LT, single centre</w:t>
            </w:r>
          </w:p>
        </w:tc>
        <w:tc>
          <w:tcPr>
            <w:tcW w:type="dxa" w:w="3360"/>
            <w:tcW w:w="3900" w:type="dxa"/>
            <w:shd w:val="clear" w:color="auto" w:fill="FFFFFF"/>
          </w:tcPr>
          <w:p>
            <w:pPr>
              <w:spacing w:after="0"/>
            </w:pPr>
            <w:r>
              <w:rPr>
                <w:b w:val="0"/>
                <w:i w:val="0"/>
                <w:sz w:val="19"/>
              </w:rPr>
              <w:t>Single-centre series, 98 transplants for biliary cancers. Explant nodal status.</w:t>
            </w:r>
          </w:p>
        </w:tc>
        <w:tc>
          <w:tcPr>
            <w:tcW w:type="dxa" w:w="3360"/>
            <w:tcW w:w="4180" w:type="dxa"/>
            <w:shd w:val="clear" w:color="auto" w:fill="FFFFFF"/>
          </w:tcPr>
          <w:p>
            <w:pPr>
              <w:spacing w:after="0"/>
            </w:pPr>
            <w:r>
              <w:rPr>
                <w:b w:val="0"/>
                <w:i w:val="0"/>
                <w:sz w:val="19"/>
              </w:rPr>
              <w:t>Node positivity predicted recurrence (HR 3.27, 1.32–8.10) but not overall survival (p=0.14); in the intentional pCCA/iCCA subset (n=53) the recurrence HR was 2.48 and not significant (p=0.17).</w:t>
            </w:r>
          </w:p>
          <w:p>
            <w:pPr>
              <w:spacing w:after="0"/>
            </w:pPr>
            <w:r>
              <w:rPr>
                <w:b w:val="0"/>
                <w:i/>
                <w:sz w:val="19"/>
              </w:rPr>
              <w:t>Limits: Mixed subtypes; nodes found on explant, not before transplantation.</w:t>
            </w:r>
          </w:p>
          <w:p>
            <w:pPr>
              <w:spacing w:after="0"/>
            </w:pPr>
            <w:r>
              <w:rPr>
                <w:b w:val="0"/>
                <w:i w:val="0"/>
                <w:color w:val="5A6069"/>
                <w:sz w:val="18"/>
              </w:rPr>
              <w:t>Ann Surg Oncol 2026 (full text).</w:t>
            </w:r>
          </w:p>
        </w:tc>
      </w:tr>
    </w:tbl>
    <w:p>
      <w:pPr>
        <w:spacing w:after="40"/>
      </w:pPr>
    </w:p>
    <w:p>
      <w:pPr>
        <w:pStyle w:val="Heading3"/>
        <w:keepNext/>
        <w:spacing w:before="120" w:after="80"/>
      </w:pPr>
      <w:r>
        <w:rPr>
          <w:b w:val="0"/>
          <w:i w:val="0"/>
        </w:rPr>
        <w:t>Our proposed selection (OPEN)</w:t>
      </w:r>
    </w:p>
    <w:p>
      <w:pPr>
        <w:spacing w:after="80"/>
      </w:pPr>
      <w:r>
        <w:rPr>
          <w:b w:val="0"/>
          <w:i w:val="0"/>
        </w:rPr>
        <w:t>Keep closed. Proven malignant nodes or extrahepatic disease, current or previously treated, exclude the small-cirrhotic route and the advanced-iCCA study. Confirm node-negative status pathologically before listing.</w:t>
      </w:r>
    </w:p>
    <w:p>
      <w:pPr>
        <w:numPr>
          <w:ilvl w:val="0"/>
          <w:numId w:val="5"/>
        </w:numPr>
        <w:spacing w:after="40"/>
      </w:pPr>
      <w:r>
        <w:rPr>
          <w:b w:val="0"/>
          <w:i w:val="0"/>
        </w:rPr>
        <w:t>Previously proven malignant regional nodes, even after radiological or pathological response, and any previous distant metastasis (peritoneum, lung, bone, distant nodes) are outside the initial iCCA routes. Resection of an extrahepatic site does not clear this history.</w:t>
      </w:r>
    </w:p>
    <w:p>
      <w:pPr>
        <w:numPr>
          <w:ilvl w:val="0"/>
          <w:numId w:val="5"/>
        </w:numPr>
        <w:spacing w:after="40"/>
      </w:pPr>
      <w:r>
        <w:rPr>
          <w:b w:val="0"/>
          <w:i w:val="0"/>
        </w:rPr>
        <w:t>Suspicious or indeterminate nodes are HOLD until resolved pathologically; an imaging response is not nodal clearance.</w:t>
      </w:r>
    </w:p>
    <w:p>
      <w:pPr>
        <w:numPr>
          <w:ilvl w:val="0"/>
          <w:numId w:val="5"/>
        </w:numPr>
        <w:spacing w:after="40"/>
      </w:pPr>
      <w:r>
        <w:rPr>
          <w:b w:val="0"/>
          <w:i w:val="0"/>
        </w:rPr>
        <w:t>Proposed for the advanced-iCCA study: before listing, sample any suspicious node (EUS-FNA or surgical) and sample the common hepatic artery (station 8) and hepatoduodenal ligament (station 12) nodes surgically; for living donation complete this before listing, not only at the combined donor–recipient laparotomy. A positive result ends the transplant route. Perform regional lymphadenectomy at transplantation.</w:t>
      </w:r>
    </w:p>
    <w:p>
      <w:pPr>
        <w:numPr>
          <w:ilvl w:val="0"/>
          <w:numId w:val="5"/>
        </w:numPr>
        <w:spacing w:after="40"/>
      </w:pPr>
      <w:r>
        <w:rPr>
          <w:b w:val="0"/>
          <w:i w:val="0"/>
        </w:rPr>
        <w:t>Indeterminate extrahepatic lesions (subcentimetre lung nodules, bone lesions) need biopsy or interval imaging before listing; “stable on chemotherapy” is not clearance.</w:t>
      </w:r>
    </w:p>
    <w:p>
      <w:pPr>
        <w:numPr>
          <w:ilvl w:val="0"/>
          <w:numId w:val="5"/>
        </w:numPr>
        <w:spacing w:after="40"/>
      </w:pPr>
      <w:r>
        <w:rPr>
          <w:b w:val="0"/>
          <w:i w:val="0"/>
        </w:rPr>
        <w:t>Previously node-positive disease that has cleared is a separate future research question; do not combine it with multifocal, G3 or living-donor expansions.</w:t>
      </w:r>
    </w:p>
    <w:p>
      <w:pPr>
        <w:spacing w:after="80"/>
      </w:pPr>
      <w:r>
        <w:rPr>
          <w:b/>
          <w:i w:val="0"/>
        </w:rPr>
        <w:t xml:space="preserve">Why: </w:t>
      </w:r>
      <w:r>
        <w:rPr>
          <w:b w:val="0"/>
          <w:i w:val="0"/>
        </w:rPr>
        <w:t>Published transplant programs for iCCA require liver-limited disease. ILTS–ILCA limits transplantation to cirrhotic tumours ≤3 cm without extrahepatic metastasis, or to unresectable, liver-confined disease within investigational protocols in non-cirrhotic livers; the Houston program delisted patients for extrahepatic progression. The Milan protocol explicitly excludes previously resected extrahepatic tumour spread. Programs that stage nodes surgically before listing remove node-positive patients: in Milan, 2 of 13 were node-positive at pre-listing exploration and 4 developed extrahepatic disease, while all four transplanted patients were disease-free at 8–73 months; Rennes sampled stations 8 and 12 laparoscopically before listing. Malignant regional nodes found by EUS were associated with death (HR 4.1) across cholangiocarcinoma subtypes. In the published series, early recurrences came from disease that staging missed or tolerated: the one Houston recipient with imaging-only periportal nodes (unbiopsied, PET-negative, regressed; node-negative on explant) recurred in the peritoneum at 9.7 months, which the authors attributed to perihilar-fat invasion with a positive margin; “stable” extrahepatic lesions on chemotherapy proved metastatic in 2 of 6 Houston recipients, one later explant had carcinoma in 4 of 7 hilar nodes, and in a living-donor series 2 of 6 explants with viable tumour were node-positive although the protocol included nodal biopsy at the combined laparotomy.</w:t>
      </w:r>
    </w:p>
    <w:p>
      <w:pPr>
        <w:spacing w:after="80"/>
      </w:pPr>
      <w:r>
        <w:rPr>
          <w:b/>
          <w:i w:val="0"/>
        </w:rPr>
        <w:t xml:space="preserve">Against, or uncertain: </w:t>
      </w:r>
      <w:r>
        <w:rPr>
          <w:b w:val="0"/>
          <w:i w:val="0"/>
        </w:rPr>
        <w:t>One prospective pilot admitted regional lymphadenopathy in locally advanced hilar and intrahepatic cholangiocarcinoma: 5 of 18 reached transplantation, three were recurrence-free at 14.5–29.2 months and one had an isolated portacaval nodal recurrence at 12 months. It combined tumour types and did not require nodes to be proven malignant, so it cannot establish a cleared-node pathway, but it shows that a small subset can reach transplantation.</w:t>
      </w:r>
    </w:p>
    <w:p>
      <w:pPr>
        <w:spacing w:after="80"/>
      </w:pPr>
      <w:r>
        <w:rPr>
          <w:b/>
          <w:i w:val="0"/>
        </w:rPr>
        <w:t xml:space="preserve">Certainty: </w:t>
      </w:r>
      <w:r>
        <w:rPr>
          <w:b w:val="0"/>
          <w:i w:val="0"/>
        </w:rPr>
        <w:t>Low that liver-confined disease after sustained response selects better recipients; very low for transplantation after previously malignant nodes; no evidence for previously treated distant disease.</w:t>
      </w:r>
    </w:p>
    <w:p>
      <w:pPr>
        <w:spacing w:after="80"/>
      </w:pPr>
      <w:r>
        <w:rPr>
          <w:b/>
          <w:i w:val="0"/>
        </w:rPr>
        <w:t xml:space="preserve">Tests and records: </w:t>
      </w:r>
      <w:r>
        <w:rPr>
          <w:b w:val="0"/>
          <w:i w:val="0"/>
        </w:rPr>
        <w:t>Original and current nodal imaging with a station map; nodal pathology (EUS-FNA, operative sampling) with dates; chest CT and PET or whole-body staging; CA19-9 series; pre-listing operative staging report.</w:t>
      </w:r>
    </w:p>
    <w:p>
      <w:pPr>
        <w:spacing w:after="80"/>
      </w:pPr>
      <w:r>
        <w:rPr>
          <w:b/>
          <w:i w:val="0"/>
        </w:rPr>
        <w:t xml:space="preserve">Allocation: </w:t>
      </w:r>
      <w:r>
        <w:rPr>
          <w:b w:val="0"/>
          <w:i w:val="0"/>
        </w:rPr>
        <w:t>NLRB small-cirrhotic iCCA guidance requires no extrahepatic disease before the initial request and before each extension. Advanced iCCA has no standardized exception; any route would be an approved study, often with a living donor, and previous nodal or extrahepatic disease is not proposed for either.</w:t>
      </w:r>
    </w:p>
    <w:p>
      <w:pPr>
        <w:spacing w:after="40"/>
      </w:pPr>
      <w:r>
        <w:rPr>
          <w:b/>
          <w:i w:val="0"/>
        </w:rPr>
        <w:t xml:space="preserve">Basis for the proposed thresholds: </w:t>
      </w:r>
    </w:p>
    <w:p>
      <w:pPr>
        <w:numPr>
          <w:ilvl w:val="0"/>
          <w:numId w:val="5"/>
        </w:numPr>
        <w:spacing w:after="40"/>
      </w:pPr>
      <w:r>
        <w:rPr>
          <w:b w:val="0"/>
          <w:i w:val="0"/>
        </w:rPr>
        <w:t>Surgical sampling of stations 8 and 12 before listing follows the Milan and Rennes protocols; it is a proposed local requirement for the advanced study, not national guidance. Excluding previously resected extrahepatic spread follows Milan; NLRB requires no extrahepatic disease at the initial request and extension.</w:t>
      </w:r>
    </w:p>
    <w:p>
      <w:pPr>
        <w:pStyle w:val="Heading3"/>
        <w:keepNext/>
        <w:spacing w:before="120" w:after="80"/>
      </w:pPr>
      <w:r>
        <w:rPr>
          <w:b w:val="0"/>
          <w:i w:val="0"/>
        </w:rPr>
        <w:t>iCCA-B4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AASLD/AST candidate evaluation</w:t>
      </w:r>
      <w:r>
        <w:rPr>
          <w:b w:val="0"/>
          <w:i w:val="0"/>
          <w:sz w:val="19"/>
        </w:rPr>
        <w:t xml:space="preserve"> — AASLD AST Practice Guideline on adult liver transplantation: Candidate evaluation</w:t>
      </w:r>
      <w:r>
        <w:rPr>
          <w:b w:val="0"/>
          <w:i w:val="0"/>
          <w:sz w:val="19"/>
        </w:rPr>
        <w:t xml:space="preserve">  </w:t>
      </w:r>
      <w:hyperlink r:id="rId21">
        <w:r>
          <w:rPr>
            <w:color w:val="0563C1"/>
            <w:u w:val="single"/>
            <w:sz w:val="19"/>
          </w:rPr>
          <w:t xml:space="preserve">PubMed</w:t>
        </w:r>
      </w:hyperlink>
      <w:r>
        <w:rPr>
          <w:b w:val="0"/>
          <w:i w:val="0"/>
          <w:sz w:val="19"/>
        </w:rPr>
        <w:t xml:space="preserve"> · </w:t>
      </w:r>
      <w:hyperlink r:id="rId22">
        <w:r>
          <w:rPr>
            <w:color w:val="0563C1"/>
            <w:u w:val="single"/>
            <w:sz w:val="19"/>
          </w:rPr>
          <w:t xml:space="preserve">Journal</w:t>
        </w:r>
      </w:hyperlink>
      <w:r>
        <w:rPr>
          <w:b w:val="0"/>
          <w:i w:val="0"/>
          <w:sz w:val="19"/>
        </w:rPr>
        <w:t xml:space="preserve"> · </w:t>
      </w:r>
      <w:hyperlink r:id="rId23">
        <w:r>
          <w:rPr>
            <w:color w:val="0563C1"/>
            <w:u w:val="single"/>
            <w:sz w:val="19"/>
          </w:rPr>
          <w:t xml:space="preserve">Free full text</w:t>
        </w:r>
      </w:hyperlink>
      <w:r>
        <w:rPr>
          <w:b w:val="0"/>
          <w:i w:val="0"/>
          <w:sz w:val="19"/>
        </w:rPr>
        <w:t xml:space="preserve"> · </w:t>
      </w:r>
      <w:hyperlink r:id="rId24">
        <w:r>
          <w:rPr>
            <w:color w:val="0563C1"/>
            <w:u w:val="single"/>
            <w:sz w:val="19"/>
          </w:rPr>
          <w:t xml:space="preserve">Source</w:t>
        </w:r>
      </w:hyperlink>
      <w:r>
        <w:rPr>
          <w:b w:val="0"/>
          <w:i w:val="0"/>
          <w:sz w:val="19"/>
        </w:rPr>
        <w:t xml:space="preserve"> · </w:t>
      </w:r>
      <w:hyperlink r:id="rId25">
        <w:r>
          <w:rPr>
            <w:color w:val="0563C1"/>
            <w:u w:val="single"/>
            <w:sz w:val="19"/>
          </w:rPr>
          <w:t xml:space="preserve">TMC library</w:t>
        </w:r>
      </w:hyperlink>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6">
        <w:r>
          <w:rPr>
            <w:color w:val="0563C1"/>
            <w:u w:val="single"/>
            <w:sz w:val="19"/>
          </w:rPr>
          <w:t xml:space="preserve">PubMed</w:t>
        </w:r>
      </w:hyperlink>
      <w:r>
        <w:rPr>
          <w:b w:val="0"/>
          <w:i w:val="0"/>
          <w:sz w:val="19"/>
        </w:rPr>
        <w:t xml:space="preserve"> · </w:t>
      </w:r>
      <w:hyperlink r:id="rId27">
        <w:r>
          <w:rPr>
            <w:color w:val="0563C1"/>
            <w:u w:val="single"/>
            <w:sz w:val="19"/>
          </w:rPr>
          <w:t xml:space="preserve">Journal</w:t>
        </w:r>
      </w:hyperlink>
      <w:r>
        <w:rPr>
          <w:b w:val="0"/>
          <w:i w:val="0"/>
          <w:sz w:val="19"/>
        </w:rPr>
        <w:t xml:space="preserve"> · </w:t>
      </w:r>
      <w:hyperlink r:id="rId28">
        <w:r>
          <w:rPr>
            <w:color w:val="0563C1"/>
            <w:u w:val="single"/>
            <w:sz w:val="19"/>
          </w:rPr>
          <w:t xml:space="preserve">Free full text</w:t>
        </w:r>
      </w:hyperlink>
      <w:r>
        <w:rPr>
          <w:b w:val="0"/>
          <w:i w:val="0"/>
          <w:sz w:val="19"/>
        </w:rPr>
        <w:t xml:space="preserve"> · </w:t>
      </w:r>
      <w:hyperlink r:id="rId29">
        <w:r>
          <w:rPr>
            <w:color w:val="0563C1"/>
            <w:u w:val="single"/>
            <w:sz w:val="19"/>
          </w:rPr>
          <w:t xml:space="preserve">Source</w:t>
        </w:r>
      </w:hyperlink>
      <w:r>
        <w:rPr>
          <w:b w:val="0"/>
          <w:i w:val="0"/>
          <w:sz w:val="19"/>
        </w:rPr>
        <w:t xml:space="preserve"> · </w:t>
      </w:r>
      <w:hyperlink r:id="rId30">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31">
        <w:r>
          <w:rPr>
            <w:color w:val="0563C1"/>
            <w:u w:val="single"/>
            <w:sz w:val="19"/>
          </w:rPr>
          <w:t xml:space="preserve">PubMed</w:t>
        </w:r>
      </w:hyperlink>
      <w:r>
        <w:rPr>
          <w:b w:val="0"/>
          <w:i w:val="0"/>
          <w:sz w:val="19"/>
        </w:rPr>
        <w:t xml:space="preserve"> · </w:t>
      </w:r>
      <w:hyperlink r:id="rId32">
        <w:r>
          <w:rPr>
            <w:color w:val="0563C1"/>
            <w:u w:val="single"/>
            <w:sz w:val="19"/>
          </w:rPr>
          <w:t xml:space="preserve">Journal</w:t>
        </w:r>
      </w:hyperlink>
      <w:r>
        <w:rPr>
          <w:b w:val="0"/>
          <w:i w:val="0"/>
          <w:sz w:val="19"/>
        </w:rPr>
        <w:t xml:space="preserve"> · </w:t>
      </w:r>
      <w:hyperlink r:id="rId33">
        <w:r>
          <w:rPr>
            <w:color w:val="0563C1"/>
            <w:u w:val="single"/>
            <w:sz w:val="19"/>
          </w:rPr>
          <w:t xml:space="preserve">TMC library</w:t>
        </w:r>
      </w:hyperlink>
    </w:p>
    <w:p>
      <w:pPr>
        <w:spacing w:after="60"/>
      </w:pPr>
      <w:r>
        <w:rPr>
          <w:b/>
          <w:i w:val="0"/>
          <w:sz w:val="19"/>
        </w:rPr>
        <w:t>Campbell 2026 · biliary cancer LT, single centre</w:t>
      </w:r>
      <w:r>
        <w:rPr>
          <w:b w:val="0"/>
          <w:i w:val="0"/>
          <w:sz w:val="19"/>
        </w:rPr>
        <w:t xml:space="preserve"> — Liver Transplantation for Unresectable Biliary Tract Cancers: Largest Single-Center Analysis of Subtype-Specific Survival and Recurrence (2007-2025)</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Dageforde 2021</w:t>
      </w:r>
      <w:r>
        <w:rPr>
          <w:b w:val="0"/>
          <w:i w:val="0"/>
          <w:sz w:val="19"/>
        </w:rPr>
        <w:t xml:space="preserve"> — Multi-Center Analysis of Liver Transplantation for Combined Hepatocellular Carcinoma-Cholangiocarcinoma Liver Tumors</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Source</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De Martin 2020</w:t>
      </w:r>
      <w:r>
        <w:rPr>
          <w:b w:val="0"/>
          <w:i w:val="0"/>
          <w:sz w:val="19"/>
        </w:rPr>
        <w:t xml:space="preserve"> — Analysis of Liver Resection Versus Liver Transplantation on Outcome of Small Intrahepatic Cholangiocarcinoma and Combined Hepatocellular-Cholangiocarcinoma in the Setting of Cirrhosis</w:t>
      </w:r>
      <w:r>
        <w:rPr>
          <w:b w:val="0"/>
          <w:i w:val="0"/>
          <w:sz w:val="19"/>
        </w:rPr>
        <w:t xml:space="preserve">  </w:t>
      </w:r>
      <w:hyperlink r:id="rId41">
        <w:r>
          <w:rPr>
            <w:color w:val="0563C1"/>
            <w:u w:val="single"/>
            <w:sz w:val="19"/>
          </w:rPr>
          <w:t xml:space="preserve">PubMed</w:t>
        </w:r>
      </w:hyperlink>
      <w:r>
        <w:rPr>
          <w:b w:val="0"/>
          <w:i w:val="0"/>
          <w:sz w:val="19"/>
        </w:rPr>
        <w:t xml:space="preserve"> · </w:t>
      </w:r>
      <w:hyperlink r:id="rId42">
        <w:r>
          <w:rPr>
            <w:color w:val="0563C1"/>
            <w:u w:val="single"/>
            <w:sz w:val="19"/>
          </w:rPr>
          <w:t xml:space="preserve">Journal</w:t>
        </w:r>
      </w:hyperlink>
      <w:r>
        <w:rPr>
          <w:b w:val="0"/>
          <w:i w:val="0"/>
          <w:sz w:val="19"/>
        </w:rPr>
        <w:t xml:space="preserve"> · </w:t>
      </w:r>
      <w:hyperlink r:id="rId43">
        <w:r>
          <w:rPr>
            <w:color w:val="0563C1"/>
            <w:u w:val="single"/>
            <w:sz w:val="19"/>
          </w:rPr>
          <w:t xml:space="preserve">Source</w:t>
        </w:r>
      </w:hyperlink>
      <w:r>
        <w:rPr>
          <w:b w:val="0"/>
          <w:i w:val="0"/>
          <w:sz w:val="19"/>
        </w:rPr>
        <w:t xml:space="preserve"> · </w:t>
      </w:r>
      <w:hyperlink r:id="rId44">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5">
        <w:r>
          <w:rPr>
            <w:color w:val="0563C1"/>
            <w:u w:val="single"/>
            <w:sz w:val="19"/>
          </w:rPr>
          <w:t xml:space="preserve">PubMed</w:t>
        </w:r>
      </w:hyperlink>
      <w:r>
        <w:rPr>
          <w:b w:val="0"/>
          <w:i w:val="0"/>
          <w:sz w:val="19"/>
        </w:rPr>
        <w:t xml:space="preserve"> · </w:t>
      </w:r>
      <w:hyperlink r:id="rId46">
        <w:r>
          <w:rPr>
            <w:color w:val="0563C1"/>
            <w:u w:val="single"/>
            <w:sz w:val="19"/>
          </w:rPr>
          <w:t xml:space="preserve">Journal</w:t>
        </w:r>
      </w:hyperlink>
      <w:r>
        <w:rPr>
          <w:b w:val="0"/>
          <w:i w:val="0"/>
          <w:sz w:val="19"/>
        </w:rPr>
        <w:t xml:space="preserve"> · </w:t>
      </w:r>
      <w:hyperlink r:id="rId47">
        <w:r>
          <w:rPr>
            <w:color w:val="0563C1"/>
            <w:u w:val="single"/>
            <w:sz w:val="19"/>
          </w:rPr>
          <w:t xml:space="preserve">Free full text</w:t>
        </w:r>
      </w:hyperlink>
      <w:r>
        <w:rPr>
          <w:b w:val="0"/>
          <w:i w:val="0"/>
          <w:sz w:val="19"/>
        </w:rPr>
        <w:t xml:space="preserve"> · </w:t>
      </w:r>
      <w:hyperlink r:id="rId48">
        <w:r>
          <w:rPr>
            <w:color w:val="0563C1"/>
            <w:u w:val="single"/>
            <w:sz w:val="19"/>
          </w:rPr>
          <w:t xml:space="preserve">Source</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Free full text</w:t>
        </w:r>
      </w:hyperlink>
      <w:r>
        <w:rPr>
          <w:b w:val="0"/>
          <w:i w:val="0"/>
          <w:sz w:val="19"/>
        </w:rPr>
        <w:t xml:space="preserve"> · </w:t>
      </w:r>
      <w:hyperlink r:id="rId53">
        <w:r>
          <w:rPr>
            <w:color w:val="0563C1"/>
            <w:u w:val="single"/>
            <w:sz w:val="19"/>
          </w:rPr>
          <w:t xml:space="preserve">Source</w:t>
        </w:r>
      </w:hyperlink>
      <w:r>
        <w:rPr>
          <w:b w:val="0"/>
          <w:i w:val="0"/>
          <w:sz w:val="19"/>
        </w:rPr>
        <w:t xml:space="preserve"> · </w:t>
      </w:r>
      <w:hyperlink r:id="rId54">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55">
        <w:r>
          <w:rPr>
            <w:color w:val="0563C1"/>
            <w:u w:val="single"/>
            <w:sz w:val="19"/>
          </w:rPr>
          <w:t xml:space="preserve">PubMed</w:t>
        </w:r>
      </w:hyperlink>
      <w:r>
        <w:rPr>
          <w:b w:val="0"/>
          <w:i w:val="0"/>
          <w:sz w:val="19"/>
        </w:rPr>
        <w:t xml:space="preserve"> · </w:t>
      </w:r>
      <w:hyperlink r:id="rId56">
        <w:r>
          <w:rPr>
            <w:color w:val="0563C1"/>
            <w:u w:val="single"/>
            <w:sz w:val="19"/>
          </w:rPr>
          <w:t xml:space="preserve">Journal</w:t>
        </w:r>
      </w:hyperlink>
      <w:r>
        <w:rPr>
          <w:b w:val="0"/>
          <w:i w:val="0"/>
          <w:sz w:val="19"/>
        </w:rPr>
        <w:t xml:space="preserve"> · </w:t>
      </w:r>
      <w:hyperlink r:id="rId57">
        <w:r>
          <w:rPr>
            <w:color w:val="0563C1"/>
            <w:u w:val="single"/>
            <w:sz w:val="19"/>
          </w:rPr>
          <w:t xml:space="preserve">Source</w:t>
        </w:r>
      </w:hyperlink>
      <w:r>
        <w:rPr>
          <w:b w:val="0"/>
          <w:i w:val="0"/>
          <w:sz w:val="19"/>
        </w:rPr>
        <w:t xml:space="preserve"> · </w:t>
      </w:r>
      <w:hyperlink r:id="rId58">
        <w:r>
          <w:rPr>
            <w:color w:val="0563C1"/>
            <w:u w:val="single"/>
            <w:sz w:val="19"/>
          </w:rPr>
          <w:t xml:space="preserve">TMC library</w:t>
        </w:r>
      </w:hyperlink>
    </w:p>
    <w:p>
      <w:pPr>
        <w:spacing w:after="60"/>
      </w:pPr>
      <w:r>
        <w:rPr>
          <w:b/>
          <w:i w:val="0"/>
          <w:sz w:val="19"/>
        </w:rPr>
        <w:t>Giguet 2026</w:t>
      </w:r>
      <w:r>
        <w:rPr>
          <w:b w:val="0"/>
          <w:i w:val="0"/>
          <w:sz w:val="19"/>
        </w:rPr>
        <w:t xml:space="preserve"> — Liver transplantation in unresectable intrahepatic cholangiocarcinoma following neoadjuvant chemotherapy and SIRT</w:t>
      </w:r>
      <w:r>
        <w:rPr>
          <w:b w:val="0"/>
          <w:i w:val="0"/>
          <w:sz w:val="19"/>
        </w:rPr>
        <w:t xml:space="preserve">  </w:t>
      </w:r>
      <w:hyperlink r:id="rId59">
        <w:r>
          <w:rPr>
            <w:color w:val="0563C1"/>
            <w:u w:val="single"/>
            <w:sz w:val="19"/>
          </w:rPr>
          <w:t xml:space="preserve">PubMed</w:t>
        </w:r>
      </w:hyperlink>
      <w:r>
        <w:rPr>
          <w:b w:val="0"/>
          <w:i w:val="0"/>
          <w:sz w:val="19"/>
        </w:rPr>
        <w:t xml:space="preserve"> · </w:t>
      </w:r>
      <w:hyperlink r:id="rId60">
        <w:r>
          <w:rPr>
            <w:color w:val="0563C1"/>
            <w:u w:val="single"/>
            <w:sz w:val="19"/>
          </w:rPr>
          <w:t xml:space="preserve">Journal</w:t>
        </w:r>
      </w:hyperlink>
      <w:r>
        <w:rPr>
          <w:b w:val="0"/>
          <w:i w:val="0"/>
          <w:sz w:val="19"/>
        </w:rPr>
        <w:t xml:space="preserve"> · </w:t>
      </w:r>
      <w:hyperlink r:id="rId61">
        <w:r>
          <w:rPr>
            <w:color w:val="0563C1"/>
            <w:u w:val="single"/>
            <w:sz w:val="19"/>
          </w:rPr>
          <w:t xml:space="preserve">Source</w:t>
        </w:r>
      </w:hyperlink>
      <w:r>
        <w:rPr>
          <w:b w:val="0"/>
          <w:i w:val="0"/>
          <w:sz w:val="19"/>
        </w:rPr>
        <w:t xml:space="preserve"> · </w:t>
      </w:r>
      <w:hyperlink r:id="rId62">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63">
        <w:r>
          <w:rPr>
            <w:color w:val="0563C1"/>
            <w:u w:val="single"/>
            <w:sz w:val="19"/>
          </w:rPr>
          <w:t xml:space="preserve">Source</w:t>
        </w:r>
      </w:hyperlink>
    </w:p>
    <w:p>
      <w:pPr>
        <w:spacing w:after="60"/>
      </w:pPr>
      <w:r>
        <w:rPr>
          <w:b/>
          <w:i w:val="0"/>
          <w:sz w:val="19"/>
        </w:rPr>
        <w:t>ILTS–ILCA consensus</w:t>
      </w:r>
      <w:r>
        <w:rPr>
          <w:b w:val="0"/>
          <w:i w:val="0"/>
          <w:sz w:val="19"/>
        </w:rPr>
        <w:t xml:space="preserve"> — The 2024 ILTS-ILCA consensus recommendations for liver transplantation for HCC and intrahepatic cholangiocarcinoma</w:t>
      </w:r>
      <w:r>
        <w:rPr>
          <w:b w:val="0"/>
          <w:i w:val="0"/>
          <w:sz w:val="19"/>
        </w:rPr>
        <w:t xml:space="preserve">  </w:t>
      </w:r>
      <w:hyperlink r:id="rId64">
        <w:r>
          <w:rPr>
            <w:color w:val="0563C1"/>
            <w:u w:val="single"/>
            <w:sz w:val="19"/>
          </w:rPr>
          <w:t xml:space="preserve">PubMed</w:t>
        </w:r>
      </w:hyperlink>
      <w:r>
        <w:rPr>
          <w:b w:val="0"/>
          <w:i w:val="0"/>
          <w:sz w:val="19"/>
        </w:rPr>
        <w:t xml:space="preserve"> · </w:t>
      </w:r>
      <w:hyperlink r:id="rId65">
        <w:r>
          <w:rPr>
            <w:color w:val="0563C1"/>
            <w:u w:val="single"/>
            <w:sz w:val="19"/>
          </w:rPr>
          <w:t xml:space="preserve">Journal</w:t>
        </w:r>
      </w:hyperlink>
      <w:r>
        <w:rPr>
          <w:b w:val="0"/>
          <w:i w:val="0"/>
          <w:sz w:val="19"/>
        </w:rPr>
        <w:t xml:space="preserve"> · </w:t>
      </w:r>
      <w:hyperlink r:id="rId66">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Lunsford 2018 · Houston</w:t>
      </w:r>
      <w:r>
        <w:rPr>
          <w:b w:val="0"/>
          <w:i w:val="0"/>
          <w:sz w:val="19"/>
        </w:rPr>
        <w:t xml:space="preserve"> — Liver transplantation for locally advanced intrahepatic cholangiocarcinoma treated with neoadjuvant therapy: a prospective case-series</w:t>
      </w:r>
      <w:r>
        <w:rPr>
          <w:b w:val="0"/>
          <w:i w:val="0"/>
          <w:sz w:val="19"/>
        </w:rPr>
        <w:t xml:space="preserve">  </w:t>
      </w:r>
      <w:hyperlink r:id="rId70">
        <w:r>
          <w:rPr>
            <w:color w:val="0563C1"/>
            <w:u w:val="single"/>
            <w:sz w:val="19"/>
          </w:rPr>
          <w:t xml:space="preserve">PubMed</w:t>
        </w:r>
      </w:hyperlink>
      <w:r>
        <w:rPr>
          <w:b w:val="0"/>
          <w:i w:val="0"/>
          <w:sz w:val="19"/>
        </w:rPr>
        <w:t xml:space="preserve"> · </w:t>
      </w:r>
      <w:hyperlink r:id="rId71">
        <w:r>
          <w:rPr>
            <w:color w:val="0563C1"/>
            <w:u w:val="single"/>
            <w:sz w:val="19"/>
          </w:rPr>
          <w:t xml:space="preserve">Journal</w:t>
        </w:r>
      </w:hyperlink>
      <w:r>
        <w:rPr>
          <w:b w:val="0"/>
          <w:i w:val="0"/>
          <w:sz w:val="19"/>
        </w:rPr>
        <w:t xml:space="preserve"> · </w:t>
      </w:r>
      <w:hyperlink r:id="rId72">
        <w:r>
          <w:rPr>
            <w:color w:val="0563C1"/>
            <w:u w:val="single"/>
            <w:sz w:val="19"/>
          </w:rPr>
          <w:t xml:space="preserve">TMC library</w:t>
        </w:r>
      </w:hyperlink>
    </w:p>
    <w:p>
      <w:pPr>
        <w:spacing w:after="60"/>
      </w:pPr>
      <w:r>
        <w:rPr>
          <w:b/>
          <w:i w:val="0"/>
          <w:sz w:val="19"/>
        </w:rPr>
        <w:t>Malikowski 2020 · EUS nodal staging</w:t>
      </w:r>
      <w:r>
        <w:rPr>
          <w:b w:val="0"/>
          <w:i w:val="0"/>
          <w:sz w:val="19"/>
        </w:rPr>
        <w:t xml:space="preserve"> — Endoscopic ultrasound/fine needle aspiration is effective for lymph node staging in patients with cholangiocarcinoma</w:t>
      </w:r>
      <w:r>
        <w:rPr>
          <w:b w:val="0"/>
          <w:i w:val="0"/>
          <w:sz w:val="19"/>
        </w:rPr>
        <w:t xml:space="preserve">  </w:t>
      </w:r>
      <w:hyperlink r:id="rId73">
        <w:r>
          <w:rPr>
            <w:color w:val="0563C1"/>
            <w:u w:val="single"/>
            <w:sz w:val="19"/>
          </w:rPr>
          <w:t xml:space="preserve">PubMed</w:t>
        </w:r>
      </w:hyperlink>
      <w:r>
        <w:rPr>
          <w:b w:val="0"/>
          <w:i w:val="0"/>
          <w:sz w:val="19"/>
        </w:rPr>
        <w:t xml:space="preserve"> · </w:t>
      </w:r>
      <w:hyperlink r:id="rId74">
        <w:r>
          <w:rPr>
            <w:color w:val="0563C1"/>
            <w:u w:val="single"/>
            <w:sz w:val="19"/>
          </w:rPr>
          <w:t xml:space="preserve">Journal</w:t>
        </w:r>
      </w:hyperlink>
      <w:r>
        <w:rPr>
          <w:b w:val="0"/>
          <w:i w:val="0"/>
          <w:sz w:val="19"/>
        </w:rPr>
        <w:t xml:space="preserve"> · </w:t>
      </w:r>
      <w:hyperlink r:id="rId75">
        <w:r>
          <w:rPr>
            <w:color w:val="0563C1"/>
            <w:u w:val="single"/>
            <w:sz w:val="19"/>
          </w:rPr>
          <w:t xml:space="preserve">TMC library</w:t>
        </w:r>
      </w:hyperlink>
    </w:p>
    <w:p>
      <w:pPr>
        <w:spacing w:after="60"/>
      </w:pPr>
      <w:r>
        <w:rPr>
          <w:b/>
          <w:i w:val="0"/>
          <w:sz w:val="19"/>
        </w:rPr>
        <w:t>Maspero 2024 · Milan SYS-TARE</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76">
        <w:r>
          <w:rPr>
            <w:color w:val="0563C1"/>
            <w:u w:val="single"/>
            <w:sz w:val="19"/>
          </w:rPr>
          <w:t xml:space="preserve">PubMed</w:t>
        </w:r>
      </w:hyperlink>
      <w:r>
        <w:rPr>
          <w:b w:val="0"/>
          <w:i w:val="0"/>
          <w:sz w:val="19"/>
        </w:rPr>
        <w:t xml:space="preserve"> · </w:t>
      </w:r>
      <w:hyperlink r:id="rId77">
        <w:r>
          <w:rPr>
            <w:color w:val="0563C1"/>
            <w:u w:val="single"/>
            <w:sz w:val="19"/>
          </w:rPr>
          <w:t xml:space="preserve">Journal</w:t>
        </w:r>
      </w:hyperlink>
      <w:r>
        <w:rPr>
          <w:b w:val="0"/>
          <w:i w:val="0"/>
          <w:sz w:val="19"/>
        </w:rPr>
        <w:t xml:space="preserve"> · </w:t>
      </w:r>
      <w:hyperlink r:id="rId78">
        <w:r>
          <w:rPr>
            <w:color w:val="0563C1"/>
            <w:u w:val="single"/>
            <w:sz w:val="19"/>
          </w:rPr>
          <w:t xml:space="preserve">Source</w:t>
        </w:r>
      </w:hyperlink>
      <w:r>
        <w:rPr>
          <w:b w:val="0"/>
          <w:i w:val="0"/>
          <w:sz w:val="19"/>
        </w:rPr>
        <w:t xml:space="preserve"> · </w:t>
      </w:r>
      <w:hyperlink r:id="rId79">
        <w:r>
          <w:rPr>
            <w:color w:val="0563C1"/>
            <w:u w:val="single"/>
            <w:sz w:val="19"/>
          </w:rPr>
          <w:t xml:space="preserve">TMC library</w:t>
        </w:r>
      </w:hyperlink>
    </w:p>
    <w:p>
      <w:pPr>
        <w:spacing w:after="60"/>
      </w:pPr>
      <w:r>
        <w:rPr>
          <w:b/>
          <w:i w:val="0"/>
          <w:sz w:val="19"/>
        </w:rPr>
        <w:t>McMillan 2022 · Houston update</w:t>
      </w:r>
      <w:r>
        <w:rPr>
          <w:b w:val="0"/>
          <w:i w:val="0"/>
          <w:sz w:val="19"/>
        </w:rPr>
        <w:t xml:space="preserve"> — Survival following liver transplantation for locally advanced, unresectable intrahepatic cholangiocarcinoma</w:t>
      </w:r>
      <w:r>
        <w:rPr>
          <w:b w:val="0"/>
          <w:i w:val="0"/>
          <w:sz w:val="19"/>
        </w:rPr>
        <w:t xml:space="preserve">  </w:t>
      </w:r>
      <w:hyperlink r:id="rId80">
        <w:r>
          <w:rPr>
            <w:color w:val="0563C1"/>
            <w:u w:val="single"/>
            <w:sz w:val="19"/>
          </w:rPr>
          <w:t xml:space="preserve">PubMed</w:t>
        </w:r>
      </w:hyperlink>
      <w:r>
        <w:rPr>
          <w:b w:val="0"/>
          <w:i w:val="0"/>
          <w:sz w:val="19"/>
        </w:rPr>
        <w:t xml:space="preserve"> · </w:t>
      </w:r>
      <w:hyperlink r:id="rId81">
        <w:r>
          <w:rPr>
            <w:color w:val="0563C1"/>
            <w:u w:val="single"/>
            <w:sz w:val="19"/>
          </w:rPr>
          <w:t xml:space="preserve">Journal</w:t>
        </w:r>
      </w:hyperlink>
      <w:r>
        <w:rPr>
          <w:b w:val="0"/>
          <w:i w:val="0"/>
          <w:sz w:val="19"/>
        </w:rPr>
        <w:t xml:space="preserve"> · </w:t>
      </w:r>
      <w:hyperlink r:id="rId8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83">
        <w:r>
          <w:rPr>
            <w:color w:val="0563C1"/>
            <w:u w:val="single"/>
            <w:sz w:val="19"/>
          </w:rPr>
          <w:t xml:space="preserve">Source</w:t>
        </w:r>
      </w:hyperlink>
    </w:p>
    <w:p>
      <w:pPr>
        <w:spacing w:after="60"/>
      </w:pPr>
      <w:r>
        <w:rPr>
          <w:b/>
          <w:i w:val="0"/>
          <w:sz w:val="19"/>
        </w:rPr>
        <w:t>Oh 2025</w:t>
      </w:r>
      <w:r>
        <w:rPr>
          <w:b w:val="0"/>
          <w:i w:val="0"/>
          <w:sz w:val="19"/>
        </w:rPr>
        <w:t xml:space="preserve"> — Durvalumab plus chemotherapy in advanced biliary tract cancer: 3-year overall survival update from the phase III TOPAZ-1 study</w:t>
      </w:r>
      <w:r>
        <w:rPr>
          <w:b w:val="0"/>
          <w:i w:val="0"/>
          <w:sz w:val="19"/>
        </w:rPr>
        <w:t xml:space="preserve">  </w:t>
      </w:r>
      <w:hyperlink r:id="rId84">
        <w:r>
          <w:rPr>
            <w:color w:val="0563C1"/>
            <w:u w:val="single"/>
            <w:sz w:val="19"/>
          </w:rPr>
          <w:t xml:space="preserve">PubMed</w:t>
        </w:r>
      </w:hyperlink>
      <w:r>
        <w:rPr>
          <w:b w:val="0"/>
          <w:i w:val="0"/>
          <w:sz w:val="19"/>
        </w:rPr>
        <w:t xml:space="preserve"> · </w:t>
      </w:r>
      <w:hyperlink r:id="rId85">
        <w:r>
          <w:rPr>
            <w:color w:val="0563C1"/>
            <w:u w:val="single"/>
            <w:sz w:val="19"/>
          </w:rPr>
          <w:t xml:space="preserve">Journal</w:t>
        </w:r>
      </w:hyperlink>
      <w:r>
        <w:rPr>
          <w:b w:val="0"/>
          <w:i w:val="0"/>
          <w:sz w:val="19"/>
        </w:rPr>
        <w:t xml:space="preserve"> · </w:t>
      </w:r>
      <w:hyperlink r:id="rId86">
        <w:r>
          <w:rPr>
            <w:color w:val="0563C1"/>
            <w:u w:val="single"/>
            <w:sz w:val="19"/>
          </w:rPr>
          <w:t xml:space="preserve">Source</w:t>
        </w:r>
      </w:hyperlink>
      <w:r>
        <w:rPr>
          <w:b w:val="0"/>
          <w:i w:val="0"/>
          <w:sz w:val="19"/>
        </w:rPr>
        <w:t xml:space="preserve"> · </w:t>
      </w:r>
      <w:hyperlink r:id="rId87">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88">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89">
        <w:r>
          <w:rPr>
            <w:color w:val="0563C1"/>
            <w:u w:val="single"/>
            <w:sz w:val="19"/>
          </w:rPr>
          <w:t xml:space="preserve">Source</w:t>
        </w:r>
      </w:hyperlink>
    </w:p>
    <w:p>
      <w:pPr>
        <w:spacing w:after="60"/>
      </w:pPr>
      <w:r>
        <w:rPr>
          <w:b/>
          <w:i w:val="0"/>
          <w:sz w:val="19"/>
        </w:rPr>
        <w:t>PUMP-2</w:t>
      </w:r>
      <w:r>
        <w:rPr>
          <w:b w:val="0"/>
          <w:i w:val="0"/>
          <w:sz w:val="19"/>
        </w:rPr>
        <w:t xml:space="preserve"> — Hepatic Arterial Infusion Pump Chemotherapy in Patients With Unresectable Intrahepatic Cholangiocarcinoma-PUMP-2 Trial</w:t>
      </w:r>
      <w:r>
        <w:rPr>
          <w:b w:val="0"/>
          <w:i w:val="0"/>
          <w:sz w:val="19"/>
        </w:rPr>
        <w:t xml:space="preserve">  </w:t>
      </w:r>
      <w:hyperlink r:id="rId90">
        <w:r>
          <w:rPr>
            <w:color w:val="0563C1"/>
            <w:u w:val="single"/>
            <w:sz w:val="19"/>
          </w:rPr>
          <w:t xml:space="preserve">PubMed</w:t>
        </w:r>
      </w:hyperlink>
      <w:r>
        <w:rPr>
          <w:b w:val="0"/>
          <w:i w:val="0"/>
          <w:sz w:val="19"/>
        </w:rPr>
        <w:t xml:space="preserve"> · </w:t>
      </w:r>
      <w:hyperlink r:id="rId91">
        <w:r>
          <w:rPr>
            <w:color w:val="0563C1"/>
            <w:u w:val="single"/>
            <w:sz w:val="19"/>
          </w:rPr>
          <w:t xml:space="preserve">Journal</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Sapisochin 2016 · very early iCCA</w:t>
      </w:r>
      <w:r>
        <w:rPr>
          <w:b w:val="0"/>
          <w:i w:val="0"/>
          <w:sz w:val="19"/>
        </w:rPr>
        <w:t xml:space="preserve"> — Liver transplantation for "very early" intrahepatic cholangiocarcinoma: International retrospective study supporting a prospective assessment</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TMC library</w:t>
        </w:r>
      </w:hyperlink>
    </w:p>
    <w:p>
      <w:pPr>
        <w:spacing w:after="60"/>
      </w:pPr>
      <w:r>
        <w:rPr>
          <w:b/>
          <w:i w:val="0"/>
          <w:sz w:val="19"/>
        </w:rPr>
        <w:t>Schleimer 2026 · non-LT comparator</w:t>
      </w:r>
      <w:r>
        <w:rPr>
          <w:b w:val="0"/>
          <w:i w:val="0"/>
          <w:sz w:val="19"/>
        </w:rPr>
        <w:t xml:space="preserve"> — Eligibility for Liver Transplantation in Patients with Intrahepatic Cholangiocarcinoma</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Sethi 2026 · iCCA LDLT</w:t>
      </w:r>
      <w:r>
        <w:rPr>
          <w:b w:val="0"/>
          <w:i w:val="0"/>
          <w:sz w:val="19"/>
        </w:rPr>
        <w:t xml:space="preserve"> — Outcomes after living donor liver transplant for intrahepatic cholangiocarcinoma</w:t>
      </w:r>
      <w:r>
        <w:rPr>
          <w:b w:val="0"/>
          <w:i w:val="0"/>
          <w:sz w:val="19"/>
        </w:rPr>
        <w:t xml:space="preserve">  </w:t>
      </w:r>
      <w:hyperlink r:id="rId99">
        <w:r>
          <w:rPr>
            <w:color w:val="0563C1"/>
            <w:u w:val="single"/>
            <w:sz w:val="19"/>
          </w:rPr>
          <w:t xml:space="preserve">PubMed</w:t>
        </w:r>
      </w:hyperlink>
      <w:r>
        <w:rPr>
          <w:b w:val="0"/>
          <w:i w:val="0"/>
          <w:sz w:val="19"/>
        </w:rPr>
        <w:t xml:space="preserve"> · </w:t>
      </w:r>
      <w:hyperlink r:id="rId100">
        <w:r>
          <w:rPr>
            <w:color w:val="0563C1"/>
            <w:u w:val="single"/>
            <w:sz w:val="19"/>
          </w:rPr>
          <w:t xml:space="preserve">Journal</w:t>
        </w:r>
      </w:hyperlink>
      <w:r>
        <w:rPr>
          <w:b w:val="0"/>
          <w:i w:val="0"/>
          <w:sz w:val="19"/>
        </w:rPr>
        <w:t xml:space="preserve"> · </w:t>
      </w:r>
      <w:hyperlink r:id="rId101">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76">
        <w:r>
          <w:rPr>
            <w:color w:val="0563C1"/>
            <w:u w:val="single"/>
            <w:sz w:val="19"/>
          </w:rPr>
          <w:t xml:space="preserve">PubMed</w:t>
        </w:r>
      </w:hyperlink>
      <w:r>
        <w:rPr>
          <w:b w:val="0"/>
          <w:i w:val="0"/>
          <w:sz w:val="19"/>
        </w:rPr>
        <w:t xml:space="preserve"> · </w:t>
      </w:r>
      <w:hyperlink r:id="rId77">
        <w:r>
          <w:rPr>
            <w:color w:val="0563C1"/>
            <w:u w:val="single"/>
            <w:sz w:val="19"/>
          </w:rPr>
          <w:t xml:space="preserve">Journal</w:t>
        </w:r>
      </w:hyperlink>
      <w:r>
        <w:rPr>
          <w:b w:val="0"/>
          <w:i w:val="0"/>
          <w:sz w:val="19"/>
        </w:rPr>
        <w:t xml:space="preserve"> · </w:t>
      </w:r>
      <w:hyperlink r:id="rId102">
        <w:r>
          <w:rPr>
            <w:color w:val="0563C1"/>
            <w:u w:val="single"/>
            <w:sz w:val="19"/>
          </w:rPr>
          <w:t xml:space="preserve">Free full text</w:t>
        </w:r>
      </w:hyperlink>
      <w:r>
        <w:rPr>
          <w:b w:val="0"/>
          <w:i w:val="0"/>
          <w:sz w:val="19"/>
        </w:rPr>
        <w:t xml:space="preserve"> · </w:t>
      </w:r>
      <w:hyperlink r:id="rId78">
        <w:r>
          <w:rPr>
            <w:color w:val="0563C1"/>
            <w:u w:val="single"/>
            <w:sz w:val="19"/>
          </w:rPr>
          <w:t xml:space="preserve">Source</w:t>
        </w:r>
      </w:hyperlink>
      <w:r>
        <w:rPr>
          <w:b w:val="0"/>
          <w:i w:val="0"/>
          <w:sz w:val="19"/>
        </w:rPr>
        <w:t xml:space="preserve"> · </w:t>
      </w:r>
      <w:hyperlink r:id="rId79">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03">
        <w:r>
          <w:rPr>
            <w:color w:val="0563C1"/>
            <w:u w:val="single"/>
            <w:sz w:val="19"/>
          </w:rPr>
          <w:t xml:space="preserve">PubMed</w:t>
        </w:r>
      </w:hyperlink>
      <w:r>
        <w:rPr>
          <w:b w:val="0"/>
          <w:i w:val="0"/>
          <w:sz w:val="19"/>
        </w:rPr>
        <w:t xml:space="preserve"> · </w:t>
      </w:r>
      <w:hyperlink r:id="rId104">
        <w:r>
          <w:rPr>
            <w:color w:val="0563C1"/>
            <w:u w:val="single"/>
            <w:sz w:val="19"/>
          </w:rPr>
          <w:t xml:space="preserve">Journal</w:t>
        </w:r>
      </w:hyperlink>
      <w:r>
        <w:rPr>
          <w:b w:val="0"/>
          <w:i w:val="0"/>
          <w:sz w:val="19"/>
        </w:rPr>
        <w:t xml:space="preserve"> · </w:t>
      </w:r>
      <w:hyperlink r:id="rId105">
        <w:r>
          <w:rPr>
            <w:color w:val="0563C1"/>
            <w:u w:val="single"/>
            <w:sz w:val="19"/>
          </w:rPr>
          <w:t xml:space="preserve">TMC library</w:t>
        </w:r>
      </w:hyperlink>
    </w:p>
    <w:p>
      <w:pPr>
        <w:spacing w:after="60"/>
      </w:pPr>
      <w:r>
        <w:rPr>
          <w:b/>
          <w:i w:val="0"/>
          <w:sz w:val="19"/>
        </w:rPr>
        <w:t>Wong 2019 · downstaging pilot</w:t>
      </w:r>
      <w:r>
        <w:rPr>
          <w:b w:val="0"/>
          <w:i w:val="0"/>
          <w:sz w:val="19"/>
        </w:rPr>
        <w:t xml:space="preserve"> — Downstaging locally advanced cholangiocarcinoma pre-liver transplantation: a prospective pilot study</w:t>
      </w:r>
      <w:r>
        <w:rPr>
          <w:b w:val="0"/>
          <w:i w:val="0"/>
          <w:sz w:val="19"/>
        </w:rPr>
        <w:t xml:space="preserve">  </w:t>
      </w:r>
      <w:hyperlink r:id="rId106">
        <w:r>
          <w:rPr>
            <w:color w:val="0563C1"/>
            <w:u w:val="single"/>
            <w:sz w:val="19"/>
          </w:rPr>
          <w:t xml:space="preserve">PubMed</w:t>
        </w:r>
      </w:hyperlink>
      <w:r>
        <w:rPr>
          <w:b w:val="0"/>
          <w:i w:val="0"/>
          <w:sz w:val="19"/>
        </w:rPr>
        <w:t xml:space="preserve"> · </w:t>
      </w:r>
      <w:hyperlink r:id="rId107">
        <w:r>
          <w:rPr>
            <w:color w:val="0563C1"/>
            <w:u w:val="single"/>
            <w:sz w:val="19"/>
          </w:rPr>
          <w:t xml:space="preserve">Journal</w:t>
        </w:r>
      </w:hyperlink>
      <w:r>
        <w:rPr>
          <w:b w:val="0"/>
          <w:i w:val="0"/>
          <w:sz w:val="19"/>
        </w:rPr>
        <w:t xml:space="preserve"> · </w:t>
      </w:r>
      <w:hyperlink r:id="rId108">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09">
        <w:r>
          <w:rPr>
            <w:color w:val="0563C1"/>
            <w:u w:val="single"/>
            <w:sz w:val="19"/>
          </w:rPr>
          <w:t xml:space="preserve">PubMed</w:t>
        </w:r>
      </w:hyperlink>
      <w:r>
        <w:rPr>
          <w:b w:val="0"/>
          <w:i w:val="0"/>
          <w:sz w:val="19"/>
        </w:rPr>
        <w:t xml:space="preserve"> · </w:t>
      </w:r>
      <w:hyperlink r:id="rId110">
        <w:r>
          <w:rPr>
            <w:color w:val="0563C1"/>
            <w:u w:val="single"/>
            <w:sz w:val="19"/>
          </w:rPr>
          <w:t xml:space="preserve">Journal</w:t>
        </w:r>
      </w:hyperlink>
      <w:r>
        <w:rPr>
          <w:b w:val="0"/>
          <w:i w:val="0"/>
          <w:sz w:val="19"/>
        </w:rPr>
        <w:t xml:space="preserve"> · </w:t>
      </w:r>
      <w:hyperlink r:id="rId111">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12">
        <w:r>
          <w:rPr>
            <w:color w:val="0563C1"/>
            <w:u w:val="single"/>
            <w:sz w:val="19"/>
          </w:rPr>
          <w:t xml:space="preserve">PubMed</w:t>
        </w:r>
      </w:hyperlink>
      <w:r>
        <w:rPr>
          <w:b w:val="0"/>
          <w:i w:val="0"/>
          <w:sz w:val="19"/>
        </w:rPr>
        <w:t xml:space="preserve"> · </w:t>
      </w:r>
      <w:hyperlink r:id="rId113">
        <w:r>
          <w:rPr>
            <w:color w:val="0563C1"/>
            <w:u w:val="single"/>
            <w:sz w:val="19"/>
          </w:rPr>
          <w:t xml:space="preserve">Journal</w:t>
        </w:r>
      </w:hyperlink>
      <w:r>
        <w:rPr>
          <w:b w:val="0"/>
          <w:i w:val="0"/>
          <w:sz w:val="19"/>
        </w:rPr>
        <w:t xml:space="preserve"> · </w:t>
      </w:r>
      <w:hyperlink r:id="rId114">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15">
        <w:r>
          <w:rPr>
            <w:color w:val="0563C1"/>
            <w:u w:val="single"/>
            <w:sz w:val="19"/>
          </w:rPr>
          <w:t xml:space="preserve">PubMed</w:t>
        </w:r>
      </w:hyperlink>
      <w:r>
        <w:rPr>
          <w:b w:val="0"/>
          <w:i w:val="0"/>
          <w:sz w:val="19"/>
        </w:rPr>
        <w:t xml:space="preserve"> · </w:t>
      </w:r>
      <w:hyperlink r:id="rId116">
        <w:r>
          <w:rPr>
            <w:color w:val="0563C1"/>
            <w:u w:val="single"/>
            <w:sz w:val="19"/>
          </w:rPr>
          <w:t xml:space="preserve">Journal</w:t>
        </w:r>
      </w:hyperlink>
      <w:r>
        <w:rPr>
          <w:b w:val="0"/>
          <w:i w:val="0"/>
          <w:sz w:val="19"/>
        </w:rPr>
        <w:t xml:space="preserve"> · </w:t>
      </w:r>
      <w:hyperlink r:id="rId117">
        <w:r>
          <w:rPr>
            <w:color w:val="0563C1"/>
            <w:u w:val="single"/>
            <w:sz w:val="19"/>
          </w:rPr>
          <w:t xml:space="preserve">Free full text</w:t>
        </w:r>
      </w:hyperlink>
      <w:r>
        <w:rPr>
          <w:b w:val="0"/>
          <w:i w:val="0"/>
          <w:sz w:val="19"/>
        </w:rPr>
        <w:t xml:space="preserve"> · </w:t>
      </w:r>
      <w:hyperlink r:id="rId118">
        <w:r>
          <w:rPr>
            <w:color w:val="0563C1"/>
            <w:u w:val="single"/>
            <w:sz w:val="19"/>
          </w:rPr>
          <w:t xml:space="preserve">Source</w:t>
        </w:r>
      </w:hyperlink>
      <w:r>
        <w:rPr>
          <w:b w:val="0"/>
          <w:i w:val="0"/>
          <w:sz w:val="19"/>
        </w:rPr>
        <w:t xml:space="preserve"> · </w:t>
      </w:r>
      <w:hyperlink r:id="rId119">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icca/#diagnosis" TargetMode="External"/><Relationship Id="rId9" Type="http://schemas.openxmlformats.org/officeDocument/2006/relationships/hyperlink" Target="https://drliuhao.github.io/mh-liver-pathways/transplant/icca/#phenotype" TargetMode="External"/><Relationship Id="rId10" Type="http://schemas.openxmlformats.org/officeDocument/2006/relationships/hyperlink" Target="https://drliuhao.github.io/mh-liver-pathways/transplant/icca/#high-risk-icca-b1" TargetMode="External"/><Relationship Id="rId11" Type="http://schemas.openxmlformats.org/officeDocument/2006/relationships/hyperlink" Target="https://drliuhao.github.io/mh-liver-pathways/transplant/icca/#therapy" TargetMode="External"/><Relationship Id="rId12" Type="http://schemas.openxmlformats.org/officeDocument/2006/relationships/hyperlink" Target="https://drliuhao.github.io/mh-liver-pathways/transplant/icca/#stability" TargetMode="External"/><Relationship Id="rId13" Type="http://schemas.openxmlformats.org/officeDocument/2006/relationships/hyperlink" Target="https://drliuhao.github.io/mh-liver-pathways/transplant/icca/#high-risk-icca-b2" TargetMode="External"/><Relationship Id="rId14" Type="http://schemas.openxmlformats.org/officeDocument/2006/relationships/hyperlink" Target="https://drliuhao.github.io/mh-liver-pathways/transplant/icca/#review" TargetMode="External"/><Relationship Id="rId15" Type="http://schemas.openxmlformats.org/officeDocument/2006/relationships/hyperlink" Target="https://drliuhao.github.io/mh-liver-pathways/transplant/icca/#high-risk-icca-b3" TargetMode="External"/><Relationship Id="rId16" Type="http://schemas.openxmlformats.org/officeDocument/2006/relationships/hyperlink" Target="https://drliuhao.github.io/mh-liver-pathways/transplant/icca/#high-risk-icca-b4" TargetMode="External"/><Relationship Id="rId17" Type="http://schemas.openxmlformats.org/officeDocument/2006/relationships/hyperlink" Target="https://drliuhao.github.io/mh-liver-pathways/transplant/icca/#high-risk-alloc-b1" TargetMode="External"/><Relationship Id="rId18" Type="http://schemas.openxmlformats.org/officeDocument/2006/relationships/hyperlink" Target="https://drliuhao.github.io/mh-liver-pathways/transplant/icca/#high-risk-alloc-b2" TargetMode="External"/><Relationship Id="rId19" Type="http://schemas.openxmlformats.org/officeDocument/2006/relationships/hyperlink" Target="https://drliuhao.github.io/mh-liver-pathways/transplant/icca/#high-risk-alloc-b3" TargetMode="External"/><Relationship Id="rId20" Type="http://schemas.openxmlformats.org/officeDocument/2006/relationships/hyperlink" Target="https://drliuhao.github.io/mh-liver-pathways/transplant/icca/#high-risk-alloc-b4" TargetMode="External"/><Relationship Id="rId21" Type="http://schemas.openxmlformats.org/officeDocument/2006/relationships/hyperlink" Target="https://pubmed.ncbi.nlm.nih.gov/41405234/" TargetMode="External"/><Relationship Id="rId22" Type="http://schemas.openxmlformats.org/officeDocument/2006/relationships/hyperlink" Target="https://doi.org/10.1097/HEP.0000000000001644" TargetMode="External"/><Relationship Id="rId23" Type="http://schemas.openxmlformats.org/officeDocument/2006/relationships/hyperlink" Target="https://pmc.ncbi.nlm.nih.gov/articles/PMC13070310/pdf/nihms-2158808.pdf" TargetMode="External"/><Relationship Id="rId24" Type="http://schemas.openxmlformats.org/officeDocument/2006/relationships/hyperlink" Target="https://pmc.ncbi.nlm.nih.gov/articles/PMC13070310/" TargetMode="External"/><Relationship Id="rId25" Type="http://schemas.openxmlformats.org/officeDocument/2006/relationships/hyperlink" Target="https://thslc-houston.primo.exlibrisgroup.com/discovery/search?vid=01TEXASHEALTH_HOUSTON%3ATMC_INST&amp;query=any,contains,10.1097%2FHEP.0000000000001644&amp;lang=en" TargetMode="External"/><Relationship Id="rId26" Type="http://schemas.openxmlformats.org/officeDocument/2006/relationships/hyperlink" Target="https://pubmed.ncbi.nlm.nih.gov/22335782/" TargetMode="External"/><Relationship Id="rId27" Type="http://schemas.openxmlformats.org/officeDocument/2006/relationships/hyperlink" Target="https://doi.org/10.1111/j.1600-6143.2011.03972.x" TargetMode="External"/><Relationship Id="rId28" Type="http://schemas.openxmlformats.org/officeDocument/2006/relationships/hyperlink" Target="https://pmc.ncbi.nlm.nih.gov/articles/PMC3732171/pdf/nihms-491154.pdf" TargetMode="External"/><Relationship Id="rId29" Type="http://schemas.openxmlformats.org/officeDocument/2006/relationships/hyperlink" Target="https://pmc.ncbi.nlm.nih.gov/articles/PMC3732171/" TargetMode="External"/><Relationship Id="rId30" Type="http://schemas.openxmlformats.org/officeDocument/2006/relationships/hyperlink" Target="https://thslc-houston.primo.exlibrisgroup.com/discovery/search?vid=01TEXASHEALTH_HOUSTON%3ATMC_INST&amp;query=any,contains,10.1111%2Fj.1600-6143.2011.03972.x&amp;lang=en" TargetMode="External"/><Relationship Id="rId31" Type="http://schemas.openxmlformats.org/officeDocument/2006/relationships/hyperlink" Target="https://pubmed.ncbi.nlm.nih.gov/38521169/" TargetMode="External"/><Relationship Id="rId32" Type="http://schemas.openxmlformats.org/officeDocument/2006/relationships/hyperlink" Target="https://doi.org/10.1016/j.jhep.2024.03.020" TargetMode="External"/><Relationship Id="rId33" Type="http://schemas.openxmlformats.org/officeDocument/2006/relationships/hyperlink" Target="https://thslc-houston.primo.exlibrisgroup.com/discovery/search?vid=01TEXASHEALTH_HOUSTON%3ATMC_INST&amp;query=any,contains,10.1016%2Fj.jhep.2024.03.020&amp;lang=en" TargetMode="External"/><Relationship Id="rId34" Type="http://schemas.openxmlformats.org/officeDocument/2006/relationships/hyperlink" Target="https://pubmed.ncbi.nlm.nih.gov/42323458/" TargetMode="External"/><Relationship Id="rId35" Type="http://schemas.openxmlformats.org/officeDocument/2006/relationships/hyperlink" Target="https://doi.org/10.1245/s10434-026-19975-6" TargetMode="External"/><Relationship Id="rId36" Type="http://schemas.openxmlformats.org/officeDocument/2006/relationships/hyperlink" Target="https://thslc-houston.primo.exlibrisgroup.com/discovery/search?vid=01TEXASHEALTH_HOUSTON%3ATMC_INST&amp;query=any,contains,10.1245%2Fs10434-026-19975-6&amp;lang=en" TargetMode="External"/><Relationship Id="rId37" Type="http://schemas.openxmlformats.org/officeDocument/2006/relationships/hyperlink" Target="https://pubmed.ncbi.nlm.nih.gov/33316425/" TargetMode="External"/><Relationship Id="rId38" Type="http://schemas.openxmlformats.org/officeDocument/2006/relationships/hyperlink" Target="https://doi.org/10.1016/j.jamcollsurg.2020.11.017" TargetMode="External"/><Relationship Id="rId39" Type="http://schemas.openxmlformats.org/officeDocument/2006/relationships/hyperlink" Target="https://pmc.ncbi.nlm.nih.gov/articles/PMC8450541/" TargetMode="External"/><Relationship Id="rId40" Type="http://schemas.openxmlformats.org/officeDocument/2006/relationships/hyperlink" Target="https://thslc-houston.primo.exlibrisgroup.com/discovery/search?vid=01TEXASHEALTH_HOUSTON%3ATMC_INST&amp;query=any,contains,10.1016%2Fj.jamcollsurg.2020.11.017&amp;lang=en" TargetMode="External"/><Relationship Id="rId41" Type="http://schemas.openxmlformats.org/officeDocument/2006/relationships/hyperlink" Target="https://pubmed.ncbi.nlm.nih.gov/32090444/" TargetMode="External"/><Relationship Id="rId42" Type="http://schemas.openxmlformats.org/officeDocument/2006/relationships/hyperlink" Target="https://doi.org/10.1002/lt.25737" TargetMode="External"/><Relationship Id="rId43" Type="http://schemas.openxmlformats.org/officeDocument/2006/relationships/hyperlink" Target="https://onlinelibrary.wiley.com/doi/full/10.1002/lt.25737" TargetMode="External"/><Relationship Id="rId44" Type="http://schemas.openxmlformats.org/officeDocument/2006/relationships/hyperlink" Target="https://thslc-houston.primo.exlibrisgroup.com/discovery/search?vid=01TEXASHEALTH_HOUSTON%3ATMC_INST&amp;query=any,contains,10.1002%2Flt.25737&amp;lang=en" TargetMode="External"/><Relationship Id="rId45" Type="http://schemas.openxmlformats.org/officeDocument/2006/relationships/hyperlink" Target="https://pubmed.ncbi.nlm.nih.gov/27647626/" TargetMode="External"/><Relationship Id="rId46" Type="http://schemas.openxmlformats.org/officeDocument/2006/relationships/hyperlink" Target="https://doi.org/10.1111/ajt.14055" TargetMode="External"/><Relationship Id="rId47" Type="http://schemas.openxmlformats.org/officeDocument/2006/relationships/hyperlink" Target="https://pmc.ncbi.nlm.nih.gov/articles/PMC5359081/pdf/nihms818467.pdf" TargetMode="External"/><Relationship Id="rId48" Type="http://schemas.openxmlformats.org/officeDocument/2006/relationships/hyperlink" Target="https://pmc.ncbi.nlm.nih.gov/articles/PMC5359081/" TargetMode="External"/><Relationship Id="rId49" Type="http://schemas.openxmlformats.org/officeDocument/2006/relationships/hyperlink" Target="https://thslc-houston.primo.exlibrisgroup.com/discovery/search?vid=01TEXASHEALTH_HOUSTON%3ATMC_INST&amp;query=any,contains,10.1111%2Fajt.14055&amp;lang=en" TargetMode="External"/><Relationship Id="rId50" Type="http://schemas.openxmlformats.org/officeDocument/2006/relationships/hyperlink" Target="https://pubmed.ncbi.nlm.nih.gov/42270817/" TargetMode="External"/><Relationship Id="rId51" Type="http://schemas.openxmlformats.org/officeDocument/2006/relationships/hyperlink" Target="https://doi.org/10.1038/s41571-026-01160-z" TargetMode="External"/><Relationship Id="rId52" Type="http://schemas.openxmlformats.org/officeDocument/2006/relationships/hyperlink" Target="https://pmc.ncbi.nlm.nih.gov/articles/PMC13665261/pdf/nihms-2192929.pdf" TargetMode="External"/><Relationship Id="rId53" Type="http://schemas.openxmlformats.org/officeDocument/2006/relationships/hyperlink" Target="https://pmc.ncbi.nlm.nih.gov/articles/PMC13665261/" TargetMode="External"/><Relationship Id="rId54" Type="http://schemas.openxmlformats.org/officeDocument/2006/relationships/hyperlink" Target="https://thslc-houston.primo.exlibrisgroup.com/discovery/search?vid=01TEXASHEALTH_HOUSTON%3ATMC_INST&amp;query=any,contains,10.1038%2Fs41571-026-01160-z&amp;lang=en" TargetMode="External"/><Relationship Id="rId55" Type="http://schemas.openxmlformats.org/officeDocument/2006/relationships/hyperlink" Target="https://pubmed.ncbi.nlm.nih.gov/27777223/" TargetMode="External"/><Relationship Id="rId56" Type="http://schemas.openxmlformats.org/officeDocument/2006/relationships/hyperlink" Target="https://doi.org/10.1136/bmj.i5239" TargetMode="External"/><Relationship Id="rId57" Type="http://schemas.openxmlformats.org/officeDocument/2006/relationships/hyperlink" Target="https://pmc.ncbi.nlm.nih.gov/articles/PMC5076380/" TargetMode="External"/><Relationship Id="rId58" Type="http://schemas.openxmlformats.org/officeDocument/2006/relationships/hyperlink" Target="https://thslc-houston.primo.exlibrisgroup.com/discovery/search?vid=01TEXASHEALTH_HOUSTON%3ATMC_INST&amp;query=any,contains,10.1136%2Fbmj.i5239&amp;lang=en" TargetMode="External"/><Relationship Id="rId59" Type="http://schemas.openxmlformats.org/officeDocument/2006/relationships/hyperlink" Target="https://pubmed.ncbi.nlm.nih.gov/41861992/" TargetMode="External"/><Relationship Id="rId60" Type="http://schemas.openxmlformats.org/officeDocument/2006/relationships/hyperlink" Target="https://doi.org/10.1016/j.jhepr.2026.101830" TargetMode="External"/><Relationship Id="rId61" Type="http://schemas.openxmlformats.org/officeDocument/2006/relationships/hyperlink" Target="https://pmc.ncbi.nlm.nih.gov/articles/PMC13254992/" TargetMode="External"/><Relationship Id="rId62" Type="http://schemas.openxmlformats.org/officeDocument/2006/relationships/hyperlink" Target="https://thslc-houston.primo.exlibrisgroup.com/discovery/search?vid=01TEXASHEALTH_HOUSTON%3ATMC_INST&amp;query=any,contains,10.1016%2Fj.jhepr.2026.101830&amp;lang=en" TargetMode="External"/><Relationship Id="rId63" Type="http://schemas.openxmlformats.org/officeDocument/2006/relationships/hyperlink" Target="https://www.ecfr.gov/current/title-45/subtitle-A/subchapter-A/part-46/subpart-A/section-46.111" TargetMode="External"/><Relationship Id="rId64" Type="http://schemas.openxmlformats.org/officeDocument/2006/relationships/hyperlink" Target="https://pubmed.ncbi.nlm.nih.gov/40014003/" TargetMode="External"/><Relationship Id="rId65" Type="http://schemas.openxmlformats.org/officeDocument/2006/relationships/hyperlink" Target="https://doi.org/10.1097/LVT.0000000000000589" TargetMode="External"/><Relationship Id="rId66" Type="http://schemas.openxmlformats.org/officeDocument/2006/relationships/hyperlink" Target="https://thslc-houston.primo.exlibrisgroup.com/discovery/search?vid=01TEXASHEALTH_HOUSTON%3ATMC_INST&amp;query=any,contains,10.1097%2FLVT.0000000000000589&amp;lang=en" TargetMode="External"/><Relationship Id="rId67" Type="http://schemas.openxmlformats.org/officeDocument/2006/relationships/hyperlink" Target="https://pubmed.ncbi.nlm.nih.gov/42835360/" TargetMode="External"/><Relationship Id="rId68" Type="http://schemas.openxmlformats.org/officeDocument/2006/relationships/hyperlink" Target="https://doi.org/10.1155/joot/2545887" TargetMode="External"/><Relationship Id="rId69" Type="http://schemas.openxmlformats.org/officeDocument/2006/relationships/hyperlink" Target="https://thslc-houston.primo.exlibrisgroup.com/discovery/search?vid=01TEXASHEALTH_HOUSTON%3ATMC_INST&amp;query=any,contains,10.1155%2Fjoot%2F2545887&amp;lang=en" TargetMode="External"/><Relationship Id="rId70" Type="http://schemas.openxmlformats.org/officeDocument/2006/relationships/hyperlink" Target="https://pubmed.ncbi.nlm.nih.gov/29548617/" TargetMode="External"/><Relationship Id="rId71" Type="http://schemas.openxmlformats.org/officeDocument/2006/relationships/hyperlink" Target="https://doi.org/10.1016/S2468-1253(18)30045-1" TargetMode="External"/><Relationship Id="rId72" Type="http://schemas.openxmlformats.org/officeDocument/2006/relationships/hyperlink" Target="https://thslc-houston.primo.exlibrisgroup.com/discovery/search?vid=01TEXASHEALTH_HOUSTON%3ATMC_INST&amp;query=any,contains,10.1016%2FS2468-1253%2818%2930045-1&amp;lang=en" TargetMode="External"/><Relationship Id="rId73" Type="http://schemas.openxmlformats.org/officeDocument/2006/relationships/hyperlink" Target="https://pubmed.ncbi.nlm.nih.gov/31860935/" TargetMode="External"/><Relationship Id="rId74" Type="http://schemas.openxmlformats.org/officeDocument/2006/relationships/hyperlink" Target="https://doi.org/10.1002/hep.31077" TargetMode="External"/><Relationship Id="rId75" Type="http://schemas.openxmlformats.org/officeDocument/2006/relationships/hyperlink" Target="https://thslc-houston.primo.exlibrisgroup.com/discovery/search?vid=01TEXASHEALTH_HOUSTON%3ATMC_INST&amp;query=any,contains,10.1002%2Fhep.31077&amp;lang=en" TargetMode="External"/><Relationship Id="rId76" Type="http://schemas.openxmlformats.org/officeDocument/2006/relationships/hyperlink" Target="https://pubmed.ncbi.nlm.nih.gov/39544321/" TargetMode="External"/><Relationship Id="rId77" Type="http://schemas.openxmlformats.org/officeDocument/2006/relationships/hyperlink" Target="https://doi.org/10.3389/ti.2024.13641" TargetMode="External"/><Relationship Id="rId78" Type="http://schemas.openxmlformats.org/officeDocument/2006/relationships/hyperlink" Target="https://pmc.ncbi.nlm.nih.gov/articles/PMC11560448/" TargetMode="External"/><Relationship Id="rId79" Type="http://schemas.openxmlformats.org/officeDocument/2006/relationships/hyperlink" Target="https://thslc-houston.primo.exlibrisgroup.com/discovery/search?vid=01TEXASHEALTH_HOUSTON%3ATMC_INST&amp;query=any,contains,10.3389%2Fti.2024.13641&amp;lang=en" TargetMode="External"/><Relationship Id="rId80" Type="http://schemas.openxmlformats.org/officeDocument/2006/relationships/hyperlink" Target="https://pubmed.ncbi.nlm.nih.gov/34856069/" TargetMode="External"/><Relationship Id="rId81" Type="http://schemas.openxmlformats.org/officeDocument/2006/relationships/hyperlink" Target="https://doi.org/10.1111/ajt.16906" TargetMode="External"/><Relationship Id="rId82" Type="http://schemas.openxmlformats.org/officeDocument/2006/relationships/hyperlink" Target="https://thslc-houston.primo.exlibrisgroup.com/discovery/search?vid=01TEXASHEALTH_HOUSTON%3ATMC_INST&amp;query=any,contains,10.1111%2Fajt.16906&amp;lang=en" TargetMode="External"/><Relationship Id="rId83" Type="http://schemas.openxmlformats.org/officeDocument/2006/relationships/hyperlink" Target="https://www.hrsa.gov/sites/default/files/hrsa/optn/adult-meld-exception-transplant-oncology-review-guidance.pdf" TargetMode="External"/><Relationship Id="rId84" Type="http://schemas.openxmlformats.org/officeDocument/2006/relationships/hyperlink" Target="https://pubmed.ncbi.nlm.nih.gov/40381735/" TargetMode="External"/><Relationship Id="rId85" Type="http://schemas.openxmlformats.org/officeDocument/2006/relationships/hyperlink" Target="https://doi.org/10.1016/j.jhep.2025.05.003" TargetMode="External"/><Relationship Id="rId86" Type="http://schemas.openxmlformats.org/officeDocument/2006/relationships/hyperlink" Target="https://www.journal-of-hepatology.eu/article/S0168-8278(25)02201-9/fulltext" TargetMode="External"/><Relationship Id="rId87" Type="http://schemas.openxmlformats.org/officeDocument/2006/relationships/hyperlink" Target="https://thslc-houston.primo.exlibrisgroup.com/discovery/search?vid=01TEXASHEALTH_HOUSTON%3ATMC_INST&amp;query=any,contains,10.1016%2Fj.jhep.2025.05.003&amp;lang=en" TargetMode="External"/><Relationship Id="rId88" Type="http://schemas.openxmlformats.org/officeDocument/2006/relationships/hyperlink" Target="https://www.hrsa.gov/optn/professionals/resources/ethical-considerations/ethical-principles-in-the-allocation-of-human-organs" TargetMode="External"/><Relationship Id="rId89" Type="http://schemas.openxmlformats.org/officeDocument/2006/relationships/hyperlink" Target="https://www.hrsa.gov/sites/default/files/hrsa/optn/optn_policies.pdf" TargetMode="External"/><Relationship Id="rId90" Type="http://schemas.openxmlformats.org/officeDocument/2006/relationships/hyperlink" Target="https://pubmed.ncbi.nlm.nih.gov/41082695/" TargetMode="External"/><Relationship Id="rId91" Type="http://schemas.openxmlformats.org/officeDocument/2006/relationships/hyperlink" Target="https://doi.org/10.1200/JCO-25-00923" TargetMode="External"/><Relationship Id="rId92" Type="http://schemas.openxmlformats.org/officeDocument/2006/relationships/hyperlink" Target="https://thslc-houston.primo.exlibrisgroup.com/discovery/search?vid=01TEXASHEALTH_HOUSTON%3ATMC_INST&amp;query=any,contains,10.1200%2FJCO-25-00923&amp;lang=en" TargetMode="External"/><Relationship Id="rId93" Type="http://schemas.openxmlformats.org/officeDocument/2006/relationships/hyperlink" Target="https://pubmed.ncbi.nlm.nih.gov/27481548/" TargetMode="External"/><Relationship Id="rId94" Type="http://schemas.openxmlformats.org/officeDocument/2006/relationships/hyperlink" Target="https://doi.org/10.1002/hep.28744" TargetMode="External"/><Relationship Id="rId95" Type="http://schemas.openxmlformats.org/officeDocument/2006/relationships/hyperlink" Target="https://thslc-houston.primo.exlibrisgroup.com/discovery/search?vid=01TEXASHEALTH_HOUSTON%3ATMC_INST&amp;query=any,contains,10.1002%2Fhep.28744&amp;lang=en" TargetMode="External"/><Relationship Id="rId96" Type="http://schemas.openxmlformats.org/officeDocument/2006/relationships/hyperlink" Target="https://pubmed.ncbi.nlm.nih.gov/41991890/" TargetMode="External"/><Relationship Id="rId97" Type="http://schemas.openxmlformats.org/officeDocument/2006/relationships/hyperlink" Target="https://doi.org/10.1245/s10434-026-19652-8" TargetMode="External"/><Relationship Id="rId98" Type="http://schemas.openxmlformats.org/officeDocument/2006/relationships/hyperlink" Target="https://thslc-houston.primo.exlibrisgroup.com/discovery/search?vid=01TEXASHEALTH_HOUSTON%3ATMC_INST&amp;query=any,contains,10.1245%2Fs10434-026-19652-8&amp;lang=en" TargetMode="External"/><Relationship Id="rId99" Type="http://schemas.openxmlformats.org/officeDocument/2006/relationships/hyperlink" Target="https://pubmed.ncbi.nlm.nih.gov/42810588/" TargetMode="External"/><Relationship Id="rId100" Type="http://schemas.openxmlformats.org/officeDocument/2006/relationships/hyperlink" Target="https://doi.org/10.1016/j.ajt.2026.09.039" TargetMode="External"/><Relationship Id="rId101" Type="http://schemas.openxmlformats.org/officeDocument/2006/relationships/hyperlink" Target="https://thslc-houston.primo.exlibrisgroup.com/discovery/search?vid=01TEXASHEALTH_HOUSTON%3ATMC_INST&amp;query=any,contains,10.1016%2Fj.ajt.2026.09.039&amp;lang=en" TargetMode="External"/><Relationship Id="rId102" Type="http://schemas.openxmlformats.org/officeDocument/2006/relationships/hyperlink" Target="https://pmc.ncbi.nlm.nih.gov/articles/PMC11560448/pdf/ti-37-13641.pdf" TargetMode="External"/><Relationship Id="rId103" Type="http://schemas.openxmlformats.org/officeDocument/2006/relationships/hyperlink" Target="https://pubmed.ncbi.nlm.nih.gov/39306468/" TargetMode="External"/><Relationship Id="rId104" Type="http://schemas.openxmlformats.org/officeDocument/2006/relationships/hyperlink" Target="https://doi.org/10.1016/S0140-6736(24)01595-2" TargetMode="External"/><Relationship Id="rId105" Type="http://schemas.openxmlformats.org/officeDocument/2006/relationships/hyperlink" Target="https://thslc-houston.primo.exlibrisgroup.com/discovery/search?vid=01TEXASHEALTH_HOUSTON%3ATMC_INST&amp;query=any,contains,10.1016%2FS0140-6736%2824%2901595-2&amp;lang=en" TargetMode="External"/><Relationship Id="rId106" Type="http://schemas.openxmlformats.org/officeDocument/2006/relationships/hyperlink" Target="https://pubmed.ncbi.nlm.nih.gov/31059945/" TargetMode="External"/><Relationship Id="rId107" Type="http://schemas.openxmlformats.org/officeDocument/2006/relationships/hyperlink" Target="https://doi.org/10.1016/j.jss.2019.04.023" TargetMode="External"/><Relationship Id="rId108" Type="http://schemas.openxmlformats.org/officeDocument/2006/relationships/hyperlink" Target="https://thslc-houston.primo.exlibrisgroup.com/discovery/search?vid=01TEXASHEALTH_HOUSTON%3ATMC_INST&amp;query=any,contains,10.1016%2Fj.jss.2019.04.023&amp;lang=en" TargetMode="External"/><Relationship Id="rId109" Type="http://schemas.openxmlformats.org/officeDocument/2006/relationships/hyperlink" Target="https://pubmed.ncbi.nlm.nih.gov/38015449/" TargetMode="External"/><Relationship Id="rId110" Type="http://schemas.openxmlformats.org/officeDocument/2006/relationships/hyperlink" Target="https://doi.org/10.1097/LVT.0000000000000303" TargetMode="External"/><Relationship Id="rId111" Type="http://schemas.openxmlformats.org/officeDocument/2006/relationships/hyperlink" Target="https://thslc-houston.primo.exlibrisgroup.com/discovery/search?vid=01TEXASHEALTH_HOUSTON%3ATMC_INST&amp;query=any,contains,10.1097%2FLVT.0000000000000303&amp;lang=en" TargetMode="External"/><Relationship Id="rId112" Type="http://schemas.openxmlformats.org/officeDocument/2006/relationships/hyperlink" Target="https://pubmed.ncbi.nlm.nih.gov/32615109/" TargetMode="External"/><Relationship Id="rId113" Type="http://schemas.openxmlformats.org/officeDocument/2006/relationships/hyperlink" Target="https://doi.org/10.1016/S1470-2045(20)30224-2" TargetMode="External"/><Relationship Id="rId114" Type="http://schemas.openxmlformats.org/officeDocument/2006/relationships/hyperlink" Target="https://thslc-houston.primo.exlibrisgroup.com/discovery/search?vid=01TEXASHEALTH_HOUSTON%3ATMC_INST&amp;query=any,contains,10.1016%2FS1470-2045%2820%2930224-2&amp;lang=en" TargetMode="External"/><Relationship Id="rId115" Type="http://schemas.openxmlformats.org/officeDocument/2006/relationships/hyperlink" Target="https://pubmed.ncbi.nlm.nih.gov/40099404/" TargetMode="External"/><Relationship Id="rId116" Type="http://schemas.openxmlformats.org/officeDocument/2006/relationships/hyperlink" Target="https://doi.org/10.1093/bjs/znaf054" TargetMode="External"/><Relationship Id="rId117" Type="http://schemas.openxmlformats.org/officeDocument/2006/relationships/hyperlink" Target="https://pmc.ncbi.nlm.nih.gov/articles/PMC11914714/pdf/znaf054.pdf" TargetMode="External"/><Relationship Id="rId118" Type="http://schemas.openxmlformats.org/officeDocument/2006/relationships/hyperlink" Target="https://pmc.ncbi.nlm.nih.gov/articles/PMC11914714/" TargetMode="External"/><Relationship Id="rId119"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