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Intrahepatic cholangiocarcinoma — decision discussion</w:t>
      </w:r>
    </w:p>
    <w:p>
      <w:pPr>
        <w:spacing w:after="80"/>
      </w:pPr>
      <w:r>
        <w:rPr>
          <w:b w:val="0"/>
          <w:i w:val="0"/>
          <w:color w:val="5A6069"/>
          <w:sz w:val="18"/>
        </w:rPr>
        <w:t>UTHealth Houston and Memorial Hermann · HPB oncology · 29 October 2026 · V17 standardized documents</w:t>
      </w:r>
    </w:p>
    <w:p>
      <w:pPr>
        <w:spacing w:after="80"/>
      </w:pPr>
      <w:r>
        <w:rPr>
          <w:b w:val="0"/>
          <w:i w:val="0"/>
        </w:rPr>
        <w:t>One file for the multidisciplinary decision on this tumor, covering every setting: roadmap, standard pathway, high-risk pathway. For each question: the positions of guidelines, trials and papers where they differ, our proposed selection, and space for the decision. All proposals are OPEN; nothing in this document is activated or approved.</w:t>
      </w:r>
    </w:p>
    <w:p>
      <w:pPr>
        <w:spacing w:after="160"/>
      </w:pPr>
      <w:r>
        <w:rPr>
          <w:b/>
          <w:i w:val="0"/>
        </w:rPr>
        <w:t xml:space="preserve">Companion files: </w:t>
      </w:r>
      <w:r>
        <w:rPr>
          <w:b w:val="0"/>
          <w:i w:val="0"/>
          <w:sz w:val="20"/>
        </w:rPr>
        <w:t xml:space="preserve">Roadmap (full content): </w:t>
      </w:r>
      <w:r>
        <w:rPr>
          <w:b w:val="0"/>
          <w:i/>
        </w:rPr>
        <w:t>iCCA_1_Roadmap.docx</w:t>
      </w:r>
      <w:r>
        <w:rPr>
          <w:b w:val="0"/>
          <w:i w:val="0"/>
          <w:sz w:val="20"/>
        </w:rPr>
        <w:t xml:space="preserve"> · Standard pathway (full content): </w:t>
      </w:r>
      <w:r>
        <w:rPr>
          <w:b w:val="0"/>
          <w:i/>
        </w:rPr>
        <w:t>iCCA_3_Standard_Pathway.docx</w:t>
      </w:r>
      <w:r>
        <w:rPr>
          <w:b w:val="0"/>
          <w:i w:val="0"/>
          <w:sz w:val="20"/>
        </w:rPr>
        <w:t xml:space="preserve"> · High-risk pathway (full content): </w:t>
      </w:r>
      <w:r>
        <w:rPr>
          <w:b w:val="0"/>
          <w:i/>
        </w:rPr>
        <w:t>iCCA_5_High_Risk_Pathway.docx</w:t>
      </w:r>
    </w:p>
    <w:p>
      <w:pPr>
        <w:pStyle w:val="Heading1"/>
        <w:keepNext/>
        <w:spacing w:before="280" w:after="80"/>
      </w:pPr>
      <w:r>
        <w:rPr>
          <w:b w:val="0"/>
          <w:i w:val="0"/>
        </w:rPr>
        <w:t>Summary of open questions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500"/>
        <w:gridCol w:w="1100"/>
        <w:gridCol w:w="2900"/>
        <w:gridCol w:w="3080"/>
        <w:gridCol w:w="1500"/>
      </w:tblGrid>
      <w:tr>
        <w:trPr>
          <w:tblHeader/>
        </w:trPr>
        <w:tc>
          <w:tcPr>
            <w:tcW w:type="dxa" w:w="2016"/>
            <w:tcW w:w="1500" w:type="dxa"/>
            <w:shd w:val="clear" w:color="auto" w:fill="17365D"/>
          </w:tcPr>
          <w:p>
            <w:r>
              <w:rPr>
                <w:b/>
                <w:i w:val="0"/>
                <w:color w:val="FFFFFF"/>
                <w:sz w:val="19"/>
              </w:rPr>
              <w:t>Setting</w:t>
            </w:r>
          </w:p>
        </w:tc>
        <w:tc>
          <w:tcPr>
            <w:tcW w:type="dxa" w:w="2016"/>
            <w:tcW w:w="1100" w:type="dxa"/>
            <w:shd w:val="clear" w:color="auto" w:fill="17365D"/>
          </w:tcPr>
          <w:p>
            <w:r>
              <w:rPr>
                <w:b/>
                <w:i w:val="0"/>
                <w:color w:val="FFFFFF"/>
                <w:sz w:val="19"/>
              </w:rPr>
              <w:t>ID</w:t>
            </w:r>
          </w:p>
        </w:tc>
        <w:tc>
          <w:tcPr>
            <w:tcW w:type="dxa" w:w="2016"/>
            <w:tcW w:w="2900" w:type="dxa"/>
            <w:shd w:val="clear" w:color="auto" w:fill="17365D"/>
          </w:tcPr>
          <w:p>
            <w:r>
              <w:rPr>
                <w:b/>
                <w:i w:val="0"/>
                <w:color w:val="FFFFFF"/>
                <w:sz w:val="19"/>
              </w:rPr>
              <w:t>Question</w:t>
            </w:r>
          </w:p>
        </w:tc>
        <w:tc>
          <w:tcPr>
            <w:tcW w:type="dxa" w:w="2016"/>
            <w:tcW w:w="3080" w:type="dxa"/>
            <w:shd w:val="clear" w:color="auto" w:fill="17365D"/>
          </w:tcPr>
          <w:p>
            <w:r>
              <w:rPr>
                <w:b/>
                <w:i w:val="0"/>
                <w:color w:val="FFFFFF"/>
                <w:sz w:val="19"/>
              </w:rPr>
              <w:t>Proposed selection (summary)</w:t>
            </w:r>
          </w:p>
        </w:tc>
        <w:tc>
          <w:tcPr>
            <w:tcW w:type="dxa" w:w="2016"/>
            <w:tcW w:w="1500" w:type="dxa"/>
            <w:shd w:val="clear" w:color="auto" w:fill="17365D"/>
          </w:tcPr>
          <w:p>
            <w:r>
              <w:rPr>
                <w:b/>
                <w:i w:val="0"/>
                <w:color w:val="FFFFFF"/>
                <w:sz w:val="19"/>
              </w:rPr>
              <w:t>Status</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iCCA-R1</w:t>
            </w:r>
          </w:p>
        </w:tc>
        <w:tc>
          <w:tcPr>
            <w:tcW w:type="dxa" w:w="2016"/>
            <w:tcW w:w="2900" w:type="dxa"/>
            <w:shd w:val="clear" w:color="auto" w:fill="F1F5F8"/>
          </w:tcPr>
          <w:p>
            <w:pPr>
              <w:spacing w:after="0"/>
            </w:pPr>
            <w:r>
              <w:rPr>
                <w:b w:val="0"/>
                <w:i w:val="0"/>
                <w:sz w:val="19"/>
              </w:rPr>
              <w:t>When regional nodes or distant metastases of iCCA respond to chemotherapy, is conversion resection reasonable?</w:t>
            </w:r>
          </w:p>
        </w:tc>
        <w:tc>
          <w:tcPr>
            <w:tcW w:type="dxa" w:w="2016"/>
            <w:tcW w:w="3080" w:type="dxa"/>
            <w:shd w:val="clear" w:color="auto" w:fill="F1F5F8"/>
          </w:tcPr>
          <w:p>
            <w:pPr>
              <w:spacing w:after="0"/>
            </w:pPr>
            <w:r>
              <w:rPr>
                <w:b w:val="0"/>
                <w:i w:val="0"/>
                <w:sz w:val="19"/>
              </w:rPr>
              <w:t>Regional nodal disease (hepatoduodenal and common hepatic artery area) that responds may proceed to conversion resection with lymphadenectomy after MDT review. Nodes beyond the regional basin and distant metastases stay…</w:t>
            </w:r>
          </w:p>
        </w:tc>
        <w:tc>
          <w:tcPr>
            <w:tcW w:type="dxa" w:w="2016"/>
            <w:tcW w:w="1500" w:type="dxa"/>
            <w:shd w:val="clear" w:color="auto" w:fill="F1F5F8"/>
          </w:tcPr>
          <w:p>
            <w:pPr>
              <w:spacing w:after="0"/>
            </w:pPr>
            <w:r>
              <w:rPr>
                <w:b w:val="0"/>
                <w:i w:val="0"/>
                <w:color w:val="5A6069"/>
                <w:sz w:val="18"/>
              </w:rPr>
              <w:t>Proposed; distant disease exceptional · OPEN proposal</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iCCA-D1</w:t>
            </w:r>
          </w:p>
        </w:tc>
        <w:tc>
          <w:tcPr>
            <w:tcW w:type="dxa" w:w="2016"/>
            <w:tcW w:w="2900" w:type="dxa"/>
            <w:shd w:val="clear" w:color="auto" w:fill="FFFFFF"/>
          </w:tcPr>
          <w:p>
            <w:pPr>
              <w:spacing w:after="0"/>
            </w:pPr>
            <w:r>
              <w:rPr>
                <w:b w:val="0"/>
                <w:i w:val="0"/>
                <w:sz w:val="19"/>
              </w:rPr>
              <w:t>Does the programme run a hepatic arterial infusion service for intrahepatic cholangiocarcinoma?</w:t>
            </w:r>
          </w:p>
        </w:tc>
        <w:tc>
          <w:tcPr>
            <w:tcW w:type="dxa" w:w="2016"/>
            <w:tcW w:w="3080" w:type="dxa"/>
            <w:shd w:val="clear" w:color="auto" w:fill="FFFFFF"/>
          </w:tcPr>
          <w:p>
            <w:pPr>
              <w:spacing w:after="0"/>
            </w:pPr>
            <w:r>
              <w:rPr>
                <w:b w:val="0"/>
                <w:i w:val="0"/>
                <w:sz w:val="19"/>
              </w:rPr>
              <w:t>The roadmap does not answer yes or no; it keeps HAI as a Reasonable, grade C, expertise-dependent option for unresectable liver-confined disease with favourable arterial anatomy, generally with systemic therapy…</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iCCA-D2</w:t>
            </w:r>
          </w:p>
        </w:tc>
        <w:tc>
          <w:tcPr>
            <w:tcW w:type="dxa" w:w="2016"/>
            <w:tcW w:w="2900" w:type="dxa"/>
            <w:shd w:val="clear" w:color="auto" w:fill="F1F5F8"/>
          </w:tcPr>
          <w:p>
            <w:pPr>
              <w:spacing w:after="0"/>
            </w:pPr>
            <w:r>
              <w:rPr>
                <w:b w:val="0"/>
                <w:i w:val="0"/>
                <w:sz w:val="19"/>
              </w:rPr>
              <w:t>Which liver-directed modality is first choice for unresectable liver-confined disease?</w:t>
            </w:r>
          </w:p>
        </w:tc>
        <w:tc>
          <w:tcPr>
            <w:tcW w:type="dxa" w:w="2016"/>
            <w:tcW w:w="3080" w:type="dxa"/>
            <w:shd w:val="clear" w:color="auto" w:fill="F1F5F8"/>
          </w:tcPr>
          <w:p>
            <w:pPr>
              <w:spacing w:after="0"/>
            </w:pPr>
            <w:r>
              <w:rPr>
                <w:b w:val="0"/>
                <w:i w:val="0"/>
                <w:sz w:val="19"/>
              </w:rPr>
              <w:t>No first choice: the roadmap states no established head-to-head hierarchy among HAI, Y90, chemoembolisation and ablative radiotherapy; selection follows treatment goal, target geometry, liver reserve, the systemic plan and what…</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iCCA-D3</w:t>
            </w:r>
          </w:p>
        </w:tc>
        <w:tc>
          <w:tcPr>
            <w:tcW w:type="dxa" w:w="2016"/>
            <w:tcW w:w="2900" w:type="dxa"/>
            <w:shd w:val="clear" w:color="auto" w:fill="FFFFFF"/>
          </w:tcPr>
          <w:p>
            <w:pPr>
              <w:spacing w:after="0"/>
            </w:pPr>
            <w:r>
              <w:rPr>
                <w:b w:val="0"/>
                <w:i w:val="0"/>
                <w:sz w:val="19"/>
              </w:rPr>
              <w:t>Adjuvant capecitabine — offered routinely, or case by case?</w:t>
            </w:r>
          </w:p>
        </w:tc>
        <w:tc>
          <w:tcPr>
            <w:tcW w:type="dxa" w:w="2016"/>
            <w:tcW w:w="3080" w:type="dxa"/>
            <w:shd w:val="clear" w:color="auto" w:fill="FFFFFF"/>
          </w:tcPr>
          <w:p>
            <w:pPr>
              <w:spacing w:after="0"/>
            </w:pPr>
            <w:r>
              <w:rPr>
                <w:b w:val="0"/>
                <w:i w:val="0"/>
                <w:sz w:val="19"/>
              </w:rPr>
              <w:t>Case by case for now: offer 6 months of capecitabine as a Reasonable consideration, grade C, not an obligation, to the fit patient after R0 or R1 resection, especially node-positive…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iCCA-D4</w:t>
            </w:r>
          </w:p>
        </w:tc>
        <w:tc>
          <w:tcPr>
            <w:tcW w:type="dxa" w:w="2016"/>
            <w:tcW w:w="2900" w:type="dxa"/>
            <w:shd w:val="clear" w:color="auto" w:fill="F1F5F8"/>
          </w:tcPr>
          <w:p>
            <w:pPr>
              <w:spacing w:after="0"/>
            </w:pPr>
            <w:r>
              <w:rPr>
                <w:b w:val="0"/>
                <w:i w:val="0"/>
                <w:sz w:val="19"/>
              </w:rPr>
              <w:t>Is molecular profiling funded and ordered at diagnosis in practice?</w:t>
            </w:r>
          </w:p>
        </w:tc>
        <w:tc>
          <w:tcPr>
            <w:tcW w:type="dxa" w:w="2016"/>
            <w:tcW w:w="3080" w:type="dxa"/>
            <w:shd w:val="clear" w:color="auto" w:fill="F1F5F8"/>
          </w:tcPr>
          <w:p>
            <w:pPr>
              <w:spacing w:after="0"/>
            </w:pPr>
            <w:r>
              <w:rPr>
                <w:b w:val="0"/>
                <w:i w:val="0"/>
                <w:sz w:val="19"/>
              </w:rPr>
              <w:t>Order broad molecular profiling at the diagnosis of unresectable or metastatic disease, not at second-line progression (Standard, grade B), using circulating tumour DNA when tissue is inadequate or a biopsy…</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iCCA-D5</w:t>
            </w:r>
          </w:p>
        </w:tc>
        <w:tc>
          <w:tcPr>
            <w:tcW w:type="dxa" w:w="2016"/>
            <w:tcW w:w="2900" w:type="dxa"/>
            <w:shd w:val="clear" w:color="auto" w:fill="FFFFFF"/>
          </w:tcPr>
          <w:p>
            <w:pPr>
              <w:spacing w:after="0"/>
            </w:pPr>
            <w:r>
              <w:rPr>
                <w:b w:val="0"/>
                <w:i w:val="0"/>
                <w:sz w:val="19"/>
              </w:rPr>
              <w:t>Does the programme open an intrahepatic cholangiocarcinoma transplant protocol?</w:t>
            </w:r>
          </w:p>
        </w:tc>
        <w:tc>
          <w:tcPr>
            <w:tcW w:type="dxa" w:w="2016"/>
            <w:tcW w:w="3080" w:type="dxa"/>
            <w:shd w:val="clear" w:color="auto" w:fill="FFFFFF"/>
          </w:tcPr>
          <w:p>
            <w:pPr>
              <w:spacing w:after="0"/>
            </w:pPr>
            <w:r>
              <w:rPr>
                <w:b w:val="0"/>
                <w:i w:val="0"/>
                <w:sz w:val="19"/>
              </w:rPr>
              <w:t>Current position: transplantation for known iCCA only within a formally approved trial or prospective registry protocol, with review-board approval and registry entry, an institutional graft-stewardship restriction stricter than OPTN and…</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iCCA-D6</w:t>
            </w:r>
          </w:p>
        </w:tc>
        <w:tc>
          <w:tcPr>
            <w:tcW w:type="dxa" w:w="2016"/>
            <w:tcW w:w="2900" w:type="dxa"/>
            <w:shd w:val="clear" w:color="auto" w:fill="F1F5F8"/>
          </w:tcPr>
          <w:p>
            <w:pPr>
              <w:spacing w:after="0"/>
            </w:pPr>
            <w:r>
              <w:rPr>
                <w:b w:val="0"/>
                <w:i w:val="0"/>
                <w:sz w:val="19"/>
              </w:rPr>
              <w:t>What are the thresholds barring each liver-directed modality by liver function?</w:t>
            </w:r>
          </w:p>
        </w:tc>
        <w:tc>
          <w:tcPr>
            <w:tcW w:type="dxa" w:w="2016"/>
            <w:tcW w:w="3080" w:type="dxa"/>
            <w:shd w:val="clear" w:color="auto" w:fill="F1F5F8"/>
          </w:tcPr>
          <w:p>
            <w:pPr>
              <w:spacing w:after="0"/>
            </w:pPr>
            <w:r>
              <w:rPr>
                <w:b w:val="0"/>
                <w:i w:val="0"/>
                <w:sz w:val="19"/>
              </w:rPr>
              <w:t>The roadmap proposes no numeric thresholds: it treats the cut-offs as safety conventions, keeps cirrhosis as the hard stop for radioembolisation with chemotherapy, leaves numeric reserve rules to specialty-approved local…</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iCCA-D7</w:t>
            </w:r>
          </w:p>
        </w:tc>
        <w:tc>
          <w:tcPr>
            <w:tcW w:type="dxa" w:w="2016"/>
            <w:tcW w:w="2900" w:type="dxa"/>
            <w:shd w:val="clear" w:color="auto" w:fill="FFFFFF"/>
          </w:tcPr>
          <w:p>
            <w:pPr>
              <w:spacing w:after="0"/>
            </w:pPr>
            <w:r>
              <w:rPr>
                <w:b w:val="0"/>
                <w:i w:val="0"/>
                <w:sz w:val="19"/>
              </w:rPr>
              <w:t>Ablation for intrahepatic cholangiocarcinoma — acceptable, and in whom?</w:t>
            </w:r>
          </w:p>
        </w:tc>
        <w:tc>
          <w:tcPr>
            <w:tcW w:type="dxa" w:w="2016"/>
            <w:tcW w:w="3080" w:type="dxa"/>
            <w:shd w:val="clear" w:color="auto" w:fill="FFFFFF"/>
          </w:tcPr>
          <w:p>
            <w:pPr>
              <w:spacing w:after="0"/>
            </w:pPr>
            <w:r>
              <w:rPr>
                <w:b w:val="0"/>
                <w:i w:val="0"/>
                <w:sz w:val="19"/>
              </w:rPr>
              <w:t>Acceptable in a narrow group (grade C): solitary tumour under 3 cm, resection unsuitable, every lesion treatable with a 5 mm or greater margin, no uncontrolled nodal or distant disease,…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iCCA-D8</w:t>
            </w:r>
          </w:p>
        </w:tc>
        <w:tc>
          <w:tcPr>
            <w:tcW w:type="dxa" w:w="2016"/>
            <w:tcW w:w="2900" w:type="dxa"/>
            <w:shd w:val="clear" w:color="auto" w:fill="F1F5F8"/>
          </w:tcPr>
          <w:p>
            <w:pPr>
              <w:spacing w:after="0"/>
            </w:pPr>
            <w:r>
              <w:rPr>
                <w:b w:val="0"/>
                <w:i w:val="0"/>
                <w:sz w:val="19"/>
              </w:rPr>
              <w:t>Who owns subsequent NCCN and OPTN update checks, and on what cycle?</w:t>
            </w:r>
          </w:p>
        </w:tc>
        <w:tc>
          <w:tcPr>
            <w:tcW w:type="dxa" w:w="2016"/>
            <w:tcW w:w="3080" w:type="dxa"/>
            <w:shd w:val="clear" w:color="auto" w:fill="F1F5F8"/>
          </w:tcPr>
          <w:p>
            <w:pPr>
              <w:spacing w:after="0"/>
            </w:pPr>
            <w:r>
              <w:rPr>
                <w:b w:val="0"/>
                <w:i w:val="0"/>
                <w:sz w:val="19"/>
              </w:rPr>
              <w:t>The roadmap names no owner or cycle; it records source reconciliation as complete in this version, lists a dashboard measure of named owner, source edition and date, and update cycle,…</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iCCA-D9</w:t>
            </w:r>
          </w:p>
        </w:tc>
        <w:tc>
          <w:tcPr>
            <w:tcW w:type="dxa" w:w="2016"/>
            <w:tcW w:w="2900" w:type="dxa"/>
            <w:shd w:val="clear" w:color="auto" w:fill="FFFFFF"/>
          </w:tcPr>
          <w:p>
            <w:pPr>
              <w:spacing w:after="0"/>
            </w:pPr>
            <w:r>
              <w:rPr>
                <w:b w:val="0"/>
                <w:i w:val="0"/>
                <w:sz w:val="19"/>
              </w:rPr>
              <w:t>Is a core biopsy required before resection of a high-suspicion, clearly resectable mass, or is destination-specific confirmation enough?</w:t>
            </w:r>
          </w:p>
        </w:tc>
        <w:tc>
          <w:tcPr>
            <w:tcW w:type="dxa" w:w="2016"/>
            <w:tcW w:w="3080" w:type="dxa"/>
            <w:shd w:val="clear" w:color="auto" w:fill="FFFFFF"/>
          </w:tcPr>
          <w:p>
            <w:pPr>
              <w:spacing w:after="0"/>
            </w:pPr>
            <w:r>
              <w:rPr>
                <w:b w:val="0"/>
                <w:i w:val="0"/>
                <w:sz w:val="19"/>
              </w:rPr>
              <w:t>Destination-specific confirmation rather than a universal core: histology is required before systemic therapy, trial entry or tissue-defined transplant assessment (where it also grades differentiation and excludes a mixed tumour), while…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iCCA-D10</w:t>
            </w:r>
          </w:p>
        </w:tc>
        <w:tc>
          <w:tcPr>
            <w:tcW w:type="dxa" w:w="2016"/>
            <w:tcW w:w="2900" w:type="dxa"/>
            <w:shd w:val="clear" w:color="auto" w:fill="F1F5F8"/>
          </w:tcPr>
          <w:p>
            <w:pPr>
              <w:spacing w:after="0"/>
            </w:pPr>
            <w:r>
              <w:rPr>
                <w:b w:val="0"/>
                <w:i w:val="0"/>
                <w:sz w:val="19"/>
              </w:rPr>
              <w:t>Is regional lymphadenectomy mandatory at every iCCA resection, and what minimum node yield is recorded?</w:t>
            </w:r>
          </w:p>
        </w:tc>
        <w:tc>
          <w:tcPr>
            <w:tcW w:type="dxa" w:w="2016"/>
            <w:tcW w:w="3080" w:type="dxa"/>
            <w:shd w:val="clear" w:color="auto" w:fill="F1F5F8"/>
          </w:tcPr>
          <w:p>
            <w:pPr>
              <w:spacing w:after="0"/>
            </w:pPr>
            <w:r>
              <w:rPr>
                <w:b w:val="0"/>
                <w:i w:val="0"/>
                <w:sz w:val="19"/>
              </w:rPr>
              <w:t>Keep regional lymphadenectomy of the porta hepatis in every resection as a staging decision, so the adjuvant conversation and the registry have a nodal denominator, not as a survival claim;…</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iCCA-D11</w:t>
            </w:r>
          </w:p>
        </w:tc>
        <w:tc>
          <w:tcPr>
            <w:tcW w:type="dxa" w:w="2016"/>
            <w:tcW w:w="2900" w:type="dxa"/>
            <w:shd w:val="clear" w:color="auto" w:fill="FFFFFF"/>
          </w:tcPr>
          <w:p>
            <w:pPr>
              <w:spacing w:after="0"/>
            </w:pPr>
            <w:r>
              <w:rPr>
                <w:b w:val="0"/>
                <w:i w:val="0"/>
                <w:sz w:val="19"/>
              </w:rPr>
              <w:t>What counts as 'a period of stability' before a transplant referral — what duration, on what therapy, and at what imaging interval?</w:t>
            </w:r>
          </w:p>
        </w:tc>
        <w:tc>
          <w:tcPr>
            <w:tcW w:type="dxa" w:w="2016"/>
            <w:tcW w:w="3080" w:type="dxa"/>
            <w:shd w:val="clear" w:color="auto" w:fill="FFFFFF"/>
          </w:tcPr>
          <w:p>
            <w:pPr>
              <w:spacing w:after="0"/>
            </w:pPr>
            <w:r>
              <w:rPr>
                <w:b w:val="0"/>
                <w:i w:val="0"/>
                <w:sz w:val="19"/>
              </w:rPr>
              <w:t>Keep six months from diagnosis or last treatment with serial-scan stability (still 3 cm or less, no new lesions, no extrahepatic disease), recording both dates; one responding scan is insufficient.…</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iCCA-D12</w:t>
            </w:r>
          </w:p>
        </w:tc>
        <w:tc>
          <w:tcPr>
            <w:tcW w:type="dxa" w:w="2016"/>
            <w:tcW w:w="2900" w:type="dxa"/>
            <w:shd w:val="clear" w:color="auto" w:fill="F1F5F8"/>
          </w:tcPr>
          <w:p>
            <w:pPr>
              <w:spacing w:after="0"/>
            </w:pPr>
            <w:r>
              <w:rPr>
                <w:b w:val="0"/>
                <w:i w:val="0"/>
                <w:sz w:val="19"/>
              </w:rPr>
              <w:t>Does the page name trastuzumab deruxtecan, entrectinib, larotrectinib and selpercatinib, as ESMO 2024 does, or only require that the alterations be captured?</w:t>
            </w:r>
          </w:p>
        </w:tc>
        <w:tc>
          <w:tcPr>
            <w:tcW w:type="dxa" w:w="2016"/>
            <w:tcW w:w="3080" w:type="dxa"/>
            <w:shd w:val="clear" w:color="auto" w:fill="F1F5F8"/>
          </w:tcPr>
          <w:p>
            <w:pPr>
              <w:spacing w:after="0"/>
            </w:pPr>
            <w:r>
              <w:rPr>
                <w:b w:val="0"/>
                <w:i w:val="0"/>
                <w:sz w:val="19"/>
              </w:rPr>
              <w:t>Current table only requires HER2, NTRK and RET findings to be captured on the same broad panel, not the agents named; capture is not a licence to prescribe; match treatment…</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iCCA-D13</w:t>
            </w:r>
          </w:p>
        </w:tc>
        <w:tc>
          <w:tcPr>
            <w:tcW w:type="dxa" w:w="2016"/>
            <w:tcW w:w="2900" w:type="dxa"/>
            <w:shd w:val="clear" w:color="auto" w:fill="FFFFFF"/>
          </w:tcPr>
          <w:p>
            <w:pPr>
              <w:spacing w:after="0"/>
            </w:pPr>
            <w:r>
              <w:rPr>
                <w:b w:val="0"/>
                <w:i w:val="0"/>
                <w:sz w:val="19"/>
              </w:rPr>
              <w:t>Is there a default first-line checkpoint combination, or does the choice stay with the treating oncologist?</w:t>
            </w:r>
          </w:p>
        </w:tc>
        <w:tc>
          <w:tcPr>
            <w:tcW w:type="dxa" w:w="2016"/>
            <w:tcW w:w="3080" w:type="dxa"/>
            <w:shd w:val="clear" w:color="auto" w:fill="FFFFFF"/>
          </w:tcPr>
          <w:p>
            <w:pPr>
              <w:spacing w:after="0"/>
            </w:pPr>
            <w:r>
              <w:rPr>
                <w:b w:val="0"/>
                <w:i w:val="0"/>
                <w:sz w:val="19"/>
              </w:rPr>
              <w:t>No default: the roadmap does not rank durvalumab and pembrolizumab, accepts either with cisplatin–gemcitabine, and leaves the choice and any modification to the treating oncologist on toxicity profile, schedule and…</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iCCA-D14</w:t>
            </w:r>
          </w:p>
        </w:tc>
        <w:tc>
          <w:tcPr>
            <w:tcW w:type="dxa" w:w="2016"/>
            <w:tcW w:w="2900" w:type="dxa"/>
            <w:shd w:val="clear" w:color="auto" w:fill="F1F5F8"/>
          </w:tcPr>
          <w:p>
            <w:pPr>
              <w:spacing w:after="0"/>
            </w:pPr>
            <w:r>
              <w:rPr>
                <w:b w:val="0"/>
                <w:i w:val="0"/>
                <w:sz w:val="19"/>
              </w:rPr>
              <w:t>Post-resection surveillance — 3-monthly or 6-monthly imaging for the first two years?</w:t>
            </w:r>
          </w:p>
        </w:tc>
        <w:tc>
          <w:tcPr>
            <w:tcW w:type="dxa" w:w="2016"/>
            <w:tcW w:w="3080" w:type="dxa"/>
            <w:shd w:val="clear" w:color="auto" w:fill="F1F5F8"/>
          </w:tcPr>
          <w:p>
            <w:pPr>
              <w:spacing w:after="0"/>
            </w:pPr>
            <w:r>
              <w:rPr>
                <w:b w:val="0"/>
                <w:i w:val="0"/>
                <w:sz w:val="19"/>
              </w:rPr>
              <w:t>After resection, imaging every 3–6 months for two years, then less often, graded C to D as expert consensus; fixing the interval at 3-monthly or 6-monthly is left open (alignment…</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iCCA-D15</w:t>
            </w:r>
          </w:p>
        </w:tc>
        <w:tc>
          <w:tcPr>
            <w:tcW w:type="dxa" w:w="2016"/>
            <w:tcW w:w="2900" w:type="dxa"/>
            <w:shd w:val="clear" w:color="auto" w:fill="FFFFFF"/>
          </w:tcPr>
          <w:p>
            <w:pPr>
              <w:spacing w:after="0"/>
            </w:pPr>
            <w:r>
              <w:rPr>
                <w:b w:val="0"/>
                <w:i w:val="0"/>
                <w:sz w:val="19"/>
              </w:rPr>
              <w:t>Ratify early HAI review, disease-specific selection and programme safeguards.</w:t>
            </w:r>
          </w:p>
        </w:tc>
        <w:tc>
          <w:tcPr>
            <w:tcW w:type="dxa" w:w="2016"/>
            <w:tcW w:w="3080" w:type="dxa"/>
            <w:shd w:val="clear" w:color="auto" w:fill="FFFFFF"/>
          </w:tcPr>
          <w:p>
            <w:pPr>
              <w:spacing w:after="0"/>
            </w:pPr>
            <w:r>
              <w:rPr>
                <w:b w:val="0"/>
                <w:i w:val="0"/>
                <w:sz w:val="19"/>
              </w:rPr>
              <w:t>Discuss HAI early for selected unresectable liver-confined iCCA at an experienced programme, with a systemic plan and defined resection reassessment; treat it as control or conversion, not standalone cure, with…</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Standard pathway</w:t>
            </w:r>
          </w:p>
        </w:tc>
        <w:tc>
          <w:tcPr>
            <w:tcW w:type="dxa" w:w="2016"/>
            <w:tcW w:w="1100" w:type="dxa"/>
            <w:shd w:val="clear" w:color="auto" w:fill="F1F5F8"/>
          </w:tcPr>
          <w:p>
            <w:pPr>
              <w:spacing w:after="0"/>
            </w:pPr>
            <w:r>
              <w:rPr>
                <w:b/>
                <w:i w:val="0"/>
                <w:sz w:val="19"/>
              </w:rPr>
              <w:t>iCCA G1 / G2</w:t>
            </w:r>
          </w:p>
        </w:tc>
        <w:tc>
          <w:tcPr>
            <w:tcW w:type="dxa" w:w="2016"/>
            <w:tcW w:w="2900" w:type="dxa"/>
            <w:shd w:val="clear" w:color="auto" w:fill="F1F5F8"/>
          </w:tcPr>
          <w:p>
            <w:pPr>
              <w:spacing w:after="0"/>
            </w:pPr>
            <w:r>
              <w:rPr>
                <w:b w:val="0"/>
                <w:i w:val="0"/>
                <w:sz w:val="19"/>
              </w:rPr>
              <w:t>Will the local protocol include mixed HCC-iCCA?</w:t>
            </w:r>
          </w:p>
        </w:tc>
        <w:tc>
          <w:tcPr>
            <w:tcW w:type="dxa" w:w="2016"/>
            <w:tcW w:w="3080" w:type="dxa"/>
            <w:shd w:val="clear" w:color="auto" w:fill="F1F5F8"/>
          </w:tcPr>
          <w:p>
            <w:pPr>
              <w:spacing w:after="0"/>
            </w:pPr>
            <w:r>
              <w:rPr>
                <w:b w:val="0"/>
                <w:i w:val="0"/>
                <w:sz w:val="19"/>
              </w:rPr>
              <w:t>Document expert pathology and obtain explicit local program acceptance for mixed tumors; do not silently equate the two evidence bases.</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pathway</w:t>
            </w:r>
          </w:p>
        </w:tc>
        <w:tc>
          <w:tcPr>
            <w:tcW w:type="dxa" w:w="2016"/>
            <w:tcW w:w="1100" w:type="dxa"/>
            <w:shd w:val="clear" w:color="auto" w:fill="FFFFFF"/>
          </w:tcPr>
          <w:p>
            <w:pPr>
              <w:spacing w:after="0"/>
            </w:pPr>
            <w:r>
              <w:rPr>
                <w:b/>
                <w:i w:val="0"/>
                <w:sz w:val="19"/>
              </w:rPr>
              <w:t>iCCA G2</w:t>
            </w:r>
          </w:p>
        </w:tc>
        <w:tc>
          <w:tcPr>
            <w:tcW w:type="dxa" w:w="2016"/>
            <w:tcW w:w="2900" w:type="dxa"/>
            <w:shd w:val="clear" w:color="auto" w:fill="FFFFFF"/>
          </w:tcPr>
          <w:p>
            <w:pPr>
              <w:spacing w:after="0"/>
            </w:pPr>
            <w:r>
              <w:rPr>
                <w:b w:val="0"/>
                <w:i w:val="0"/>
                <w:sz w:val="19"/>
              </w:rPr>
              <w:t>Is NLRB alignment sufficient, or do we require a prospective program?</w:t>
            </w:r>
          </w:p>
        </w:tc>
        <w:tc>
          <w:tcPr>
            <w:tcW w:type="dxa" w:w="2016"/>
            <w:tcW w:w="3080" w:type="dxa"/>
            <w:shd w:val="clear" w:color="auto" w:fill="FFFFFF"/>
          </w:tcPr>
          <w:p>
            <w:pPr>
              <w:spacing w:after="0"/>
            </w:pPr>
            <w:r>
              <w:rPr>
                <w:b w:val="0"/>
                <w:i w:val="0"/>
                <w:sz w:val="19"/>
              </w:rPr>
              <w:t>Retain a prospective/registry-based institutional restriction until the group approves the program and consent requirements.</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pathway</w:t>
            </w:r>
          </w:p>
        </w:tc>
        <w:tc>
          <w:tcPr>
            <w:tcW w:type="dxa" w:w="2016"/>
            <w:tcW w:w="1100" w:type="dxa"/>
            <w:shd w:val="clear" w:color="auto" w:fill="F1F5F8"/>
          </w:tcPr>
          <w:p>
            <w:pPr>
              <w:spacing w:after="0"/>
            </w:pPr>
            <w:r>
              <w:rPr>
                <w:b/>
                <w:i w:val="0"/>
                <w:sz w:val="19"/>
              </w:rPr>
              <w:t>iCCA G3</w:t>
            </w:r>
          </w:p>
        </w:tc>
        <w:tc>
          <w:tcPr>
            <w:tcW w:type="dxa" w:w="2016"/>
            <w:tcW w:w="2900" w:type="dxa"/>
            <w:shd w:val="clear" w:color="auto" w:fill="F1F5F8"/>
          </w:tcPr>
          <w:p>
            <w:pPr>
              <w:spacing w:after="0"/>
            </w:pPr>
            <w:r>
              <w:rPr>
                <w:b w:val="0"/>
                <w:i w:val="0"/>
                <w:sz w:val="19"/>
              </w:rPr>
              <w:t>Which control strategy and ICI safety rules will be used?</w:t>
            </w:r>
          </w:p>
        </w:tc>
        <w:tc>
          <w:tcPr>
            <w:tcW w:type="dxa" w:w="2016"/>
            <w:tcW w:w="3080" w:type="dxa"/>
            <w:shd w:val="clear" w:color="auto" w:fill="F1F5F8"/>
          </w:tcPr>
          <w:p>
            <w:pPr>
              <w:spacing w:after="0"/>
            </w:pPr>
            <w:r>
              <w:rPr>
                <w:b w:val="0"/>
                <w:i w:val="0"/>
                <w:sz w:val="19"/>
              </w:rPr>
              <w:t>Use a patient-specific MDT control plan and separately review any checkpoint exposure. Record intended effect and transplant implications before treatment.</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pathway</w:t>
            </w:r>
          </w:p>
        </w:tc>
        <w:tc>
          <w:tcPr>
            <w:tcW w:type="dxa" w:w="2016"/>
            <w:tcW w:w="1100" w:type="dxa"/>
            <w:shd w:val="clear" w:color="auto" w:fill="FFFFFF"/>
          </w:tcPr>
          <w:p>
            <w:pPr>
              <w:spacing w:after="0"/>
            </w:pPr>
            <w:r>
              <w:rPr>
                <w:b/>
                <w:i w:val="0"/>
                <w:sz w:val="19"/>
              </w:rPr>
              <w:t>iCCA G4</w:t>
            </w:r>
          </w:p>
        </w:tc>
        <w:tc>
          <w:tcPr>
            <w:tcW w:type="dxa" w:w="2016"/>
            <w:tcW w:w="2900" w:type="dxa"/>
            <w:shd w:val="clear" w:color="auto" w:fill="FFFFFF"/>
          </w:tcPr>
          <w:p>
            <w:pPr>
              <w:spacing w:after="0"/>
            </w:pPr>
            <w:r>
              <w:rPr>
                <w:b w:val="0"/>
                <w:i w:val="0"/>
                <w:sz w:val="19"/>
              </w:rPr>
              <w:t>Which event starts or restarts the six-month stability interval?</w:t>
            </w:r>
          </w:p>
        </w:tc>
        <w:tc>
          <w:tcPr>
            <w:tcW w:type="dxa" w:w="2016"/>
            <w:tcW w:w="3080" w:type="dxa"/>
            <w:shd w:val="clear" w:color="auto" w:fill="FFFFFF"/>
          </w:tcPr>
          <w:p>
            <w:pPr>
              <w:spacing w:after="0"/>
            </w:pPr>
            <w:r>
              <w:rPr>
                <w:b w:val="0"/>
                <w:i w:val="0"/>
                <w:sz w:val="19"/>
              </w:rPr>
              <w:t>Record both diagnosis and last-treatment dates. If the starting point is uncertain, obtain an interpretation from the clinician responsible for MELD-exception requests before submission.</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pathway</w:t>
            </w:r>
          </w:p>
        </w:tc>
        <w:tc>
          <w:tcPr>
            <w:tcW w:type="dxa" w:w="2016"/>
            <w:tcW w:w="1100" w:type="dxa"/>
            <w:shd w:val="clear" w:color="auto" w:fill="F1F5F8"/>
          </w:tcPr>
          <w:p>
            <w:pPr>
              <w:spacing w:after="0"/>
            </w:pPr>
            <w:r>
              <w:rPr>
                <w:b/>
                <w:i w:val="0"/>
                <w:sz w:val="19"/>
              </w:rPr>
              <w:t>iCCA G5</w:t>
            </w:r>
          </w:p>
        </w:tc>
        <w:tc>
          <w:tcPr>
            <w:tcW w:type="dxa" w:w="2016"/>
            <w:tcW w:w="2900" w:type="dxa"/>
            <w:shd w:val="clear" w:color="auto" w:fill="F1F5F8"/>
          </w:tcPr>
          <w:p>
            <w:pPr>
              <w:spacing w:after="0"/>
            </w:pPr>
            <w:r>
              <w:rPr>
                <w:b w:val="0"/>
                <w:i w:val="0"/>
                <w:sz w:val="19"/>
              </w:rPr>
              <w:t>Who verifies nonstandard submission and three-month imaging?</w:t>
            </w:r>
          </w:p>
        </w:tc>
        <w:tc>
          <w:tcPr>
            <w:tcW w:type="dxa" w:w="2016"/>
            <w:tcW w:w="3080" w:type="dxa"/>
            <w:shd w:val="clear" w:color="auto" w:fill="F1F5F8"/>
          </w:tcPr>
          <w:p>
            <w:pPr>
              <w:spacing w:after="0"/>
            </w:pPr>
            <w:r>
              <w:rPr>
                <w:b w:val="0"/>
                <w:i w:val="0"/>
                <w:sz w:val="19"/>
              </w:rPr>
              <w:t>Name the clinician responsible for allocation and a separate clinical reviewer; compare each renewal with the original histology and selection criteria.</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pathway</w:t>
            </w:r>
          </w:p>
        </w:tc>
        <w:tc>
          <w:tcPr>
            <w:tcW w:type="dxa" w:w="2016"/>
            <w:tcW w:w="1100" w:type="dxa"/>
            <w:shd w:val="clear" w:color="auto" w:fill="FFFFFF"/>
          </w:tcPr>
          <w:p>
            <w:pPr>
              <w:spacing w:after="0"/>
            </w:pPr>
            <w:r>
              <w:rPr>
                <w:b/>
                <w:i w:val="0"/>
                <w:sz w:val="19"/>
              </w:rPr>
              <w:t>iCCA G6</w:t>
            </w:r>
          </w:p>
        </w:tc>
        <w:tc>
          <w:tcPr>
            <w:tcW w:type="dxa" w:w="2016"/>
            <w:tcW w:w="2900" w:type="dxa"/>
            <w:shd w:val="clear" w:color="auto" w:fill="FFFFFF"/>
          </w:tcPr>
          <w:p>
            <w:pPr>
              <w:spacing w:after="0"/>
            </w:pPr>
            <w:r>
              <w:rPr>
                <w:b w:val="0"/>
                <w:i w:val="0"/>
                <w:sz w:val="19"/>
              </w:rPr>
              <w:t>What post-transplant recurrence surveillance will the program adopt?</w:t>
            </w:r>
          </w:p>
        </w:tc>
        <w:tc>
          <w:tcPr>
            <w:tcW w:type="dxa" w:w="2016"/>
            <w:tcW w:w="3080" w:type="dxa"/>
            <w:shd w:val="clear" w:color="auto" w:fill="FFFFFF"/>
          </w:tcPr>
          <w:p>
            <w:pPr>
              <w:spacing w:after="0"/>
            </w:pPr>
            <w:r>
              <w:rPr>
                <w:b w:val="0"/>
                <w:i w:val="0"/>
                <w:sz w:val="19"/>
              </w:rPr>
              <w:t>Agree an oncology and transplant follow-up schedule based on recurrence risk, and a plan for prospective outcome collection before the program begins treating patients.</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High-risk pathway</w:t>
            </w:r>
          </w:p>
        </w:tc>
        <w:tc>
          <w:tcPr>
            <w:tcW w:type="dxa" w:w="2016"/>
            <w:tcW w:w="1100" w:type="dxa"/>
            <w:shd w:val="clear" w:color="auto" w:fill="F1F5F8"/>
          </w:tcPr>
          <w:p>
            <w:pPr>
              <w:spacing w:after="0"/>
            </w:pPr>
            <w:r>
              <w:rPr>
                <w:b/>
                <w:i w:val="0"/>
                <w:sz w:val="19"/>
              </w:rPr>
              <w:t>iCCA-B1</w:t>
            </w:r>
          </w:p>
        </w:tc>
        <w:tc>
          <w:tcPr>
            <w:tcW w:type="dxa" w:w="2016"/>
            <w:tcW w:w="2900" w:type="dxa"/>
            <w:shd w:val="clear" w:color="auto" w:fill="F1F5F8"/>
          </w:tcPr>
          <w:p>
            <w:pPr>
              <w:spacing w:after="0"/>
            </w:pPr>
            <w:r>
              <w:rPr>
                <w:b w:val="0"/>
                <w:i w:val="0"/>
                <w:sz w:val="19"/>
              </w:rPr>
              <w:t>Do we preserve separate small-cirrhotic and advanced-disease pathways?</w:t>
            </w:r>
          </w:p>
        </w:tc>
        <w:tc>
          <w:tcPr>
            <w:tcW w:type="dxa" w:w="2016"/>
            <w:tcW w:w="3080" w:type="dxa"/>
            <w:shd w:val="clear" w:color="auto" w:fill="F1F5F8"/>
          </w:tcPr>
          <w:p>
            <w:pPr>
              <w:spacing w:after="0"/>
            </w:pPr>
            <w:r>
              <w:rPr>
                <w:b w:val="0"/>
                <w:i w:val="0"/>
                <w:sz w:val="19"/>
              </w:rPr>
              <w:t>Keep the small-cirrhotic pathway separate; define the initial advanced study by pure, favorable-grade, localized morphology rather than an invented size cap.</w:t>
            </w:r>
          </w:p>
        </w:tc>
        <w:tc>
          <w:tcPr>
            <w:tcW w:type="dxa" w:w="2016"/>
            <w:tcW w:w="1500" w:type="dxa"/>
            <w:shd w:val="clear" w:color="auto" w:fill="F1F5F8"/>
          </w:tcPr>
          <w:p>
            <w:pPr>
              <w:spacing w:after="0"/>
            </w:pPr>
            <w:r>
              <w:rPr>
                <w:b w:val="0"/>
                <w:i w:val="0"/>
                <w:color w:val="5A6069"/>
                <w:sz w:val="18"/>
              </w:rPr>
              <w:t>OPEN proposal · not activated</w:t>
            </w:r>
          </w:p>
        </w:tc>
      </w:tr>
      <w:tr>
        <w:trPr>
          <w:cantSplit/>
        </w:trPr>
        <w:tc>
          <w:tcPr>
            <w:tcW w:type="dxa" w:w="2016"/>
            <w:tcW w:w="1500" w:type="dxa"/>
            <w:shd w:val="clear" w:color="auto" w:fill="FFFFFF"/>
          </w:tcPr>
          <w:p>
            <w:pPr>
              <w:spacing w:after="0"/>
            </w:pPr>
            <w:r>
              <w:rPr>
                <w:b w:val="0"/>
                <w:i w:val="0"/>
                <w:sz w:val="19"/>
              </w:rPr>
              <w:t>High-risk pathway</w:t>
            </w:r>
          </w:p>
        </w:tc>
        <w:tc>
          <w:tcPr>
            <w:tcW w:type="dxa" w:w="2016"/>
            <w:tcW w:w="1100" w:type="dxa"/>
            <w:shd w:val="clear" w:color="auto" w:fill="FFFFFF"/>
          </w:tcPr>
          <w:p>
            <w:pPr>
              <w:spacing w:after="0"/>
            </w:pPr>
            <w:r>
              <w:rPr>
                <w:b/>
                <w:i w:val="0"/>
                <w:sz w:val="19"/>
              </w:rPr>
              <w:t>iCCA-B2</w:t>
            </w:r>
          </w:p>
        </w:tc>
        <w:tc>
          <w:tcPr>
            <w:tcW w:type="dxa" w:w="2016"/>
            <w:tcW w:w="2900" w:type="dxa"/>
            <w:shd w:val="clear" w:color="auto" w:fill="FFFFFF"/>
          </w:tcPr>
          <w:p>
            <w:pPr>
              <w:spacing w:after="0"/>
            </w:pPr>
            <w:r>
              <w:rPr>
                <w:b w:val="0"/>
                <w:i w:val="0"/>
                <w:sz w:val="19"/>
              </w:rPr>
              <w:t>What does sustained control have to prove before transplant activation?</w:t>
            </w:r>
          </w:p>
        </w:tc>
        <w:tc>
          <w:tcPr>
            <w:tcW w:type="dxa" w:w="2016"/>
            <w:tcW w:w="3080" w:type="dxa"/>
            <w:shd w:val="clear" w:color="auto" w:fill="FFFFFF"/>
          </w:tcPr>
          <w:p>
            <w:pPr>
              <w:spacing w:after="0"/>
            </w:pPr>
            <w:r>
              <w:rPr>
                <w:b w:val="0"/>
                <w:i w:val="0"/>
                <w:sz w:val="19"/>
              </w:rPr>
              <w:t>Require six months of continuous disease control, but distinguish liver-only progression with salvage from permanent exclusion.</w:t>
            </w:r>
          </w:p>
        </w:tc>
        <w:tc>
          <w:tcPr>
            <w:tcW w:type="dxa" w:w="2016"/>
            <w:tcW w:w="1500" w:type="dxa"/>
            <w:shd w:val="clear" w:color="auto" w:fill="FFFFFF"/>
          </w:tcPr>
          <w:p>
            <w:pPr>
              <w:spacing w:after="0"/>
            </w:pPr>
            <w:r>
              <w:rPr>
                <w:b w:val="0"/>
                <w:i w:val="0"/>
                <w:color w:val="5A6069"/>
                <w:sz w:val="18"/>
              </w:rPr>
              <w:t>OPEN proposal · not activated</w:t>
            </w:r>
          </w:p>
        </w:tc>
      </w:tr>
      <w:tr>
        <w:trPr>
          <w:cantSplit/>
        </w:trPr>
        <w:tc>
          <w:tcPr>
            <w:tcW w:type="dxa" w:w="2016"/>
            <w:tcW w:w="1500" w:type="dxa"/>
            <w:shd w:val="clear" w:color="auto" w:fill="F1F5F8"/>
          </w:tcPr>
          <w:p>
            <w:pPr>
              <w:spacing w:after="0"/>
            </w:pPr>
            <w:r>
              <w:rPr>
                <w:b w:val="0"/>
                <w:i w:val="0"/>
                <w:sz w:val="19"/>
              </w:rPr>
              <w:t>High-risk pathway</w:t>
            </w:r>
          </w:p>
        </w:tc>
        <w:tc>
          <w:tcPr>
            <w:tcW w:type="dxa" w:w="2016"/>
            <w:tcW w:w="1100" w:type="dxa"/>
            <w:shd w:val="clear" w:color="auto" w:fill="F1F5F8"/>
          </w:tcPr>
          <w:p>
            <w:pPr>
              <w:spacing w:after="0"/>
            </w:pPr>
            <w:r>
              <w:rPr>
                <w:b/>
                <w:i w:val="0"/>
                <w:sz w:val="19"/>
              </w:rPr>
              <w:t>iCCA-B3</w:t>
            </w:r>
          </w:p>
        </w:tc>
        <w:tc>
          <w:tcPr>
            <w:tcW w:type="dxa" w:w="2016"/>
            <w:tcW w:w="2900" w:type="dxa"/>
            <w:shd w:val="clear" w:color="auto" w:fill="F1F5F8"/>
          </w:tcPr>
          <w:p>
            <w:pPr>
              <w:spacing w:after="0"/>
            </w:pPr>
            <w:r>
              <w:rPr>
                <w:b w:val="0"/>
                <w:i w:val="0"/>
                <w:sz w:val="19"/>
              </w:rPr>
              <w:t>Does access to LDLT change the evidentiary threshold?</w:t>
            </w:r>
          </w:p>
        </w:tc>
        <w:tc>
          <w:tcPr>
            <w:tcW w:type="dxa" w:w="2016"/>
            <w:tcW w:w="3080" w:type="dxa"/>
            <w:shd w:val="clear" w:color="auto" w:fill="F1F5F8"/>
          </w:tcPr>
          <w:p>
            <w:pPr>
              <w:spacing w:after="0"/>
            </w:pPr>
            <w:r>
              <w:rPr>
                <w:b w:val="0"/>
                <w:i w:val="0"/>
                <w:sz w:val="19"/>
              </w:rPr>
              <w:t>Develop a prospective LDLT feasibility study, but do not permit transplantation under this proposal yet.</w:t>
            </w:r>
          </w:p>
        </w:tc>
        <w:tc>
          <w:tcPr>
            <w:tcW w:type="dxa" w:w="2016"/>
            <w:tcW w:w="1500" w:type="dxa"/>
            <w:shd w:val="clear" w:color="auto" w:fill="F1F5F8"/>
          </w:tcPr>
          <w:p>
            <w:pPr>
              <w:spacing w:after="0"/>
            </w:pPr>
            <w:r>
              <w:rPr>
                <w:b w:val="0"/>
                <w:i w:val="0"/>
                <w:color w:val="5A6069"/>
                <w:sz w:val="18"/>
              </w:rPr>
              <w:t>Study development · no transplantation yet · not activated</w:t>
            </w:r>
          </w:p>
        </w:tc>
      </w:tr>
      <w:tr>
        <w:trPr>
          <w:cantSplit/>
        </w:trPr>
        <w:tc>
          <w:tcPr>
            <w:tcW w:type="dxa" w:w="2016"/>
            <w:tcW w:w="1500" w:type="dxa"/>
            <w:shd w:val="clear" w:color="auto" w:fill="FFFFFF"/>
          </w:tcPr>
          <w:p>
            <w:pPr>
              <w:spacing w:after="0"/>
            </w:pPr>
            <w:r>
              <w:rPr>
                <w:b w:val="0"/>
                <w:i w:val="0"/>
                <w:sz w:val="19"/>
              </w:rPr>
              <w:t>High-risk pathway</w:t>
            </w:r>
          </w:p>
        </w:tc>
        <w:tc>
          <w:tcPr>
            <w:tcW w:type="dxa" w:w="2016"/>
            <w:tcW w:w="1100" w:type="dxa"/>
            <w:shd w:val="clear" w:color="auto" w:fill="FFFFFF"/>
          </w:tcPr>
          <w:p>
            <w:pPr>
              <w:spacing w:after="0"/>
            </w:pPr>
            <w:r>
              <w:rPr>
                <w:b/>
                <w:i w:val="0"/>
                <w:sz w:val="19"/>
              </w:rPr>
              <w:t>iCCA-B4</w:t>
            </w:r>
          </w:p>
        </w:tc>
        <w:tc>
          <w:tcPr>
            <w:tcW w:type="dxa" w:w="2016"/>
            <w:tcW w:w="2900" w:type="dxa"/>
            <w:shd w:val="clear" w:color="auto" w:fill="FFFFFF"/>
          </w:tcPr>
          <w:p>
            <w:pPr>
              <w:spacing w:after="0"/>
            </w:pPr>
            <w:r>
              <w:rPr>
                <w:b w:val="0"/>
                <w:i w:val="0"/>
                <w:sz w:val="19"/>
              </w:rPr>
              <w:t>Should a patient whose iCCA nodal or extrahepatic disease has responded or been resected ever be considered for transplantation?</w:t>
            </w:r>
          </w:p>
        </w:tc>
        <w:tc>
          <w:tcPr>
            <w:tcW w:type="dxa" w:w="2016"/>
            <w:tcW w:w="3080" w:type="dxa"/>
            <w:shd w:val="clear" w:color="auto" w:fill="FFFFFF"/>
          </w:tcPr>
          <w:p>
            <w:pPr>
              <w:spacing w:after="0"/>
            </w:pPr>
            <w:r>
              <w:rPr>
                <w:b w:val="0"/>
                <w:i w:val="0"/>
                <w:sz w:val="19"/>
              </w:rPr>
              <w:t>Keep closed. Proven malignant nodes or extrahepatic disease, current or previously treated, exclude the small-cirrhotic route and the advanced-iCCA study. Confirm node-negative status pathologically before listing.</w:t>
            </w:r>
          </w:p>
        </w:tc>
        <w:tc>
          <w:tcPr>
            <w:tcW w:type="dxa" w:w="2016"/>
            <w:tcW w:w="1500" w:type="dxa"/>
            <w:shd w:val="clear" w:color="auto" w:fill="FFFFFF"/>
          </w:tcPr>
          <w:p>
            <w:pPr>
              <w:spacing w:after="0"/>
            </w:pPr>
            <w:r>
              <w:rPr>
                <w:b w:val="0"/>
                <w:i w:val="0"/>
                <w:color w:val="5A6069"/>
                <w:sz w:val="18"/>
              </w:rPr>
              <w:t>Closed · not activated</w:t>
            </w:r>
          </w:p>
        </w:tc>
      </w:tr>
    </w:tbl>
    <w:p>
      <w:pPr>
        <w:spacing w:after="40"/>
      </w:pPr>
    </w:p>
    <w:p>
      <w:pPr>
        <w:pStyle w:val="Heading1"/>
        <w:keepNext/>
        <w:spacing w:before="280" w:after="80"/>
      </w:pPr>
      <w:r>
        <w:rPr>
          <w:b w:val="0"/>
          <w:i w:val="0"/>
        </w:rPr>
        <w:t>Part 1. Roadmap</w:t>
      </w:r>
    </w:p>
    <w:p>
      <w:pPr>
        <w:spacing w:after="80"/>
      </w:pPr>
      <w:r>
        <w:rPr>
          <w:b w:val="0"/>
          <w:i w:val="0"/>
          <w:color w:val="5A6069"/>
          <w:sz w:val="18"/>
        </w:rPr>
        <w:t>Web page: https://drliuhao.github.io/mh-liver-pathways/icca/#questions</w:t>
      </w:r>
    </w:p>
    <w:p>
      <w:pPr>
        <w:pStyle w:val="Heading2"/>
        <w:keepNext/>
        <w:spacing w:before="200" w:after="80"/>
      </w:pPr>
      <w:r>
        <w:rPr>
          <w:b w:val="0"/>
          <w:i w:val="0"/>
        </w:rPr>
        <w:t>iCCA-R1 — Surgery after nodal or extrahepatic disease responds</w:t>
      </w:r>
    </w:p>
    <w:p>
      <w:pPr>
        <w:spacing w:after="80"/>
      </w:pPr>
      <w:r>
        <w:rPr>
          <w:b w:val="0"/>
          <w:i w:val="0"/>
          <w:color w:val="5A6069"/>
          <w:sz w:val="18"/>
        </w:rPr>
        <w:t>Proposed; distant disease exceptional · OPEN proposal · Clinical</w:t>
      </w:r>
    </w:p>
    <w:p>
      <w:pPr>
        <w:spacing w:after="80"/>
      </w:pPr>
      <w:r>
        <w:rPr>
          <w:b/>
          <w:i w:val="0"/>
        </w:rPr>
        <w:t xml:space="preserve">Question: </w:t>
      </w:r>
      <w:r>
        <w:rPr>
          <w:b w:val="0"/>
          <w:i w:val="0"/>
        </w:rPr>
        <w:t>When regional nodes or distant metastases of iCCA respond to chemotherapy, is conversion resection reasonable?</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Zhou 2025 · conversion surgery meta-analysis</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Meta-analysis and pooled patient data, 466 patients (49.6% iCCA). Of 55 iCCA, 19 had metastatic disease before conversion, mostly nodal; most series are locally advanced only.</w:t>
            </w:r>
          </w:p>
        </w:tc>
        <w:tc>
          <w:tcPr>
            <w:tcW w:type="dxa" w:w="3360"/>
            <w:tcW w:w="4180" w:type="dxa"/>
            <w:shd w:val="clear" w:color="auto" w:fill="F1F5F8"/>
          </w:tcPr>
          <w:p>
            <w:pPr>
              <w:spacing w:after="0"/>
            </w:pPr>
            <w:r>
              <w:rPr>
                <w:b w:val="0"/>
                <w:i w:val="0"/>
                <w:sz w:val="19"/>
              </w:rPr>
              <w:t>Conversion associated with longer survival than non-surgical care (HR 0.39); metastatic presentation worse on univariable but not multivariable analysis; residual nodal metastasis in the specimen HR 14.7 (2.3–93.9).</w:t>
            </w:r>
          </w:p>
          <w:p>
            <w:pPr>
              <w:spacing w:after="0"/>
            </w:pPr>
            <w:r>
              <w:rPr>
                <w:b w:val="0"/>
                <w:i/>
                <w:sz w:val="19"/>
              </w:rPr>
              <w:t>Limits: Case-report-based pooled data; strong selection.</w:t>
            </w:r>
          </w:p>
          <w:p>
            <w:pPr>
              <w:spacing w:after="0"/>
            </w:pPr>
            <w:r>
              <w:rPr>
                <w:b w:val="0"/>
                <w:i w:val="0"/>
                <w:color w:val="5A6069"/>
                <w:sz w:val="18"/>
              </w:rPr>
              <w:t>Langenbecks Arch Surg 2025; Tables 1–3, Fig. 3a.</w:t>
            </w:r>
          </w:p>
        </w:tc>
      </w:tr>
      <w:tr>
        <w:trPr>
          <w:cantSplit/>
        </w:trPr>
        <w:tc>
          <w:tcPr>
            <w:tcW w:type="dxa" w:w="3360"/>
            <w:tcW w:w="2000" w:type="dxa"/>
            <w:shd w:val="clear" w:color="auto" w:fill="FFFFFF"/>
          </w:tcPr>
          <w:p>
            <w:pPr>
              <w:spacing w:after="0"/>
            </w:pPr>
            <w:r>
              <w:rPr>
                <w:b/>
                <w:i w:val="0"/>
                <w:sz w:val="19"/>
              </w:rPr>
              <w:t>Murakami 2025 · conversion surgery for BTC</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Single centre, 101 unresectable biliary cancers; 20 converted. 14 converted had distant disease (liver 6, para-aortic nodes 5, peritoneal 3).</w:t>
            </w:r>
          </w:p>
        </w:tc>
        <w:tc>
          <w:tcPr>
            <w:tcW w:type="dxa" w:w="3360"/>
            <w:tcW w:w="4180" w:type="dxa"/>
            <w:shd w:val="clear" w:color="auto" w:fill="FFFFFF"/>
          </w:tcPr>
          <w:p>
            <w:pPr>
              <w:spacing w:after="0"/>
            </w:pPr>
            <w:r>
              <w:rPr>
                <w:b w:val="0"/>
                <w:i w:val="0"/>
                <w:sz w:val="19"/>
              </w:rPr>
              <w:t>5-year survival 55.0% with conversion vs 8.6% without, from the start of chemotherapy; recurrence 14 of 20.</w:t>
            </w:r>
          </w:p>
          <w:p>
            <w:pPr>
              <w:spacing w:after="0"/>
            </w:pPr>
            <w:r>
              <w:rPr>
                <w:b w:val="0"/>
                <w:i/>
                <w:sz w:val="19"/>
              </w:rPr>
              <w:t>Limits: Mixed biliary subsites; immortal-time bias; not iCCA-specific; the abstract gives 65.0% vs 4.3%, inconsistent with the text.</w:t>
            </w:r>
          </w:p>
          <w:p>
            <w:pPr>
              <w:spacing w:after="0"/>
            </w:pPr>
            <w:r>
              <w:rPr>
                <w:b w:val="0"/>
                <w:i w:val="0"/>
                <w:color w:val="5A6069"/>
                <w:sz w:val="18"/>
              </w:rPr>
              <w:t>Cancers 2025; Results 3.3–3.4.</w:t>
            </w:r>
          </w:p>
        </w:tc>
      </w:tr>
      <w:tr>
        <w:trPr>
          <w:cantSplit/>
        </w:trPr>
        <w:tc>
          <w:tcPr>
            <w:tcW w:type="dxa" w:w="3360"/>
            <w:tcW w:w="2000" w:type="dxa"/>
            <w:shd w:val="clear" w:color="auto" w:fill="F1F5F8"/>
          </w:tcPr>
          <w:p>
            <w:pPr>
              <w:spacing w:after="0"/>
            </w:pPr>
            <w:r>
              <w:rPr>
                <w:b/>
                <w:i w:val="0"/>
                <w:sz w:val="19"/>
              </w:rPr>
              <w:t>Yang 2026 · SEER M1 iCCA surgery</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SEER, 256 metastatic iCCA; matched 68 pairs. No response or metastatic-site data.</w:t>
            </w:r>
          </w:p>
        </w:tc>
        <w:tc>
          <w:tcPr>
            <w:tcW w:type="dxa" w:w="3360"/>
            <w:tcW w:w="4180" w:type="dxa"/>
            <w:shd w:val="clear" w:color="auto" w:fill="F1F5F8"/>
          </w:tcPr>
          <w:p>
            <w:pPr>
              <w:spacing w:after="0"/>
            </w:pPr>
            <w:r>
              <w:rPr>
                <w:b w:val="0"/>
                <w:i w:val="0"/>
                <w:sz w:val="19"/>
              </w:rPr>
              <w:t>3-year survival 13.8% with surgery vs 3% without.</w:t>
            </w:r>
          </w:p>
          <w:p>
            <w:pPr>
              <w:spacing w:after="0"/>
            </w:pPr>
            <w:r>
              <w:rPr>
                <w:b w:val="0"/>
                <w:i/>
                <w:sz w:val="19"/>
              </w:rPr>
              <w:t>Limits: Registry; reporting errors.</w:t>
            </w:r>
          </w:p>
          <w:p>
            <w:pPr>
              <w:spacing w:after="0"/>
            </w:pPr>
            <w:r>
              <w:rPr>
                <w:b w:val="0"/>
                <w:i w:val="0"/>
                <w:color w:val="5A6069"/>
                <w:sz w:val="18"/>
              </w:rPr>
              <w:t>J Gastrointest Oncol 2026; Results.</w:t>
            </w:r>
          </w:p>
        </w:tc>
      </w:tr>
      <w:tr>
        <w:trPr>
          <w:cantSplit/>
        </w:trPr>
        <w:tc>
          <w:tcPr>
            <w:tcW w:type="dxa" w:w="3360"/>
            <w:tcW w:w="2000" w:type="dxa"/>
            <w:shd w:val="clear" w:color="auto" w:fill="FFFFFF"/>
          </w:tcPr>
          <w:p>
            <w:pPr>
              <w:spacing w:after="0"/>
            </w:pPr>
            <w:r>
              <w:rPr>
                <w:b/>
                <w:i w:val="0"/>
                <w:sz w:val="19"/>
              </w:rPr>
              <w:t>Le Roy 2017 · secondary resection of iCCA</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Single centre, 74 locally advanced iCCA. Locally advanced, not metastatic.</w:t>
            </w:r>
          </w:p>
        </w:tc>
        <w:tc>
          <w:tcPr>
            <w:tcW w:type="dxa" w:w="3360"/>
            <w:tcW w:w="4180" w:type="dxa"/>
            <w:shd w:val="clear" w:color="auto" w:fill="FFFFFF"/>
          </w:tcPr>
          <w:p>
            <w:pPr>
              <w:spacing w:after="0"/>
            </w:pPr>
            <w:r>
              <w:rPr>
                <w:b w:val="0"/>
                <w:i w:val="0"/>
                <w:sz w:val="19"/>
              </w:rPr>
              <w:t>39 (53%) resected after chemotherapy, median survival 24.1 months (similar to upfront resection).</w:t>
            </w:r>
          </w:p>
          <w:p>
            <w:pPr>
              <w:spacing w:after="0"/>
            </w:pPr>
            <w:r>
              <w:rPr>
                <w:b w:val="0"/>
                <w:i/>
                <w:sz w:val="19"/>
              </w:rPr>
              <w:t>Limits: Locally advanced only.</w:t>
            </w:r>
          </w:p>
          <w:p>
            <w:pPr>
              <w:spacing w:after="0"/>
            </w:pPr>
            <w:r>
              <w:rPr>
                <w:b w:val="0"/>
                <w:i w:val="0"/>
                <w:color w:val="5A6069"/>
                <w:sz w:val="18"/>
              </w:rPr>
              <w:t>Br J Surg 2017 (abstract; full text pending).</w:t>
            </w:r>
          </w:p>
        </w:tc>
      </w:tr>
      <w:tr>
        <w:trPr>
          <w:cantSplit/>
        </w:trPr>
        <w:tc>
          <w:tcPr>
            <w:tcW w:type="dxa" w:w="3360"/>
            <w:tcW w:w="2000" w:type="dxa"/>
            <w:shd w:val="clear" w:color="auto" w:fill="F1F5F8"/>
          </w:tcPr>
          <w:p>
            <w:pPr>
              <w:spacing w:after="0"/>
            </w:pPr>
            <w:r>
              <w:rPr>
                <w:b/>
                <w:i w:val="0"/>
                <w:sz w:val="19"/>
              </w:rPr>
              <w:t>Kurimoto 2025 · iCCA nodal metastasis areas</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Three centres, 84 node-positive resections. Resection with lymphadenectomy; timing relative to chemotherapy not stated in the abstract.</w:t>
            </w:r>
          </w:p>
        </w:tc>
        <w:tc>
          <w:tcPr>
            <w:tcW w:type="dxa" w:w="3360"/>
            <w:tcW w:w="4180" w:type="dxa"/>
            <w:shd w:val="clear" w:color="auto" w:fill="F1F5F8"/>
          </w:tcPr>
          <w:p>
            <w:pPr>
              <w:spacing w:after="0"/>
            </w:pPr>
            <w:r>
              <w:rPr>
                <w:b w:val="0"/>
                <w:i w:val="0"/>
                <w:sz w:val="19"/>
              </w:rPr>
              <w:t>Nodes beyond the hepatoduodenal, common hepatic artery and peripancreatic area: median survival 13.3 vs 24.3 months (p=0.047).</w:t>
            </w:r>
          </w:p>
          <w:p>
            <w:pPr>
              <w:spacing w:after="0"/>
            </w:pPr>
            <w:r>
              <w:rPr>
                <w:b w:val="0"/>
                <w:i/>
                <w:sz w:val="19"/>
              </w:rPr>
              <w:t>Limits: No response data.</w:t>
            </w:r>
          </w:p>
          <w:p>
            <w:pPr>
              <w:spacing w:after="0"/>
            </w:pPr>
            <w:r>
              <w:rPr>
                <w:b w:val="0"/>
                <w:i w:val="0"/>
                <w:color w:val="5A6069"/>
                <w:sz w:val="18"/>
              </w:rPr>
              <w:t>Hepatol Res 2025 (abstract; full text pending).</w:t>
            </w:r>
          </w:p>
        </w:tc>
      </w:tr>
      <w:tr>
        <w:trPr>
          <w:cantSplit/>
        </w:trPr>
        <w:tc>
          <w:tcPr>
            <w:tcW w:type="dxa" w:w="3360"/>
            <w:tcW w:w="2000" w:type="dxa"/>
            <w:shd w:val="clear" w:color="auto" w:fill="FFFFFF"/>
          </w:tcPr>
          <w:p>
            <w:pPr>
              <w:spacing w:after="0"/>
            </w:pPr>
            <w:r>
              <w:rPr>
                <w:b/>
                <w:i w:val="0"/>
                <w:sz w:val="19"/>
              </w:rPr>
              <w:t>Yabushita 2024 · conversion surgery morbidity</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Japan–Korea multicentre, 56 conversion operations (biliary). Locally advanced.</w:t>
            </w:r>
          </w:p>
        </w:tc>
        <w:tc>
          <w:tcPr>
            <w:tcW w:type="dxa" w:w="3360"/>
            <w:tcW w:w="4180" w:type="dxa"/>
            <w:shd w:val="clear" w:color="auto" w:fill="FFFFFF"/>
          </w:tcPr>
          <w:p>
            <w:pPr>
              <w:spacing w:after="0"/>
            </w:pPr>
            <w:r>
              <w:rPr>
                <w:b w:val="0"/>
                <w:i w:val="0"/>
                <w:sz w:val="19"/>
              </w:rPr>
              <w:t>Clavien–Dindo ≥III 60.7%; postoperative mortality 8.9%; 5-year survival 39.1%.</w:t>
            </w:r>
          </w:p>
          <w:p>
            <w:pPr>
              <w:spacing w:after="0"/>
            </w:pPr>
            <w:r>
              <w:rPr>
                <w:b w:val="0"/>
                <w:i/>
                <w:sz w:val="19"/>
              </w:rPr>
              <w:t>Limits: No non-operated denominator.</w:t>
            </w:r>
          </w:p>
          <w:p>
            <w:pPr>
              <w:spacing w:after="0"/>
            </w:pPr>
            <w:r>
              <w:rPr>
                <w:b w:val="0"/>
                <w:i w:val="0"/>
                <w:color w:val="5A6069"/>
                <w:sz w:val="18"/>
              </w:rPr>
              <w:t>J Hepatobiliary Pancreat Sci 2024 (abstract; full text pending).</w:t>
            </w:r>
          </w:p>
        </w:tc>
      </w:tr>
      <w:tr>
        <w:trPr>
          <w:cantSplit/>
        </w:trPr>
        <w:tc>
          <w:tcPr>
            <w:tcW w:type="dxa" w:w="3360"/>
            <w:tcW w:w="2000" w:type="dxa"/>
            <w:shd w:val="clear" w:color="auto" w:fill="F1F5F8"/>
          </w:tcPr>
          <w:p>
            <w:pPr>
              <w:spacing w:after="0"/>
            </w:pPr>
            <w:r>
              <w:rPr>
                <w:b/>
                <w:i w:val="0"/>
                <w:sz w:val="19"/>
              </w:rPr>
              <w:t>Rimini 2026 · locally advanced BTC</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55-centre cohort, 219 locally advanced biliary cancers. No distant disease.</w:t>
            </w:r>
          </w:p>
        </w:tc>
        <w:tc>
          <w:tcPr>
            <w:tcW w:type="dxa" w:w="3360"/>
            <w:tcW w:w="4180" w:type="dxa"/>
            <w:shd w:val="clear" w:color="auto" w:fill="F1F5F8"/>
          </w:tcPr>
          <w:p>
            <w:pPr>
              <w:spacing w:after="0"/>
            </w:pPr>
            <w:r>
              <w:rPr>
                <w:b w:val="0"/>
                <w:i w:val="0"/>
                <w:sz w:val="19"/>
              </w:rPr>
              <w:t>24 (10.9%) resected after systemic therapy; median survival 22.5 vs 19.9 months.</w:t>
            </w:r>
          </w:p>
          <w:p>
            <w:pPr>
              <w:spacing w:after="0"/>
            </w:pPr>
            <w:r>
              <w:rPr>
                <w:b w:val="0"/>
                <w:i/>
                <w:sz w:val="19"/>
              </w:rPr>
              <w:t>Limits: Short follow-up.</w:t>
            </w:r>
          </w:p>
          <w:p>
            <w:pPr>
              <w:spacing w:after="0"/>
            </w:pPr>
            <w:r>
              <w:rPr>
                <w:b w:val="0"/>
                <w:i w:val="0"/>
                <w:color w:val="5A6069"/>
                <w:sz w:val="18"/>
              </w:rPr>
              <w:t>Int J Cancer 2026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Regional nodal disease (hepatoduodenal and common hepatic artery area) that responds may proceed to conversion resection with lymphadenectomy after MDT review. Nodes beyond the regional basin and distant metastases stay systemic-therapy-led; conversion surgery only exceptionally, on very low-certainty evidence, inside a registry or study.</w:t>
      </w:r>
    </w:p>
    <w:p>
      <w:pPr>
        <w:numPr>
          <w:ilvl w:val="0"/>
          <w:numId w:val="5"/>
        </w:numPr>
        <w:spacing w:after="40"/>
      </w:pPr>
      <w:r>
        <w:rPr>
          <w:b w:val="0"/>
          <w:i w:val="0"/>
        </w:rPr>
        <w:t>Regional nodes: restage after response; sample suspicious residual nodes where feasible, because residual nodal disease in the specimen is strongly adverse.</w:t>
      </w:r>
    </w:p>
    <w:p>
      <w:pPr>
        <w:numPr>
          <w:ilvl w:val="0"/>
          <w:numId w:val="5"/>
        </w:numPr>
        <w:spacing w:after="40"/>
      </w:pPr>
      <w:r>
        <w:rPr>
          <w:b w:val="0"/>
          <w:i w:val="0"/>
        </w:rPr>
        <w:t>Distant disease (non-regional nodes, liver-only oligometastases, limited peritoneal or lung): only after durable response on serial imaging, negative whole-body restaging, staging laparoscopy with nodal sampling, and complete resectability of every site.</w:t>
      </w:r>
    </w:p>
    <w:p>
      <w:pPr>
        <w:numPr>
          <w:ilvl w:val="0"/>
          <w:numId w:val="5"/>
        </w:numPr>
        <w:spacing w:after="40"/>
      </w:pPr>
      <w:r>
        <w:rPr>
          <w:b w:val="0"/>
          <w:i w:val="0"/>
        </w:rPr>
        <w:t>Counsel: recurrence 35% across pooled conversion series and 70% (14 of 20) in one single-centre series; major complications 50–61% and postoperative mortality 0–9% in individual series (90-day mortality 4.3% pooled); survival benefit not proven.</w:t>
      </w:r>
    </w:p>
    <w:p>
      <w:pPr>
        <w:numPr>
          <w:ilvl w:val="0"/>
          <w:numId w:val="5"/>
        </w:numPr>
        <w:spacing w:after="40"/>
      </w:pPr>
      <w:r>
        <w:rPr>
          <w:b w:val="0"/>
          <w:i w:val="0"/>
        </w:rPr>
        <w:t>Conversion does not open transplantation (iCCA-B4).</w:t>
      </w:r>
    </w:p>
    <w:p>
      <w:pPr>
        <w:spacing w:after="80"/>
      </w:pPr>
      <w:r>
        <w:rPr>
          <w:b/>
          <w:i w:val="0"/>
        </w:rPr>
        <w:t xml:space="preserve">Why: </w:t>
      </w:r>
      <w:r>
        <w:rPr>
          <w:b w:val="0"/>
          <w:i w:val="0"/>
        </w:rPr>
        <w:t>The conversion evidence comes mostly from locally advanced disease. For metastatic iCCA it rests on very small, selected series, and unselected metastatic resection gives poor survival.</w:t>
      </w:r>
    </w:p>
    <w:p>
      <w:pPr>
        <w:spacing w:after="80"/>
      </w:pPr>
      <w:r>
        <w:rPr>
          <w:b/>
          <w:i w:val="0"/>
        </w:rPr>
        <w:t xml:space="preserve">Against, or uncertain: </w:t>
      </w:r>
      <w:r>
        <w:rPr>
          <w:b w:val="0"/>
          <w:i w:val="0"/>
        </w:rPr>
        <w:t>Guidelines are characterized as discouraging surgery for metastatic iCCA; benefit in metastatic disease is unproven.</w:t>
      </w:r>
    </w:p>
    <w:p>
      <w:pPr>
        <w:spacing w:after="80"/>
      </w:pPr>
      <w:r>
        <w:rPr>
          <w:b/>
          <w:i w:val="0"/>
        </w:rPr>
        <w:t xml:space="preserve">Certainty: </w:t>
      </w:r>
      <w:r>
        <w:rPr>
          <w:b w:val="0"/>
          <w:i w:val="0"/>
        </w:rPr>
        <w:t>Low for regional nodal disease after response; very low for distant disease.</w:t>
      </w:r>
    </w:p>
    <w:p>
      <w:pPr>
        <w:spacing w:after="80"/>
      </w:pPr>
      <w:r>
        <w:rPr>
          <w:b/>
          <w:i w:val="0"/>
        </w:rPr>
        <w:t xml:space="preserve">What would change the answer: </w:t>
      </w:r>
      <w:r>
        <w:rPr>
          <w:b w:val="0"/>
          <w:i w:val="0"/>
        </w:rPr>
        <w:t>Prospective data on conversion surgery for metastatic iCCA.</w:t>
      </w:r>
    </w:p>
    <w:p>
      <w:pPr>
        <w:pStyle w:val="Heading3"/>
        <w:keepNext/>
        <w:spacing w:before="120" w:after="80"/>
      </w:pPr>
      <w:r>
        <w:rPr>
          <w:b w:val="0"/>
          <w:i w:val="0"/>
        </w:rPr>
        <w:t>iCCA-R1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 — Does the programme run a hepatic arterial infusion service for intrahepatic cholangiocarcinoma?</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4 · Treat and reassess for resection</w:t>
        </w:r>
      </w:hyperlink>
      <w:r>
        <w:rPr>
          <w:b w:val="0"/>
          <w:i w:val="0"/>
        </w:rPr>
        <w:t xml:space="preserve"> · </w:t>
      </w:r>
      <w:hyperlink r:id="rId10">
        <w:r>
          <w:rPr>
            <w:color w:val="0563C1"/>
            <w:u w:val="single"/>
          </w:rPr>
          <w:t xml:space="preserve">5 · Unresectable disease confined to the liver</w:t>
        </w:r>
      </w:hyperlink>
      <w:r>
        <w:rPr>
          <w:b w:val="0"/>
          <w:i w:val="0"/>
        </w:rPr>
        <w:t xml:space="preserve"> · </w:t>
      </w:r>
      <w:hyperlink r:id="rId11">
        <w:r>
          <w:rPr>
            <w:color w:val="0563C1"/>
            <w:u w:val="single"/>
          </w:rPr>
          <w:t xml:space="preserve">7 · Select liver-directed therapy</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BTC v1.2026</w:t>
            </w:r>
          </w:p>
        </w:tc>
        <w:tc>
          <w:tcPr>
            <w:tcW w:type="dxa" w:w="3360"/>
            <w:tcW w:w="5480" w:type="dxa"/>
            <w:shd w:val="clear" w:color="auto" w:fill="F1F5F8"/>
          </w:tcPr>
          <w:p>
            <w:pPr>
              <w:spacing w:after="0"/>
            </w:pPr>
            <w:r>
              <w:rPr>
                <w:b w:val="0"/>
                <w:i w:val="0"/>
                <w:sz w:val="19"/>
              </w:rPr>
              <w:t>Permits HAI in trials or experienced centres for carefully selected patients.</w:t>
            </w:r>
          </w:p>
        </w:tc>
        <w:tc>
          <w:tcPr>
            <w:tcW w:type="dxa" w:w="3360"/>
            <w:tcW w:w="2400" w:type="dxa"/>
            <w:shd w:val="clear" w:color="auto" w:fill="F1F5F8"/>
          </w:tcPr>
          <w:p>
            <w:pPr>
              <w:spacing w:after="0"/>
            </w:pPr>
            <w:r>
              <w:rPr>
                <w:b w:val="0"/>
                <w:i w:val="0"/>
                <w:color w:val="5A6069"/>
                <w:sz w:val="18"/>
              </w:rPr>
              <w:t>Gate 7 · Standard selector option 'Hepatic arterial infusion' (when)</w:t>
            </w:r>
          </w:p>
        </w:tc>
      </w:tr>
      <w:tr>
        <w:trPr>
          <w:cantSplit/>
        </w:trPr>
        <w:tc>
          <w:tcPr>
            <w:tcW w:type="dxa" w:w="3360"/>
            <w:tcW w:w="2200" w:type="dxa"/>
            <w:shd w:val="clear" w:color="auto" w:fill="FFFFFF"/>
          </w:tcPr>
          <w:p>
            <w:pPr>
              <w:spacing w:after="0"/>
            </w:pPr>
            <w:r>
              <w:rPr>
                <w:b/>
                <w:i w:val="0"/>
                <w:sz w:val="19"/>
              </w:rPr>
              <w:t>Cercek HAI phase 2</w:t>
            </w:r>
          </w:p>
        </w:tc>
        <w:tc>
          <w:tcPr>
            <w:tcW w:type="dxa" w:w="3360"/>
            <w:tcW w:w="5480" w:type="dxa"/>
            <w:shd w:val="clear" w:color="auto" w:fill="FFFFFF"/>
          </w:tcPr>
          <w:p>
            <w:pPr>
              <w:spacing w:after="0"/>
            </w:pPr>
            <w:r>
              <w:rPr>
                <w:b w:val="0"/>
                <w:i w:val="0"/>
                <w:sz w:val="19"/>
              </w:rPr>
              <w:t>Single-institution, 38 treated of 84 screened: partial response 58%, 6-month PFS 84.1%, median OS 25.0 months, four resected. Critique: grade 4 withdrawal 11%, full-dose delivery fell from 71% to 47% of patients, historical comparator; the editorial calls the case unsettled.</w:t>
            </w:r>
          </w:p>
        </w:tc>
        <w:tc>
          <w:tcPr>
            <w:tcW w:type="dxa" w:w="3360"/>
            <w:tcW w:w="2400" w:type="dxa"/>
            <w:shd w:val="clear" w:color="auto" w:fill="FFFFFF"/>
          </w:tcPr>
          <w:p>
            <w:pPr>
              <w:spacing w:after="0"/>
            </w:pPr>
            <w:r>
              <w:rPr>
                <w:b w:val="0"/>
                <w:i w:val="0"/>
                <w:color w:val="5A6069"/>
                <w:sz w:val="18"/>
              </w:rPr>
              <w:t>Gate 4 · Reasonable option 'Hepatic arterial infusion plus systemic chemotherapy' (when, note); What we are not sure about · 'Hepatic arterial infusion as the strongest regional option'</w:t>
            </w:r>
          </w:p>
        </w:tc>
      </w:tr>
      <w:tr>
        <w:trPr>
          <w:cantSplit/>
        </w:trPr>
        <w:tc>
          <w:tcPr>
            <w:tcW w:type="dxa" w:w="3360"/>
            <w:tcW w:w="2200" w:type="dxa"/>
            <w:shd w:val="clear" w:color="auto" w:fill="F1F5F8"/>
          </w:tcPr>
          <w:p>
            <w:pPr>
              <w:spacing w:after="0"/>
            </w:pPr>
            <w:r>
              <w:rPr>
                <w:b/>
                <w:i w:val="0"/>
                <w:sz w:val="19"/>
              </w:rPr>
              <w:t>Konstantinidis HAI cohort</w:t>
            </w:r>
          </w:p>
        </w:tc>
        <w:tc>
          <w:tcPr>
            <w:tcW w:type="dxa" w:w="3360"/>
            <w:tcW w:w="5480" w:type="dxa"/>
            <w:shd w:val="clear" w:color="auto" w:fill="F1F5F8"/>
          </w:tcPr>
          <w:p>
            <w:pPr>
              <w:spacing w:after="0"/>
            </w:pPr>
            <w:r>
              <w:rPr>
                <w:b w:val="0"/>
                <w:i w:val="0"/>
                <w:sz w:val="19"/>
              </w:rPr>
              <w:t>Retrospective median OS 30.8 versus 18.4 months against systemic therapy alone in liver-confined disease, but stage migration favours HAI, the comparator was 26 patients, and only 8 of 236 converted to curative resection.</w:t>
            </w:r>
          </w:p>
        </w:tc>
        <w:tc>
          <w:tcPr>
            <w:tcW w:type="dxa" w:w="3360"/>
            <w:tcW w:w="2400" w:type="dxa"/>
            <w:shd w:val="clear" w:color="auto" w:fill="F1F5F8"/>
          </w:tcPr>
          <w:p>
            <w:pPr>
              <w:spacing w:after="0"/>
            </w:pPr>
            <w:r>
              <w:rPr>
                <w:b w:val="0"/>
                <w:i w:val="0"/>
                <w:color w:val="5A6069"/>
                <w:sz w:val="18"/>
              </w:rPr>
              <w:t>Gate 4 · HAI option (note); What we are not sure about · 'Hepatic arterial infusion as the strongest regional option'</w:t>
            </w:r>
          </w:p>
        </w:tc>
      </w:tr>
      <w:tr>
        <w:trPr>
          <w:cantSplit/>
        </w:trPr>
        <w:tc>
          <w:tcPr>
            <w:tcW w:type="dxa" w:w="3360"/>
            <w:tcW w:w="2200" w:type="dxa"/>
            <w:shd w:val="clear" w:color="auto" w:fill="FFFFFF"/>
          </w:tcPr>
          <w:p>
            <w:pPr>
              <w:spacing w:after="0"/>
            </w:pPr>
            <w:r>
              <w:rPr>
                <w:b/>
                <w:i w:val="0"/>
                <w:sz w:val="19"/>
              </w:rPr>
              <w:t>PUMP-2</w:t>
            </w:r>
          </w:p>
        </w:tc>
        <w:tc>
          <w:tcPr>
            <w:tcW w:type="dxa" w:w="3360"/>
            <w:tcW w:w="5480" w:type="dxa"/>
            <w:shd w:val="clear" w:color="auto" w:fill="FFFFFF"/>
          </w:tcPr>
          <w:p>
            <w:pPr>
              <w:spacing w:after="0"/>
            </w:pPr>
            <w:r>
              <w:rPr>
                <w:b w:val="0"/>
                <w:i w:val="0"/>
                <w:sz w:val="19"/>
              </w:rPr>
              <w:t>Three-centre nonrandomised phase II: 50 pumps placed, partial response 44%, six-month disease control 84%, 10% resected, median OS 22.3 months; the historical comparator does not show superiority over contemporary chemo-immunotherapy.</w:t>
            </w:r>
          </w:p>
        </w:tc>
        <w:tc>
          <w:tcPr>
            <w:tcW w:type="dxa" w:w="3360"/>
            <w:tcW w:w="2400" w:type="dxa"/>
            <w:shd w:val="clear" w:color="auto" w:fill="FFFFFF"/>
          </w:tcPr>
          <w:p>
            <w:pPr>
              <w:spacing w:after="0"/>
            </w:pPr>
            <w:r>
              <w:rPr>
                <w:b w:val="0"/>
                <w:i w:val="0"/>
                <w:color w:val="5A6069"/>
                <w:sz w:val="18"/>
              </w:rPr>
              <w:t>Gate 4 · HAI option (note); HAI evidence and pathway revision · 'Multicentre phase II evidence'</w:t>
            </w:r>
          </w:p>
        </w:tc>
      </w:tr>
      <w:tr>
        <w:trPr>
          <w:cantSplit/>
        </w:trPr>
        <w:tc>
          <w:tcPr>
            <w:tcW w:type="dxa" w:w="3360"/>
            <w:tcW w:w="2200" w:type="dxa"/>
            <w:shd w:val="clear" w:color="auto" w:fill="F1F5F8"/>
          </w:tcPr>
          <w:p>
            <w:pPr>
              <w:spacing w:after="0"/>
            </w:pPr>
            <w:r>
              <w:rPr>
                <w:b/>
                <w:i w:val="0"/>
                <w:sz w:val="19"/>
              </w:rPr>
              <w:t>Pooled analysis of four phase II HAI trials</w:t>
            </w:r>
          </w:p>
        </w:tc>
        <w:tc>
          <w:tcPr>
            <w:tcW w:type="dxa" w:w="3360"/>
            <w:tcW w:w="5480" w:type="dxa"/>
            <w:shd w:val="clear" w:color="auto" w:fill="F1F5F8"/>
          </w:tcPr>
          <w:p>
            <w:pPr>
              <w:spacing w:after="0"/>
            </w:pPr>
            <w:r>
              <w:rPr>
                <w:b w:val="0"/>
                <w:i w:val="0"/>
                <w:sz w:val="19"/>
              </w:rPr>
              <w:t>142 treated patients, median OS 26 months, five-year OS 15% (14% intention to treat), 9% resected; it reuses constituent trial patients, so it is not independent replication or randomised evidence.</w:t>
            </w:r>
          </w:p>
        </w:tc>
        <w:tc>
          <w:tcPr>
            <w:tcW w:type="dxa" w:w="3360"/>
            <w:tcW w:w="2400" w:type="dxa"/>
            <w:shd w:val="clear" w:color="auto" w:fill="F1F5F8"/>
          </w:tcPr>
          <w:p>
            <w:pPr>
              <w:spacing w:after="0"/>
            </w:pPr>
            <w:r>
              <w:rPr>
                <w:b w:val="0"/>
                <w:i w:val="0"/>
                <w:color w:val="5A6069"/>
                <w:sz w:val="18"/>
              </w:rPr>
              <w:t>Gate 5 · Reasonable option 'Hepatic arterial infusion' (note); HAI evidence and pathway revision · 'Mature pooled outcomes'</w:t>
            </w:r>
          </w:p>
        </w:tc>
      </w:tr>
    </w:tbl>
    <w:p>
      <w:pPr>
        <w:spacing w:after="40"/>
      </w:pPr>
    </w:p>
    <w:p>
      <w:pPr>
        <w:spacing w:after="80"/>
      </w:pPr>
      <w:r>
        <w:rPr>
          <w:b/>
          <w:i w:val="0"/>
        </w:rPr>
        <w:t xml:space="preserve">Where sources differ: </w:t>
      </w:r>
      <w:r>
        <w:rPr>
          <w:b w:val="0"/>
          <w:i w:val="0"/>
        </w:rPr>
        <w:t>NCCN confines HAI to trials or experienced centres, and the supporting cohorts are nonrandomised, overlapping and lack a modern chemo-immunotherapy comparator, so the decision turns on programme capability more than on evidence.</w:t>
      </w:r>
    </w:p>
    <w:p>
      <w:pPr>
        <w:pStyle w:val="Heading3"/>
        <w:keepNext/>
        <w:spacing w:before="120" w:after="80"/>
      </w:pPr>
      <w:r>
        <w:rPr>
          <w:b w:val="0"/>
          <w:i w:val="0"/>
        </w:rPr>
        <w:t>Our proposed selection (OPEN)</w:t>
      </w:r>
    </w:p>
    <w:p>
      <w:pPr>
        <w:spacing w:after="80"/>
      </w:pPr>
      <w:r>
        <w:rPr>
          <w:b w:val="0"/>
          <w:i w:val="0"/>
        </w:rPr>
        <w:t>The roadmap does not answer yes or no; it keeps HAI as a Reasonable, grade C, expertise-dependent option for unresectable liver-confined disease with favourable arterial anatomy, generally with systemic therapy and considered early, only within an approved pump programme whose full service team, monitoring, toxicity escalation and registry are named before activation.</w:t>
      </w:r>
    </w:p>
    <w:p>
      <w:pPr>
        <w:spacing w:after="80"/>
      </w:pPr>
      <w:r>
        <w:rPr>
          <w:b/>
          <w:i w:val="0"/>
          <w:color w:val="5A6069"/>
          <w:sz w:val="18"/>
        </w:rPr>
        <w:t xml:space="preserve">Basis in the document: </w:t>
      </w:r>
      <w:r>
        <w:rPr>
          <w:b w:val="0"/>
          <w:i w:val="0"/>
          <w:color w:val="5A6069"/>
          <w:sz w:val="18"/>
        </w:rPr>
        <w:t>Gate 4 · Reasonable 'Hepatic arterial infusion plus systemic chemotherapy'; Gate 7 · selector 'Hepatic arterial infusion'; HAI evidence and pathway revision · 'Treatment position', 'Programme readiness'</w:t>
      </w:r>
    </w:p>
    <w:p>
      <w:pPr>
        <w:spacing w:after="80"/>
      </w:pPr>
      <w:r>
        <w:rPr>
          <w:b/>
          <w:i w:val="0"/>
        </w:rPr>
        <w:t xml:space="preserve">Why: </w:t>
      </w:r>
      <w:r>
        <w:rPr>
          <w:b w:val="0"/>
          <w:i w:val="0"/>
        </w:rPr>
        <w:t>PUMP-2 (PMID 41082695), a three-centre nonrandomized phase II study: 50 pumps placed, 48 patients started HAI, partial response 44%, six-month disease control 84%, resection 5/50 (10%), median OS 22.3 months and three-year OS 31.5%. The 2026 pooled analysis of four phase II trials (PMID 42331230) reports 142 treated patients, median OS 26 months, five-year OS 15% (ITT 14%), and 13/142 resections (9%). The pooled cohorts overlap the constituent trials; these are not independent replications or randomized comparisons with modern chemo-immunotherapy. Before activation, name the HPB pump surgeon and backup, medical oncology lead, nursing/pharmacy team, nuclear-medicine perfusion service and IR rescue service; define refill/maintenance coverage, laboratory monitoring and dose holds, biliary-toxicity escalation, and an outcomes registry. Minimum programme requirements: PMID 39962001; surgical toolkit: PMID 36346892. Avoid concurrent bevacizumab with FUDR (PMID 24154839); retain the NCCN CRLM restriction on concurrent VEGF inhibitors.</w:t>
      </w:r>
    </w:p>
    <w:p>
      <w:pPr>
        <w:spacing w:after="80"/>
      </w:pPr>
      <w:r>
        <w:rPr>
          <w:b/>
          <w:i w:val="0"/>
        </w:rPr>
        <w:t xml:space="preserve">What gets audited: </w:t>
      </w:r>
      <w:r>
        <w:rPr>
          <w:b w:val="0"/>
          <w:i w:val="0"/>
        </w:rPr>
        <w:t>Registry: every HAI case, toxicity, hepatic progression-free survival.</w:t>
      </w:r>
    </w:p>
    <w:p>
      <w:pPr>
        <w:pStyle w:val="Heading3"/>
        <w:keepNext/>
        <w:spacing w:before="120" w:after="80"/>
      </w:pPr>
      <w:r>
        <w:rPr>
          <w:b w:val="0"/>
          <w:i w:val="0"/>
        </w:rPr>
        <w:t>iCCA-D1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iCCA-D2 — Which liver-directed modality is first choice for unresectable liver-confined disease?</w:t>
      </w:r>
    </w:p>
    <w:p>
      <w:pPr>
        <w:spacing w:after="80"/>
      </w:pPr>
      <w:r>
        <w:rPr>
          <w:b w:val="0"/>
          <w:i w:val="0"/>
          <w:color w:val="5A6069"/>
          <w:sz w:val="18"/>
        </w:rPr>
        <w:t>OPEN — not yet decided · Clinical</w:t>
      </w:r>
    </w:p>
    <w:p>
      <w:pPr>
        <w:spacing w:after="80"/>
      </w:pPr>
      <w:r>
        <w:rPr>
          <w:b/>
          <w:i w:val="0"/>
        </w:rPr>
        <w:t xml:space="preserve">Where it is decided: </w:t>
      </w:r>
      <w:hyperlink r:id="rId10">
        <w:r>
          <w:rPr>
            <w:color w:val="0563C1"/>
            <w:u w:val="single"/>
          </w:rPr>
          <w:t xml:space="preserve">5 · Unresectable disease confined to the liver</w:t>
        </w:r>
      </w:hyperlink>
      <w:r>
        <w:rPr>
          <w:b w:val="0"/>
          <w:i w:val="0"/>
        </w:rPr>
        <w:t xml:space="preserve"> · </w:t>
      </w:r>
      <w:hyperlink r:id="rId11">
        <w:r>
          <w:rPr>
            <w:color w:val="0563C1"/>
            <w:u w:val="single"/>
          </w:rPr>
          <w:t xml:space="preserve">7 · Select liver-directed therapy</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Cercek HAI phase 2</w:t>
            </w:r>
          </w:p>
        </w:tc>
        <w:tc>
          <w:tcPr>
            <w:tcW w:type="dxa" w:w="3360"/>
            <w:tcW w:w="5480" w:type="dxa"/>
            <w:shd w:val="clear" w:color="auto" w:fill="F1F5F8"/>
          </w:tcPr>
          <w:p>
            <w:pPr>
              <w:spacing w:after="0"/>
            </w:pPr>
            <w:r>
              <w:rPr>
                <w:b w:val="0"/>
                <w:i w:val="0"/>
                <w:sz w:val="19"/>
              </w:rPr>
              <w:t>HAI floxuridine with systemic gemcitabine–oxaliplatin: partial response 58%, 6-month PFS 84.1%, median OS 25.0 months in 38 selected patients; single-arm with a historical comparison.</w:t>
            </w:r>
          </w:p>
        </w:tc>
        <w:tc>
          <w:tcPr>
            <w:tcW w:type="dxa" w:w="3360"/>
            <w:tcW w:w="2400" w:type="dxa"/>
            <w:shd w:val="clear" w:color="auto" w:fill="F1F5F8"/>
          </w:tcPr>
          <w:p>
            <w:pPr>
              <w:spacing w:after="0"/>
            </w:pPr>
            <w:r>
              <w:rPr>
                <w:b w:val="0"/>
                <w:i w:val="0"/>
                <w:color w:val="5A6069"/>
                <w:sz w:val="18"/>
              </w:rPr>
              <w:t>Gate 5 · Reasonable option 'Hepatic arterial infusion' (when); Gate 4 · HAI option (when, note)</w:t>
            </w:r>
          </w:p>
        </w:tc>
      </w:tr>
      <w:tr>
        <w:trPr>
          <w:cantSplit/>
        </w:trPr>
        <w:tc>
          <w:tcPr>
            <w:tcW w:type="dxa" w:w="3360"/>
            <w:tcW w:w="2200" w:type="dxa"/>
            <w:shd w:val="clear" w:color="auto" w:fill="FFFFFF"/>
          </w:tcPr>
          <w:p>
            <w:pPr>
              <w:spacing w:after="0"/>
            </w:pPr>
            <w:r>
              <w:rPr>
                <w:b/>
                <w:i w:val="0"/>
                <w:sz w:val="19"/>
              </w:rPr>
              <w:t>MISPHEC</w:t>
            </w:r>
          </w:p>
        </w:tc>
        <w:tc>
          <w:tcPr>
            <w:tcW w:type="dxa" w:w="3360"/>
            <w:tcW w:w="5480" w:type="dxa"/>
            <w:shd w:val="clear" w:color="auto" w:fill="FFFFFF"/>
          </w:tcPr>
          <w:p>
            <w:pPr>
              <w:spacing w:after="0"/>
            </w:pPr>
            <w:r>
              <w:rPr>
                <w:b w:val="0"/>
                <w:i w:val="0"/>
                <w:sz w:val="19"/>
              </w:rPr>
              <w:t>Y90 with gemcitabine–cisplatin in 41 patients: response about 40%, 22% downstaged, median OS 22 months; hepatic failure in 75% of cirrhotic patients, and the regimen depends on dosimetry that does not transfer as written.</w:t>
            </w:r>
          </w:p>
        </w:tc>
        <w:tc>
          <w:tcPr>
            <w:tcW w:type="dxa" w:w="3360"/>
            <w:tcW w:w="2400" w:type="dxa"/>
            <w:shd w:val="clear" w:color="auto" w:fill="FFFFFF"/>
          </w:tcPr>
          <w:p>
            <w:pPr>
              <w:spacing w:after="0"/>
            </w:pPr>
            <w:r>
              <w:rPr>
                <w:b w:val="0"/>
                <w:i w:val="0"/>
                <w:color w:val="5A6069"/>
                <w:sz w:val="18"/>
              </w:rPr>
              <w:t>Gate 4 · Reasonable option 'Y90 radioembolisation with first-line chemotherapy'; Gate 5 · option 'Radioembolisation or chemoembolisation'</w:t>
            </w:r>
          </w:p>
        </w:tc>
      </w:tr>
      <w:tr>
        <w:trPr>
          <w:cantSplit/>
        </w:trPr>
        <w:tc>
          <w:tcPr>
            <w:tcW w:type="dxa" w:w="3360"/>
            <w:tcW w:w="2200" w:type="dxa"/>
            <w:shd w:val="clear" w:color="auto" w:fill="F1F5F8"/>
          </w:tcPr>
          <w:p>
            <w:pPr>
              <w:spacing w:after="0"/>
            </w:pPr>
            <w:r>
              <w:rPr>
                <w:b/>
                <w:i w:val="0"/>
                <w:sz w:val="19"/>
              </w:rPr>
              <w:t>Tao dose-response series</w:t>
            </w:r>
          </w:p>
        </w:tc>
        <w:tc>
          <w:tcPr>
            <w:tcW w:type="dxa" w:w="3360"/>
            <w:tcW w:w="5480" w:type="dxa"/>
            <w:shd w:val="clear" w:color="auto" w:fill="F1F5F8"/>
          </w:tcPr>
          <w:p>
            <w:pPr>
              <w:spacing w:after="0"/>
            </w:pPr>
            <w:r>
              <w:rPr>
                <w:b w:val="0"/>
                <w:i w:val="0"/>
                <w:sz w:val="19"/>
              </w:rPr>
              <w:t>Retrospective, 79 patients: 3-year local control 78% and OS 73% above a biologic equivalent dose of 80.5 Gy, but only 19 received the high dose and dose is confounded with target volume and era.</w:t>
            </w:r>
          </w:p>
        </w:tc>
        <w:tc>
          <w:tcPr>
            <w:tcW w:type="dxa" w:w="3360"/>
            <w:tcW w:w="2400" w:type="dxa"/>
            <w:shd w:val="clear" w:color="auto" w:fill="F1F5F8"/>
          </w:tcPr>
          <w:p>
            <w:pPr>
              <w:spacing w:after="0"/>
            </w:pPr>
            <w:r>
              <w:rPr>
                <w:b w:val="0"/>
                <w:i w:val="0"/>
                <w:color w:val="5A6069"/>
                <w:sz w:val="18"/>
              </w:rPr>
              <w:t>Gate 5 · Reasonable option 'SBRT or proton therapy'; What we are not sure about · 'Ablative radiotherapy doses, and the 80.5 Gy figure'</w:t>
            </w:r>
          </w:p>
        </w:tc>
      </w:tr>
      <w:tr>
        <w:trPr>
          <w:cantSplit/>
        </w:trPr>
        <w:tc>
          <w:tcPr>
            <w:tcW w:type="dxa" w:w="3360"/>
            <w:tcW w:w="2200" w:type="dxa"/>
            <w:shd w:val="clear" w:color="auto" w:fill="FFFFFF"/>
          </w:tcPr>
          <w:p>
            <w:pPr>
              <w:spacing w:after="0"/>
            </w:pPr>
            <w:r>
              <w:rPr>
                <w:b/>
                <w:i w:val="0"/>
                <w:sz w:val="19"/>
              </w:rPr>
              <w:t>Kiefer two-centre chemoembolisation cohort</w:t>
            </w:r>
          </w:p>
        </w:tc>
        <w:tc>
          <w:tcPr>
            <w:tcW w:type="dxa" w:w="3360"/>
            <w:tcW w:w="5480" w:type="dxa"/>
            <w:shd w:val="clear" w:color="auto" w:fill="FFFFFF"/>
          </w:tcPr>
          <w:p>
            <w:pPr>
              <w:spacing w:after="0"/>
            </w:pPr>
            <w:r>
              <w:rPr>
                <w:b w:val="0"/>
                <w:i w:val="0"/>
                <w:sz w:val="19"/>
              </w:rPr>
              <w:t>Median OS 20 months from diagnosis in 62 patients, major complications after 3% of procedures; heterogeneous, nonrandomised, 40% unknown-primary adenocarcinoma, and a regimen predating current options.</w:t>
            </w:r>
          </w:p>
        </w:tc>
        <w:tc>
          <w:tcPr>
            <w:tcW w:type="dxa" w:w="3360"/>
            <w:tcW w:w="2400" w:type="dxa"/>
            <w:shd w:val="clear" w:color="auto" w:fill="FFFFFF"/>
          </w:tcPr>
          <w:p>
            <w:pPr>
              <w:spacing w:after="0"/>
            </w:pPr>
            <w:r>
              <w:rPr>
                <w:b w:val="0"/>
                <w:i w:val="0"/>
                <w:color w:val="5A6069"/>
                <w:sz w:val="18"/>
              </w:rPr>
              <w:t>Gate 5 · Reasonable option 'Radioembolisation or chemoembolisation' (when, note)</w:t>
            </w:r>
          </w:p>
        </w:tc>
      </w:tr>
      <w:tr>
        <w:trPr>
          <w:cantSplit/>
        </w:trPr>
        <w:tc>
          <w:tcPr>
            <w:tcW w:type="dxa" w:w="3360"/>
            <w:tcW w:w="2200" w:type="dxa"/>
            <w:shd w:val="clear" w:color="auto" w:fill="F1F5F8"/>
          </w:tcPr>
          <w:p>
            <w:pPr>
              <w:spacing w:after="0"/>
            </w:pPr>
            <w:r>
              <w:rPr>
                <w:b/>
                <w:i w:val="0"/>
                <w:sz w:val="19"/>
              </w:rPr>
              <w:t>AASLD 2023</w:t>
            </w:r>
          </w:p>
        </w:tc>
        <w:tc>
          <w:tcPr>
            <w:tcW w:type="dxa" w:w="3360"/>
            <w:tcW w:w="5480" w:type="dxa"/>
            <w:shd w:val="clear" w:color="auto" w:fill="F1F5F8"/>
          </w:tcPr>
          <w:p>
            <w:pPr>
              <w:spacing w:after="0"/>
            </w:pPr>
            <w:r>
              <w:rPr>
                <w:b w:val="0"/>
                <w:i w:val="0"/>
                <w:sz w:val="19"/>
              </w:rPr>
              <w:t>Judges the data insufficient to support liver-directed therapy as a standard treatment for locally advanced unresectable iCCA.</w:t>
            </w:r>
          </w:p>
        </w:tc>
        <w:tc>
          <w:tcPr>
            <w:tcW w:type="dxa" w:w="3360"/>
            <w:tcW w:w="2400" w:type="dxa"/>
            <w:shd w:val="clear" w:color="auto" w:fill="F1F5F8"/>
          </w:tcPr>
          <w:p>
            <w:pPr>
              <w:spacing w:after="0"/>
            </w:pPr>
            <w:r>
              <w:rPr>
                <w:b w:val="0"/>
                <w:i w:val="0"/>
                <w:color w:val="5A6069"/>
                <w:sz w:val="18"/>
              </w:rPr>
              <w:t>Gate 5 · Avoid 'Do not substitute liver-directed therapy for systemic therapy'</w:t>
            </w:r>
          </w:p>
        </w:tc>
      </w:tr>
    </w:tbl>
    <w:p>
      <w:pPr>
        <w:spacing w:after="40"/>
      </w:pPr>
    </w:p>
    <w:p>
      <w:pPr>
        <w:spacing w:after="80"/>
      </w:pPr>
      <w:r>
        <w:rPr>
          <w:b/>
          <w:i w:val="0"/>
        </w:rPr>
        <w:t xml:space="preserve">Where sources differ: </w:t>
      </w:r>
      <w:r>
        <w:rPr>
          <w:b w:val="0"/>
          <w:i w:val="0"/>
        </w:rPr>
        <w:t>No randomised trial compares any two modalities or tests any against modern chemo-immunotherapy, so the datasets differ in size and design rather than establishing a hierarchy.</w:t>
      </w:r>
    </w:p>
    <w:p>
      <w:pPr>
        <w:pStyle w:val="Heading3"/>
        <w:keepNext/>
        <w:spacing w:before="120" w:after="80"/>
      </w:pPr>
      <w:r>
        <w:rPr>
          <w:b w:val="0"/>
          <w:i w:val="0"/>
        </w:rPr>
        <w:t>Our proposed selection (OPEN)</w:t>
      </w:r>
    </w:p>
    <w:p>
      <w:pPr>
        <w:spacing w:after="80"/>
      </w:pPr>
      <w:r>
        <w:rPr>
          <w:b w:val="0"/>
          <w:i w:val="0"/>
        </w:rPr>
        <w:t>No first choice: the roadmap states no established head-to-head hierarchy among HAI, Y90, chemoembolisation and ablative radiotherapy; selection follows treatment goal, target geometry, liver reserve, the systemic plan and what the institution can deliver, with liver-directed therapy added to, not substituted for, the systemic backbone, and the listing order carrying no evidence claim.</w:t>
      </w:r>
    </w:p>
    <w:p>
      <w:pPr>
        <w:spacing w:after="80"/>
      </w:pPr>
      <w:r>
        <w:rPr>
          <w:b/>
          <w:i w:val="0"/>
          <w:color w:val="5A6069"/>
          <w:sz w:val="18"/>
        </w:rPr>
        <w:t xml:space="preserve">Basis in the document: </w:t>
      </w:r>
      <w:r>
        <w:rPr>
          <w:b w:val="0"/>
          <w:i w:val="0"/>
          <w:color w:val="5A6069"/>
          <w:sz w:val="18"/>
        </w:rPr>
        <w:t>Gate 5 · Reasonable liver-directed options (order, flagnote); Gate 4 · Reasonable options (order); Gate 7 · selector (order); Gate 5 · Avoid 'Do not substitute liver-directed therapy…'</w:t>
      </w:r>
    </w:p>
    <w:p>
      <w:pPr>
        <w:spacing w:after="80"/>
      </w:pPr>
      <w:r>
        <w:rPr>
          <w:b/>
          <w:i w:val="0"/>
        </w:rPr>
        <w:t xml:space="preserve">Why: </w:t>
      </w:r>
      <w:r>
        <w:rPr>
          <w:b w:val="0"/>
          <w:i w:val="0"/>
        </w:rPr>
        <w:t>No head-to-head comparison exists between HAI, radioembolisation, SBRT and proton therapy.</w:t>
      </w:r>
    </w:p>
    <w:p>
      <w:pPr>
        <w:spacing w:after="80"/>
      </w:pPr>
      <w:r>
        <w:rPr>
          <w:b/>
          <w:i w:val="0"/>
        </w:rPr>
        <w:t xml:space="preserve">What gets audited: </w:t>
      </w:r>
      <w:r>
        <w:rPr>
          <w:b w:val="0"/>
          <w:i w:val="0"/>
        </w:rPr>
        <w:t>Registry: modality, goal, hepatic progression-free survival, liver function change.</w:t>
      </w:r>
    </w:p>
    <w:p>
      <w:pPr>
        <w:pStyle w:val="Heading3"/>
        <w:keepNext/>
        <w:spacing w:before="120" w:after="80"/>
      </w:pPr>
      <w:r>
        <w:rPr>
          <w:b w:val="0"/>
          <w:i w:val="0"/>
        </w:rPr>
        <w:t>iCCA-D2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iCCA-D3 — Adjuvant capecitabine — offered routinely, or case by case?</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8 · Adjuvant treatment after resection</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BILCAP</w:t>
            </w:r>
          </w:p>
        </w:tc>
        <w:tc>
          <w:tcPr>
            <w:tcW w:type="dxa" w:w="3360"/>
            <w:tcW w:w="5480" w:type="dxa"/>
            <w:shd w:val="clear" w:color="auto" w:fill="F1F5F8"/>
          </w:tcPr>
          <w:p>
            <w:pPr>
              <w:spacing w:after="0"/>
            </w:pPr>
            <w:r>
              <w:rPr>
                <w:b w:val="0"/>
                <w:i w:val="0"/>
                <w:sz w:val="19"/>
              </w:rPr>
              <w:t>Intention-to-treat survival 51.1 versus 36.4 months, HR 0.81 (0.63–1.04), p=0.097, not significant; positive only in adjusted sensitivity and per-protocol analyses. Only 19% had intrahepatic disease; 44% of those treated had grade 3+ events.</w:t>
            </w:r>
          </w:p>
        </w:tc>
        <w:tc>
          <w:tcPr>
            <w:tcW w:type="dxa" w:w="3360"/>
            <w:tcW w:w="2400" w:type="dxa"/>
            <w:shd w:val="clear" w:color="auto" w:fill="F1F5F8"/>
          </w:tcPr>
          <w:p>
            <w:pPr>
              <w:spacing w:after="0"/>
            </w:pPr>
            <w:r>
              <w:rPr>
                <w:b w:val="0"/>
                <w:i w:val="0"/>
                <w:color w:val="5A6069"/>
                <w:sz w:val="18"/>
              </w:rPr>
              <w:t>Gate 8 · Standard 'Have the adjuvant conversation with the numbers in front of you…'; Quick reference · 'BILCAP, as published'</w:t>
            </w:r>
          </w:p>
        </w:tc>
      </w:tr>
      <w:tr>
        <w:trPr>
          <w:cantSplit/>
        </w:trPr>
        <w:tc>
          <w:tcPr>
            <w:tcW w:type="dxa" w:w="3360"/>
            <w:tcW w:w="2200" w:type="dxa"/>
            <w:shd w:val="clear" w:color="auto" w:fill="FFFFFF"/>
          </w:tcPr>
          <w:p>
            <w:pPr>
              <w:spacing w:after="0"/>
            </w:pPr>
            <w:r>
              <w:rPr>
                <w:b/>
                <w:i w:val="0"/>
                <w:sz w:val="19"/>
              </w:rPr>
              <w:t>NCCN BTC v1.2026</w:t>
            </w:r>
          </w:p>
        </w:tc>
        <w:tc>
          <w:tcPr>
            <w:tcW w:type="dxa" w:w="3360"/>
            <w:tcW w:w="5480" w:type="dxa"/>
            <w:shd w:val="clear" w:color="auto" w:fill="FFFFFF"/>
          </w:tcPr>
          <w:p>
            <w:pPr>
              <w:spacing w:after="0"/>
            </w:pPr>
            <w:r>
              <w:rPr>
                <w:b w:val="0"/>
                <w:i w:val="0"/>
                <w:sz w:val="19"/>
              </w:rPr>
              <w:t>Designates capecitabine preferred, category 1, while acknowledging the nonsignificant intention-to-treat analysis.</w:t>
            </w:r>
          </w:p>
        </w:tc>
        <w:tc>
          <w:tcPr>
            <w:tcW w:type="dxa" w:w="3360"/>
            <w:tcW w:w="2400" w:type="dxa"/>
            <w:shd w:val="clear" w:color="auto" w:fill="FFFFFF"/>
          </w:tcPr>
          <w:p>
            <w:pPr>
              <w:spacing w:after="0"/>
            </w:pPr>
            <w:r>
              <w:rPr>
                <w:b w:val="0"/>
                <w:i w:val="0"/>
                <w:color w:val="5A6069"/>
                <w:sz w:val="18"/>
              </w:rPr>
              <w:t>Gate 8 · Standard 'Have the adjuvant conversation…' (note)</w:t>
            </w:r>
          </w:p>
        </w:tc>
      </w:tr>
      <w:tr>
        <w:trPr>
          <w:cantSplit/>
        </w:trPr>
        <w:tc>
          <w:tcPr>
            <w:tcW w:type="dxa" w:w="3360"/>
            <w:tcW w:w="2200" w:type="dxa"/>
            <w:shd w:val="clear" w:color="auto" w:fill="F1F5F8"/>
          </w:tcPr>
          <w:p>
            <w:pPr>
              <w:spacing w:after="0"/>
            </w:pPr>
            <w:r>
              <w:rPr>
                <w:b/>
                <w:i w:val="0"/>
                <w:sz w:val="19"/>
              </w:rPr>
              <w:t>BSG 2023</w:t>
            </w:r>
          </w:p>
        </w:tc>
        <w:tc>
          <w:tcPr>
            <w:tcW w:type="dxa" w:w="3360"/>
            <w:tcW w:w="5480" w:type="dxa"/>
            <w:shd w:val="clear" w:color="auto" w:fill="F1F5F8"/>
          </w:tcPr>
          <w:p>
            <w:pPr>
              <w:spacing w:after="0"/>
            </w:pPr>
            <w:r>
              <w:rPr>
                <w:b w:val="0"/>
                <w:i w:val="0"/>
                <w:sz w:val="19"/>
              </w:rPr>
              <w:t>Recommends considering 24 weeks of capecitabine (strong recommendation, moderate-quality evidence); AASLD 2023 similarly says it should be considered for all patients.</w:t>
            </w:r>
          </w:p>
        </w:tc>
        <w:tc>
          <w:tcPr>
            <w:tcW w:type="dxa" w:w="3360"/>
            <w:tcW w:w="2400" w:type="dxa"/>
            <w:shd w:val="clear" w:color="auto" w:fill="F1F5F8"/>
          </w:tcPr>
          <w:p>
            <w:pPr>
              <w:spacing w:after="0"/>
            </w:pPr>
            <w:r>
              <w:rPr>
                <w:b w:val="0"/>
                <w:i w:val="0"/>
                <w:color w:val="5A6069"/>
                <w:sz w:val="18"/>
              </w:rPr>
              <w:t>Gate 8 · Reasonable 'Offer adjuvant capecitabine for 6 months…' (pref)</w:t>
            </w:r>
          </w:p>
        </w:tc>
      </w:tr>
      <w:tr>
        <w:trPr>
          <w:cantSplit/>
        </w:trPr>
        <w:tc>
          <w:tcPr>
            <w:tcW w:type="dxa" w:w="3360"/>
            <w:tcW w:w="2200" w:type="dxa"/>
            <w:shd w:val="clear" w:color="auto" w:fill="FFFFFF"/>
          </w:tcPr>
          <w:p>
            <w:pPr>
              <w:spacing w:after="0"/>
            </w:pPr>
            <w:r>
              <w:rPr>
                <w:b/>
                <w:i w:val="0"/>
                <w:sz w:val="19"/>
              </w:rPr>
              <w:t>LCSGJ 2022</w:t>
            </w:r>
          </w:p>
        </w:tc>
        <w:tc>
          <w:tcPr>
            <w:tcW w:type="dxa" w:w="3360"/>
            <w:tcW w:w="5480" w:type="dxa"/>
            <w:shd w:val="clear" w:color="auto" w:fill="FFFFFF"/>
          </w:tcPr>
          <w:p>
            <w:pPr>
              <w:spacing w:after="0"/>
            </w:pPr>
            <w:r>
              <w:rPr>
                <w:b w:val="0"/>
                <w:i w:val="0"/>
                <w:sz w:val="19"/>
              </w:rPr>
              <w:t>Makes only a weak recommendation and reports no significant benefit in the intrahepatic subgroup; EASL-ILCA reads the same unpowered subgroup as HR 0.65, the best of the subtypes.</w:t>
            </w:r>
          </w:p>
        </w:tc>
        <w:tc>
          <w:tcPr>
            <w:tcW w:type="dxa" w:w="3360"/>
            <w:tcW w:w="2400" w:type="dxa"/>
            <w:shd w:val="clear" w:color="auto" w:fill="FFFFFF"/>
          </w:tcPr>
          <w:p>
            <w:pPr>
              <w:spacing w:after="0"/>
            </w:pPr>
            <w:r>
              <w:rPr>
                <w:b w:val="0"/>
                <w:i w:val="0"/>
                <w:color w:val="5A6069"/>
                <w:sz w:val="18"/>
              </w:rPr>
              <w:t>Gate 8 · Standard 'Have the adjuvant conversation…' (avoid, note); Gate 8 · Reasonable 'Offer adjuvant capecitabine…' (note)</w:t>
            </w:r>
          </w:p>
        </w:tc>
      </w:tr>
      <w:tr>
        <w:trPr>
          <w:cantSplit/>
        </w:trPr>
        <w:tc>
          <w:tcPr>
            <w:tcW w:type="dxa" w:w="3360"/>
            <w:tcW w:w="2200" w:type="dxa"/>
            <w:shd w:val="clear" w:color="auto" w:fill="F1F5F8"/>
          </w:tcPr>
          <w:p>
            <w:pPr>
              <w:spacing w:after="0"/>
            </w:pPr>
            <w:r>
              <w:rPr>
                <w:b/>
                <w:i w:val="0"/>
                <w:sz w:val="19"/>
              </w:rPr>
              <w:t>ASCOT</w:t>
            </w:r>
          </w:p>
        </w:tc>
        <w:tc>
          <w:tcPr>
            <w:tcW w:type="dxa" w:w="3360"/>
            <w:tcW w:w="5480" w:type="dxa"/>
            <w:shd w:val="clear" w:color="auto" w:fill="F1F5F8"/>
          </w:tcPr>
          <w:p>
            <w:pPr>
              <w:spacing w:after="0"/>
            </w:pPr>
            <w:r>
              <w:rPr>
                <w:b w:val="0"/>
                <w:i w:val="0"/>
                <w:sz w:val="19"/>
              </w:rPr>
              <w:t>S-1 improved 3-year survival (77.1% versus 67.6%), but relapse-free survival was not significant, the trial was Japan-only with 13% intrahepatic disease, and S-1 is unavailable in the United States.</w:t>
            </w:r>
          </w:p>
        </w:tc>
        <w:tc>
          <w:tcPr>
            <w:tcW w:type="dxa" w:w="3360"/>
            <w:tcW w:w="2400" w:type="dxa"/>
            <w:shd w:val="clear" w:color="auto" w:fill="F1F5F8"/>
          </w:tcPr>
          <w:p>
            <w:pPr>
              <w:spacing w:after="0"/>
            </w:pPr>
            <w:r>
              <w:rPr>
                <w:b w:val="0"/>
                <w:i w:val="0"/>
                <w:color w:val="5A6069"/>
                <w:sz w:val="18"/>
              </w:rPr>
              <w:t>Gate 8 · Avoid 'Do not offer S-1 as the adjuvant option here…'</w:t>
            </w:r>
          </w:p>
        </w:tc>
      </w:tr>
    </w:tbl>
    <w:p>
      <w:pPr>
        <w:spacing w:after="40"/>
      </w:pPr>
    </w:p>
    <w:p>
      <w:pPr>
        <w:spacing w:after="80"/>
      </w:pPr>
      <w:r>
        <w:rPr>
          <w:b/>
          <w:i w:val="0"/>
        </w:rPr>
        <w:t xml:space="preserve">Where sources differ: </w:t>
      </w:r>
      <w:r>
        <w:rPr>
          <w:b w:val="0"/>
          <w:i w:val="0"/>
        </w:rPr>
        <w:t>NCCN, AASLD, BSG and EASL-ILCA treat adjuvant capecitabine as standard or strongly recommended, while LCSGJ is weak and the trial they rest on missed its intention-to-treat endpoint with few intrahepatic patients.</w:t>
      </w:r>
    </w:p>
    <w:p>
      <w:pPr>
        <w:pStyle w:val="Heading3"/>
        <w:keepNext/>
        <w:spacing w:before="120" w:after="80"/>
      </w:pPr>
      <w:r>
        <w:rPr>
          <w:b w:val="0"/>
          <w:i w:val="0"/>
        </w:rPr>
        <w:t>Our proposed selection (OPEN)</w:t>
      </w:r>
    </w:p>
    <w:p>
      <w:pPr>
        <w:spacing w:after="80"/>
      </w:pPr>
      <w:r>
        <w:rPr>
          <w:b w:val="0"/>
          <w:i w:val="0"/>
        </w:rPr>
        <w:t>Case by case for now: offer 6 months of capecitabine as a Reasonable consideration, grade C, not an obligation, to the fit patient after R0 or R1 resection, especially node-positive or R1, after explaining that BILCAP's primary analysis was not significant. Whether it becomes Standard is open; adjuvant gemcitabine–oxaliplatin and S-1 are avoided.</w:t>
      </w:r>
    </w:p>
    <w:p>
      <w:pPr>
        <w:spacing w:after="80"/>
      </w:pPr>
      <w:r>
        <w:rPr>
          <w:b/>
          <w:i w:val="0"/>
          <w:color w:val="5A6069"/>
          <w:sz w:val="18"/>
        </w:rPr>
        <w:t xml:space="preserve">Basis in the document: </w:t>
      </w:r>
      <w:r>
        <w:rPr>
          <w:b w:val="0"/>
          <w:i w:val="0"/>
          <w:color w:val="5A6069"/>
          <w:sz w:val="18"/>
        </w:rPr>
        <w:t>Gate 8 · Reasonable 'Offer adjuvant capecitabine for 6 months as a reasonable consideration…'; Gate 8 · Standard 'Have the adjuvant conversation…'; Gate 8 · Avoid options</w:t>
      </w:r>
    </w:p>
    <w:p>
      <w:pPr>
        <w:spacing w:after="80"/>
      </w:pPr>
      <w:r>
        <w:rPr>
          <w:b/>
          <w:i w:val="0"/>
        </w:rPr>
        <w:t xml:space="preserve">Why: </w:t>
      </w:r>
      <w:r>
        <w:rPr>
          <w:b w:val="0"/>
          <w:i w:val="0"/>
        </w:rPr>
        <w:t>BILCAP's primary analysis was not significant; ASCOT's positive result used an agent unavailable here.</w:t>
      </w:r>
    </w:p>
    <w:p>
      <w:pPr>
        <w:spacing w:after="80"/>
      </w:pPr>
      <w:r>
        <w:rPr>
          <w:b/>
          <w:i w:val="0"/>
        </w:rPr>
        <w:t xml:space="preserve">What gets audited: </w:t>
      </w:r>
      <w:r>
        <w:rPr>
          <w:b w:val="0"/>
          <w:i w:val="0"/>
        </w:rPr>
        <w:t>Registry: uptake, completion, recurrence pattern.</w:t>
      </w:r>
    </w:p>
    <w:p>
      <w:pPr>
        <w:pStyle w:val="Heading3"/>
        <w:keepNext/>
        <w:spacing w:before="120" w:after="80"/>
      </w:pPr>
      <w:r>
        <w:rPr>
          <w:b w:val="0"/>
          <w:i w:val="0"/>
        </w:rPr>
        <w:t>iCCA-D3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iCCA-D4 — Is molecular profiling funded and ordered at diagnosis in practice?</w:t>
      </w:r>
    </w:p>
    <w:p>
      <w:pPr>
        <w:spacing w:after="80"/>
      </w:pPr>
      <w:r>
        <w:rPr>
          <w:b w:val="0"/>
          <w:i w:val="0"/>
          <w:color w:val="5A6069"/>
          <w:sz w:val="18"/>
        </w:rPr>
        <w:t>OPEN — not yet decided · Operational</w:t>
      </w:r>
    </w:p>
    <w:p>
      <w:pPr>
        <w:spacing w:after="80"/>
      </w:pPr>
      <w:r>
        <w:rPr>
          <w:b/>
          <w:i w:val="0"/>
        </w:rPr>
        <w:t xml:space="preserve">Where it is decided: </w:t>
      </w:r>
      <w:hyperlink r:id="rId16">
        <w:r>
          <w:rPr>
            <w:color w:val="0563C1"/>
            <w:u w:val="single"/>
          </w:rPr>
          <w:t xml:space="preserve">2 · Request molecular profiling</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Order broad molecular profiling at the diagnosis of unresectable or metastatic disease, not at second-line progression (Standard, grade B), using circulating tumour DNA when tissue is inadequate or a biopsy would delay treatment, and audit the proportion profiled before the second-line decision.</w:t>
      </w:r>
    </w:p>
    <w:p>
      <w:pPr>
        <w:spacing w:after="80"/>
      </w:pPr>
      <w:r>
        <w:rPr>
          <w:b/>
          <w:i w:val="0"/>
          <w:color w:val="5A6069"/>
          <w:sz w:val="18"/>
        </w:rPr>
        <w:t xml:space="preserve">Basis in the document: </w:t>
      </w:r>
      <w:r>
        <w:rPr>
          <w:b w:val="0"/>
          <w:i w:val="0"/>
          <w:color w:val="5A6069"/>
          <w:sz w:val="18"/>
        </w:rPr>
        <w:t>Gate 2 · Standard 'Order broad molecular profiling at the diagnosis…'; Gate 2 · Reasonable 'Use circulating tumour DNA…'; Gate 2 · Avoid 'Do not defer profiling…'; The dashboard</w:t>
      </w:r>
    </w:p>
    <w:p>
      <w:pPr>
        <w:spacing w:after="80"/>
      </w:pPr>
      <w:r>
        <w:rPr>
          <w:b/>
          <w:i w:val="0"/>
        </w:rPr>
        <w:t xml:space="preserve">Why: </w:t>
      </w:r>
      <w:r>
        <w:rPr>
          <w:b w:val="0"/>
          <w:i w:val="0"/>
        </w:rPr>
        <w:t>The clinical argument is not in doubt; the obstacle is payer authorisation and ordering discipline.</w:t>
      </w:r>
    </w:p>
    <w:p>
      <w:pPr>
        <w:spacing w:after="80"/>
      </w:pPr>
      <w:r>
        <w:rPr>
          <w:b/>
          <w:i w:val="0"/>
        </w:rPr>
        <w:t xml:space="preserve">What gets audited: </w:t>
      </w:r>
      <w:r>
        <w:rPr>
          <w:b w:val="0"/>
          <w:i w:val="0"/>
        </w:rPr>
        <w:t>Audit: proportion profiled before the second-line decision.</w:t>
      </w:r>
    </w:p>
    <w:p>
      <w:pPr>
        <w:pStyle w:val="Heading3"/>
        <w:keepNext/>
        <w:spacing w:before="120" w:after="80"/>
      </w:pPr>
      <w:r>
        <w:rPr>
          <w:b w:val="0"/>
          <w:i w:val="0"/>
        </w:rPr>
        <w:t>iCCA-D4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iCCA-D5 — Does the programme open an intrahepatic cholangiocarcinoma transplant protocol?</w:t>
      </w:r>
    </w:p>
    <w:p>
      <w:pPr>
        <w:spacing w:after="80"/>
      </w:pPr>
      <w:r>
        <w:rPr>
          <w:b w:val="0"/>
          <w:i w:val="0"/>
          <w:color w:val="5A6069"/>
          <w:sz w:val="18"/>
        </w:rPr>
        <w:t>OPEN — not yet decided · Governance</w:t>
      </w:r>
    </w:p>
    <w:p>
      <w:pPr>
        <w:spacing w:after="80"/>
      </w:pPr>
      <w:r>
        <w:rPr>
          <w:b/>
          <w:i w:val="0"/>
        </w:rPr>
        <w:t xml:space="preserve">Where it is decided: </w:t>
      </w:r>
      <w:hyperlink r:id="rId18">
        <w:r>
          <w:rPr>
            <w:color w:val="0563C1"/>
            <w:u w:val="single"/>
          </w:rPr>
          <w:t xml:space="preserve">10 · Assess transplant eligibility</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 (Dec 2025)</w:t>
            </w:r>
          </w:p>
        </w:tc>
        <w:tc>
          <w:tcPr>
            <w:tcW w:type="dxa" w:w="3360"/>
            <w:tcW w:w="5480" w:type="dxa"/>
            <w:shd w:val="clear" w:color="auto" w:fill="F1F5F8"/>
          </w:tcPr>
          <w:p>
            <w:pPr>
              <w:spacing w:after="0"/>
            </w:pPr>
            <w:r>
              <w:rPr>
                <w:b w:val="0"/>
                <w:i w:val="0"/>
                <w:sz w:val="19"/>
              </w:rPr>
              <w:t>Describes a nonstandard MMaT-3 review-board route for biopsy-proven, unresectable, solitary iCCA or mixed HCC-iCCA of 3 cm or less in cirrhosis, after treatment and six months of stability; it is guidance, not Policy.</w:t>
            </w:r>
          </w:p>
        </w:tc>
        <w:tc>
          <w:tcPr>
            <w:tcW w:type="dxa" w:w="3360"/>
            <w:tcW w:w="2400" w:type="dxa"/>
            <w:shd w:val="clear" w:color="auto" w:fill="F1F5F8"/>
          </w:tcPr>
          <w:p>
            <w:pPr>
              <w:spacing w:after="0"/>
            </w:pPr>
            <w:r>
              <w:rPr>
                <w:b w:val="0"/>
                <w:i w:val="0"/>
                <w:color w:val="5A6069"/>
                <w:sz w:val="18"/>
              </w:rPr>
              <w:t>Gate 10 · Standard 'Where a protocol exists, the allocation route is a nonstandard MMaT-3 exception…'; Quick reference · 'Transplant eligibility — the nonstandard MMaT-3 route'</w:t>
            </w:r>
          </w:p>
        </w:tc>
      </w:tr>
      <w:tr>
        <w:trPr>
          <w:cantSplit/>
        </w:trPr>
        <w:tc>
          <w:tcPr>
            <w:tcW w:type="dxa" w:w="3360"/>
            <w:tcW w:w="2200" w:type="dxa"/>
            <w:shd w:val="clear" w:color="auto" w:fill="FFFFFF"/>
          </w:tcPr>
          <w:p>
            <w:pPr>
              <w:spacing w:after="0"/>
            </w:pPr>
            <w:r>
              <w:rPr>
                <w:b/>
                <w:i w:val="0"/>
                <w:sz w:val="19"/>
              </w:rPr>
              <w:t>ILTS-ILCA 2024 consensus</w:t>
            </w:r>
          </w:p>
        </w:tc>
        <w:tc>
          <w:tcPr>
            <w:tcW w:type="dxa" w:w="3360"/>
            <w:tcW w:w="5480" w:type="dxa"/>
            <w:shd w:val="clear" w:color="auto" w:fill="FFFFFF"/>
          </w:tcPr>
          <w:p>
            <w:pPr>
              <w:spacing w:after="0"/>
            </w:pPr>
            <w:r>
              <w:rPr>
                <w:b w:val="0"/>
                <w:i w:val="0"/>
                <w:sz w:val="19"/>
              </w:rPr>
              <w:t>Supports transplant consideration for cirrhotic tumours of 3 cm or less (moderate evidence and strength) and confines non-cirrhotic disease to investigational protocols; it reports 5-year survival spanning 25–73%, which the roadmap calls too wide for a selection rule.</w:t>
            </w:r>
          </w:p>
        </w:tc>
        <w:tc>
          <w:tcPr>
            <w:tcW w:type="dxa" w:w="3360"/>
            <w:tcW w:w="2400" w:type="dxa"/>
            <w:shd w:val="clear" w:color="auto" w:fill="FFFFFF"/>
          </w:tcPr>
          <w:p>
            <w:pPr>
              <w:spacing w:after="0"/>
            </w:pPr>
            <w:r>
              <w:rPr>
                <w:b w:val="0"/>
                <w:i w:val="0"/>
                <w:color w:val="5A6069"/>
                <w:sz w:val="18"/>
              </w:rPr>
              <w:t>Gate 10 · Standard 'Treat transplantation for known intrahepatic cholangiocarcinoma as trial or prospective registry only…' (pref, note)</w:t>
            </w:r>
          </w:p>
        </w:tc>
      </w:tr>
      <w:tr>
        <w:trPr>
          <w:cantSplit/>
        </w:trPr>
        <w:tc>
          <w:tcPr>
            <w:tcW w:type="dxa" w:w="3360"/>
            <w:tcW w:w="2200" w:type="dxa"/>
            <w:shd w:val="clear" w:color="auto" w:fill="F1F5F8"/>
          </w:tcPr>
          <w:p>
            <w:pPr>
              <w:spacing w:after="0"/>
            </w:pPr>
            <w:r>
              <w:rPr>
                <w:b/>
                <w:i w:val="0"/>
                <w:sz w:val="19"/>
              </w:rPr>
              <w:t>AASLD 2023</w:t>
            </w:r>
          </w:p>
        </w:tc>
        <w:tc>
          <w:tcPr>
            <w:tcW w:type="dxa" w:w="3360"/>
            <w:tcW w:w="5480" w:type="dxa"/>
            <w:shd w:val="clear" w:color="auto" w:fill="F1F5F8"/>
          </w:tcPr>
          <w:p>
            <w:pPr>
              <w:spacing w:after="0"/>
            </w:pPr>
            <w:r>
              <w:rPr>
                <w:b w:val="0"/>
                <w:i w:val="0"/>
                <w:sz w:val="19"/>
              </w:rPr>
              <w:t>Confines transplantation for iCCA to research protocols.</w:t>
            </w:r>
          </w:p>
        </w:tc>
        <w:tc>
          <w:tcPr>
            <w:tcW w:type="dxa" w:w="3360"/>
            <w:tcW w:w="2400" w:type="dxa"/>
            <w:shd w:val="clear" w:color="auto" w:fill="F1F5F8"/>
          </w:tcPr>
          <w:p>
            <w:pPr>
              <w:spacing w:after="0"/>
            </w:pPr>
            <w:r>
              <w:rPr>
                <w:b w:val="0"/>
                <w:i w:val="0"/>
                <w:color w:val="5A6069"/>
                <w:sz w:val="18"/>
              </w:rPr>
              <w:t>Gate 10 · Standard 'Treat transplantation … as trial or prospective registry only' (pref)</w:t>
            </w:r>
          </w:p>
        </w:tc>
      </w:tr>
      <w:tr>
        <w:trPr>
          <w:cantSplit/>
        </w:trPr>
        <w:tc>
          <w:tcPr>
            <w:tcW w:type="dxa" w:w="3360"/>
            <w:tcW w:w="2200" w:type="dxa"/>
            <w:shd w:val="clear" w:color="auto" w:fill="FFFFFF"/>
          </w:tcPr>
          <w:p>
            <w:pPr>
              <w:spacing w:after="0"/>
            </w:pPr>
            <w:r>
              <w:rPr>
                <w:b/>
                <w:i w:val="0"/>
                <w:sz w:val="19"/>
              </w:rPr>
              <w:t>BSG 2023</w:t>
            </w:r>
          </w:p>
        </w:tc>
        <w:tc>
          <w:tcPr>
            <w:tcW w:type="dxa" w:w="3360"/>
            <w:tcW w:w="5480" w:type="dxa"/>
            <w:shd w:val="clear" w:color="auto" w:fill="FFFFFF"/>
          </w:tcPr>
          <w:p>
            <w:pPr>
              <w:spacing w:after="0"/>
            </w:pPr>
            <w:r>
              <w:rPr>
                <w:b w:val="0"/>
                <w:i w:val="0"/>
                <w:sz w:val="19"/>
              </w:rPr>
              <w:t>Supports transplantation only within a prospective national protocol.</w:t>
            </w:r>
          </w:p>
        </w:tc>
        <w:tc>
          <w:tcPr>
            <w:tcW w:type="dxa" w:w="3360"/>
            <w:tcW w:w="2400" w:type="dxa"/>
            <w:shd w:val="clear" w:color="auto" w:fill="FFFFFF"/>
          </w:tcPr>
          <w:p>
            <w:pPr>
              <w:spacing w:after="0"/>
            </w:pPr>
            <w:r>
              <w:rPr>
                <w:b w:val="0"/>
                <w:i w:val="0"/>
                <w:color w:val="5A6069"/>
                <w:sz w:val="18"/>
              </w:rPr>
              <w:t>Gate 10 · Standard 'Treat transplantation … as trial or prospective registry only' (pref)</w:t>
            </w:r>
          </w:p>
        </w:tc>
      </w:tr>
      <w:tr>
        <w:trPr>
          <w:cantSplit/>
        </w:trPr>
        <w:tc>
          <w:tcPr>
            <w:tcW w:type="dxa" w:w="3360"/>
            <w:tcW w:w="2200" w:type="dxa"/>
            <w:shd w:val="clear" w:color="auto" w:fill="F1F5F8"/>
          </w:tcPr>
          <w:p>
            <w:pPr>
              <w:spacing w:after="0"/>
            </w:pPr>
            <w:r>
              <w:rPr>
                <w:b/>
                <w:i w:val="0"/>
                <w:sz w:val="19"/>
              </w:rPr>
              <w:t>LCSGJ 2022</w:t>
            </w:r>
          </w:p>
        </w:tc>
        <w:tc>
          <w:tcPr>
            <w:tcW w:type="dxa" w:w="3360"/>
            <w:tcW w:w="5480" w:type="dxa"/>
            <w:shd w:val="clear" w:color="auto" w:fill="F1F5F8"/>
          </w:tcPr>
          <w:p>
            <w:pPr>
              <w:spacing w:after="0"/>
            </w:pPr>
            <w:r>
              <w:rPr>
                <w:b w:val="0"/>
                <w:i w:val="0"/>
                <w:sz w:val="19"/>
              </w:rPr>
              <w:t>Regards iCCA as generally not an indication for transplantation.</w:t>
            </w:r>
          </w:p>
        </w:tc>
        <w:tc>
          <w:tcPr>
            <w:tcW w:type="dxa" w:w="3360"/>
            <w:tcW w:w="2400" w:type="dxa"/>
            <w:shd w:val="clear" w:color="auto" w:fill="F1F5F8"/>
          </w:tcPr>
          <w:p>
            <w:pPr>
              <w:spacing w:after="0"/>
            </w:pPr>
            <w:r>
              <w:rPr>
                <w:b w:val="0"/>
                <w:i w:val="0"/>
                <w:color w:val="5A6069"/>
                <w:sz w:val="18"/>
              </w:rPr>
              <w:t>Gate 10 · Standard 'Treat transplantation … as trial or prospective registry only' (avoid)</w:t>
            </w:r>
          </w:p>
        </w:tc>
      </w:tr>
    </w:tbl>
    <w:p>
      <w:pPr>
        <w:spacing w:after="40"/>
      </w:pPr>
    </w:p>
    <w:p>
      <w:pPr>
        <w:spacing w:after="80"/>
      </w:pPr>
      <w:r>
        <w:rPr>
          <w:b/>
          <w:i w:val="0"/>
        </w:rPr>
        <w:t xml:space="preserve">Where sources differ: </w:t>
      </w:r>
      <w:r>
        <w:rPr>
          <w:b w:val="0"/>
          <w:i w:val="0"/>
        </w:rPr>
        <w:t>OPTN 2025 and ILTS-ILCA 2024 support consideration for small cirrhotic tumours after stability, AASLD and BSG confine transplantation to research or national protocols, and LCSGJ 2022 considers iCCA generally not an indication.</w:t>
      </w:r>
    </w:p>
    <w:p>
      <w:pPr>
        <w:pStyle w:val="Heading3"/>
        <w:keepNext/>
        <w:spacing w:before="120" w:after="80"/>
      </w:pPr>
      <w:r>
        <w:rPr>
          <w:b w:val="0"/>
          <w:i w:val="0"/>
        </w:rPr>
        <w:t>Our proposed selection (OPEN)</w:t>
      </w:r>
    </w:p>
    <w:p>
      <w:pPr>
        <w:spacing w:after="80"/>
      </w:pPr>
      <w:r>
        <w:rPr>
          <w:b w:val="0"/>
          <w:i w:val="0"/>
        </w:rPr>
        <w:t>Current position: transplantation for known iCCA only within a formally approved trial or prospective registry protocol, with review-board approval and registry entry, an institutional graft-stewardship restriction stricter than OPTN and ILTS-ILCA. The roadmap states the cost (an OPTN-eligible patient has no route here) and offers a registry-tracked OPTN/ILTS-ILCA pathway as the alternative to decide.</w:t>
      </w:r>
    </w:p>
    <w:p>
      <w:pPr>
        <w:spacing w:after="80"/>
      </w:pPr>
      <w:r>
        <w:rPr>
          <w:b/>
          <w:i w:val="0"/>
          <w:color w:val="5A6069"/>
          <w:sz w:val="18"/>
        </w:rPr>
        <w:t xml:space="preserve">Basis in the document: </w:t>
      </w:r>
      <w:r>
        <w:rPr>
          <w:b w:val="0"/>
          <w:i w:val="0"/>
          <w:color w:val="5A6069"/>
          <w:sz w:val="18"/>
        </w:rPr>
        <w:t>Gate 10 · Standard 'Treat transplantation for known intrahepatic cholangiocarcinoma as trial or prospective registry only…'; Gate 10 · Reasonable options (order, flagnote)</w:t>
      </w:r>
    </w:p>
    <w:p>
      <w:pPr>
        <w:spacing w:after="80"/>
      </w:pPr>
      <w:r>
        <w:rPr>
          <w:b/>
          <w:i w:val="0"/>
        </w:rPr>
        <w:t xml:space="preserve">Why: </w:t>
      </w:r>
      <w:r>
        <w:rPr>
          <w:b w:val="0"/>
          <w:i w:val="0"/>
        </w:rPr>
        <w:t>Evidence is retrospective and confined to small tumours first diagnosed on explant pathology, most seen before transplant as presumed hepatocellular carcinoma. Graft stewardship is an institutional judgement, not an evidence question.</w:t>
      </w:r>
    </w:p>
    <w:p>
      <w:pPr>
        <w:spacing w:after="80"/>
      </w:pPr>
      <w:r>
        <w:rPr>
          <w:b/>
          <w:i w:val="0"/>
        </w:rPr>
        <w:t xml:space="preserve">What gets audited: </w:t>
      </w:r>
      <w:r>
        <w:rPr>
          <w:b w:val="0"/>
          <w:i w:val="0"/>
        </w:rPr>
        <w:t>Registry required if opened.</w:t>
      </w:r>
    </w:p>
    <w:p>
      <w:pPr>
        <w:pStyle w:val="Heading3"/>
        <w:keepNext/>
        <w:spacing w:before="120" w:after="80"/>
      </w:pPr>
      <w:r>
        <w:rPr>
          <w:b w:val="0"/>
          <w:i w:val="0"/>
        </w:rPr>
        <w:t>iCCA-D5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iCCA-D6 — What are the thresholds barring each liver-directed modality by liver function?</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3 · Assess resection</w:t>
        </w:r>
      </w:hyperlink>
      <w:r>
        <w:rPr>
          <w:b w:val="0"/>
          <w:i w:val="0"/>
        </w:rPr>
        <w:t xml:space="preserve"> · </w:t>
      </w:r>
      <w:hyperlink r:id="rId10">
        <w:r>
          <w:rPr>
            <w:color w:val="0563C1"/>
            <w:u w:val="single"/>
          </w:rPr>
          <w:t xml:space="preserve">5 · Unresectable disease confined to the liver</w:t>
        </w:r>
      </w:hyperlink>
      <w:r>
        <w:rPr>
          <w:b w:val="0"/>
          <w:i w:val="0"/>
        </w:rPr>
        <w:t xml:space="preserve"> · </w:t>
      </w:r>
      <w:hyperlink r:id="rId11">
        <w:r>
          <w:rPr>
            <w:color w:val="0563C1"/>
            <w:u w:val="single"/>
          </w:rPr>
          <w:t xml:space="preserve">7 · Select liver-directed therapy</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MISPHEC</w:t>
            </w:r>
          </w:p>
        </w:tc>
        <w:tc>
          <w:tcPr>
            <w:tcW w:type="dxa" w:w="3360"/>
            <w:tcW w:w="5480" w:type="dxa"/>
            <w:shd w:val="clear" w:color="auto" w:fill="F1F5F8"/>
          </w:tcPr>
          <w:p>
            <w:pPr>
              <w:spacing w:after="0"/>
            </w:pPr>
            <w:r>
              <w:rPr>
                <w:b w:val="0"/>
                <w:i w:val="0"/>
                <w:sz w:val="19"/>
              </w:rPr>
              <w:t>The one data-based hard stop: with Y90 plus chemotherapy, hepatic failure occurred in 9 of 12 cirrhotic patients (5 irreversible, all after whole-liver treatment) versus 5 of 29 without cirrhosis, all reversible.</w:t>
            </w:r>
          </w:p>
        </w:tc>
        <w:tc>
          <w:tcPr>
            <w:tcW w:type="dxa" w:w="3360"/>
            <w:tcW w:w="2400" w:type="dxa"/>
            <w:shd w:val="clear" w:color="auto" w:fill="F1F5F8"/>
          </w:tcPr>
          <w:p>
            <w:pPr>
              <w:spacing w:after="0"/>
            </w:pPr>
            <w:r>
              <w:rPr>
                <w:b w:val="0"/>
                <w:i w:val="0"/>
                <w:color w:val="5A6069"/>
                <w:sz w:val="18"/>
              </w:rPr>
              <w:t>What we are not sure about · 'Thresholds barring each liver-directed modality by liver function…'; Gate 4 · Y90 option (avoid)</w:t>
            </w:r>
          </w:p>
        </w:tc>
      </w:tr>
      <w:tr>
        <w:trPr>
          <w:cantSplit/>
        </w:trPr>
        <w:tc>
          <w:tcPr>
            <w:tcW w:type="dxa" w:w="3360"/>
            <w:tcW w:w="2200" w:type="dxa"/>
            <w:shd w:val="clear" w:color="auto" w:fill="FFFFFF"/>
          </w:tcPr>
          <w:p>
            <w:pPr>
              <w:spacing w:after="0"/>
            </w:pPr>
            <w:r>
              <w:rPr>
                <w:b/>
                <w:i w:val="0"/>
                <w:sz w:val="19"/>
              </w:rPr>
              <w:t>AASLD 2023</w:t>
            </w:r>
          </w:p>
        </w:tc>
        <w:tc>
          <w:tcPr>
            <w:tcW w:type="dxa" w:w="3360"/>
            <w:tcW w:w="5480" w:type="dxa"/>
            <w:shd w:val="clear" w:color="auto" w:fill="FFFFFF"/>
          </w:tcPr>
          <w:p>
            <w:pPr>
              <w:spacing w:after="0"/>
            </w:pPr>
            <w:r>
              <w:rPr>
                <w:b w:val="0"/>
                <w:i w:val="0"/>
                <w:sz w:val="19"/>
              </w:rPr>
              <w:t>Names decompensated cirrhosis and portal hypertension as contraindications to resection, a point on which the roadmap is silent.</w:t>
            </w:r>
          </w:p>
        </w:tc>
        <w:tc>
          <w:tcPr>
            <w:tcW w:type="dxa" w:w="3360"/>
            <w:tcW w:w="2400" w:type="dxa"/>
            <w:shd w:val="clear" w:color="auto" w:fill="FFFFFF"/>
          </w:tcPr>
          <w:p>
            <w:pPr>
              <w:spacing w:after="0"/>
            </w:pPr>
            <w:r>
              <w:rPr>
                <w:b w:val="0"/>
                <w:i w:val="0"/>
                <w:color w:val="5A6069"/>
                <w:sz w:val="18"/>
              </w:rPr>
              <w:t>Gate 3 · Standard options (flagnote); What we are not sure about · 'Two resectability criteria this page states but does not define…'</w:t>
            </w:r>
          </w:p>
        </w:tc>
      </w:tr>
      <w:tr>
        <w:trPr>
          <w:cantSplit/>
        </w:trPr>
        <w:tc>
          <w:tcPr>
            <w:tcW w:type="dxa" w:w="3360"/>
            <w:tcW w:w="2200" w:type="dxa"/>
            <w:shd w:val="clear" w:color="auto" w:fill="F1F5F8"/>
          </w:tcPr>
          <w:p>
            <w:pPr>
              <w:spacing w:after="0"/>
            </w:pPr>
            <w:r>
              <w:rPr>
                <w:b/>
                <w:i w:val="0"/>
                <w:sz w:val="19"/>
              </w:rPr>
              <w:t>LCSGJ 2022</w:t>
            </w:r>
          </w:p>
        </w:tc>
        <w:tc>
          <w:tcPr>
            <w:tcW w:type="dxa" w:w="3360"/>
            <w:tcW w:w="5480" w:type="dxa"/>
            <w:shd w:val="clear" w:color="auto" w:fill="F1F5F8"/>
          </w:tcPr>
          <w:p>
            <w:pPr>
              <w:spacing w:after="0"/>
            </w:pPr>
            <w:r>
              <w:rPr>
                <w:b w:val="0"/>
                <w:i w:val="0"/>
                <w:sz w:val="19"/>
              </w:rPr>
              <w:t>Builds its whole treatment algorithm on Child-Pugh class and sends Child-Pugh C to palliative care.</w:t>
            </w:r>
          </w:p>
        </w:tc>
        <w:tc>
          <w:tcPr>
            <w:tcW w:type="dxa" w:w="3360"/>
            <w:tcW w:w="2400" w:type="dxa"/>
            <w:shd w:val="clear" w:color="auto" w:fill="F1F5F8"/>
          </w:tcPr>
          <w:p>
            <w:pPr>
              <w:spacing w:after="0"/>
            </w:pPr>
            <w:r>
              <w:rPr>
                <w:b w:val="0"/>
                <w:i w:val="0"/>
                <w:color w:val="5A6069"/>
                <w:sz w:val="18"/>
              </w:rPr>
              <w:t>What we are not sure about · 'Two resectability criteria this page states but does not define…'</w:t>
            </w:r>
          </w:p>
        </w:tc>
      </w:tr>
    </w:tbl>
    <w:p>
      <w:pPr>
        <w:spacing w:after="40"/>
      </w:pPr>
    </w:p>
    <w:p>
      <w:pPr>
        <w:spacing w:after="80"/>
      </w:pPr>
      <w:r>
        <w:rPr>
          <w:b/>
          <w:i w:val="0"/>
        </w:rPr>
        <w:t xml:space="preserve">Where sources differ: </w:t>
      </w:r>
      <w:r>
        <w:rPr>
          <w:b w:val="0"/>
          <w:i w:val="0"/>
        </w:rPr>
        <w:t>Apart from cirrhosis before radioembolisation with chemotherapy, no comparative data define liver-function cut-offs for any modality, and the guidelines frame reserve differently (AASLD by portal hypertension, LCSGJ by Child-Pugh class).</w:t>
      </w:r>
    </w:p>
    <w:p>
      <w:pPr>
        <w:pStyle w:val="Heading3"/>
        <w:keepNext/>
        <w:spacing w:before="120" w:after="80"/>
      </w:pPr>
      <w:r>
        <w:rPr>
          <w:b w:val="0"/>
          <w:i w:val="0"/>
        </w:rPr>
        <w:t>Our proposed selection (OPEN)</w:t>
      </w:r>
    </w:p>
    <w:p>
      <w:pPr>
        <w:spacing w:after="80"/>
      </w:pPr>
      <w:r>
        <w:rPr>
          <w:b w:val="0"/>
          <w:i w:val="0"/>
        </w:rPr>
        <w:t>The roadmap proposes no numeric thresholds: it treats the cut-offs as safety conventions, keeps cirrhosis as the hard stop for radioembolisation with chemotherapy, leaves numeric reserve rules to specialty-approved local implementation, and audits decompensation after liver-directed therapy.</w:t>
      </w:r>
    </w:p>
    <w:p>
      <w:pPr>
        <w:spacing w:after="80"/>
      </w:pPr>
      <w:r>
        <w:rPr>
          <w:b/>
          <w:i w:val="0"/>
          <w:color w:val="5A6069"/>
          <w:sz w:val="18"/>
        </w:rPr>
        <w:t xml:space="preserve">Basis in the document: </w:t>
      </w:r>
      <w:r>
        <w:rPr>
          <w:b w:val="0"/>
          <w:i w:val="0"/>
          <w:color w:val="5A6069"/>
          <w:sz w:val="18"/>
        </w:rPr>
        <w:t>What we are not sure about · 'Thresholds barring each liver-directed modality by liver function…'; Gate 5 · Reasonable options (flagnote); Gate 3 · Standard options (flagnote)</w:t>
      </w:r>
    </w:p>
    <w:p>
      <w:pPr>
        <w:spacing w:after="80"/>
      </w:pPr>
      <w:r>
        <w:rPr>
          <w:b/>
          <w:i w:val="0"/>
        </w:rPr>
        <w:t xml:space="preserve">Why: </w:t>
      </w:r>
      <w:r>
        <w:rPr>
          <w:b w:val="0"/>
          <w:i w:val="0"/>
        </w:rPr>
        <w:t>No comparative data define the cut-offs; they are safety conventions.</w:t>
      </w:r>
    </w:p>
    <w:p>
      <w:pPr>
        <w:spacing w:after="80"/>
      </w:pPr>
      <w:r>
        <w:rPr>
          <w:b/>
          <w:i w:val="0"/>
        </w:rPr>
        <w:t xml:space="preserve">What gets audited: </w:t>
      </w:r>
      <w:r>
        <w:rPr>
          <w:b w:val="0"/>
          <w:i w:val="0"/>
        </w:rPr>
        <w:t>Audit: decompensation after liver-directed therapy.</w:t>
      </w:r>
    </w:p>
    <w:p>
      <w:pPr>
        <w:pStyle w:val="Heading3"/>
        <w:keepNext/>
        <w:spacing w:before="120" w:after="80"/>
      </w:pPr>
      <w:r>
        <w:rPr>
          <w:b w:val="0"/>
          <w:i w:val="0"/>
        </w:rPr>
        <w:t>iCCA-D6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iCCA-D7 — Ablation for intrahepatic cholangiocarcinoma — acceptable, and in whom?</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3 · Assess resection</w:t>
        </w:r>
      </w:hyperlink>
      <w:r>
        <w:rPr>
          <w:b w:val="0"/>
          <w:i w:val="0"/>
        </w:rPr>
        <w:t xml:space="preserve"> · </w:t>
      </w:r>
      <w:hyperlink r:id="rId10">
        <w:r>
          <w:rPr>
            <w:color w:val="0563C1"/>
            <w:u w:val="single"/>
          </w:rPr>
          <w:t xml:space="preserve">5 · Unresectable disease confined to the liver</w:t>
        </w:r>
      </w:hyperlink>
      <w:r>
        <w:rPr>
          <w:b w:val="0"/>
          <w:i w:val="0"/>
        </w:rPr>
        <w:t xml:space="preserve"> · </w:t>
      </w:r>
      <w:hyperlink r:id="rId11">
        <w:r>
          <w:rPr>
            <w:color w:val="0563C1"/>
            <w:u w:val="single"/>
          </w:rPr>
          <w:t xml:space="preserve">7 · Select liver-directed therapy</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BTC v1.2026</w:t>
            </w:r>
          </w:p>
        </w:tc>
        <w:tc>
          <w:tcPr>
            <w:tcW w:type="dxa" w:w="3360"/>
            <w:tcW w:w="5480" w:type="dxa"/>
            <w:shd w:val="clear" w:color="auto" w:fill="F1F5F8"/>
          </w:tcPr>
          <w:p>
            <w:pPr>
              <w:spacing w:after="0"/>
            </w:pPr>
            <w:r>
              <w:rPr>
                <w:b w:val="0"/>
                <w:i w:val="0"/>
                <w:sz w:val="19"/>
              </w:rPr>
              <w:t>Accepts thermal ablation for single primary or recurrent iCCA below 3 cm, especially when surgical risk is high.</w:t>
            </w:r>
          </w:p>
        </w:tc>
        <w:tc>
          <w:tcPr>
            <w:tcW w:type="dxa" w:w="3360"/>
            <w:tcW w:w="2400" w:type="dxa"/>
            <w:shd w:val="clear" w:color="auto" w:fill="F1F5F8"/>
          </w:tcPr>
          <w:p>
            <w:pPr>
              <w:spacing w:after="0"/>
            </w:pPr>
            <w:r>
              <w:rPr>
                <w:b w:val="0"/>
                <w:i w:val="0"/>
                <w:color w:val="5A6069"/>
                <w:sz w:val="18"/>
              </w:rPr>
              <w:t>Gate 3 · Standard option 'Definitive thermal ablation' (when)</w:t>
            </w:r>
          </w:p>
        </w:tc>
      </w:tr>
      <w:tr>
        <w:trPr>
          <w:cantSplit/>
        </w:trPr>
        <w:tc>
          <w:tcPr>
            <w:tcW w:type="dxa" w:w="3360"/>
            <w:tcW w:w="2200" w:type="dxa"/>
            <w:shd w:val="clear" w:color="auto" w:fill="FFFFFF"/>
          </w:tcPr>
          <w:p>
            <w:pPr>
              <w:spacing w:after="0"/>
            </w:pPr>
            <w:r>
              <w:rPr>
                <w:b/>
                <w:i w:val="0"/>
                <w:sz w:val="19"/>
              </w:rPr>
              <w:t>EASL-ILCA 2023</w:t>
            </w:r>
          </w:p>
        </w:tc>
        <w:tc>
          <w:tcPr>
            <w:tcW w:type="dxa" w:w="3360"/>
            <w:tcW w:w="5480" w:type="dxa"/>
            <w:shd w:val="clear" w:color="auto" w:fill="FFFFFF"/>
          </w:tcPr>
          <w:p>
            <w:pPr>
              <w:spacing w:after="0"/>
            </w:pPr>
            <w:r>
              <w:rPr>
                <w:b w:val="0"/>
                <w:i w:val="0"/>
                <w:sz w:val="19"/>
              </w:rPr>
              <w:t>Narrower: single lesions under 2 cm that are unresectable or inoperable, on low-level evidence.</w:t>
            </w:r>
          </w:p>
        </w:tc>
        <w:tc>
          <w:tcPr>
            <w:tcW w:type="dxa" w:w="3360"/>
            <w:tcW w:w="2400" w:type="dxa"/>
            <w:shd w:val="clear" w:color="auto" w:fill="FFFFFF"/>
          </w:tcPr>
          <w:p>
            <w:pPr>
              <w:spacing w:after="0"/>
            </w:pPr>
            <w:r>
              <w:rPr>
                <w:b w:val="0"/>
                <w:i w:val="0"/>
                <w:color w:val="5A6069"/>
                <w:sz w:val="18"/>
              </w:rPr>
              <w:t>Gate 3 · Standard option 'Definitive thermal ablation' (when)</w:t>
            </w:r>
          </w:p>
        </w:tc>
      </w:tr>
      <w:tr>
        <w:trPr>
          <w:cantSplit/>
        </w:trPr>
        <w:tc>
          <w:tcPr>
            <w:tcW w:type="dxa" w:w="3360"/>
            <w:tcW w:w="2200" w:type="dxa"/>
            <w:shd w:val="clear" w:color="auto" w:fill="F1F5F8"/>
          </w:tcPr>
          <w:p>
            <w:pPr>
              <w:spacing w:after="0"/>
            </w:pPr>
            <w:r>
              <w:rPr>
                <w:b/>
                <w:i w:val="0"/>
                <w:sz w:val="19"/>
              </w:rPr>
              <w:t>MALRIC primary cohort</w:t>
            </w:r>
          </w:p>
        </w:tc>
        <w:tc>
          <w:tcPr>
            <w:tcW w:type="dxa" w:w="3360"/>
            <w:tcW w:w="5480" w:type="dxa"/>
            <w:shd w:val="clear" w:color="auto" w:fill="F1F5F8"/>
          </w:tcPr>
          <w:p>
            <w:pPr>
              <w:spacing w:after="0"/>
            </w:pPr>
            <w:r>
              <w:rPr>
                <w:b w:val="0"/>
                <w:i w:val="0"/>
                <w:sz w:val="19"/>
              </w:rPr>
              <w:t>Ten-centre propensity match: 5-year OS 44.8% after microwave ablation versus 40.4% after resection, but disease-free survival favoured resection (HR 0.63); entry allowed tumours up to 5 cm and the parity split was post hoc and underpowered.</w:t>
            </w:r>
          </w:p>
        </w:tc>
        <w:tc>
          <w:tcPr>
            <w:tcW w:type="dxa" w:w="3360"/>
            <w:tcW w:w="2400" w:type="dxa"/>
            <w:shd w:val="clear" w:color="auto" w:fill="F1F5F8"/>
          </w:tcPr>
          <w:p>
            <w:pPr>
              <w:spacing w:after="0"/>
            </w:pPr>
            <w:r>
              <w:rPr>
                <w:b w:val="0"/>
                <w:i w:val="0"/>
                <w:color w:val="5A6069"/>
                <w:sz w:val="18"/>
              </w:rPr>
              <w:t>Gate 3 · option 'Definitive thermal ablation' (pref, note); What we are not sure about · 'Thermal ablation as an alternative to resection…'</w:t>
            </w:r>
          </w:p>
        </w:tc>
      </w:tr>
      <w:tr>
        <w:trPr>
          <w:cantSplit/>
        </w:trPr>
        <w:tc>
          <w:tcPr>
            <w:tcW w:type="dxa" w:w="3360"/>
            <w:tcW w:w="2200" w:type="dxa"/>
            <w:shd w:val="clear" w:color="auto" w:fill="FFFFFF"/>
          </w:tcPr>
          <w:p>
            <w:pPr>
              <w:spacing w:after="0"/>
            </w:pPr>
            <w:r>
              <w:rPr>
                <w:b/>
                <w:i w:val="0"/>
                <w:sz w:val="19"/>
              </w:rPr>
              <w:t>Ablation meta-analysis</w:t>
            </w:r>
          </w:p>
        </w:tc>
        <w:tc>
          <w:tcPr>
            <w:tcW w:type="dxa" w:w="3360"/>
            <w:tcW w:w="5480" w:type="dxa"/>
            <w:shd w:val="clear" w:color="auto" w:fill="FFFFFF"/>
          </w:tcPr>
          <w:p>
            <w:pPr>
              <w:spacing w:after="0"/>
            </w:pPr>
            <w:r>
              <w:rPr>
                <w:b w:val="0"/>
                <w:i w:val="0"/>
                <w:sz w:val="19"/>
              </w:rPr>
              <w:t>Twenty retrospective studies, 917 patients: 5-year OS 28.5%; tumours over 3 cm (HR 2.12) and multiple tumours (HR 1.67) did worse; high heterogeneity and publication bias.</w:t>
            </w:r>
          </w:p>
        </w:tc>
        <w:tc>
          <w:tcPr>
            <w:tcW w:type="dxa" w:w="3360"/>
            <w:tcW w:w="2400" w:type="dxa"/>
            <w:shd w:val="clear" w:color="auto" w:fill="FFFFFF"/>
          </w:tcPr>
          <w:p>
            <w:pPr>
              <w:spacing w:after="0"/>
            </w:pPr>
            <w:r>
              <w:rPr>
                <w:b w:val="0"/>
                <w:i w:val="0"/>
                <w:color w:val="5A6069"/>
                <w:sz w:val="18"/>
              </w:rPr>
              <w:t>Gate 5 · Reasonable option 'Thermal ablation' (when, avoid, note)</w:t>
            </w:r>
          </w:p>
        </w:tc>
      </w:tr>
      <w:tr>
        <w:trPr>
          <w:cantSplit/>
        </w:trPr>
        <w:tc>
          <w:tcPr>
            <w:tcW w:type="dxa" w:w="3360"/>
            <w:tcW w:w="2200" w:type="dxa"/>
            <w:shd w:val="clear" w:color="auto" w:fill="F1F5F8"/>
          </w:tcPr>
          <w:p>
            <w:pPr>
              <w:spacing w:after="0"/>
            </w:pPr>
            <w:r>
              <w:rPr>
                <w:b/>
                <w:i w:val="0"/>
                <w:sz w:val="19"/>
              </w:rPr>
              <w:t>MALRIC recurrent cohort</w:t>
            </w:r>
          </w:p>
        </w:tc>
        <w:tc>
          <w:tcPr>
            <w:tcW w:type="dxa" w:w="3360"/>
            <w:tcW w:w="5480" w:type="dxa"/>
            <w:shd w:val="clear" w:color="auto" w:fill="F1F5F8"/>
          </w:tcPr>
          <w:p>
            <w:pPr>
              <w:spacing w:after="0"/>
            </w:pPr>
            <w:r>
              <w:rPr>
                <w:b w:val="0"/>
                <w:i w:val="0"/>
                <w:sz w:val="19"/>
              </w:rPr>
              <w:t>At first intrahepatic recurrence, ablation gave median OS 29.8 versus 34.0 months after repeat resection (HR 0.89, not significant) with far fewer major complications; the authors cannot exclude a real difference.</w:t>
            </w:r>
          </w:p>
        </w:tc>
        <w:tc>
          <w:tcPr>
            <w:tcW w:type="dxa" w:w="3360"/>
            <w:tcW w:w="2400" w:type="dxa"/>
            <w:shd w:val="clear" w:color="auto" w:fill="F1F5F8"/>
          </w:tcPr>
          <w:p>
            <w:pPr>
              <w:spacing w:after="0"/>
            </w:pPr>
            <w:r>
              <w:rPr>
                <w:b w:val="0"/>
                <w:i w:val="0"/>
                <w:color w:val="5A6069"/>
                <w:sz w:val="18"/>
              </w:rPr>
              <w:t>Gate 7 · selector option 'Thermal ablation' (pref, note)</w:t>
            </w:r>
          </w:p>
        </w:tc>
      </w:tr>
    </w:tbl>
    <w:p>
      <w:pPr>
        <w:spacing w:after="40"/>
      </w:pPr>
    </w:p>
    <w:p>
      <w:pPr>
        <w:spacing w:after="80"/>
      </w:pPr>
      <w:r>
        <w:rPr>
          <w:b/>
          <w:i w:val="0"/>
        </w:rPr>
        <w:t xml:space="preserve">Where sources differ: </w:t>
      </w:r>
      <w:r>
        <w:rPr>
          <w:b w:val="0"/>
          <w:i w:val="0"/>
        </w:rPr>
        <w:t>NCCN and EASL-ILCA set different size limits (under 3 cm versus under 2 cm), and the cohort reporting survival parity with resection enrolled tumours up to 5 cm and showed worse disease-free survival after ablation.</w:t>
      </w:r>
    </w:p>
    <w:p>
      <w:pPr>
        <w:pStyle w:val="Heading3"/>
        <w:keepNext/>
        <w:spacing w:before="120" w:after="80"/>
      </w:pPr>
      <w:r>
        <w:rPr>
          <w:b w:val="0"/>
          <w:i w:val="0"/>
        </w:rPr>
        <w:t>Our proposed selection (OPEN)</w:t>
      </w:r>
    </w:p>
    <w:p>
      <w:pPr>
        <w:spacing w:after="80"/>
      </w:pPr>
      <w:r>
        <w:rPr>
          <w:b w:val="0"/>
          <w:i w:val="0"/>
        </w:rPr>
        <w:t>Acceptable in a narrow group (grade C): solitary tumour under 3 cm, resection unsuitable, every lesion treatable with a 5 mm or greater margin, no uncontrolled nodal or distant disease, plus selected first intrahepatic recurrences; document why the patient fits; not for large or multifocal iCCA. The 3 cm versus 2 cm boundary awaits local approval.</w:t>
      </w:r>
    </w:p>
    <w:p>
      <w:pPr>
        <w:spacing w:after="80"/>
      </w:pPr>
      <w:r>
        <w:rPr>
          <w:b/>
          <w:i w:val="0"/>
          <w:color w:val="5A6069"/>
          <w:sz w:val="18"/>
        </w:rPr>
        <w:t xml:space="preserve">Basis in the document: </w:t>
      </w:r>
      <w:r>
        <w:rPr>
          <w:b w:val="0"/>
          <w:i w:val="0"/>
          <w:color w:val="5A6069"/>
          <w:sz w:val="18"/>
        </w:rPr>
        <w:t>Gate 3 · Standard option 'Definitive thermal ablation'; Gate 5 · Reasonable 'Thermal ablation'; Gate 7 · selector 'Thermal ablation'</w:t>
      </w:r>
    </w:p>
    <w:p>
      <w:pPr>
        <w:spacing w:after="80"/>
      </w:pPr>
      <w:r>
        <w:rPr>
          <w:b/>
          <w:i w:val="0"/>
        </w:rPr>
        <w:t xml:space="preserve">Why: </w:t>
      </w:r>
      <w:r>
        <w:rPr>
          <w:b w:val="0"/>
          <w:i w:val="0"/>
        </w:rPr>
        <w:t>Evidence is substantially weaker than in hepatocellular carcinoma and is retrospective.</w:t>
      </w:r>
    </w:p>
    <w:p>
      <w:pPr>
        <w:spacing w:after="80"/>
      </w:pPr>
      <w:r>
        <w:rPr>
          <w:b/>
          <w:i w:val="0"/>
        </w:rPr>
        <w:t xml:space="preserve">What gets audited: </w:t>
      </w:r>
      <w:r>
        <w:rPr>
          <w:b w:val="0"/>
          <w:i w:val="0"/>
        </w:rPr>
        <w:t>Registry: every ablation, margin, local progression.</w:t>
      </w:r>
    </w:p>
    <w:p>
      <w:pPr>
        <w:pStyle w:val="Heading3"/>
        <w:keepNext/>
        <w:spacing w:before="120" w:after="80"/>
      </w:pPr>
      <w:r>
        <w:rPr>
          <w:b w:val="0"/>
          <w:i w:val="0"/>
        </w:rPr>
        <w:t>iCCA-D7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iCCA-D8 — Who owns subsequent NCCN and OPTN update checks, and on what cycle?</w:t>
      </w:r>
    </w:p>
    <w:p>
      <w:pPr>
        <w:spacing w:after="80"/>
      </w:pPr>
      <w:r>
        <w:rPr>
          <w:b w:val="0"/>
          <w:i w:val="0"/>
          <w:color w:val="5A6069"/>
          <w:sz w:val="18"/>
        </w:rPr>
        <w:t>OPEN — not yet decided · Governance</w:t>
      </w:r>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roadmap names no owner or cycle; it records source reconciliation as complete in this version, lists a dashboard measure of named owner, source edition and date, and update cycle, and requires current OPTN policy text and every numeric criterion to be verified before use.</w:t>
      </w:r>
    </w:p>
    <w:p>
      <w:pPr>
        <w:spacing w:after="80"/>
      </w:pPr>
      <w:r>
        <w:rPr>
          <w:b/>
          <w:i w:val="0"/>
          <w:color w:val="5A6069"/>
          <w:sz w:val="18"/>
        </w:rPr>
        <w:t xml:space="preserve">Basis in the document: </w:t>
      </w:r>
      <w:r>
        <w:rPr>
          <w:b w:val="0"/>
          <w:i w:val="0"/>
          <w:color w:val="5A6069"/>
          <w:sz w:val="18"/>
        </w:rPr>
        <w:t>The dashboard (final item); Provenance; What we are not sure about · 'The MMaT-3 exception route, and what it is not'</w:t>
      </w:r>
    </w:p>
    <w:p>
      <w:pPr>
        <w:spacing w:after="80"/>
      </w:pPr>
      <w:r>
        <w:rPr>
          <w:b/>
          <w:i w:val="0"/>
        </w:rPr>
        <w:t xml:space="preserve">Why: </w:t>
      </w:r>
      <w:r>
        <w:rPr>
          <w:b w:val="0"/>
          <w:i w:val="0"/>
        </w:rPr>
        <w:t>Source reconciliation is complete in this version. An owner must be assigned to verify subsequent editions and current allocation requirements, ratify the documented institutional positions, and maintain the update cycle.</w:t>
      </w:r>
    </w:p>
    <w:p>
      <w:pPr>
        <w:spacing w:after="80"/>
      </w:pPr>
      <w:r>
        <w:rPr>
          <w:b/>
          <w:i w:val="0"/>
        </w:rPr>
        <w:t xml:space="preserve">What gets audited: </w:t>
      </w:r>
      <w:r>
        <w:rPr>
          <w:b w:val="0"/>
          <w:i w:val="0"/>
        </w:rPr>
        <w:t>Named owner plus edition and date plus update cycle.</w:t>
      </w:r>
    </w:p>
    <w:p>
      <w:pPr>
        <w:pStyle w:val="Heading3"/>
        <w:keepNext/>
        <w:spacing w:before="120" w:after="80"/>
      </w:pPr>
      <w:r>
        <w:rPr>
          <w:b w:val="0"/>
          <w:i w:val="0"/>
        </w:rPr>
        <w:t>iCCA-D8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iCCA-D9 — Is a core biopsy required before resection of a high-suspicion, clearly resectable mass, or is destination-specific confirmation enough?</w:t>
      </w:r>
    </w:p>
    <w:p>
      <w:pPr>
        <w:spacing w:after="80"/>
      </w:pPr>
      <w:r>
        <w:rPr>
          <w:b w:val="0"/>
          <w:i w:val="0"/>
          <w:color w:val="5A6069"/>
          <w:sz w:val="18"/>
        </w:rPr>
        <w:t>OPEN — not yet decided · Clinical</w:t>
      </w:r>
    </w:p>
    <w:p>
      <w:pPr>
        <w:spacing w:after="80"/>
      </w:pPr>
      <w:r>
        <w:rPr>
          <w:b/>
          <w:i w:val="0"/>
        </w:rPr>
        <w:t xml:space="preserve">Where it is decided: </w:t>
      </w:r>
      <w:hyperlink r:id="rId24">
        <w:r>
          <w:rPr>
            <w:color w:val="0563C1"/>
            <w:u w:val="single"/>
          </w:rPr>
          <w:t xml:space="preserve">1 · Confirm diagnosis and stage disease</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AASLD 2023</w:t>
            </w:r>
          </w:p>
        </w:tc>
        <w:tc>
          <w:tcPr>
            <w:tcW w:type="dxa" w:w="3360"/>
            <w:tcW w:w="5480" w:type="dxa"/>
            <w:shd w:val="clear" w:color="auto" w:fill="F1F5F8"/>
          </w:tcPr>
          <w:p>
            <w:pPr>
              <w:spacing w:after="0"/>
            </w:pPr>
            <w:r>
              <w:rPr>
                <w:b w:val="0"/>
                <w:i w:val="0"/>
                <w:sz w:val="19"/>
              </w:rPr>
              <w:t>Requires histological confirmation for a definitive iCCA diagnosis; BSG 2023 takes the same position.</w:t>
            </w:r>
          </w:p>
        </w:tc>
        <w:tc>
          <w:tcPr>
            <w:tcW w:type="dxa" w:w="3360"/>
            <w:tcW w:w="2400" w:type="dxa"/>
            <w:shd w:val="clear" w:color="auto" w:fill="F1F5F8"/>
          </w:tcPr>
          <w:p>
            <w:pPr>
              <w:spacing w:after="0"/>
            </w:pPr>
            <w:r>
              <w:rPr>
                <w:b w:val="0"/>
                <w:i w:val="0"/>
                <w:color w:val="5A6069"/>
                <w:sz w:val="18"/>
              </w:rPr>
              <w:t>What we are not sure about · 'A core biopsy before resection of a high-suspicion, clearly resectable mass'; Gate 1 · Standard 'There is no imaging-only diagnosis…' (note)</w:t>
            </w:r>
          </w:p>
        </w:tc>
      </w:tr>
      <w:tr>
        <w:trPr>
          <w:cantSplit/>
        </w:trPr>
        <w:tc>
          <w:tcPr>
            <w:tcW w:type="dxa" w:w="3360"/>
            <w:tcW w:w="2200" w:type="dxa"/>
            <w:shd w:val="clear" w:color="auto" w:fill="FFFFFF"/>
          </w:tcPr>
          <w:p>
            <w:pPr>
              <w:spacing w:after="0"/>
            </w:pPr>
            <w:r>
              <w:rPr>
                <w:b/>
                <w:i w:val="0"/>
                <w:sz w:val="19"/>
              </w:rPr>
              <w:t>EASL-ILCA 2023</w:t>
            </w:r>
          </w:p>
        </w:tc>
        <w:tc>
          <w:tcPr>
            <w:tcW w:type="dxa" w:w="3360"/>
            <w:tcW w:w="5480" w:type="dxa"/>
            <w:shd w:val="clear" w:color="auto" w:fill="FFFFFF"/>
          </w:tcPr>
          <w:p>
            <w:pPr>
              <w:spacing w:after="0"/>
            </w:pPr>
            <w:r>
              <w:rPr>
                <w:b w:val="0"/>
                <w:i w:val="0"/>
                <w:sz w:val="19"/>
              </w:rPr>
              <w:t>Recommends biopsy on level 4 evidence with 96% consensus.</w:t>
            </w:r>
          </w:p>
        </w:tc>
        <w:tc>
          <w:tcPr>
            <w:tcW w:type="dxa" w:w="3360"/>
            <w:tcW w:w="2400" w:type="dxa"/>
            <w:shd w:val="clear" w:color="auto" w:fill="FFFFFF"/>
          </w:tcPr>
          <w:p>
            <w:pPr>
              <w:spacing w:after="0"/>
            </w:pPr>
            <w:r>
              <w:rPr>
                <w:b w:val="0"/>
                <w:i w:val="0"/>
                <w:color w:val="5A6069"/>
                <w:sz w:val="18"/>
              </w:rPr>
              <w:t>What we are not sure about · 'A core biopsy before resection…'</w:t>
            </w:r>
          </w:p>
        </w:tc>
      </w:tr>
      <w:tr>
        <w:trPr>
          <w:cantSplit/>
        </w:trPr>
        <w:tc>
          <w:tcPr>
            <w:tcW w:type="dxa" w:w="3360"/>
            <w:tcW w:w="2200" w:type="dxa"/>
            <w:shd w:val="clear" w:color="auto" w:fill="F1F5F8"/>
          </w:tcPr>
          <w:p>
            <w:pPr>
              <w:spacing w:after="0"/>
            </w:pPr>
            <w:r>
              <w:rPr>
                <w:b/>
                <w:i w:val="0"/>
                <w:sz w:val="19"/>
              </w:rPr>
              <w:t>LCSGJ 2022</w:t>
            </w:r>
          </w:p>
        </w:tc>
        <w:tc>
          <w:tcPr>
            <w:tcW w:type="dxa" w:w="3360"/>
            <w:tcW w:w="5480" w:type="dxa"/>
            <w:shd w:val="clear" w:color="auto" w:fill="F1F5F8"/>
          </w:tcPr>
          <w:p>
            <w:pPr>
              <w:spacing w:after="0"/>
            </w:pPr>
            <w:r>
              <w:rPr>
                <w:b w:val="0"/>
                <w:i w:val="0"/>
                <w:sz w:val="19"/>
              </w:rPr>
              <w:t>Considers biopsy largely unnecessary for a typical resectable mass, recommending it only when the tumour is unresectable.</w:t>
            </w:r>
          </w:p>
        </w:tc>
        <w:tc>
          <w:tcPr>
            <w:tcW w:type="dxa" w:w="3360"/>
            <w:tcW w:w="2400" w:type="dxa"/>
            <w:shd w:val="clear" w:color="auto" w:fill="F1F5F8"/>
          </w:tcPr>
          <w:p>
            <w:pPr>
              <w:spacing w:after="0"/>
            </w:pPr>
            <w:r>
              <w:rPr>
                <w:b w:val="0"/>
                <w:i w:val="0"/>
                <w:color w:val="5A6069"/>
                <w:sz w:val="18"/>
              </w:rPr>
              <w:t>What we are not sure about · 'A core biopsy before resection…'; Gate 1 · Standard 'There is no imaging-only diagnosis…' (note)</w:t>
            </w:r>
          </w:p>
        </w:tc>
      </w:tr>
      <w:tr>
        <w:trPr>
          <w:cantSplit/>
        </w:trPr>
        <w:tc>
          <w:tcPr>
            <w:tcW w:type="dxa" w:w="3360"/>
            <w:tcW w:w="2200" w:type="dxa"/>
            <w:shd w:val="clear" w:color="auto" w:fill="FFFFFF"/>
          </w:tcPr>
          <w:p>
            <w:pPr>
              <w:spacing w:after="0"/>
            </w:pPr>
            <w:r>
              <w:rPr>
                <w:b/>
                <w:i w:val="0"/>
                <w:sz w:val="19"/>
              </w:rPr>
              <w:t>NCCN BTC v1.2026</w:t>
            </w:r>
          </w:p>
        </w:tc>
        <w:tc>
          <w:tcPr>
            <w:tcW w:type="dxa" w:w="3360"/>
            <w:tcW w:w="5480" w:type="dxa"/>
            <w:shd w:val="clear" w:color="auto" w:fill="FFFFFF"/>
          </w:tcPr>
          <w:p>
            <w:pPr>
              <w:spacing w:after="0"/>
            </w:pPr>
            <w:r>
              <w:rPr>
                <w:b w:val="0"/>
                <w:i w:val="0"/>
                <w:sz w:val="19"/>
              </w:rPr>
              <w:t>A suspicious mass on imaging in the proper clinical setting should be treated as malignant.</w:t>
            </w:r>
          </w:p>
        </w:tc>
        <w:tc>
          <w:tcPr>
            <w:tcW w:type="dxa" w:w="3360"/>
            <w:tcW w:w="2400" w:type="dxa"/>
            <w:shd w:val="clear" w:color="auto" w:fill="FFFFFF"/>
          </w:tcPr>
          <w:p>
            <w:pPr>
              <w:spacing w:after="0"/>
            </w:pPr>
            <w:r>
              <w:rPr>
                <w:b w:val="0"/>
                <w:i w:val="0"/>
                <w:color w:val="5A6069"/>
                <w:sz w:val="18"/>
              </w:rPr>
              <w:t>Gate 1 · Standard 'There is no imaging-only diagnosis…' (avoid)</w:t>
            </w:r>
          </w:p>
        </w:tc>
      </w:tr>
      <w:tr>
        <w:trPr>
          <w:cantSplit/>
        </w:trPr>
        <w:tc>
          <w:tcPr>
            <w:tcW w:type="dxa" w:w="3360"/>
            <w:tcW w:w="2200" w:type="dxa"/>
            <w:shd w:val="clear" w:color="auto" w:fill="F1F5F8"/>
          </w:tcPr>
          <w:p>
            <w:pPr>
              <w:spacing w:after="0"/>
            </w:pPr>
            <w:r>
              <w:rPr>
                <w:b/>
                <w:i w:val="0"/>
                <w:sz w:val="19"/>
              </w:rPr>
              <w:t>ILTS-ILCA 2024 consensus</w:t>
            </w:r>
          </w:p>
        </w:tc>
        <w:tc>
          <w:tcPr>
            <w:tcW w:type="dxa" w:w="3360"/>
            <w:tcW w:w="5480" w:type="dxa"/>
            <w:shd w:val="clear" w:color="auto" w:fill="F1F5F8"/>
          </w:tcPr>
          <w:p>
            <w:pPr>
              <w:spacing w:after="0"/>
            </w:pPr>
            <w:r>
              <w:rPr>
                <w:b w:val="0"/>
                <w:i w:val="0"/>
                <w:sz w:val="19"/>
              </w:rPr>
              <w:t>Makes biopsy mandatory where transplantation is contemplated, to grade differentiation and exclude a mixed tumour.</w:t>
            </w:r>
          </w:p>
        </w:tc>
        <w:tc>
          <w:tcPr>
            <w:tcW w:type="dxa" w:w="3360"/>
            <w:tcW w:w="2400" w:type="dxa"/>
            <w:shd w:val="clear" w:color="auto" w:fill="F1F5F8"/>
          </w:tcPr>
          <w:p>
            <w:pPr>
              <w:spacing w:after="0"/>
            </w:pPr>
            <w:r>
              <w:rPr>
                <w:b w:val="0"/>
                <w:i w:val="0"/>
                <w:color w:val="5A6069"/>
                <w:sz w:val="18"/>
              </w:rPr>
              <w:t>What we are not sure about · 'A core biopsy before resection…'</w:t>
            </w:r>
          </w:p>
        </w:tc>
      </w:tr>
    </w:tbl>
    <w:p>
      <w:pPr>
        <w:spacing w:after="40"/>
      </w:pPr>
    </w:p>
    <w:p>
      <w:pPr>
        <w:spacing w:after="80"/>
      </w:pPr>
      <w:r>
        <w:rPr>
          <w:b/>
          <w:i w:val="0"/>
        </w:rPr>
        <w:t xml:space="preserve">Where sources differ: </w:t>
      </w:r>
      <w:r>
        <w:rPr>
          <w:b w:val="0"/>
          <w:i w:val="0"/>
        </w:rPr>
        <w:t>AASLD, BSG and EASL-ILCA require or recommend histology while LCSGJ regards it as unnecessary for a typical resectable mass and NCCN permits treating a suspicious mass as malignant, and no outcome study compares the two policies.</w:t>
      </w:r>
    </w:p>
    <w:p>
      <w:pPr>
        <w:pStyle w:val="Heading3"/>
        <w:keepNext/>
        <w:spacing w:before="120" w:after="80"/>
      </w:pPr>
      <w:r>
        <w:rPr>
          <w:b w:val="0"/>
          <w:i w:val="0"/>
        </w:rPr>
        <w:t>Our proposed selection (OPEN)</w:t>
      </w:r>
    </w:p>
    <w:p>
      <w:pPr>
        <w:spacing w:after="80"/>
      </w:pPr>
      <w:r>
        <w:rPr>
          <w:b w:val="0"/>
          <w:i w:val="0"/>
        </w:rPr>
        <w:t>Destination-specific confirmation rather than a universal core: histology is required before systemic therapy, trial entry or tissue-defined transplant assessment (where it also grades differentiation and excludes a mixed tumour), while a high-suspicion, clearly resectable mass may proceed directly to surgery after multidisciplinary HPB review (Standard, grade B).</w:t>
      </w:r>
    </w:p>
    <w:p>
      <w:pPr>
        <w:spacing w:after="80"/>
      </w:pPr>
      <w:r>
        <w:rPr>
          <w:b/>
          <w:i w:val="0"/>
          <w:color w:val="5A6069"/>
          <w:sz w:val="18"/>
        </w:rPr>
        <w:t xml:space="preserve">Basis in the document: </w:t>
      </w:r>
      <w:r>
        <w:rPr>
          <w:b w:val="0"/>
          <w:i w:val="0"/>
          <w:color w:val="5A6069"/>
          <w:sz w:val="18"/>
        </w:rPr>
        <w:t>Gate 1 · Standard 'There is no imaging-only diagnosis of intrahepatic cholangiocarcinoma…'</w:t>
      </w:r>
    </w:p>
    <w:p>
      <w:pPr>
        <w:spacing w:after="80"/>
      </w:pPr>
      <w:r>
        <w:rPr>
          <w:b/>
          <w:i w:val="0"/>
        </w:rPr>
        <w:t xml:space="preserve">Why: </w:t>
      </w:r>
      <w:r>
        <w:rPr>
          <w:b w:val="0"/>
          <w:i w:val="0"/>
        </w:rPr>
        <w:t>AASLD 2023, BSG 2023 and EASL-ILCA require histological confirmation; LCSGJ 2022 regards biopsy as basically unnecessary for a typical resectable mass; NCCN permits treating a suspicious mass in the proper clinical setting as malignant. No outcome study compares the two policies. Alignment worksheet, area 1.</w:t>
      </w:r>
    </w:p>
    <w:p>
      <w:pPr>
        <w:spacing w:after="80"/>
      </w:pPr>
      <w:r>
        <w:rPr>
          <w:b/>
          <w:i w:val="0"/>
        </w:rPr>
        <w:t xml:space="preserve">What gets audited: </w:t>
      </w:r>
      <w:r>
        <w:rPr>
          <w:b w:val="0"/>
          <w:i w:val="0"/>
        </w:rPr>
        <w:t>Audit: proportion of resections performed without pre-operative histology, and the final pathology in each.</w:t>
      </w:r>
    </w:p>
    <w:p>
      <w:pPr>
        <w:pStyle w:val="Heading3"/>
        <w:keepNext/>
        <w:spacing w:before="120" w:after="80"/>
      </w:pPr>
      <w:r>
        <w:rPr>
          <w:b w:val="0"/>
          <w:i w:val="0"/>
        </w:rPr>
        <w:t>iCCA-D9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iCCA-D10 — Is regional lymphadenectomy mandatory at every iCCA resection, and what minimum node yield is recorded?</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3 · Assess resection</w:t>
        </w:r>
      </w:hyperlink>
      <w:r>
        <w:rPr>
          <w:b w:val="0"/>
          <w:i w:val="0"/>
        </w:rPr>
        <w:t xml:space="preserve"> · </w:t>
      </w:r>
      <w:hyperlink r:id="rId14">
        <w:r>
          <w:rPr>
            <w:color w:val="0563C1"/>
            <w:u w:val="single"/>
          </w:rPr>
          <w:t xml:space="preserve">8 · Adjuvant treatment after resection</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LCSGJ 2022</w:t>
            </w:r>
          </w:p>
        </w:tc>
        <w:tc>
          <w:tcPr>
            <w:tcW w:type="dxa" w:w="3360"/>
            <w:tcW w:w="5480" w:type="dxa"/>
            <w:shd w:val="clear" w:color="auto" w:fill="F1F5F8"/>
          </w:tcPr>
          <w:p>
            <w:pPr>
              <w:spacing w:after="0"/>
            </w:pPr>
            <w:r>
              <w:rPr>
                <w:b w:val="0"/>
                <w:i w:val="0"/>
                <w:sz w:val="19"/>
              </w:rPr>
              <w:t>Makes no recommendation on node dissection and warns that prophylactic dissection in cirrhosis increases complications.</w:t>
            </w:r>
          </w:p>
        </w:tc>
        <w:tc>
          <w:tcPr>
            <w:tcW w:type="dxa" w:w="3360"/>
            <w:tcW w:w="2400" w:type="dxa"/>
            <w:shd w:val="clear" w:color="auto" w:fill="F1F5F8"/>
          </w:tcPr>
          <w:p>
            <w:pPr>
              <w:spacing w:after="0"/>
            </w:pPr>
            <w:r>
              <w:rPr>
                <w:b w:val="0"/>
                <w:i w:val="0"/>
                <w:color w:val="5A6069"/>
                <w:sz w:val="18"/>
              </w:rPr>
              <w:t>Gate 3 · option 'Resection with regional lymphadenectomy' (note); What we are not sure about · 'Routine regional lymphadenectomy at every iCCA resection'</w:t>
            </w:r>
          </w:p>
        </w:tc>
      </w:tr>
      <w:tr>
        <w:trPr>
          <w:cantSplit/>
        </w:trPr>
        <w:tc>
          <w:tcPr>
            <w:tcW w:type="dxa" w:w="3360"/>
            <w:tcW w:w="2200" w:type="dxa"/>
            <w:shd w:val="clear" w:color="auto" w:fill="FFFFFF"/>
          </w:tcPr>
          <w:p>
            <w:pPr>
              <w:spacing w:after="0"/>
            </w:pPr>
            <w:r>
              <w:rPr>
                <w:b/>
                <w:i w:val="0"/>
                <w:sz w:val="19"/>
              </w:rPr>
              <w:t>ESMO 2023</w:t>
            </w:r>
          </w:p>
        </w:tc>
        <w:tc>
          <w:tcPr>
            <w:tcW w:type="dxa" w:w="3360"/>
            <w:tcW w:w="5480" w:type="dxa"/>
            <w:shd w:val="clear" w:color="auto" w:fill="FFFFFF"/>
          </w:tcPr>
          <w:p>
            <w:pPr>
              <w:spacing w:after="0"/>
            </w:pPr>
            <w:r>
              <w:rPr>
                <w:b w:val="0"/>
                <w:i w:val="0"/>
                <w:sz w:val="19"/>
              </w:rPr>
              <w:t>Recommends routine hepatoduodenal-ligament dissection, on level IV evidence.</w:t>
            </w:r>
          </w:p>
        </w:tc>
        <w:tc>
          <w:tcPr>
            <w:tcW w:type="dxa" w:w="3360"/>
            <w:tcW w:w="2400" w:type="dxa"/>
            <w:shd w:val="clear" w:color="auto" w:fill="FFFFFF"/>
          </w:tcPr>
          <w:p>
            <w:pPr>
              <w:spacing w:after="0"/>
            </w:pPr>
            <w:r>
              <w:rPr>
                <w:b w:val="0"/>
                <w:i w:val="0"/>
                <w:color w:val="5A6069"/>
                <w:sz w:val="18"/>
              </w:rPr>
              <w:t>Gate 3 · option 'Resection with regional lymphadenectomy' (note)</w:t>
            </w:r>
          </w:p>
        </w:tc>
      </w:tr>
      <w:tr>
        <w:trPr>
          <w:cantSplit/>
        </w:trPr>
        <w:tc>
          <w:tcPr>
            <w:tcW w:type="dxa" w:w="3360"/>
            <w:tcW w:w="2200" w:type="dxa"/>
            <w:shd w:val="clear" w:color="auto" w:fill="F1F5F8"/>
          </w:tcPr>
          <w:p>
            <w:pPr>
              <w:spacing w:after="0"/>
            </w:pPr>
            <w:r>
              <w:rPr>
                <w:b/>
                <w:i w:val="0"/>
                <w:sz w:val="19"/>
              </w:rPr>
              <w:t>BSG 2023</w:t>
            </w:r>
          </w:p>
        </w:tc>
        <w:tc>
          <w:tcPr>
            <w:tcW w:type="dxa" w:w="3360"/>
            <w:tcW w:w="5480" w:type="dxa"/>
            <w:shd w:val="clear" w:color="auto" w:fill="F1F5F8"/>
          </w:tcPr>
          <w:p>
            <w:pPr>
              <w:spacing w:after="0"/>
            </w:pPr>
            <w:r>
              <w:rPr>
                <w:b w:val="0"/>
                <w:i w:val="0"/>
                <w:sz w:val="19"/>
              </w:rPr>
              <w:t>States neither extent nor node yield, a gap its critics note because its adjuvant recommendation turns on nodal status.</w:t>
            </w:r>
          </w:p>
        </w:tc>
        <w:tc>
          <w:tcPr>
            <w:tcW w:type="dxa" w:w="3360"/>
            <w:tcW w:w="2400" w:type="dxa"/>
            <w:shd w:val="clear" w:color="auto" w:fill="F1F5F8"/>
          </w:tcPr>
          <w:p>
            <w:pPr>
              <w:spacing w:after="0"/>
            </w:pPr>
            <w:r>
              <w:rPr>
                <w:b w:val="0"/>
                <w:i w:val="0"/>
                <w:color w:val="5A6069"/>
                <w:sz w:val="18"/>
              </w:rPr>
              <w:t>What we are not sure about · 'Routine regional lymphadenectomy at every iCCA resection'</w:t>
            </w:r>
          </w:p>
        </w:tc>
      </w:tr>
      <w:tr>
        <w:trPr>
          <w:cantSplit/>
        </w:trPr>
        <w:tc>
          <w:tcPr>
            <w:tcW w:type="dxa" w:w="3360"/>
            <w:tcW w:w="2200" w:type="dxa"/>
            <w:shd w:val="clear" w:color="auto" w:fill="FFFFFF"/>
          </w:tcPr>
          <w:p>
            <w:pPr>
              <w:spacing w:after="0"/>
            </w:pPr>
            <w:r>
              <w:rPr>
                <w:b/>
                <w:i w:val="0"/>
                <w:sz w:val="19"/>
              </w:rPr>
              <w:t>AASLD 2023</w:t>
            </w:r>
          </w:p>
        </w:tc>
        <w:tc>
          <w:tcPr>
            <w:tcW w:type="dxa" w:w="3360"/>
            <w:tcW w:w="5480" w:type="dxa"/>
            <w:shd w:val="clear" w:color="auto" w:fill="FFFFFF"/>
          </w:tcPr>
          <w:p>
            <w:pPr>
              <w:spacing w:after="0"/>
            </w:pPr>
            <w:r>
              <w:rPr>
                <w:b w:val="0"/>
                <w:i w:val="0"/>
                <w:sz w:val="19"/>
              </w:rPr>
              <w:t>Makes no statement on lymphadenectomy extent or yield.</w:t>
            </w:r>
          </w:p>
        </w:tc>
        <w:tc>
          <w:tcPr>
            <w:tcW w:type="dxa" w:w="3360"/>
            <w:tcW w:w="2400" w:type="dxa"/>
            <w:shd w:val="clear" w:color="auto" w:fill="FFFFFF"/>
          </w:tcPr>
          <w:p>
            <w:pPr>
              <w:spacing w:after="0"/>
            </w:pPr>
            <w:r>
              <w:rPr>
                <w:b w:val="0"/>
                <w:i w:val="0"/>
                <w:color w:val="5A6069"/>
                <w:sz w:val="18"/>
              </w:rPr>
              <w:t>Gate 3 · option 'Resection with regional lymphadenectomy' (note); What we are not sure about · 'Routine regional lymphadenectomy…'</w:t>
            </w:r>
          </w:p>
        </w:tc>
      </w:tr>
      <w:tr>
        <w:trPr>
          <w:cantSplit/>
        </w:trPr>
        <w:tc>
          <w:tcPr>
            <w:tcW w:type="dxa" w:w="3360"/>
            <w:tcW w:w="2200" w:type="dxa"/>
            <w:shd w:val="clear" w:color="auto" w:fill="F1F5F8"/>
          </w:tcPr>
          <w:p>
            <w:pPr>
              <w:spacing w:after="0"/>
            </w:pPr>
            <w:r>
              <w:rPr>
                <w:b/>
                <w:i w:val="0"/>
                <w:sz w:val="19"/>
              </w:rPr>
              <w:t>BILCAP</w:t>
            </w:r>
          </w:p>
        </w:tc>
        <w:tc>
          <w:tcPr>
            <w:tcW w:type="dxa" w:w="3360"/>
            <w:tcW w:w="5480" w:type="dxa"/>
            <w:shd w:val="clear" w:color="auto" w:fill="F1F5F8"/>
          </w:tcPr>
          <w:p>
            <w:pPr>
              <w:spacing w:after="0"/>
            </w:pPr>
            <w:r>
              <w:rPr>
                <w:b w:val="0"/>
                <w:i w:val="0"/>
                <w:sz w:val="19"/>
              </w:rPr>
              <w:t>Did not mandate lymphadenectomy for intrahepatic patients, yet nodal status is one of the covariates that makes its sensitivity analysis positive.</w:t>
            </w:r>
          </w:p>
        </w:tc>
        <w:tc>
          <w:tcPr>
            <w:tcW w:type="dxa" w:w="3360"/>
            <w:tcW w:w="2400" w:type="dxa"/>
            <w:shd w:val="clear" w:color="auto" w:fill="F1F5F8"/>
          </w:tcPr>
          <w:p>
            <w:pPr>
              <w:spacing w:after="0"/>
            </w:pPr>
            <w:r>
              <w:rPr>
                <w:b w:val="0"/>
                <w:i w:val="0"/>
                <w:color w:val="5A6069"/>
                <w:sz w:val="18"/>
              </w:rPr>
              <w:t>Gate 8 · Standard 'Have the adjuvant conversation…' (note)</w:t>
            </w:r>
          </w:p>
        </w:tc>
      </w:tr>
    </w:tbl>
    <w:p>
      <w:pPr>
        <w:spacing w:after="40"/>
      </w:pPr>
    </w:p>
    <w:p>
      <w:pPr>
        <w:spacing w:after="80"/>
      </w:pPr>
      <w:r>
        <w:rPr>
          <w:b/>
          <w:i w:val="0"/>
        </w:rPr>
        <w:t xml:space="preserve">Where sources differ: </w:t>
      </w:r>
      <w:r>
        <w:rPr>
          <w:b w:val="0"/>
          <w:i w:val="0"/>
        </w:rPr>
        <w:t>ESMO 2023 recommends routine dissection on level IV evidence, LCSGJ 2022 makes no recommendation and warns of harm in cirrhosis, and BSG and AASLD are silent, so no guideline supports it on survival grounds.</w:t>
      </w:r>
    </w:p>
    <w:p>
      <w:pPr>
        <w:pStyle w:val="Heading3"/>
        <w:keepNext/>
        <w:spacing w:before="120" w:after="80"/>
      </w:pPr>
      <w:r>
        <w:rPr>
          <w:b w:val="0"/>
          <w:i w:val="0"/>
        </w:rPr>
        <w:t>Our proposed selection (OPEN)</w:t>
      </w:r>
    </w:p>
    <w:p>
      <w:pPr>
        <w:spacing w:after="80"/>
      </w:pPr>
      <w:r>
        <w:rPr>
          <w:b w:val="0"/>
          <w:i w:val="0"/>
        </w:rPr>
        <w:t>Keep regional lymphadenectomy of the porta hepatis in every resection as a staging decision, so the adjuvant conversation and the registry have a nodal denominator, not as a survival claim; audit node yield rather than outcome. The roadmap sets no minimum node yield.</w:t>
      </w:r>
    </w:p>
    <w:p>
      <w:pPr>
        <w:spacing w:after="80"/>
      </w:pPr>
      <w:r>
        <w:rPr>
          <w:b/>
          <w:i w:val="0"/>
          <w:color w:val="5A6069"/>
          <w:sz w:val="18"/>
        </w:rPr>
        <w:t xml:space="preserve">Basis in the document: </w:t>
      </w:r>
      <w:r>
        <w:rPr>
          <w:b w:val="0"/>
          <w:i w:val="0"/>
          <w:color w:val="5A6069"/>
          <w:sz w:val="18"/>
        </w:rPr>
        <w:t>Gate 3 · Standard option 'Resection with regional lymphadenectomy' (when, note) and flagnote; What we are not sure about · 'Routine regional lymphadenectomy at every iCCA resection'</w:t>
      </w:r>
    </w:p>
    <w:p>
      <w:pPr>
        <w:spacing w:after="80"/>
      </w:pPr>
      <w:r>
        <w:rPr>
          <w:b/>
          <w:i w:val="0"/>
        </w:rPr>
        <w:t xml:space="preserve">Why: </w:t>
      </w:r>
      <w:r>
        <w:rPr>
          <w:b w:val="0"/>
          <w:i w:val="0"/>
        </w:rPr>
        <w:t>LCSGJ 2022 makes no recommendation and warns that prophylactic dissection in cirrhosis increases complications; ESMO 2023 recommends routine hepatoduodenal-ligament dissection on level IV evidence; BSG 2023 and AASLD 2023 state neither extent nor yield. The clinical decision 8 adjuvant conversation and the registry both need a nodal denominator. Alignment worksheet, area 5.</w:t>
      </w:r>
    </w:p>
    <w:p>
      <w:pPr>
        <w:spacing w:after="80"/>
      </w:pPr>
      <w:r>
        <w:rPr>
          <w:b/>
          <w:i w:val="0"/>
        </w:rPr>
        <w:t xml:space="preserve">What gets audited: </w:t>
      </w:r>
      <w:r>
        <w:rPr>
          <w:b w:val="0"/>
          <w:i w:val="0"/>
        </w:rPr>
        <w:t>Registry: lymphadenectomy performed, node count, node positivity, and complications attributable to the dissection.</w:t>
      </w:r>
    </w:p>
    <w:p>
      <w:pPr>
        <w:pStyle w:val="Heading3"/>
        <w:keepNext/>
        <w:spacing w:before="120" w:after="80"/>
      </w:pPr>
      <w:r>
        <w:rPr>
          <w:b w:val="0"/>
          <w:i w:val="0"/>
        </w:rPr>
        <w:t>iCCA-D10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iCCA-D11 — What counts as 'a period of stability' before a transplant referral — what duration, on what therapy, and at what imaging interval?</w:t>
      </w:r>
    </w:p>
    <w:p>
      <w:pPr>
        <w:spacing w:after="80"/>
      </w:pPr>
      <w:r>
        <w:rPr>
          <w:b w:val="0"/>
          <w:i w:val="0"/>
          <w:color w:val="5A6069"/>
          <w:sz w:val="18"/>
        </w:rPr>
        <w:t>OPEN — not yet decided · Clinical</w:t>
      </w:r>
    </w:p>
    <w:p>
      <w:pPr>
        <w:spacing w:after="80"/>
      </w:pPr>
      <w:r>
        <w:rPr>
          <w:b/>
          <w:i w:val="0"/>
        </w:rPr>
        <w:t xml:space="preserve">Where it is decided: </w:t>
      </w:r>
      <w:hyperlink r:id="rId18">
        <w:r>
          <w:rPr>
            <w:color w:val="0563C1"/>
            <w:u w:val="single"/>
          </w:rPr>
          <w:t xml:space="preserve">10 · Assess transplant eligibility</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w:t>
            </w:r>
          </w:p>
        </w:tc>
        <w:tc>
          <w:tcPr>
            <w:tcW w:type="dxa" w:w="3360"/>
            <w:tcW w:w="5480" w:type="dxa"/>
            <w:shd w:val="clear" w:color="auto" w:fill="F1F5F8"/>
          </w:tcPr>
          <w:p>
            <w:pPr>
              <w:spacing w:after="0"/>
            </w:pPr>
            <w:r>
              <w:rPr>
                <w:b w:val="0"/>
                <w:i w:val="0"/>
                <w:sz w:val="19"/>
              </w:rPr>
              <w:t>Requires six months from diagnosis or last treatment with documented stability: still 3 cm or less, no new lesions, no extrahepatic disease; extensions need imaging every three months.</w:t>
            </w:r>
          </w:p>
        </w:tc>
        <w:tc>
          <w:tcPr>
            <w:tcW w:type="dxa" w:w="3360"/>
            <w:tcW w:w="2400" w:type="dxa"/>
            <w:shd w:val="clear" w:color="auto" w:fill="F1F5F8"/>
          </w:tcPr>
          <w:p>
            <w:pPr>
              <w:spacing w:after="0"/>
            </w:pPr>
            <w:r>
              <w:rPr>
                <w:b w:val="0"/>
                <w:i w:val="0"/>
                <w:color w:val="5A6069"/>
                <w:sz w:val="18"/>
              </w:rPr>
              <w:t>Quick reference · 'Transplant eligibility — the nonstandard MMaT-3 route' ('Stability period', 'Extensions')</w:t>
            </w:r>
          </w:p>
        </w:tc>
      </w:tr>
      <w:tr>
        <w:trPr>
          <w:cantSplit/>
        </w:trPr>
        <w:tc>
          <w:tcPr>
            <w:tcW w:type="dxa" w:w="3360"/>
            <w:tcW w:w="2200" w:type="dxa"/>
            <w:shd w:val="clear" w:color="auto" w:fill="FFFFFF"/>
          </w:tcPr>
          <w:p>
            <w:pPr>
              <w:spacing w:after="0"/>
            </w:pPr>
            <w:r>
              <w:rPr>
                <w:b/>
                <w:i w:val="0"/>
                <w:sz w:val="19"/>
              </w:rPr>
              <w:t>ILTS-ILCA 2024 consensus</w:t>
            </w:r>
          </w:p>
        </w:tc>
        <w:tc>
          <w:tcPr>
            <w:tcW w:type="dxa" w:w="3360"/>
            <w:tcW w:w="5480" w:type="dxa"/>
            <w:shd w:val="clear" w:color="auto" w:fill="FFFFFF"/>
          </w:tcPr>
          <w:p>
            <w:pPr>
              <w:spacing w:after="0"/>
            </w:pPr>
            <w:r>
              <w:rPr>
                <w:b w:val="0"/>
                <w:i w:val="0"/>
                <w:sz w:val="19"/>
              </w:rPr>
              <w:t>Attaches no duration to the cirrhotic 3 cm recommendation, only an observed period of stability; its six-month requirement belongs to the weakly graded non-cirrhotic investigational route.</w:t>
            </w:r>
          </w:p>
        </w:tc>
        <w:tc>
          <w:tcPr>
            <w:tcW w:type="dxa" w:w="3360"/>
            <w:tcW w:w="2400" w:type="dxa"/>
            <w:shd w:val="clear" w:color="auto" w:fill="FFFFFF"/>
          </w:tcPr>
          <w:p>
            <w:pPr>
              <w:spacing w:after="0"/>
            </w:pPr>
            <w:r>
              <w:rPr>
                <w:b w:val="0"/>
                <w:i w:val="0"/>
                <w:color w:val="5A6069"/>
                <w:sz w:val="18"/>
              </w:rPr>
              <w:t>What we are not sure about · 'Six months from diagnosis or last treatment with tumour stability…'; Gate 10 · Reasonable 'Open a defined, registry-tracked pathway…'</w:t>
            </w:r>
          </w:p>
        </w:tc>
      </w:tr>
      <w:tr>
        <w:trPr>
          <w:cantSplit/>
        </w:trPr>
        <w:tc>
          <w:tcPr>
            <w:tcW w:type="dxa" w:w="3360"/>
            <w:tcW w:w="2200" w:type="dxa"/>
            <w:shd w:val="clear" w:color="auto" w:fill="F1F5F8"/>
          </w:tcPr>
          <w:p>
            <w:pPr>
              <w:spacing w:after="0"/>
            </w:pPr>
            <w:r>
              <w:rPr>
                <w:b/>
                <w:i w:val="0"/>
                <w:sz w:val="19"/>
              </w:rPr>
              <w:t>Lunsford (Houston Methodist–MD Anderson) protocol</w:t>
            </w:r>
          </w:p>
        </w:tc>
        <w:tc>
          <w:tcPr>
            <w:tcW w:type="dxa" w:w="3360"/>
            <w:tcW w:w="5480" w:type="dxa"/>
            <w:shd w:val="clear" w:color="auto" w:fill="F1F5F8"/>
          </w:tcPr>
          <w:p>
            <w:pPr>
              <w:spacing w:after="0"/>
            </w:pPr>
            <w:r>
              <w:rPr>
                <w:b w:val="0"/>
                <w:i w:val="0"/>
                <w:sz w:val="19"/>
              </w:rPr>
              <w:t>Required 6 months of radiographic stability on gemcitabine-based therapy; 6 transplanted, 5-year survival 83.3% but recurrence-free 50%. The authors concede selecting for stability may select indolent biology.</w:t>
            </w:r>
          </w:p>
        </w:tc>
        <w:tc>
          <w:tcPr>
            <w:tcW w:type="dxa" w:w="3360"/>
            <w:tcW w:w="2400" w:type="dxa"/>
            <w:shd w:val="clear" w:color="auto" w:fill="F1F5F8"/>
          </w:tcPr>
          <w:p>
            <w:pPr>
              <w:spacing w:after="0"/>
            </w:pPr>
            <w:r>
              <w:rPr>
                <w:b w:val="0"/>
                <w:i w:val="0"/>
                <w:color w:val="5A6069"/>
                <w:sz w:val="18"/>
              </w:rPr>
              <w:t>Gate 10 · Reasonable 'Locally advanced disease selected on sustained stability, under protocol'</w:t>
            </w:r>
          </w:p>
        </w:tc>
      </w:tr>
      <w:tr>
        <w:trPr>
          <w:cantSplit/>
        </w:trPr>
        <w:tc>
          <w:tcPr>
            <w:tcW w:type="dxa" w:w="3360"/>
            <w:tcW w:w="2200" w:type="dxa"/>
            <w:shd w:val="clear" w:color="auto" w:fill="FFFFFF"/>
          </w:tcPr>
          <w:p>
            <w:pPr>
              <w:spacing w:after="0"/>
            </w:pPr>
            <w:r>
              <w:rPr>
                <w:b/>
                <w:i w:val="0"/>
                <w:sz w:val="19"/>
              </w:rPr>
              <w:t>Sapisochin explant series</w:t>
            </w:r>
          </w:p>
        </w:tc>
        <w:tc>
          <w:tcPr>
            <w:tcW w:type="dxa" w:w="3360"/>
            <w:tcW w:w="5480" w:type="dxa"/>
            <w:shd w:val="clear" w:color="auto" w:fill="FFFFFF"/>
          </w:tcPr>
          <w:p>
            <w:pPr>
              <w:spacing w:after="0"/>
            </w:pPr>
            <w:r>
              <w:rPr>
                <w:b w:val="0"/>
                <w:i w:val="0"/>
                <w:sz w:val="19"/>
              </w:rPr>
              <w:t>Required no stability period and could not have, because the cancer was diagnosed on the explant.</w:t>
            </w:r>
          </w:p>
        </w:tc>
        <w:tc>
          <w:tcPr>
            <w:tcW w:type="dxa" w:w="3360"/>
            <w:tcW w:w="2400" w:type="dxa"/>
            <w:shd w:val="clear" w:color="auto" w:fill="FFFFFF"/>
          </w:tcPr>
          <w:p>
            <w:pPr>
              <w:spacing w:after="0"/>
            </w:pPr>
            <w:r>
              <w:rPr>
                <w:b w:val="0"/>
                <w:i w:val="0"/>
                <w:color w:val="5A6069"/>
                <w:sz w:val="18"/>
              </w:rPr>
              <w:t>Gate 10 · Standard 'Read the supporting evidence for what it is…' (note); What we are not sure about · 'Six months from diagnosis…'</w:t>
            </w:r>
          </w:p>
        </w:tc>
      </w:tr>
    </w:tbl>
    <w:p>
      <w:pPr>
        <w:spacing w:after="40"/>
      </w:pPr>
    </w:p>
    <w:p>
      <w:pPr>
        <w:spacing w:after="80"/>
      </w:pPr>
      <w:r>
        <w:rPr>
          <w:b/>
          <w:i w:val="0"/>
        </w:rPr>
        <w:t xml:space="preserve">Where sources differ: </w:t>
      </w:r>
      <w:r>
        <w:rPr>
          <w:b w:val="0"/>
          <w:i w:val="0"/>
        </w:rPr>
        <w:t>The OPTN route requires six months while ILTS-ILCA sets no duration for the cirrhotic phenotype, the six-month figure comes from a six-patient protocol in locally advanced disease, and the explant series behind the size data required no stability at all.</w:t>
      </w:r>
    </w:p>
    <w:p>
      <w:pPr>
        <w:pStyle w:val="Heading3"/>
        <w:keepNext/>
        <w:spacing w:before="120" w:after="80"/>
      </w:pPr>
      <w:r>
        <w:rPr>
          <w:b w:val="0"/>
          <w:i w:val="0"/>
        </w:rPr>
        <w:t>Our proposed selection (OPEN)</w:t>
      </w:r>
    </w:p>
    <w:p>
      <w:pPr>
        <w:spacing w:after="80"/>
      </w:pPr>
      <w:r>
        <w:rPr>
          <w:b w:val="0"/>
          <w:i w:val="0"/>
        </w:rPr>
        <w:t>Keep six months from diagnosis or last treatment with serial-scan stability (still 3 cm or less, no new lesions, no extrahepatic disease), recording both dates; one responding scan is insufficient. The roadmap defends six months as a biology test, calls the right length unknown, and sets no therapy or scan interval for that period.</w:t>
      </w:r>
    </w:p>
    <w:p>
      <w:pPr>
        <w:spacing w:after="80"/>
      </w:pPr>
      <w:r>
        <w:rPr>
          <w:b/>
          <w:i w:val="0"/>
          <w:color w:val="5A6069"/>
          <w:sz w:val="18"/>
        </w:rPr>
        <w:t xml:space="preserve">Basis in the document: </w:t>
      </w:r>
      <w:r>
        <w:rPr>
          <w:b w:val="0"/>
          <w:i w:val="0"/>
          <w:color w:val="5A6069"/>
          <w:sz w:val="18"/>
        </w:rPr>
        <w:t>Gate 10 criteria; Quick reference · 'Transplant eligibility — the nonstandard MMaT-3 route' ('Stability period'); What we are not sure about · 'Six months from diagnosis or last treatment…'</w:t>
      </w:r>
    </w:p>
    <w:p>
      <w:pPr>
        <w:spacing w:after="80"/>
      </w:pPr>
      <w:r>
        <w:rPr>
          <w:b/>
          <w:i w:val="0"/>
        </w:rPr>
        <w:t xml:space="preserve">Why: </w:t>
      </w:r>
      <w:r>
        <w:rPr>
          <w:b w:val="0"/>
          <w:i w:val="0"/>
        </w:rPr>
        <w:t>ILTS-ILCA 2024 attaches no duration to the cirrhotic ≤3 cm recommendation; the six-month figure in our criteria comes from its separate weakly graded non-cirrhotic route and from the Houston Methodist–MD Anderson protocol, whose own authors concede that selecting for stability may be selecting indolent biology. The explant series that supplies our size data required no stability at all.</w:t>
      </w:r>
    </w:p>
    <w:p>
      <w:pPr>
        <w:spacing w:after="80"/>
      </w:pPr>
      <w:r>
        <w:rPr>
          <w:b/>
          <w:i w:val="0"/>
        </w:rPr>
        <w:t xml:space="preserve">What gets audited: </w:t>
      </w:r>
      <w:r>
        <w:rPr>
          <w:b w:val="0"/>
          <w:i w:val="0"/>
        </w:rPr>
        <w:t>Registry: stability interval achieved, regimen, imaging interval, and waitlist dropout for progression.</w:t>
      </w:r>
    </w:p>
    <w:p>
      <w:pPr>
        <w:pStyle w:val="Heading3"/>
        <w:keepNext/>
        <w:spacing w:before="120" w:after="80"/>
      </w:pPr>
      <w:r>
        <w:rPr>
          <w:b w:val="0"/>
          <w:i w:val="0"/>
        </w:rPr>
        <w:t>iCCA-D11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iCCA-D12 — Does the page name trastuzumab deruxtecan, entrectinib, larotrectinib and selpercatinib, as ESMO 2024 does, or only require that the alterations be captured?</w:t>
      </w:r>
    </w:p>
    <w:p>
      <w:pPr>
        <w:spacing w:after="80"/>
      </w:pPr>
      <w:r>
        <w:rPr>
          <w:b w:val="0"/>
          <w:i w:val="0"/>
          <w:color w:val="5A6069"/>
          <w:sz w:val="18"/>
        </w:rPr>
        <w:t>OPEN — not yet decided · Clinical</w:t>
      </w:r>
    </w:p>
    <w:p>
      <w:pPr>
        <w:spacing w:after="80"/>
      </w:pPr>
      <w:r>
        <w:rPr>
          <w:b/>
          <w:i w:val="0"/>
        </w:rPr>
        <w:t xml:space="preserve">Where it is decided: </w:t>
      </w:r>
      <w:hyperlink r:id="rId16">
        <w:r>
          <w:rPr>
            <w:color w:val="0563C1"/>
            <w:u w:val="single"/>
          </w:rPr>
          <w:t xml:space="preserve">2 · Request molecular profiling</w:t>
        </w:r>
      </w:hyperlink>
      <w:r>
        <w:rPr>
          <w:b w:val="0"/>
          <w:i w:val="0"/>
        </w:rPr>
        <w:t xml:space="preserve"> · </w:t>
      </w:r>
      <w:hyperlink r:id="rId28">
        <w:r>
          <w:rPr>
            <w:color w:val="0563C1"/>
            <w:u w:val="single"/>
          </w:rPr>
          <w:t xml:space="preserve">6 · Distant metastatic disease</w:t>
        </w:r>
      </w:hyperlink>
      <w:r>
        <w:rPr>
          <w:b w:val="0"/>
          <w:i w:val="0"/>
        </w:rPr>
        <w:t xml:space="preserve"> · </w:t>
      </w:r>
      <w:hyperlink r:id="rId29">
        <w:r>
          <w:rPr>
            <w:color w:val="0563C1"/>
            <w:u w:val="single"/>
          </w:rPr>
          <w:t xml:space="preserve">9 · Systemic treatment for advanced disease</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ESMO BTC 2024 interim update</w:t>
            </w:r>
          </w:p>
        </w:tc>
        <w:tc>
          <w:tcPr>
            <w:tcW w:type="dxa" w:w="3360"/>
            <w:tcW w:w="5480" w:type="dxa"/>
            <w:shd w:val="clear" w:color="auto" w:fill="F1F5F8"/>
          </w:tcPr>
          <w:p>
            <w:pPr>
              <w:spacing w:after="0"/>
            </w:pPr>
            <w:r>
              <w:rPr>
                <w:b w:val="0"/>
                <w:i w:val="0"/>
                <w:sz w:val="19"/>
              </w:rPr>
              <w:t>Recommends trastuzumab deruxtecan for HER2, NTRK inhibitors and selpercatinib for RET fusions at level III grade A, while conceding there are no standardised HER2 assessment criteria in biliary tract cancer.</w:t>
            </w:r>
          </w:p>
        </w:tc>
        <w:tc>
          <w:tcPr>
            <w:tcW w:type="dxa" w:w="3360"/>
            <w:tcW w:w="2400" w:type="dxa"/>
            <w:shd w:val="clear" w:color="auto" w:fill="F1F5F8"/>
          </w:tcPr>
          <w:p>
            <w:pPr>
              <w:spacing w:after="0"/>
            </w:pPr>
            <w:r>
              <w:rPr>
                <w:b w:val="0"/>
                <w:i w:val="0"/>
                <w:color w:val="5A6069"/>
                <w:sz w:val="18"/>
              </w:rPr>
              <w:t>Gate 2 · options 'HER2 amplification or overexpression' (note) and 'NTRK fusion, RET fusion…' (avoid); What we are not sure about · 'The matched targeted agents…'</w:t>
            </w:r>
          </w:p>
        </w:tc>
      </w:tr>
      <w:tr>
        <w:trPr>
          <w:cantSplit/>
        </w:trPr>
        <w:tc>
          <w:tcPr>
            <w:tcW w:type="dxa" w:w="3360"/>
            <w:tcW w:w="2200" w:type="dxa"/>
            <w:shd w:val="clear" w:color="auto" w:fill="FFFFFF"/>
          </w:tcPr>
          <w:p>
            <w:pPr>
              <w:spacing w:after="0"/>
            </w:pPr>
            <w:r>
              <w:rPr>
                <w:b/>
                <w:i w:val="0"/>
                <w:sz w:val="19"/>
              </w:rPr>
              <w:t>HERIZON-BTC-01</w:t>
            </w:r>
          </w:p>
        </w:tc>
        <w:tc>
          <w:tcPr>
            <w:tcW w:type="dxa" w:w="3360"/>
            <w:tcW w:w="5480" w:type="dxa"/>
            <w:shd w:val="clear" w:color="auto" w:fill="FFFFFF"/>
          </w:tcPr>
          <w:p>
            <w:pPr>
              <w:spacing w:after="0"/>
            </w:pPr>
            <w:r>
              <w:rPr>
                <w:b w:val="0"/>
                <w:i w:val="0"/>
                <w:sz w:val="19"/>
              </w:rPr>
              <w:t>Zanidatamab single-arm response 41% concentrated in IHC 3+ disease (a post hoc split), reported for biliary tract cancer as a whole without an intrahepatic breakdown.</w:t>
            </w:r>
          </w:p>
        </w:tc>
        <w:tc>
          <w:tcPr>
            <w:tcW w:type="dxa" w:w="3360"/>
            <w:tcW w:w="2400" w:type="dxa"/>
            <w:shd w:val="clear" w:color="auto" w:fill="FFFFFF"/>
          </w:tcPr>
          <w:p>
            <w:pPr>
              <w:spacing w:after="0"/>
            </w:pPr>
            <w:r>
              <w:rPr>
                <w:b w:val="0"/>
                <w:i w:val="0"/>
                <w:color w:val="5A6069"/>
                <w:sz w:val="18"/>
              </w:rPr>
              <w:t>Gate 2 · option 'HER2 amplification or overexpression'</w:t>
            </w:r>
          </w:p>
        </w:tc>
      </w:tr>
    </w:tbl>
    <w:p>
      <w:pPr>
        <w:spacing w:after="40"/>
      </w:pPr>
    </w:p>
    <w:p>
      <w:pPr>
        <w:spacing w:after="80"/>
      </w:pPr>
      <w:r>
        <w:rPr>
          <w:b/>
          <w:i w:val="0"/>
        </w:rPr>
        <w:t xml:space="preserve">Where sources differ: </w:t>
      </w:r>
      <w:r>
        <w:rPr>
          <w:b w:val="0"/>
          <w:i w:val="0"/>
        </w:rPr>
        <w:t>ESMO 2024 names the agents on single-arm or basket evidence while admitting HER2 assessment is unstandardised, and the HER2 trial reports biliary tract cancer without an intrahepatic breakdown.</w:t>
      </w:r>
    </w:p>
    <w:p>
      <w:pPr>
        <w:pStyle w:val="Heading3"/>
        <w:keepNext/>
        <w:spacing w:before="120" w:after="80"/>
      </w:pPr>
      <w:r>
        <w:rPr>
          <w:b w:val="0"/>
          <w:i w:val="0"/>
        </w:rPr>
        <w:t>Our proposed selection (OPEN)</w:t>
      </w:r>
    </w:p>
    <w:p>
      <w:pPr>
        <w:spacing w:after="80"/>
      </w:pPr>
      <w:r>
        <w:rPr>
          <w:b w:val="0"/>
          <w:i w:val="0"/>
        </w:rPr>
        <w:t>Current table only requires HER2, NTRK and RET findings to be captured on the same broad panel, not the agents named; capture is not a licence to prescribe; match treatment to the alteration class, with molecular-oncology review for other alterations. Whether to name the agents is a local approval item (alignment worksheet, area 14).</w:t>
      </w:r>
    </w:p>
    <w:p>
      <w:pPr>
        <w:spacing w:after="80"/>
      </w:pPr>
      <w:r>
        <w:rPr>
          <w:b/>
          <w:i w:val="0"/>
          <w:color w:val="5A6069"/>
          <w:sz w:val="18"/>
        </w:rPr>
        <w:t xml:space="preserve">Basis in the document: </w:t>
      </w:r>
      <w:r>
        <w:rPr>
          <w:b w:val="0"/>
          <w:i w:val="0"/>
          <w:color w:val="5A6069"/>
          <w:sz w:val="18"/>
        </w:rPr>
        <w:t>Gate 2 · Standard molecular options ('HER2…', 'NTRK fusion, RET fusion…', flagnote)</w:t>
      </w:r>
    </w:p>
    <w:p>
      <w:pPr>
        <w:spacing w:after="80"/>
      </w:pPr>
      <w:r>
        <w:rPr>
          <w:b/>
          <w:i w:val="0"/>
        </w:rPr>
        <w:t xml:space="preserve">Why: </w:t>
      </w:r>
      <w:r>
        <w:rPr>
          <w:b w:val="0"/>
          <w:i w:val="0"/>
        </w:rPr>
        <w:t>The ESMO recommendations are level III grade A — single-arm or basket-trial evidence — several agents are FDA- but not EMA-approved, and ESMO itself concedes there are no standardised criteria for HER2 assessment in biliary tract cancer. Alignment worksheet, area 14.</w:t>
      </w:r>
    </w:p>
    <w:p>
      <w:pPr>
        <w:spacing w:after="80"/>
      </w:pPr>
      <w:r>
        <w:rPr>
          <w:b/>
          <w:i w:val="0"/>
        </w:rPr>
        <w:t xml:space="preserve">What gets audited: </w:t>
      </w:r>
      <w:r>
        <w:rPr>
          <w:b w:val="0"/>
          <w:i w:val="0"/>
        </w:rPr>
        <w:t>Audit: matched agents prescribed, alteration class, assay used and line of therapy.</w:t>
      </w:r>
    </w:p>
    <w:p>
      <w:pPr>
        <w:pStyle w:val="Heading3"/>
        <w:keepNext/>
        <w:spacing w:before="120" w:after="80"/>
      </w:pPr>
      <w:r>
        <w:rPr>
          <w:b w:val="0"/>
          <w:i w:val="0"/>
        </w:rPr>
        <w:t>iCCA-D12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iCCA-D13 — Is there a default first-line checkpoint combination, or does the choice stay with the treating oncologist?</w:t>
      </w:r>
    </w:p>
    <w:p>
      <w:pPr>
        <w:spacing w:after="80"/>
      </w:pPr>
      <w:r>
        <w:rPr>
          <w:b w:val="0"/>
          <w:i w:val="0"/>
          <w:color w:val="5A6069"/>
          <w:sz w:val="18"/>
        </w:rPr>
        <w:t>OPEN — not yet decided · Clinical</w:t>
      </w:r>
    </w:p>
    <w:p>
      <w:pPr>
        <w:spacing w:after="80"/>
      </w:pPr>
      <w:r>
        <w:rPr>
          <w:b/>
          <w:i w:val="0"/>
        </w:rPr>
        <w:t xml:space="preserve">Where it is decided: </w:t>
      </w:r>
      <w:hyperlink r:id="rId28">
        <w:r>
          <w:rPr>
            <w:color w:val="0563C1"/>
            <w:u w:val="single"/>
          </w:rPr>
          <w:t xml:space="preserve">6 · Distant metastatic disease</w:t>
        </w:r>
      </w:hyperlink>
      <w:r>
        <w:rPr>
          <w:b w:val="0"/>
          <w:i w:val="0"/>
        </w:rPr>
        <w:t xml:space="preserve"> · </w:t>
      </w:r>
      <w:hyperlink r:id="rId29">
        <w:r>
          <w:rPr>
            <w:color w:val="0563C1"/>
            <w:u w:val="single"/>
          </w:rPr>
          <w:t xml:space="preserve">9 · Systemic treatment for advanced disease</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TOPAZ-1</w:t>
            </w:r>
          </w:p>
        </w:tc>
        <w:tc>
          <w:tcPr>
            <w:tcW w:type="dxa" w:w="3360"/>
            <w:tcW w:w="5480" w:type="dxa"/>
            <w:shd w:val="clear" w:color="auto" w:fill="F1F5F8"/>
          </w:tcPr>
          <w:p>
            <w:pPr>
              <w:spacing w:after="0"/>
            </w:pPr>
            <w:r>
              <w:rPr>
                <w:b w:val="0"/>
                <w:i w:val="0"/>
                <w:sz w:val="19"/>
              </w:rPr>
              <w:t>Durvalumab added an OS HR of 0.80 (median gain 1.3 months), benefit accruing mostly after 6 months, with gemcitabine capped at eight cycles; interim analysis with non-proportional hazards.</w:t>
            </w:r>
          </w:p>
        </w:tc>
        <w:tc>
          <w:tcPr>
            <w:tcW w:type="dxa" w:w="3360"/>
            <w:tcW w:w="2400" w:type="dxa"/>
            <w:shd w:val="clear" w:color="auto" w:fill="F1F5F8"/>
          </w:tcPr>
          <w:p>
            <w:pPr>
              <w:spacing w:after="0"/>
            </w:pPr>
            <w:r>
              <w:rPr>
                <w:b w:val="0"/>
                <w:i w:val="0"/>
                <w:color w:val="5A6069"/>
                <w:sz w:val="18"/>
              </w:rPr>
              <w:t>Gate 6 · Standard option 'Gemcitabine and cisplatin plus durvalumab (TOPAZ-1)'</w:t>
            </w:r>
          </w:p>
        </w:tc>
      </w:tr>
      <w:tr>
        <w:trPr>
          <w:cantSplit/>
        </w:trPr>
        <w:tc>
          <w:tcPr>
            <w:tcW w:type="dxa" w:w="3360"/>
            <w:tcW w:w="2200" w:type="dxa"/>
            <w:shd w:val="clear" w:color="auto" w:fill="FFFFFF"/>
          </w:tcPr>
          <w:p>
            <w:pPr>
              <w:spacing w:after="0"/>
            </w:pPr>
            <w:r>
              <w:rPr>
                <w:b/>
                <w:i w:val="0"/>
                <w:sz w:val="19"/>
              </w:rPr>
              <w:t>KEYNOTE-966</w:t>
            </w:r>
          </w:p>
        </w:tc>
        <w:tc>
          <w:tcPr>
            <w:tcW w:type="dxa" w:w="3360"/>
            <w:tcW w:w="5480" w:type="dxa"/>
            <w:shd w:val="clear" w:color="auto" w:fill="FFFFFF"/>
          </w:tcPr>
          <w:p>
            <w:pPr>
              <w:spacing w:after="0"/>
            </w:pPr>
            <w:r>
              <w:rPr>
                <w:b w:val="0"/>
                <w:i w:val="0"/>
                <w:sz w:val="19"/>
              </w:rPr>
              <w:t>Pembrolizumab added an OS HR of 0.83 (gain 1.8 months), intrahepatic HR 0.76, gemcitabine to progression; secondary endpoints missed their boundaries and treatment-related deaths were higher.</w:t>
            </w:r>
          </w:p>
        </w:tc>
        <w:tc>
          <w:tcPr>
            <w:tcW w:type="dxa" w:w="3360"/>
            <w:tcW w:w="2400" w:type="dxa"/>
            <w:shd w:val="clear" w:color="auto" w:fill="FFFFFF"/>
          </w:tcPr>
          <w:p>
            <w:pPr>
              <w:spacing w:after="0"/>
            </w:pPr>
            <w:r>
              <w:rPr>
                <w:b w:val="0"/>
                <w:i w:val="0"/>
                <w:color w:val="5A6069"/>
                <w:sz w:val="18"/>
              </w:rPr>
              <w:t>Gate 6 · Standard option 'Gemcitabine and cisplatin plus pembrolizumab (KEYNOTE-966)'</w:t>
            </w:r>
          </w:p>
        </w:tc>
      </w:tr>
      <w:tr>
        <w:trPr>
          <w:cantSplit/>
        </w:trPr>
        <w:tc>
          <w:tcPr>
            <w:tcW w:type="dxa" w:w="3360"/>
            <w:tcW w:w="2200" w:type="dxa"/>
            <w:shd w:val="clear" w:color="auto" w:fill="F1F5F8"/>
          </w:tcPr>
          <w:p>
            <w:pPr>
              <w:spacing w:after="0"/>
            </w:pPr>
            <w:r>
              <w:rPr>
                <w:b/>
                <w:i w:val="0"/>
                <w:sz w:val="19"/>
              </w:rPr>
              <w:t>ESMO BTC 2024 interim update</w:t>
            </w:r>
          </w:p>
        </w:tc>
        <w:tc>
          <w:tcPr>
            <w:tcW w:type="dxa" w:w="3360"/>
            <w:tcW w:w="5480" w:type="dxa"/>
            <w:shd w:val="clear" w:color="auto" w:fill="F1F5F8"/>
          </w:tcPr>
          <w:p>
            <w:pPr>
              <w:spacing w:after="0"/>
            </w:pPr>
            <w:r>
              <w:rPr>
                <w:b w:val="0"/>
                <w:i w:val="0"/>
                <w:sz w:val="19"/>
              </w:rPr>
              <w:t>Recommends both [I, A] and states no biomarker or efficacy or toxicity difference favours either; the roadmap notes this interchangeability rests on an indirect cross-trial comparison.</w:t>
            </w:r>
          </w:p>
        </w:tc>
        <w:tc>
          <w:tcPr>
            <w:tcW w:type="dxa" w:w="3360"/>
            <w:tcW w:w="2400" w:type="dxa"/>
            <w:shd w:val="clear" w:color="auto" w:fill="F1F5F8"/>
          </w:tcPr>
          <w:p>
            <w:pPr>
              <w:spacing w:after="0"/>
            </w:pPr>
            <w:r>
              <w:rPr>
                <w:b w:val="0"/>
                <w:i w:val="0"/>
                <w:color w:val="5A6069"/>
                <w:sz w:val="18"/>
              </w:rPr>
              <w:t>Gate 6 · Standard options (order); Gate 9 · Standard 'Cisplatin–gemcitabine with a checkpoint inhibitor…' (pref, note)</w:t>
            </w:r>
          </w:p>
        </w:tc>
      </w:tr>
      <w:tr>
        <w:trPr>
          <w:cantSplit/>
        </w:trPr>
        <w:tc>
          <w:tcPr>
            <w:tcW w:type="dxa" w:w="3360"/>
            <w:tcW w:w="2200" w:type="dxa"/>
            <w:shd w:val="clear" w:color="auto" w:fill="FFFFFF"/>
          </w:tcPr>
          <w:p>
            <w:pPr>
              <w:spacing w:after="0"/>
            </w:pPr>
            <w:r>
              <w:rPr>
                <w:b/>
                <w:i w:val="0"/>
                <w:sz w:val="19"/>
              </w:rPr>
              <w:t>BSG 2023</w:t>
            </w:r>
          </w:p>
        </w:tc>
        <w:tc>
          <w:tcPr>
            <w:tcW w:type="dxa" w:w="3360"/>
            <w:tcW w:w="5480" w:type="dxa"/>
            <w:shd w:val="clear" w:color="auto" w:fill="FFFFFF"/>
          </w:tcPr>
          <w:p>
            <w:pPr>
              <w:spacing w:after="0"/>
            </w:pPr>
            <w:r>
              <w:rPr>
                <w:b w:val="0"/>
                <w:i w:val="0"/>
                <w:sz w:val="19"/>
              </w:rPr>
              <w:t>Regards oxaliplatin substitution in renal impairment and gemcitabine alone in poor performance status as reasonable modifications.</w:t>
            </w:r>
          </w:p>
        </w:tc>
        <w:tc>
          <w:tcPr>
            <w:tcW w:type="dxa" w:w="3360"/>
            <w:tcW w:w="2400" w:type="dxa"/>
            <w:shd w:val="clear" w:color="auto" w:fill="FFFFFF"/>
          </w:tcPr>
          <w:p>
            <w:pPr>
              <w:spacing w:after="0"/>
            </w:pPr>
            <w:r>
              <w:rPr>
                <w:b w:val="0"/>
                <w:i w:val="0"/>
                <w:color w:val="5A6069"/>
                <w:sz w:val="18"/>
              </w:rPr>
              <w:t>Gate 6 · Standard options (flagnote); Gate 9 · Standard 'Performance status, renal and hepatic function…' (avoid)</w:t>
            </w:r>
          </w:p>
        </w:tc>
      </w:tr>
    </w:tbl>
    <w:p>
      <w:pPr>
        <w:spacing w:after="40"/>
      </w:pPr>
    </w:p>
    <w:p>
      <w:pPr>
        <w:spacing w:after="80"/>
      </w:pPr>
      <w:r>
        <w:rPr>
          <w:b/>
          <w:i w:val="0"/>
        </w:rPr>
        <w:t xml:space="preserve">Where sources differ: </w:t>
      </w:r>
      <w:r>
        <w:rPr>
          <w:b w:val="0"/>
          <w:i w:val="0"/>
        </w:rPr>
        <w:t>No randomised comparison exists, so ESMO's interchangeability rests on cross-trial comparison, and BSG names modification defaults the roadmap leaves unnamed.</w:t>
      </w:r>
    </w:p>
    <w:p>
      <w:pPr>
        <w:pStyle w:val="Heading3"/>
        <w:keepNext/>
        <w:spacing w:before="120" w:after="80"/>
      </w:pPr>
      <w:r>
        <w:rPr>
          <w:b w:val="0"/>
          <w:i w:val="0"/>
        </w:rPr>
        <w:t>Our proposed selection (OPEN)</w:t>
      </w:r>
    </w:p>
    <w:p>
      <w:pPr>
        <w:spacing w:after="80"/>
      </w:pPr>
      <w:r>
        <w:rPr>
          <w:b w:val="0"/>
          <w:i w:val="0"/>
        </w:rPr>
        <w:t>No default: the roadmap does not rank durvalumab and pembrolizumab, accepts either with cisplatin–gemcitabine, and leaves the choice and any modification to the treating oncologist on toxicity profile, schedule and access, with the reason recorded; whether to name the BSG defaults is a local approval item (alignment worksheet, area 13).</w:t>
      </w:r>
    </w:p>
    <w:p>
      <w:pPr>
        <w:spacing w:after="80"/>
      </w:pPr>
      <w:r>
        <w:rPr>
          <w:b/>
          <w:i w:val="0"/>
          <w:color w:val="5A6069"/>
          <w:sz w:val="18"/>
        </w:rPr>
        <w:t xml:space="preserve">Basis in the document: </w:t>
      </w:r>
      <w:r>
        <w:rPr>
          <w:b w:val="0"/>
          <w:i w:val="0"/>
          <w:color w:val="5A6069"/>
          <w:sz w:val="18"/>
        </w:rPr>
        <w:t>Gate 6 · Standard options (order, flagnote); Gate 9 · Standard 'Cisplatin–gemcitabine with a checkpoint inhibitor…' and 'Performance status, renal and hepatic function…'</w:t>
      </w:r>
    </w:p>
    <w:p>
      <w:pPr>
        <w:spacing w:after="80"/>
      </w:pPr>
      <w:r>
        <w:rPr>
          <w:b/>
          <w:i w:val="0"/>
        </w:rPr>
        <w:t xml:space="preserve">Why: </w:t>
      </w:r>
      <w:r>
        <w:rPr>
          <w:b w:val="0"/>
          <w:i w:val="0"/>
        </w:rPr>
        <w:t>No randomised comparison exists between durvalumab and pembrolizumab; ESMO's statement that they are interchangeable is an indirect comparison across trials differing in chemotherapy duration, geography and size. The practical differences are the gemcitabine cycle cap, schedule and access, not efficacy. BSG 2023 also treats oxaliplatin substitution in renal impairment and gemcitabine alone in poor performance status as reasonable, which our page leaves unnamed. Alignment worksheet, area 13.</w:t>
      </w:r>
    </w:p>
    <w:p>
      <w:pPr>
        <w:spacing w:after="80"/>
      </w:pPr>
      <w:r>
        <w:rPr>
          <w:b/>
          <w:i w:val="0"/>
        </w:rPr>
        <w:t xml:space="preserve">What gets audited: </w:t>
      </w:r>
      <w:r>
        <w:rPr>
          <w:b w:val="0"/>
          <w:i w:val="0"/>
        </w:rPr>
        <w:t>Audit: regimen chosen, cycles delivered, any modification and the reason recorded.</w:t>
      </w:r>
    </w:p>
    <w:p>
      <w:pPr>
        <w:pStyle w:val="Heading3"/>
        <w:keepNext/>
        <w:spacing w:before="120" w:after="80"/>
      </w:pPr>
      <w:r>
        <w:rPr>
          <w:b w:val="0"/>
          <w:i w:val="0"/>
        </w:rPr>
        <w:t>iCCA-D13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iCCA-D14 — Post-resection surveillance — 3-monthly or 6-monthly imaging for the first two years?</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3 · Assess resection</w:t>
        </w:r>
      </w:hyperlink>
      <w:r>
        <w:rPr>
          <w:b w:val="0"/>
          <w:i w:val="0"/>
        </w:rPr>
        <w:t xml:space="preserve"> · </w:t>
      </w:r>
      <w:hyperlink r:id="rId14">
        <w:r>
          <w:rPr>
            <w:color w:val="0563C1"/>
            <w:u w:val="single"/>
          </w:rPr>
          <w:t xml:space="preserve">8 · Adjuvant treatment after resection</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BTC v1.2026</w:t>
            </w:r>
          </w:p>
        </w:tc>
        <w:tc>
          <w:tcPr>
            <w:tcW w:type="dxa" w:w="3360"/>
            <w:tcW w:w="5480" w:type="dxa"/>
            <w:shd w:val="clear" w:color="auto" w:fill="F1F5F8"/>
          </w:tcPr>
          <w:p>
            <w:pPr>
              <w:spacing w:after="0"/>
            </w:pPr>
            <w:r>
              <w:rPr>
                <w:b w:val="0"/>
                <w:i w:val="0"/>
                <w:sz w:val="19"/>
              </w:rPr>
              <w:t>States there are no data to support a specific surveillance schedule.</w:t>
            </w:r>
          </w:p>
        </w:tc>
        <w:tc>
          <w:tcPr>
            <w:tcW w:type="dxa" w:w="3360"/>
            <w:tcW w:w="2400" w:type="dxa"/>
            <w:shd w:val="clear" w:color="auto" w:fill="F1F5F8"/>
          </w:tcPr>
          <w:p>
            <w:pPr>
              <w:spacing w:after="0"/>
            </w:pPr>
            <w:r>
              <w:rPr>
                <w:b w:val="0"/>
                <w:i w:val="0"/>
                <w:color w:val="5A6069"/>
                <w:sz w:val="18"/>
              </w:rPr>
              <w:t>What we are not sure about · 'Reassessment intervals…'</w:t>
            </w:r>
          </w:p>
        </w:tc>
      </w:tr>
    </w:tbl>
    <w:p>
      <w:pPr>
        <w:spacing w:after="40"/>
      </w:pPr>
    </w:p>
    <w:p>
      <w:pPr>
        <w:spacing w:after="80"/>
      </w:pPr>
      <w:r>
        <w:rPr>
          <w:b/>
          <w:i w:val="0"/>
        </w:rPr>
        <w:t xml:space="preserve">Where sources differ: </w:t>
      </w:r>
      <w:r>
        <w:rPr>
          <w:b w:val="0"/>
          <w:i w:val="0"/>
        </w:rPr>
        <w:t>NCCN finds no data for any schedule, and the roadmap's 3–6-month range leaves the choice between 3-monthly and 6-monthly imaging to a local approval item.</w:t>
      </w:r>
    </w:p>
    <w:p>
      <w:pPr>
        <w:pStyle w:val="Heading3"/>
        <w:keepNext/>
        <w:spacing w:before="120" w:after="80"/>
      </w:pPr>
      <w:r>
        <w:rPr>
          <w:b w:val="0"/>
          <w:i w:val="0"/>
        </w:rPr>
        <w:t>Our proposed selection (OPEN)</w:t>
      </w:r>
    </w:p>
    <w:p>
      <w:pPr>
        <w:spacing w:after="80"/>
      </w:pPr>
      <w:r>
        <w:rPr>
          <w:b w:val="0"/>
          <w:i w:val="0"/>
        </w:rPr>
        <w:t>After resection, imaging every 3–6 months for two years, then less often, graded C to D as expert consensus; fixing the interval at 3-monthly or 6-monthly is left open (alignment worksheet, area 16).</w:t>
      </w:r>
    </w:p>
    <w:p>
      <w:pPr>
        <w:spacing w:after="80"/>
      </w:pPr>
      <w:r>
        <w:rPr>
          <w:b/>
          <w:i w:val="0"/>
          <w:color w:val="5A6069"/>
          <w:sz w:val="18"/>
        </w:rPr>
        <w:t xml:space="preserve">Basis in the document: </w:t>
      </w:r>
      <w:r>
        <w:rPr>
          <w:b w:val="0"/>
          <w:i w:val="0"/>
          <w:color w:val="5A6069"/>
          <w:sz w:val="18"/>
        </w:rPr>
        <w:t>What we are not sure about · 'Reassessment intervals: systemic therapy every 8–12 weeks…'</w:t>
      </w:r>
    </w:p>
    <w:p>
      <w:pPr>
        <w:spacing w:after="80"/>
      </w:pPr>
      <w:r>
        <w:rPr>
          <w:b/>
          <w:i w:val="0"/>
        </w:rPr>
        <w:t xml:space="preserve">Why: </w:t>
      </w:r>
      <w:r>
        <w:rPr>
          <w:b w:val="0"/>
          <w:i w:val="0"/>
        </w:rPr>
        <w:t>NCCN states there are no data supporting a specific surveillance schedule. The argument for 3-monthly is that most recurrences are intrahepatic and some are re-resectable or ablatable; the argument for 6-monthly is that most UK centres practise it and no study shows the shorter interval changes outcome. Alignment worksheet, area 16.</w:t>
      </w:r>
    </w:p>
    <w:p>
      <w:pPr>
        <w:spacing w:after="80"/>
      </w:pPr>
      <w:r>
        <w:rPr>
          <w:b/>
          <w:i w:val="0"/>
        </w:rPr>
        <w:t xml:space="preserve">What gets audited: </w:t>
      </w:r>
      <w:r>
        <w:rPr>
          <w:b w:val="0"/>
          <w:i w:val="0"/>
        </w:rPr>
        <w:t>Audit: interval actually achieved, recurrence pattern, and proportion of recurrences treated with curative intent.</w:t>
      </w:r>
    </w:p>
    <w:p>
      <w:pPr>
        <w:pStyle w:val="Heading3"/>
        <w:keepNext/>
        <w:spacing w:before="120" w:after="80"/>
      </w:pPr>
      <w:r>
        <w:rPr>
          <w:b w:val="0"/>
          <w:i w:val="0"/>
        </w:rPr>
        <w:t>iCCA-D14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iCCA-D15 — Ratify early HAI review, disease-specific selection and programme safeguards.</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4 · Treat and reassess for resection</w:t>
        </w:r>
      </w:hyperlink>
      <w:r>
        <w:rPr>
          <w:b w:val="0"/>
          <w:i w:val="0"/>
        </w:rPr>
        <w:t xml:space="preserve"> · </w:t>
      </w:r>
      <w:hyperlink r:id="rId10">
        <w:r>
          <w:rPr>
            <w:color w:val="0563C1"/>
            <w:u w:val="single"/>
          </w:rPr>
          <w:t xml:space="preserve">5 · Unresectable disease confined to the liver</w:t>
        </w:r>
      </w:hyperlink>
      <w:r>
        <w:rPr>
          <w:b w:val="0"/>
          <w:i w:val="0"/>
        </w:rPr>
        <w:t xml:space="preserve"> · </w:t>
      </w:r>
      <w:hyperlink r:id="rId11">
        <w:r>
          <w:rPr>
            <w:color w:val="0563C1"/>
            <w:u w:val="single"/>
          </w:rPr>
          <w:t xml:space="preserve">7 · Select liver-directed therapy</w:t>
        </w:r>
      </w:hyperlink>
      <w:r>
        <w:rPr>
          <w:b w:val="0"/>
          <w:i w:val="0"/>
        </w:rPr>
        <w:t xml:space="preserve"> · </w:t>
      </w:r>
      <w:hyperlink r:id="rId18">
        <w:r>
          <w:rPr>
            <w:color w:val="0563C1"/>
            <w:u w:val="single"/>
          </w:rPr>
          <w:t xml:space="preserve">10 · Assess transplant eligibility</w:t>
        </w:r>
      </w:hyperlink>
    </w:p>
    <w:p>
      <w:pPr>
        <w:spacing w:after="120"/>
      </w:pPr>
      <w:r>
        <w:rPr>
          <w:b/>
          <w:i w:val="0"/>
          <w:sz w:val="18"/>
        </w:rPr>
        <w:t xml:space="preserve">Web page: </w:t>
      </w:r>
      <w:hyperlink r:id="rId3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BTC v1.2026</w:t>
            </w:r>
          </w:p>
        </w:tc>
        <w:tc>
          <w:tcPr>
            <w:tcW w:type="dxa" w:w="3360"/>
            <w:tcW w:w="5480" w:type="dxa"/>
            <w:shd w:val="clear" w:color="auto" w:fill="F1F5F8"/>
          </w:tcPr>
          <w:p>
            <w:pPr>
              <w:spacing w:after="0"/>
            </w:pPr>
            <w:r>
              <w:rPr>
                <w:b w:val="0"/>
                <w:i w:val="0"/>
                <w:sz w:val="19"/>
              </w:rPr>
              <w:t>Permits HAI in trials or experienced centres for carefully selected patients.</w:t>
            </w:r>
          </w:p>
        </w:tc>
        <w:tc>
          <w:tcPr>
            <w:tcW w:type="dxa" w:w="3360"/>
            <w:tcW w:w="2400" w:type="dxa"/>
            <w:shd w:val="clear" w:color="auto" w:fill="F1F5F8"/>
          </w:tcPr>
          <w:p>
            <w:pPr>
              <w:spacing w:after="0"/>
            </w:pPr>
            <w:r>
              <w:rPr>
                <w:b w:val="0"/>
                <w:i w:val="0"/>
                <w:color w:val="5A6069"/>
                <w:sz w:val="18"/>
              </w:rPr>
              <w:t>Gate 7 · selector option 'Hepatic arterial infusion' (when)</w:t>
            </w:r>
          </w:p>
        </w:tc>
      </w:tr>
      <w:tr>
        <w:trPr>
          <w:cantSplit/>
        </w:trPr>
        <w:tc>
          <w:tcPr>
            <w:tcW w:type="dxa" w:w="3360"/>
            <w:tcW w:w="2200" w:type="dxa"/>
            <w:shd w:val="clear" w:color="auto" w:fill="FFFFFF"/>
          </w:tcPr>
          <w:p>
            <w:pPr>
              <w:spacing w:after="0"/>
            </w:pPr>
            <w:r>
              <w:rPr>
                <w:b/>
                <w:i w:val="0"/>
                <w:sz w:val="19"/>
              </w:rPr>
              <w:t>Pooled analysis of four phase II HAI trials (with PUMP-2)</w:t>
            </w:r>
          </w:p>
        </w:tc>
        <w:tc>
          <w:tcPr>
            <w:tcW w:type="dxa" w:w="3360"/>
            <w:tcW w:w="5480" w:type="dxa"/>
            <w:shd w:val="clear" w:color="auto" w:fill="FFFFFF"/>
          </w:tcPr>
          <w:p>
            <w:pPr>
              <w:spacing w:after="0"/>
            </w:pPr>
            <w:r>
              <w:rPr>
                <w:b w:val="0"/>
                <w:i w:val="0"/>
                <w:sz w:val="19"/>
              </w:rPr>
              <w:t>Prospective HAI evidence admitted selected resectable regional nodal disease; the roadmap separates this from distant spread and from transplant eligibility, and notes the pooled cohorts overlap rather than replicate.</w:t>
            </w:r>
          </w:p>
        </w:tc>
        <w:tc>
          <w:tcPr>
            <w:tcW w:type="dxa" w:w="3360"/>
            <w:tcW w:w="2400" w:type="dxa"/>
            <w:shd w:val="clear" w:color="auto" w:fill="FFFFFF"/>
          </w:tcPr>
          <w:p>
            <w:pPr>
              <w:spacing w:after="0"/>
            </w:pPr>
            <w:r>
              <w:rPr>
                <w:b w:val="0"/>
                <w:i w:val="0"/>
                <w:color w:val="5A6069"/>
                <w:sz w:val="18"/>
              </w:rPr>
              <w:t>HAI evidence and pathway revision · 'Regional nodes and transplant separation', 'Mature pooled outcomes'</w:t>
            </w:r>
          </w:p>
        </w:tc>
      </w:tr>
      <w:tr>
        <w:trPr>
          <w:cantSplit/>
        </w:trPr>
        <w:tc>
          <w:tcPr>
            <w:tcW w:type="dxa" w:w="3360"/>
            <w:tcW w:w="2200" w:type="dxa"/>
            <w:shd w:val="clear" w:color="auto" w:fill="F1F5F8"/>
          </w:tcPr>
          <w:p>
            <w:pPr>
              <w:spacing w:after="0"/>
            </w:pPr>
            <w:r>
              <w:rPr>
                <w:b/>
                <w:i w:val="0"/>
                <w:sz w:val="19"/>
              </w:rPr>
              <w:t>Minimum requirements for new HAI programmes</w:t>
            </w:r>
          </w:p>
        </w:tc>
        <w:tc>
          <w:tcPr>
            <w:tcW w:type="dxa" w:w="3360"/>
            <w:tcW w:w="5480" w:type="dxa"/>
            <w:shd w:val="clear" w:color="auto" w:fill="F1F5F8"/>
          </w:tcPr>
          <w:p>
            <w:pPr>
              <w:spacing w:after="0"/>
            </w:pPr>
            <w:r>
              <w:rPr>
                <w:b w:val="0"/>
                <w:i w:val="0"/>
                <w:sz w:val="19"/>
              </w:rPr>
              <w:t>Credentialing must cover the whole service, from named surgeon and backup to infusion nursing, pharmacy, perfusion assessment, IR rescue, refill coverage, dose-hold rules, biliary escalation and a registry.</w:t>
            </w:r>
          </w:p>
        </w:tc>
        <w:tc>
          <w:tcPr>
            <w:tcW w:type="dxa" w:w="3360"/>
            <w:tcW w:w="2400" w:type="dxa"/>
            <w:shd w:val="clear" w:color="auto" w:fill="F1F5F8"/>
          </w:tcPr>
          <w:p>
            <w:pPr>
              <w:spacing w:after="0"/>
            </w:pPr>
            <w:r>
              <w:rPr>
                <w:b w:val="0"/>
                <w:i w:val="0"/>
                <w:color w:val="5A6069"/>
                <w:sz w:val="18"/>
              </w:rPr>
              <w:t>HAI evidence and pathway revision · 'Programme readiness'</w:t>
            </w:r>
          </w:p>
        </w:tc>
      </w:tr>
      <w:tr>
        <w:trPr>
          <w:cantSplit/>
        </w:trPr>
        <w:tc>
          <w:tcPr>
            <w:tcW w:type="dxa" w:w="3360"/>
            <w:tcW w:w="2200" w:type="dxa"/>
            <w:shd w:val="clear" w:color="auto" w:fill="FFFFFF"/>
          </w:tcPr>
          <w:p>
            <w:pPr>
              <w:spacing w:after="0"/>
            </w:pPr>
            <w:r>
              <w:rPr>
                <w:b/>
                <w:i w:val="0"/>
                <w:sz w:val="19"/>
              </w:rPr>
              <w:t>Floxuridine–bevacizumab biliary toxicity study</w:t>
            </w:r>
          </w:p>
        </w:tc>
        <w:tc>
          <w:tcPr>
            <w:tcW w:type="dxa" w:w="3360"/>
            <w:tcW w:w="5480" w:type="dxa"/>
            <w:shd w:val="clear" w:color="auto" w:fill="FFFFFF"/>
          </w:tcPr>
          <w:p>
            <w:pPr>
              <w:spacing w:after="0"/>
            </w:pPr>
            <w:r>
              <w:rPr>
                <w:b w:val="0"/>
                <w:i w:val="0"/>
                <w:sz w:val="19"/>
              </w:rPr>
              <w:t>Concurrent systemic bevacizumab increases floxuridine HAI biliary toxicity.</w:t>
            </w:r>
          </w:p>
        </w:tc>
        <w:tc>
          <w:tcPr>
            <w:tcW w:type="dxa" w:w="3360"/>
            <w:tcW w:w="2400" w:type="dxa"/>
            <w:shd w:val="clear" w:color="auto" w:fill="FFFFFF"/>
          </w:tcPr>
          <w:p>
            <w:pPr>
              <w:spacing w:after="0"/>
            </w:pPr>
            <w:r>
              <w:rPr>
                <w:b w:val="0"/>
                <w:i w:val="0"/>
                <w:color w:val="5A6069"/>
                <w:sz w:val="18"/>
              </w:rPr>
              <w:t>HAI evidence and pathway revision · 'Feasibility and medication safeguards'</w:t>
            </w:r>
          </w:p>
        </w:tc>
      </w:tr>
    </w:tbl>
    <w:p>
      <w:pPr>
        <w:spacing w:after="40"/>
      </w:pPr>
    </w:p>
    <w:p>
      <w:pPr>
        <w:spacing w:after="80"/>
      </w:pPr>
      <w:r>
        <w:rPr>
          <w:b/>
          <w:i w:val="0"/>
        </w:rPr>
        <w:t xml:space="preserve">Where sources differ: </w:t>
      </w:r>
      <w:r>
        <w:rPr>
          <w:b w:val="0"/>
          <w:i w:val="0"/>
        </w:rPr>
        <w:t>Sources agree on credentialed whole-service programmes and avoiding bevacizumab with floxuridine, but the prospective HAI evidence is nonrandomised and admits regional nodes that the transplant route does not.</w:t>
      </w:r>
    </w:p>
    <w:p>
      <w:pPr>
        <w:pStyle w:val="Heading3"/>
        <w:keepNext/>
        <w:spacing w:before="120" w:after="80"/>
      </w:pPr>
      <w:r>
        <w:rPr>
          <w:b w:val="0"/>
          <w:i w:val="0"/>
        </w:rPr>
        <w:t>Our proposed selection (OPEN)</w:t>
      </w:r>
    </w:p>
    <w:p>
      <w:pPr>
        <w:spacing w:after="80"/>
      </w:pPr>
      <w:r>
        <w:rPr>
          <w:b w:val="0"/>
          <w:i w:val="0"/>
        </w:rPr>
        <w:t>Discuss HAI early for selected unresectable liver-confined iCCA at an experienced programme, with a systemic plan and defined resection reassessment; treat it as control or conversion, not standalone cure, with no ranking against Y90 or ablative radiotherapy; distinguish resectable regional nodes from distant spread, without extending that to transplant; name the whole service first; avoid bevacizumab with floxuridine.</w:t>
      </w:r>
    </w:p>
    <w:p>
      <w:pPr>
        <w:spacing w:after="80"/>
      </w:pPr>
      <w:r>
        <w:rPr>
          <w:b/>
          <w:i w:val="0"/>
          <w:color w:val="5A6069"/>
          <w:sz w:val="18"/>
        </w:rPr>
        <w:t xml:space="preserve">Basis in the document: </w:t>
      </w:r>
      <w:r>
        <w:rPr>
          <w:b w:val="0"/>
          <w:i w:val="0"/>
          <w:color w:val="5A6069"/>
          <w:sz w:val="18"/>
        </w:rPr>
        <w:t>HAI evidence and pathway revision (15 October 2026) · 'Treatment position', 'Regional nodes and transplant separation', 'Programme readiness', 'Feasibility and medication safeguards'</w:t>
      </w:r>
    </w:p>
    <w:p>
      <w:pPr>
        <w:spacing w:after="80"/>
      </w:pPr>
      <w:r>
        <w:rPr>
          <w:b/>
          <w:i w:val="0"/>
        </w:rPr>
        <w:t xml:space="preserve">Why: </w:t>
      </w:r>
      <w:r>
        <w:rPr>
          <w:b w:val="0"/>
          <w:i w:val="0"/>
        </w:rPr>
        <w:t>Before activation, name the HPB pump surgeon and backup, medical oncology lead, nursing/pharmacy team, nuclear-medicine perfusion service and IR rescue service; define refill/maintenance coverage, laboratory monitoring and dose holds, biliary-toxicity escalation, and an outcomes registry. Minimum programme requirements: PMID 39962001; surgical toolkit: PMID 36346892. Avoid concurrent bevacizumab with FUDR (PMID 24154839); retain the NCCN CRLM restriction on concurrent VEGF inhibitors. Selected resectable regional nodes in HAI evidence do not confer transplant eligibility. No established head-to-head modality hierarchy.</w:t>
      </w:r>
    </w:p>
    <w:p>
      <w:pPr>
        <w:spacing w:after="80"/>
      </w:pPr>
      <w:r>
        <w:rPr>
          <w:b/>
          <w:i w:val="0"/>
        </w:rPr>
        <w:t xml:space="preserve">What gets audited: </w:t>
      </w:r>
      <w:r>
        <w:rPr>
          <w:b w:val="0"/>
          <w:i w:val="0"/>
        </w:rPr>
        <w:t>Record intent, referral timing, systemic plan, perfusion verification, dose intensity, biliary complications, reassessment and complete resection/ablation outcomes.</w:t>
      </w:r>
    </w:p>
    <w:p>
      <w:pPr>
        <w:pStyle w:val="Heading3"/>
        <w:keepNext/>
        <w:spacing w:before="120" w:after="80"/>
      </w:pPr>
      <w:r>
        <w:rPr>
          <w:b w:val="0"/>
          <w:i w:val="0"/>
        </w:rPr>
        <w:t>iCCA-D15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Part 2. Standard pathway</w:t>
      </w:r>
    </w:p>
    <w:p>
      <w:pPr>
        <w:spacing w:after="80"/>
      </w:pPr>
      <w:r>
        <w:rPr>
          <w:b w:val="0"/>
          <w:i w:val="0"/>
          <w:color w:val="5A6069"/>
          <w:sz w:val="18"/>
        </w:rPr>
        <w:t>Web page: https://drliuhao.github.io/mh-liver-pathways/transplant/icca/#meeting</w:t>
      </w:r>
    </w:p>
    <w:p>
      <w:pPr>
        <w:pStyle w:val="Heading2"/>
        <w:keepNext/>
        <w:spacing w:before="200" w:after="80"/>
      </w:pPr>
      <w:r>
        <w:rPr>
          <w:b w:val="0"/>
          <w:i w:val="0"/>
        </w:rPr>
        <w:t>iCCA G1 / G2 — Will the local protocol include mixed HCC-iCCA?</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4">
        <w:r>
          <w:rPr>
            <w:color w:val="0563C1"/>
            <w:u w:val="single"/>
          </w:rPr>
          <w:t xml:space="preserve">Establish histology</w:t>
        </w:r>
      </w:hyperlink>
    </w:p>
    <w:p>
      <w:pPr>
        <w:spacing w:after="120"/>
      </w:pPr>
      <w:r>
        <w:rPr>
          <w:b/>
          <w:i w:val="0"/>
          <w:sz w:val="18"/>
        </w:rPr>
        <w:t xml:space="preserve">Web page: </w:t>
      </w:r>
      <w:hyperlink r:id="rId3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iCCA</w:t>
            </w:r>
          </w:p>
        </w:tc>
        <w:tc>
          <w:tcPr>
            <w:tcW w:type="dxa" w:w="3360"/>
            <w:tcW w:w="5480" w:type="dxa"/>
            <w:shd w:val="clear" w:color="auto" w:fill="F1F5F8"/>
          </w:tcPr>
          <w:p>
            <w:pPr>
              <w:spacing w:after="0"/>
            </w:pPr>
            <w:r>
              <w:rPr>
                <w:b w:val="0"/>
                <w:i w:val="0"/>
                <w:sz w:val="19"/>
              </w:rPr>
              <w:t>“iCCA or mixed hepatocellular carcinoma/intrahepatic cholangiocarcinoma”</w:t>
            </w:r>
          </w:p>
        </w:tc>
        <w:tc>
          <w:tcPr>
            <w:tcW w:type="dxa" w:w="3360"/>
            <w:tcW w:w="2400" w:type="dxa"/>
            <w:shd w:val="clear" w:color="auto" w:fill="F1F5F8"/>
          </w:tcPr>
          <w:p>
            <w:pPr>
              <w:spacing w:after="0"/>
            </w:pPr>
            <w:r>
              <w:rPr>
                <w:b w:val="0"/>
                <w:i w:val="0"/>
                <w:color w:val="5A6069"/>
                <w:sz w:val="18"/>
              </w:rPr>
              <w:t>iCCA guidance</w:t>
            </w:r>
          </w:p>
        </w:tc>
      </w:tr>
      <w:tr>
        <w:trPr>
          <w:cantSplit/>
        </w:trPr>
        <w:tc>
          <w:tcPr>
            <w:tcW w:type="dxa" w:w="3360"/>
            <w:tcW w:w="2200" w:type="dxa"/>
            <w:shd w:val="clear" w:color="auto" w:fill="FFFFFF"/>
          </w:tcPr>
          <w:p>
            <w:pPr>
              <w:spacing w:after="0"/>
            </w:pPr>
            <w:r>
              <w:rPr>
                <w:b/>
                <w:i w:val="0"/>
                <w:sz w:val="19"/>
              </w:rPr>
              <w:t>Very-early iCCA</w:t>
            </w:r>
          </w:p>
        </w:tc>
        <w:tc>
          <w:tcPr>
            <w:tcW w:type="dxa" w:w="3360"/>
            <w:tcW w:w="5480" w:type="dxa"/>
            <w:shd w:val="clear" w:color="auto" w:fill="FFFFFF"/>
          </w:tcPr>
          <w:p>
            <w:pPr>
              <w:spacing w:after="0"/>
            </w:pPr>
            <w:r>
              <w:rPr>
                <w:b w:val="0"/>
                <w:i w:val="0"/>
                <w:sz w:val="19"/>
              </w:rPr>
              <w:t>Very-early iCCA cohort evidence does not automatically establish the same benefit for every mixed tumor presentation.</w:t>
            </w:r>
          </w:p>
        </w:tc>
        <w:tc>
          <w:tcPr>
            <w:tcW w:type="dxa" w:w="3360"/>
            <w:tcW w:w="2400" w:type="dxa"/>
            <w:shd w:val="clear" w:color="auto" w:fill="FFFFFF"/>
          </w:tcPr>
          <w:p>
            <w:pPr>
              <w:spacing w:after="0"/>
            </w:pPr>
            <w:r>
              <w:rPr>
                <w:b w:val="0"/>
                <w:i w:val="0"/>
                <w:color w:val="5A6069"/>
                <w:sz w:val="18"/>
              </w:rPr>
              <w:t>Sapisochin et al. · Hepatology · 2016</w:t>
            </w:r>
          </w:p>
        </w:tc>
      </w:tr>
    </w:tbl>
    <w:p>
      <w:pPr>
        <w:spacing w:after="40"/>
      </w:pPr>
    </w:p>
    <w:p>
      <w:pPr>
        <w:pStyle w:val="Heading3"/>
        <w:keepNext/>
        <w:spacing w:before="120" w:after="80"/>
      </w:pPr>
      <w:r>
        <w:rPr>
          <w:b w:val="0"/>
          <w:i w:val="0"/>
        </w:rPr>
        <w:t>Our proposed selection (OPEN)</w:t>
      </w:r>
    </w:p>
    <w:p>
      <w:pPr>
        <w:spacing w:after="80"/>
      </w:pPr>
      <w:r>
        <w:rPr>
          <w:b w:val="0"/>
          <w:i w:val="0"/>
        </w:rPr>
        <w:t>Document expert pathology and obtain explicit local program acceptance for mixed tumors; do not silently equate the two evidence bases.</w:t>
      </w:r>
    </w:p>
    <w:p>
      <w:pPr>
        <w:spacing w:after="80"/>
      </w:pPr>
      <w:r>
        <w:rPr>
          <w:b/>
          <w:i w:val="0"/>
        </w:rPr>
        <w:t xml:space="preserve">Why: </w:t>
      </w:r>
      <w:r>
        <w:rPr>
          <w:b w:val="0"/>
          <w:i w:val="0"/>
        </w:rPr>
        <w:t>NLRB scope and cohort populations are not identical.</w:t>
      </w:r>
    </w:p>
    <w:p>
      <w:pPr>
        <w:spacing w:after="80"/>
      </w:pPr>
      <w:r>
        <w:rPr>
          <w:b/>
          <w:i w:val="0"/>
        </w:rPr>
        <w:t xml:space="preserve">Owners: </w:t>
      </w:r>
      <w:r>
        <w:rPr>
          <w:b w:val="0"/>
          <w:i w:val="0"/>
        </w:rPr>
        <w:t>Pathology · oncology · transplant governance</w:t>
      </w:r>
    </w:p>
    <w:p>
      <w:pPr>
        <w:pStyle w:val="Heading3"/>
        <w:keepNext/>
        <w:spacing w:before="120" w:after="80"/>
      </w:pPr>
      <w:r>
        <w:rPr>
          <w:b w:val="0"/>
          <w:i w:val="0"/>
        </w:rPr>
        <w:t>iCCA G1 / G2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 G2 — Is NLRB alignment sufficient, or do we require a prospective program?</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6">
        <w:r>
          <w:rPr>
            <w:color w:val="0563C1"/>
            <w:u w:val="single"/>
          </w:rPr>
          <w:t xml:space="preserve">Check clinical selection criteria</w:t>
        </w:r>
      </w:hyperlink>
    </w:p>
    <w:p>
      <w:pPr>
        <w:spacing w:after="120"/>
      </w:pPr>
      <w:r>
        <w:rPr>
          <w:b/>
          <w:i w:val="0"/>
          <w:sz w:val="18"/>
        </w:rPr>
        <w:t xml:space="preserve">Web page: </w:t>
      </w:r>
      <w:hyperlink r:id="rId3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iCCA</w:t>
            </w:r>
          </w:p>
        </w:tc>
        <w:tc>
          <w:tcPr>
            <w:tcW w:type="dxa" w:w="3360"/>
            <w:tcW w:w="5480" w:type="dxa"/>
            <w:shd w:val="clear" w:color="auto" w:fill="F1F5F8"/>
          </w:tcPr>
          <w:p>
            <w:pPr>
              <w:spacing w:after="0"/>
            </w:pPr>
            <w:r>
              <w:rPr>
                <w:b w:val="0"/>
                <w:i w:val="0"/>
                <w:sz w:val="19"/>
              </w:rPr>
              <w:t>“unresectable solitary intrahepatic cholangiocarcinoma”</w:t>
            </w:r>
          </w:p>
        </w:tc>
        <w:tc>
          <w:tcPr>
            <w:tcW w:type="dxa" w:w="3360"/>
            <w:tcW w:w="2400" w:type="dxa"/>
            <w:shd w:val="clear" w:color="auto" w:fill="F1F5F8"/>
          </w:tcPr>
          <w:p>
            <w:pPr>
              <w:spacing w:after="0"/>
            </w:pPr>
            <w:r>
              <w:rPr>
                <w:b w:val="0"/>
                <w:i w:val="0"/>
                <w:color w:val="5A6069"/>
                <w:sz w:val="18"/>
              </w:rPr>
              <w:t>Phenotype criteria, p.7</w:t>
            </w:r>
          </w:p>
        </w:tc>
      </w:tr>
      <w:tr>
        <w:trPr>
          <w:cantSplit/>
        </w:trPr>
        <w:tc>
          <w:tcPr>
            <w:tcW w:type="dxa" w:w="3360"/>
            <w:tcW w:w="2200" w:type="dxa"/>
            <w:shd w:val="clear" w:color="auto" w:fill="FFFFFF"/>
          </w:tcPr>
          <w:p>
            <w:pPr>
              <w:spacing w:after="0"/>
            </w:pPr>
            <w:r>
              <w:rPr>
                <w:b/>
                <w:i w:val="0"/>
                <w:sz w:val="19"/>
              </w:rPr>
              <w:t>Very-early iCCA</w:t>
            </w:r>
          </w:p>
        </w:tc>
        <w:tc>
          <w:tcPr>
            <w:tcW w:type="dxa" w:w="3360"/>
            <w:tcW w:w="5480" w:type="dxa"/>
            <w:shd w:val="clear" w:color="auto" w:fill="FFFFFF"/>
          </w:tcPr>
          <w:p>
            <w:pPr>
              <w:spacing w:after="0"/>
            </w:pPr>
            <w:r>
              <w:rPr>
                <w:b w:val="0"/>
                <w:i w:val="0"/>
                <w:sz w:val="19"/>
              </w:rPr>
              <w:t>Retrospective selected data support very-early disease; this is not randomized evidence for routine LT.</w:t>
            </w:r>
          </w:p>
        </w:tc>
        <w:tc>
          <w:tcPr>
            <w:tcW w:type="dxa" w:w="3360"/>
            <w:tcW w:w="2400" w:type="dxa"/>
            <w:shd w:val="clear" w:color="auto" w:fill="FFFFFF"/>
          </w:tcPr>
          <w:p>
            <w:pPr>
              <w:spacing w:after="0"/>
            </w:pPr>
            <w:r>
              <w:rPr>
                <w:b w:val="0"/>
                <w:i w:val="0"/>
                <w:color w:val="5A6069"/>
                <w:sz w:val="18"/>
              </w:rPr>
              <w:t>Sapisochin et al. · Hepatology · 2016</w:t>
            </w:r>
          </w:p>
        </w:tc>
      </w:tr>
    </w:tbl>
    <w:p>
      <w:pPr>
        <w:spacing w:after="40"/>
      </w:pPr>
    </w:p>
    <w:p>
      <w:pPr>
        <w:pStyle w:val="Heading3"/>
        <w:keepNext/>
        <w:spacing w:before="120" w:after="80"/>
      </w:pPr>
      <w:r>
        <w:rPr>
          <w:b w:val="0"/>
          <w:i w:val="0"/>
        </w:rPr>
        <w:t>Our proposed selection (OPEN)</w:t>
      </w:r>
    </w:p>
    <w:p>
      <w:pPr>
        <w:spacing w:after="80"/>
      </w:pPr>
      <w:r>
        <w:rPr>
          <w:b w:val="0"/>
          <w:i w:val="0"/>
        </w:rPr>
        <w:t>Retain a prospective/registry-based institutional restriction until the group approves the program and consent requirements.</w:t>
      </w:r>
    </w:p>
    <w:p>
      <w:pPr>
        <w:spacing w:after="80"/>
      </w:pPr>
      <w:r>
        <w:rPr>
          <w:b/>
          <w:i w:val="0"/>
        </w:rPr>
        <w:t xml:space="preserve">Why: </w:t>
      </w:r>
      <w:r>
        <w:rPr>
          <w:b w:val="0"/>
          <w:i w:val="0"/>
        </w:rPr>
        <w:t>An allocation review pathway is not an institution-wide adoption decision.</w:t>
      </w:r>
    </w:p>
    <w:p>
      <w:pPr>
        <w:spacing w:after="80"/>
      </w:pPr>
      <w:r>
        <w:rPr>
          <w:b/>
          <w:i w:val="0"/>
        </w:rPr>
        <w:t xml:space="preserve">Owners: </w:t>
      </w:r>
      <w:r>
        <w:rPr>
          <w:b w:val="0"/>
          <w:i w:val="0"/>
        </w:rPr>
        <w:t>Transplant governance · oncology</w:t>
      </w:r>
    </w:p>
    <w:p>
      <w:pPr>
        <w:pStyle w:val="Heading3"/>
        <w:keepNext/>
        <w:spacing w:before="120" w:after="80"/>
      </w:pPr>
      <w:r>
        <w:rPr>
          <w:b w:val="0"/>
          <w:i w:val="0"/>
        </w:rPr>
        <w:t>iCCA G2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 G3 — Which control strategy and ICI safety rules will be used?</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8">
        <w:r>
          <w:rPr>
            <w:color w:val="0563C1"/>
            <w:u w:val="single"/>
          </w:rPr>
          <w:t xml:space="preserve">Plan pretransplant treatment</w:t>
        </w:r>
      </w:hyperlink>
    </w:p>
    <w:p>
      <w:pPr>
        <w:spacing w:after="120"/>
      </w:pPr>
      <w:r>
        <w:rPr>
          <w:b/>
          <w:i w:val="0"/>
          <w:sz w:val="18"/>
        </w:rPr>
        <w:t xml:space="preserve">Web page: </w:t>
      </w:r>
      <w:hyperlink r:id="rId3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iCCA</w:t>
            </w:r>
          </w:p>
        </w:tc>
        <w:tc>
          <w:tcPr>
            <w:tcW w:type="dxa" w:w="3360"/>
            <w:tcW w:w="5480" w:type="dxa"/>
            <w:shd w:val="clear" w:color="auto" w:fill="F1F5F8"/>
          </w:tcPr>
          <w:p>
            <w:pPr>
              <w:spacing w:after="0"/>
            </w:pPr>
            <w:r>
              <w:rPr>
                <w:b w:val="0"/>
                <w:i w:val="0"/>
                <w:sz w:val="19"/>
              </w:rPr>
              <w:t>“Locoregional or systemic therapy for iCCA”</w:t>
            </w:r>
          </w:p>
        </w:tc>
        <w:tc>
          <w:tcPr>
            <w:tcW w:type="dxa" w:w="3360"/>
            <w:tcW w:w="2400" w:type="dxa"/>
            <w:shd w:val="clear" w:color="auto" w:fill="F1F5F8"/>
          </w:tcPr>
          <w:p>
            <w:pPr>
              <w:spacing w:after="0"/>
            </w:pPr>
            <w:r>
              <w:rPr>
                <w:b w:val="0"/>
                <w:i w:val="0"/>
                <w:color w:val="5A6069"/>
                <w:sz w:val="18"/>
              </w:rPr>
              <w:t>iCCA guidance</w:t>
            </w:r>
          </w:p>
        </w:tc>
      </w:tr>
      <w:tr>
        <w:trPr>
          <w:cantSplit/>
        </w:trPr>
        <w:tc>
          <w:tcPr>
            <w:tcW w:type="dxa" w:w="3360"/>
            <w:tcW w:w="2200" w:type="dxa"/>
            <w:shd w:val="clear" w:color="auto" w:fill="FFFFFF"/>
          </w:tcPr>
          <w:p>
            <w:pPr>
              <w:spacing w:after="0"/>
            </w:pPr>
            <w:r>
              <w:rPr>
                <w:b/>
                <w:i w:val="0"/>
                <w:sz w:val="19"/>
              </w:rPr>
              <w:t>AASLD · CCA</w:t>
            </w:r>
          </w:p>
        </w:tc>
        <w:tc>
          <w:tcPr>
            <w:tcW w:type="dxa" w:w="3360"/>
            <w:tcW w:w="5480" w:type="dxa"/>
            <w:shd w:val="clear" w:color="auto" w:fill="FFFFFF"/>
          </w:tcPr>
          <w:p>
            <w:pPr>
              <w:spacing w:after="0"/>
            </w:pPr>
            <w:r>
              <w:rPr>
                <w:b w:val="0"/>
                <w:i w:val="0"/>
                <w:sz w:val="19"/>
              </w:rPr>
              <w:t>Treatment options depend on stage, resectability and clinical condition; this does not specify one transplant bridge regimen.</w:t>
            </w:r>
          </w:p>
        </w:tc>
        <w:tc>
          <w:tcPr>
            <w:tcW w:type="dxa" w:w="3360"/>
            <w:tcW w:w="2400" w:type="dxa"/>
            <w:shd w:val="clear" w:color="auto" w:fill="FFFFFF"/>
          </w:tcPr>
          <w:p>
            <w:pPr>
              <w:spacing w:after="0"/>
            </w:pPr>
            <w:r>
              <w:rPr>
                <w:b w:val="0"/>
                <w:i w:val="0"/>
                <w:color w:val="5A6069"/>
                <w:sz w:val="18"/>
              </w:rPr>
              <w:t>2023 · pCCA diagnosis / transplantation · PDF pp.26–28; iCCA treatment section</w:t>
            </w:r>
          </w:p>
        </w:tc>
      </w:tr>
    </w:tbl>
    <w:p>
      <w:pPr>
        <w:spacing w:after="40"/>
      </w:pPr>
    </w:p>
    <w:p>
      <w:pPr>
        <w:pStyle w:val="Heading3"/>
        <w:keepNext/>
        <w:spacing w:before="120" w:after="80"/>
      </w:pPr>
      <w:r>
        <w:rPr>
          <w:b w:val="0"/>
          <w:i w:val="0"/>
        </w:rPr>
        <w:t>Our proposed selection (OPEN)</w:t>
      </w:r>
    </w:p>
    <w:p>
      <w:pPr>
        <w:spacing w:after="80"/>
      </w:pPr>
      <w:r>
        <w:rPr>
          <w:b w:val="0"/>
          <w:i w:val="0"/>
        </w:rPr>
        <w:t>Use a patient-specific MDT control plan and separately review any checkpoint exposure. Record intended effect and transplant implications before treatment.</w:t>
      </w:r>
    </w:p>
    <w:p>
      <w:pPr>
        <w:spacing w:after="80"/>
      </w:pPr>
      <w:r>
        <w:rPr>
          <w:b/>
          <w:i w:val="0"/>
        </w:rPr>
        <w:t xml:space="preserve">Why: </w:t>
      </w:r>
      <w:r>
        <w:rPr>
          <w:b w:val="0"/>
          <w:i w:val="0"/>
        </w:rPr>
        <w:t>Therapy eligibility, efficacy and transplant safety are separate judgments.</w:t>
      </w:r>
    </w:p>
    <w:p>
      <w:pPr>
        <w:spacing w:after="80"/>
      </w:pPr>
      <w:r>
        <w:rPr>
          <w:b/>
          <w:i w:val="0"/>
        </w:rPr>
        <w:t xml:space="preserve">Owners: </w:t>
      </w:r>
      <w:r>
        <w:rPr>
          <w:b w:val="0"/>
          <w:i w:val="0"/>
        </w:rPr>
        <w:t>Oncology · IR · transplant pharmacy</w:t>
      </w:r>
    </w:p>
    <w:p>
      <w:pPr>
        <w:pStyle w:val="Heading3"/>
        <w:keepNext/>
        <w:spacing w:before="120" w:after="80"/>
      </w:pPr>
      <w:r>
        <w:rPr>
          <w:b w:val="0"/>
          <w:i w:val="0"/>
        </w:rPr>
        <w:t>iCCA G3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 G4 — Which event starts or restarts the six-month stability interval?</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40">
        <w:r>
          <w:rPr>
            <w:color w:val="0563C1"/>
            <w:u w:val="single"/>
          </w:rPr>
          <w:t xml:space="preserve">Demonstrate stability</w:t>
        </w:r>
      </w:hyperlink>
    </w:p>
    <w:p>
      <w:pPr>
        <w:spacing w:after="120"/>
      </w:pPr>
      <w:r>
        <w:rPr>
          <w:b/>
          <w:i w:val="0"/>
          <w:sz w:val="18"/>
        </w:rPr>
        <w:t xml:space="preserve">Web page: </w:t>
      </w:r>
      <w:hyperlink r:id="rId4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iCCA</w:t>
            </w:r>
          </w:p>
        </w:tc>
        <w:tc>
          <w:tcPr>
            <w:tcW w:type="dxa" w:w="3360"/>
            <w:tcW w:w="5480" w:type="dxa"/>
            <w:shd w:val="clear" w:color="auto" w:fill="F1F5F8"/>
          </w:tcPr>
          <w:p>
            <w:pPr>
              <w:spacing w:after="0"/>
            </w:pPr>
            <w:r>
              <w:rPr>
                <w:b w:val="0"/>
                <w:i w:val="0"/>
                <w:sz w:val="19"/>
              </w:rPr>
              <w:t>“6 months from time of diagnosis or last treatment of tumor stability”</w:t>
            </w:r>
          </w:p>
        </w:tc>
        <w:tc>
          <w:tcPr>
            <w:tcW w:type="dxa" w:w="3360"/>
            <w:tcW w:w="2400" w:type="dxa"/>
            <w:shd w:val="clear" w:color="auto" w:fill="F1F5F8"/>
          </w:tcPr>
          <w:p>
            <w:pPr>
              <w:spacing w:after="0"/>
            </w:pPr>
            <w:r>
              <w:rPr>
                <w:b w:val="0"/>
                <w:i w:val="0"/>
                <w:color w:val="5A6069"/>
                <w:sz w:val="18"/>
              </w:rPr>
              <w:t>iCCA guidance</w:t>
            </w:r>
          </w:p>
        </w:tc>
      </w:tr>
      <w:tr>
        <w:trPr>
          <w:cantSplit/>
        </w:trPr>
        <w:tc>
          <w:tcPr>
            <w:tcW w:type="dxa" w:w="3360"/>
            <w:tcW w:w="2200" w:type="dxa"/>
            <w:shd w:val="clear" w:color="auto" w:fill="FFFFFF"/>
          </w:tcPr>
          <w:p>
            <w:pPr>
              <w:spacing w:after="0"/>
            </w:pPr>
            <w:r>
              <w:rPr>
                <w:b/>
                <w:i w:val="0"/>
                <w:sz w:val="19"/>
              </w:rPr>
              <w:t>Very-early iCCA</w:t>
            </w:r>
          </w:p>
        </w:tc>
        <w:tc>
          <w:tcPr>
            <w:tcW w:type="dxa" w:w="3360"/>
            <w:tcW w:w="5480" w:type="dxa"/>
            <w:shd w:val="clear" w:color="auto" w:fill="FFFFFF"/>
          </w:tcPr>
          <w:p>
            <w:pPr>
              <w:spacing w:after="0"/>
            </w:pPr>
            <w:r>
              <w:rPr>
                <w:b w:val="0"/>
                <w:i w:val="0"/>
                <w:sz w:val="19"/>
              </w:rPr>
              <w:t>The very-early cohort reports transplant outcomes; the NLRB guidance specifies the observation interval for MELD-exception review.</w:t>
            </w:r>
          </w:p>
        </w:tc>
        <w:tc>
          <w:tcPr>
            <w:tcW w:type="dxa" w:w="3360"/>
            <w:tcW w:w="2400" w:type="dxa"/>
            <w:shd w:val="clear" w:color="auto" w:fill="FFFFFF"/>
          </w:tcPr>
          <w:p>
            <w:pPr>
              <w:spacing w:after="0"/>
            </w:pPr>
            <w:r>
              <w:rPr>
                <w:b w:val="0"/>
                <w:i w:val="0"/>
                <w:color w:val="5A6069"/>
                <w:sz w:val="18"/>
              </w:rPr>
              <w:t>Sapisochin et al. · Hepatology · 2016</w:t>
            </w:r>
          </w:p>
        </w:tc>
      </w:tr>
    </w:tbl>
    <w:p>
      <w:pPr>
        <w:spacing w:after="40"/>
      </w:pPr>
    </w:p>
    <w:p>
      <w:pPr>
        <w:pStyle w:val="Heading3"/>
        <w:keepNext/>
        <w:spacing w:before="120" w:after="80"/>
      </w:pPr>
      <w:r>
        <w:rPr>
          <w:b w:val="0"/>
          <w:i w:val="0"/>
        </w:rPr>
        <w:t>Our proposed selection (OPEN)</w:t>
      </w:r>
    </w:p>
    <w:p>
      <w:pPr>
        <w:spacing w:after="80"/>
      </w:pPr>
      <w:r>
        <w:rPr>
          <w:b w:val="0"/>
          <w:i w:val="0"/>
        </w:rPr>
        <w:t>Record both diagnosis and last-treatment dates. If the starting point is uncertain, obtain an interpretation from the clinician responsible for MELD-exception requests before submission.</w:t>
      </w:r>
    </w:p>
    <w:p>
      <w:pPr>
        <w:spacing w:after="80"/>
      </w:pPr>
      <w:r>
        <w:rPr>
          <w:b/>
          <w:i w:val="0"/>
        </w:rPr>
        <w:t xml:space="preserve">Why: </w:t>
      </w:r>
      <w:r>
        <w:rPr>
          <w:b w:val="0"/>
          <w:i w:val="0"/>
        </w:rPr>
        <w:t>Do not substitute the shortest convenient interval for ambiguous wording.</w:t>
      </w:r>
    </w:p>
    <w:p>
      <w:pPr>
        <w:spacing w:after="80"/>
      </w:pPr>
      <w:r>
        <w:rPr>
          <w:b/>
          <w:i w:val="0"/>
        </w:rPr>
        <w:t xml:space="preserve">Owners: </w:t>
      </w:r>
      <w:r>
        <w:rPr>
          <w:b w:val="0"/>
          <w:i w:val="0"/>
        </w:rPr>
        <w:t>Coordinator · transplant physician</w:t>
      </w:r>
    </w:p>
    <w:p>
      <w:pPr>
        <w:pStyle w:val="Heading3"/>
        <w:keepNext/>
        <w:spacing w:before="120" w:after="80"/>
      </w:pPr>
      <w:r>
        <w:rPr>
          <w:b w:val="0"/>
          <w:i w:val="0"/>
        </w:rPr>
        <w:t>iCCA G4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 G5 — Who verifies nonstandard submission and three-month imaging?</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42">
        <w:r>
          <w:rPr>
            <w:color w:val="0563C1"/>
            <w:u w:val="single"/>
          </w:rPr>
          <w:t xml:space="preserve">Request an individual iCCA MELD exception</w:t>
        </w:r>
      </w:hyperlink>
    </w:p>
    <w:p>
      <w:pPr>
        <w:spacing w:after="120"/>
      </w:pPr>
      <w:r>
        <w:rPr>
          <w:b/>
          <w:i w:val="0"/>
          <w:sz w:val="18"/>
        </w:rPr>
        <w:t xml:space="preserve">Web page: </w:t>
      </w:r>
      <w:hyperlink r:id="rId4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iCCA</w:t>
            </w:r>
          </w:p>
        </w:tc>
        <w:tc>
          <w:tcPr>
            <w:tcW w:type="dxa" w:w="3360"/>
            <w:tcW w:w="5480" w:type="dxa"/>
            <w:shd w:val="clear" w:color="auto" w:fill="F1F5F8"/>
          </w:tcPr>
          <w:p>
            <w:pPr>
              <w:spacing w:after="0"/>
            </w:pPr>
            <w:r>
              <w:rPr>
                <w:b w:val="0"/>
                <w:i w:val="0"/>
                <w:sz w:val="19"/>
              </w:rPr>
              <w:t>“Every 3 months”</w:t>
            </w:r>
          </w:p>
        </w:tc>
        <w:tc>
          <w:tcPr>
            <w:tcW w:type="dxa" w:w="3360"/>
            <w:tcW w:w="2400" w:type="dxa"/>
            <w:shd w:val="clear" w:color="auto" w:fill="F1F5F8"/>
          </w:tcPr>
          <w:p>
            <w:pPr>
              <w:spacing w:after="0"/>
            </w:pPr>
            <w:r>
              <w:rPr>
                <w:b w:val="0"/>
                <w:i w:val="0"/>
                <w:color w:val="5A6069"/>
                <w:sz w:val="18"/>
              </w:rPr>
              <w:t>Extension imaging requirement</w:t>
            </w:r>
          </w:p>
        </w:tc>
      </w:tr>
    </w:tbl>
    <w:p>
      <w:pPr>
        <w:spacing w:after="40"/>
      </w:pPr>
    </w:p>
    <w:p>
      <w:pPr>
        <w:pStyle w:val="Heading3"/>
        <w:keepNext/>
        <w:spacing w:before="120" w:after="80"/>
      </w:pPr>
      <w:r>
        <w:rPr>
          <w:b w:val="0"/>
          <w:i w:val="0"/>
        </w:rPr>
        <w:t>Our proposed selection (OPEN)</w:t>
      </w:r>
    </w:p>
    <w:p>
      <w:pPr>
        <w:spacing w:after="80"/>
      </w:pPr>
      <w:r>
        <w:rPr>
          <w:b w:val="0"/>
          <w:i w:val="0"/>
        </w:rPr>
        <w:t>Name the clinician responsible for allocation and a separate clinical reviewer; compare each renewal with the original histology and selection criteria.</w:t>
      </w:r>
    </w:p>
    <w:p>
      <w:pPr>
        <w:spacing w:after="80"/>
      </w:pPr>
      <w:r>
        <w:rPr>
          <w:b/>
          <w:i w:val="0"/>
        </w:rPr>
        <w:t xml:space="preserve">Why: </w:t>
      </w:r>
      <w:r>
        <w:rPr>
          <w:b w:val="0"/>
          <w:i w:val="0"/>
        </w:rPr>
        <w:t>A prior exception does not remove the requirement for ongoing control.</w:t>
      </w:r>
    </w:p>
    <w:p>
      <w:pPr>
        <w:spacing w:after="80"/>
      </w:pPr>
      <w:r>
        <w:rPr>
          <w:b/>
          <w:i w:val="0"/>
        </w:rPr>
        <w:t xml:space="preserve">Owners: </w:t>
      </w:r>
      <w:r>
        <w:rPr>
          <w:b w:val="0"/>
          <w:i w:val="0"/>
        </w:rPr>
        <w:t>Coordinator · transplant physician</w:t>
      </w:r>
    </w:p>
    <w:p>
      <w:pPr>
        <w:pStyle w:val="Heading3"/>
        <w:keepNext/>
        <w:spacing w:before="120" w:after="80"/>
      </w:pPr>
      <w:r>
        <w:rPr>
          <w:b w:val="0"/>
          <w:i w:val="0"/>
        </w:rPr>
        <w:t>iCCA G5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 G6 — What post-transplant recurrence surveillance will the program adopt?</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44">
        <w:r>
          <w:rPr>
            <w:color w:val="0563C1"/>
            <w:u w:val="single"/>
          </w:rPr>
          <w:t xml:space="preserve">Transplant and follow-up</w:t>
        </w:r>
      </w:hyperlink>
    </w:p>
    <w:p>
      <w:pPr>
        <w:spacing w:after="120"/>
      </w:pPr>
      <w:r>
        <w:rPr>
          <w:b/>
          <w:i w:val="0"/>
          <w:sz w:val="18"/>
        </w:rPr>
        <w:t xml:space="preserve">Web page: </w:t>
      </w:r>
      <w:hyperlink r:id="rId4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Very-early iCCA</w:t>
            </w:r>
          </w:p>
        </w:tc>
        <w:tc>
          <w:tcPr>
            <w:tcW w:type="dxa" w:w="3360"/>
            <w:tcW w:w="5480" w:type="dxa"/>
            <w:shd w:val="clear" w:color="auto" w:fill="F1F5F8"/>
          </w:tcPr>
          <w:p>
            <w:pPr>
              <w:spacing w:after="0"/>
            </w:pPr>
            <w:r>
              <w:rPr>
                <w:b w:val="0"/>
                <w:i w:val="0"/>
                <w:sz w:val="19"/>
              </w:rPr>
              <w:t>Selected transplant outcome data do not establish a single optimal surveillance interval.</w:t>
            </w:r>
          </w:p>
        </w:tc>
        <w:tc>
          <w:tcPr>
            <w:tcW w:type="dxa" w:w="3360"/>
            <w:tcW w:w="2400" w:type="dxa"/>
            <w:shd w:val="clear" w:color="auto" w:fill="F1F5F8"/>
          </w:tcPr>
          <w:p>
            <w:pPr>
              <w:spacing w:after="0"/>
            </w:pPr>
            <w:r>
              <w:rPr>
                <w:b w:val="0"/>
                <w:i w:val="0"/>
                <w:color w:val="5A6069"/>
                <w:sz w:val="18"/>
              </w:rPr>
              <w:t>Sapisochin et al. · Hepatology · 2016</w:t>
            </w:r>
          </w:p>
        </w:tc>
      </w:tr>
      <w:tr>
        <w:trPr>
          <w:cantSplit/>
        </w:trPr>
        <w:tc>
          <w:tcPr>
            <w:tcW w:type="dxa" w:w="3360"/>
            <w:tcW w:w="2200" w:type="dxa"/>
            <w:shd w:val="clear" w:color="auto" w:fill="FFFFFF"/>
          </w:tcPr>
          <w:p>
            <w:pPr>
              <w:spacing w:after="0"/>
            </w:pPr>
            <w:r>
              <w:rPr>
                <w:b/>
                <w:i w:val="0"/>
                <w:sz w:val="19"/>
              </w:rPr>
              <w:t>NLRB · iCCA</w:t>
            </w:r>
          </w:p>
        </w:tc>
        <w:tc>
          <w:tcPr>
            <w:tcW w:type="dxa" w:w="3360"/>
            <w:tcW w:w="5480" w:type="dxa"/>
            <w:shd w:val="clear" w:color="auto" w:fill="FFFFFF"/>
          </w:tcPr>
          <w:p>
            <w:pPr>
              <w:spacing w:after="0"/>
            </w:pPr>
            <w:r>
              <w:rPr>
                <w:b w:val="0"/>
                <w:i w:val="0"/>
                <w:sz w:val="19"/>
              </w:rPr>
              <w:t>Guidance addresses exception review and extensions, not a complete post-LT surveillance regimen.</w:t>
            </w:r>
          </w:p>
        </w:tc>
        <w:tc>
          <w:tcPr>
            <w:tcW w:type="dxa" w:w="3360"/>
            <w:tcW w:w="2400" w:type="dxa"/>
            <w:shd w:val="clear" w:color="auto" w:fill="FFFFFF"/>
          </w:tcPr>
          <w:p>
            <w:pPr>
              <w:spacing w:after="0"/>
            </w:pPr>
            <w:r>
              <w:rPr>
                <w:b w:val="0"/>
                <w:i w:val="0"/>
                <w:color w:val="5A6069"/>
                <w:sz w:val="18"/>
              </w:rPr>
              <w:t>December 2025 · pp.7–8</w:t>
            </w:r>
          </w:p>
        </w:tc>
      </w:tr>
    </w:tbl>
    <w:p>
      <w:pPr>
        <w:spacing w:after="40"/>
      </w:pPr>
    </w:p>
    <w:p>
      <w:pPr>
        <w:pStyle w:val="Heading3"/>
        <w:keepNext/>
        <w:spacing w:before="120" w:after="80"/>
      </w:pPr>
      <w:r>
        <w:rPr>
          <w:b w:val="0"/>
          <w:i w:val="0"/>
        </w:rPr>
        <w:t>Our proposed selection (OPEN)</w:t>
      </w:r>
    </w:p>
    <w:p>
      <w:pPr>
        <w:spacing w:after="80"/>
      </w:pPr>
      <w:r>
        <w:rPr>
          <w:b w:val="0"/>
          <w:i w:val="0"/>
        </w:rPr>
        <w:t>Agree an oncology and transplant follow-up schedule based on recurrence risk, and a plan for prospective outcome collection before the program begins treating patients.</w:t>
      </w:r>
    </w:p>
    <w:p>
      <w:pPr>
        <w:spacing w:after="80"/>
      </w:pPr>
      <w:r>
        <w:rPr>
          <w:b/>
          <w:i w:val="0"/>
        </w:rPr>
        <w:t xml:space="preserve">Why: </w:t>
      </w:r>
      <w:r>
        <w:rPr>
          <w:b w:val="0"/>
          <w:i w:val="0"/>
        </w:rPr>
        <w:t>Avoid presenting a local schedule as a national requirement.</w:t>
      </w:r>
    </w:p>
    <w:p>
      <w:pPr>
        <w:spacing w:after="80"/>
      </w:pPr>
      <w:r>
        <w:rPr>
          <w:b/>
          <w:i w:val="0"/>
        </w:rPr>
        <w:t xml:space="preserve">Owners: </w:t>
      </w:r>
      <w:r>
        <w:rPr>
          <w:b w:val="0"/>
          <w:i w:val="0"/>
        </w:rPr>
        <w:t>Oncology · transplant team</w:t>
      </w:r>
    </w:p>
    <w:p>
      <w:pPr>
        <w:pStyle w:val="Heading3"/>
        <w:keepNext/>
        <w:spacing w:before="120" w:after="80"/>
      </w:pPr>
      <w:r>
        <w:rPr>
          <w:b w:val="0"/>
          <w:i w:val="0"/>
        </w:rPr>
        <w:t>iCCA G6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Part 3. High-risk pathway</w:t>
      </w:r>
    </w:p>
    <w:p>
      <w:pPr>
        <w:spacing w:after="80"/>
      </w:pPr>
      <w:r>
        <w:rPr>
          <w:b w:val="0"/>
          <w:i w:val="0"/>
          <w:color w:val="5A6069"/>
          <w:sz w:val="18"/>
        </w:rPr>
        <w:t>Web page: https://drliuhao.github.io/mh-liver-pathways/transplant/icca/#high-risk</w:t>
      </w:r>
    </w:p>
    <w:p>
      <w:pPr>
        <w:pStyle w:val="Heading2"/>
        <w:keepNext/>
        <w:spacing w:before="200" w:after="80"/>
      </w:pPr>
      <w:r>
        <w:rPr>
          <w:b w:val="0"/>
          <w:i w:val="0"/>
        </w:rPr>
        <w:t>iCCA-B1 — Advanced disease: tumor distribution and grade</w:t>
      </w:r>
    </w:p>
    <w:p>
      <w:pPr>
        <w:spacing w:after="80"/>
      </w:pPr>
      <w:r>
        <w:rPr>
          <w:b w:val="0"/>
          <w:i w:val="0"/>
          <w:color w:val="5A6069"/>
          <w:sz w:val="18"/>
        </w:rPr>
        <w:t>OPEN proposal · not activated · High-risk review</w:t>
      </w:r>
    </w:p>
    <w:p>
      <w:pPr>
        <w:spacing w:after="80"/>
      </w:pPr>
      <w:r>
        <w:rPr>
          <w:b/>
          <w:i w:val="0"/>
        </w:rPr>
        <w:t xml:space="preserve">Question: </w:t>
      </w:r>
      <w:r>
        <w:rPr>
          <w:b w:val="0"/>
          <w:i w:val="0"/>
        </w:rPr>
        <w:t>Do we preserve separate small-cirrhotic and advanced-disease pathways?</w:t>
      </w:r>
    </w:p>
    <w:p>
      <w:pPr>
        <w:spacing w:after="80"/>
      </w:pPr>
      <w:r>
        <w:rPr>
          <w:b/>
          <w:i w:val="0"/>
        </w:rPr>
        <w:t xml:space="preserve">When it applies: </w:t>
      </w:r>
      <w:r>
        <w:rPr>
          <w:b w:val="0"/>
          <w:i w:val="0"/>
        </w:rPr>
        <w:t>Confirm the actual lesion distribution and tumor grade before considering the proposed advanced-disease study.</w:t>
      </w:r>
    </w:p>
    <w:p>
      <w:pPr>
        <w:spacing w:after="80"/>
      </w:pPr>
      <w:r>
        <w:rPr>
          <w:b/>
          <w:i w:val="0"/>
        </w:rPr>
        <w:t xml:space="preserve">Where it is decided: </w:t>
      </w:r>
      <w:hyperlink r:id="rId34">
        <w:r>
          <w:rPr>
            <w:color w:val="0563C1"/>
            <w:u w:val="single"/>
          </w:rPr>
          <w:t xml:space="preserve">Establish histology</w:t>
        </w:r>
      </w:hyperlink>
      <w:r>
        <w:rPr>
          <w:b w:val="0"/>
          <w:i w:val="0"/>
        </w:rPr>
        <w:t xml:space="preserve"> · </w:t>
      </w:r>
      <w:hyperlink r:id="rId36">
        <w:r>
          <w:rPr>
            <w:color w:val="0563C1"/>
            <w:u w:val="single"/>
          </w:rPr>
          <w:t xml:space="preserve">Check clinical selection criteria</w:t>
        </w:r>
      </w:hyperlink>
    </w:p>
    <w:p>
      <w:pPr>
        <w:spacing w:after="120"/>
      </w:pPr>
      <w:r>
        <w:rPr>
          <w:b/>
          <w:i w:val="0"/>
          <w:sz w:val="18"/>
        </w:rPr>
        <w:t xml:space="preserve">Web page: </w:t>
      </w:r>
      <w:hyperlink r:id="rId4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SYS-TARE 2024</w:t>
            </w:r>
          </w:p>
        </w:tc>
        <w:tc>
          <w:tcPr>
            <w:tcW w:type="dxa" w:w="3360"/>
            <w:tcW w:w="5480" w:type="dxa"/>
            <w:shd w:val="clear" w:color="auto" w:fill="F1F5F8"/>
          </w:tcPr>
          <w:p>
            <w:pPr>
              <w:spacing w:after="0"/>
            </w:pPr>
            <w:r>
              <w:rPr>
                <w:b w:val="0"/>
                <w:i w:val="0"/>
                <w:sz w:val="19"/>
              </w:rPr>
              <w:t>“a single measurable lesion with or without associated peritumoral satellites” A narrower studied morphology; it does not prove a safe upper diameter.</w:t>
            </w:r>
          </w:p>
        </w:tc>
        <w:tc>
          <w:tcPr>
            <w:tcW w:type="dxa" w:w="3360"/>
            <w:tcW w:w="2400" w:type="dxa"/>
            <w:shd w:val="clear" w:color="auto" w:fill="F1F5F8"/>
          </w:tcPr>
          <w:p>
            <w:pPr>
              <w:spacing w:after="0"/>
            </w:pPr>
            <w:r>
              <w:rPr>
                <w:b w:val="0"/>
                <w:i w:val="0"/>
                <w:color w:val="5A6069"/>
                <w:sz w:val="18"/>
              </w:rPr>
              <w:t>Published PDF pp2–3, Patients and Methods</w:t>
            </w:r>
          </w:p>
        </w:tc>
      </w:tr>
      <w:tr>
        <w:trPr>
          <w:cantSplit/>
        </w:trPr>
        <w:tc>
          <w:tcPr>
            <w:tcW w:type="dxa" w:w="3360"/>
            <w:tcW w:w="2200" w:type="dxa"/>
            <w:shd w:val="clear" w:color="auto" w:fill="FFFFFF"/>
          </w:tcPr>
          <w:p>
            <w:pPr>
              <w:spacing w:after="0"/>
            </w:pPr>
            <w:r>
              <w:rPr>
                <w:b/>
                <w:i w:val="0"/>
                <w:sz w:val="19"/>
              </w:rPr>
              <w:t>ILTS–ILCA consensus</w:t>
            </w:r>
          </w:p>
        </w:tc>
        <w:tc>
          <w:tcPr>
            <w:tcW w:type="dxa" w:w="3360"/>
            <w:tcW w:w="5480" w:type="dxa"/>
            <w:shd w:val="clear" w:color="auto" w:fill="FFFFFF"/>
          </w:tcPr>
          <w:p>
            <w:pPr>
              <w:spacing w:after="0"/>
            </w:pPr>
            <w:r>
              <w:rPr>
                <w:b w:val="0"/>
                <w:i w:val="0"/>
                <w:sz w:val="19"/>
              </w:rPr>
              <w:t>“no agreement was reached regarding LT in this population.” Refers to large/locally advanced or noncirrhotic iCCA; consensus did not endorse universal expansion.</w:t>
            </w:r>
          </w:p>
        </w:tc>
        <w:tc>
          <w:tcPr>
            <w:tcW w:type="dxa" w:w="3360"/>
            <w:tcW w:w="2400" w:type="dxa"/>
            <w:shd w:val="clear" w:color="auto" w:fill="FFFFFF"/>
          </w:tcPr>
          <w:p>
            <w:pPr>
              <w:spacing w:after="0"/>
            </w:pPr>
            <w:r>
              <w:rPr>
                <w:b w:val="0"/>
                <w:i w:val="0"/>
                <w:color w:val="5A6069"/>
                <w:sz w:val="18"/>
              </w:rPr>
              <w:t>Consensus manuscript PDF p14, iCCA discussion</w:t>
            </w:r>
          </w:p>
        </w:tc>
      </w:tr>
      <w:tr>
        <w:trPr>
          <w:cantSplit/>
        </w:trPr>
        <w:tc>
          <w:tcPr>
            <w:tcW w:type="dxa" w:w="3360"/>
            <w:tcW w:w="2200" w:type="dxa"/>
            <w:shd w:val="clear" w:color="auto" w:fill="F1F5F8"/>
          </w:tcPr>
          <w:p>
            <w:pPr>
              <w:spacing w:after="0"/>
            </w:pPr>
            <w:r>
              <w:rPr>
                <w:b/>
                <w:i w:val="0"/>
                <w:sz w:val="19"/>
              </w:rPr>
              <w:t>AASLD/AST candidate evaluation</w:t>
            </w:r>
          </w:p>
        </w:tc>
        <w:tc>
          <w:tcPr>
            <w:tcW w:type="dxa" w:w="3360"/>
            <w:tcW w:w="5480" w:type="dxa"/>
            <w:shd w:val="clear" w:color="auto" w:fill="F1F5F8"/>
          </w:tcPr>
          <w:p>
            <w:pPr>
              <w:spacing w:after="0"/>
            </w:pPr>
            <w:r>
              <w:rPr>
                <w:b w:val="0"/>
                <w:i w:val="0"/>
                <w:sz w:val="19"/>
              </w:rPr>
              <w:t>“a maximum diameter &lt; 3 cm” The clinical recommendation uses a strict inequality. Its rationale discusses solitary disease in cirrhosis; this is not the advanced-study population.</w:t>
            </w:r>
          </w:p>
        </w:tc>
        <w:tc>
          <w:tcPr>
            <w:tcW w:type="dxa" w:w="3360"/>
            <w:tcW w:w="2400" w:type="dxa"/>
            <w:shd w:val="clear" w:color="auto" w:fill="F1F5F8"/>
          </w:tcPr>
          <w:p>
            <w:pPr>
              <w:spacing w:after="0"/>
            </w:pPr>
            <w:r>
              <w:rPr>
                <w:b w:val="0"/>
                <w:i w:val="0"/>
                <w:color w:val="5A6069"/>
                <w:sz w:val="18"/>
              </w:rPr>
              <w:t>AASLD/AST candidate-evaluation manuscript PDF p8, statement 11</w:t>
            </w:r>
          </w:p>
        </w:tc>
      </w:tr>
      <w:tr>
        <w:trPr>
          <w:cantSplit/>
        </w:trPr>
        <w:tc>
          <w:tcPr>
            <w:tcW w:type="dxa" w:w="3360"/>
            <w:tcW w:w="2200" w:type="dxa"/>
            <w:shd w:val="clear" w:color="auto" w:fill="FFFFFF"/>
          </w:tcPr>
          <w:p>
            <w:pPr>
              <w:spacing w:after="0"/>
            </w:pPr>
            <w:r>
              <w:rPr>
                <w:b/>
                <w:i w:val="0"/>
                <w:sz w:val="19"/>
              </w:rPr>
              <w:t>NLRB oncology guidance</w:t>
            </w:r>
          </w:p>
        </w:tc>
        <w:tc>
          <w:tcPr>
            <w:tcW w:type="dxa" w:w="3360"/>
            <w:tcW w:w="5480" w:type="dxa"/>
            <w:shd w:val="clear" w:color="auto" w:fill="FFFFFF"/>
          </w:tcPr>
          <w:p>
            <w:pPr>
              <w:spacing w:after="0"/>
            </w:pPr>
            <w:r>
              <w:rPr>
                <w:b w:val="0"/>
                <w:i w:val="0"/>
                <w:sz w:val="19"/>
              </w:rPr>
              <w:t>“less than or equal to 3 cm” Allocation guidance includes equality. Exactly 3.0 cm requires clinical adjudication; preserve the exact allocation wording instead of silently harmonizing it.</w:t>
            </w:r>
          </w:p>
        </w:tc>
        <w:tc>
          <w:tcPr>
            <w:tcW w:type="dxa" w:w="3360"/>
            <w:tcW w:w="2400" w:type="dxa"/>
            <w:shd w:val="clear" w:color="auto" w:fill="FFFFFF"/>
          </w:tcPr>
          <w:p>
            <w:pPr>
              <w:spacing w:after="0"/>
            </w:pPr>
            <w:r>
              <w:rPr>
                <w:b w:val="0"/>
                <w:i w:val="0"/>
                <w:color w:val="5A6069"/>
                <w:sz w:val="18"/>
              </w:rPr>
              <w:t>December 2025 oncology guidance p8, iCCA initial/extension criteria</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Sapisochin 2016 · very early iCCA</w:t>
            </w:r>
          </w:p>
        </w:tc>
        <w:tc>
          <w:tcPr>
            <w:tcW w:type="dxa" w:w="3360"/>
            <w:tcW w:w="3900" w:type="dxa"/>
            <w:shd w:val="clear" w:color="auto" w:fill="F1F5F8"/>
          </w:tcPr>
          <w:p>
            <w:pPr>
              <w:spacing w:after="0"/>
            </w:pPr>
            <w:r>
              <w:rPr>
                <w:b w:val="0"/>
                <w:i w:val="0"/>
                <w:sz w:val="19"/>
              </w:rPr>
              <w:t>International retrospective explant-defined pure iCCA; 48 recipients, 15 very-early solitary ≤ 2 cm, 33 larger/multifocal. Cirrhosis and predominantly incidental/misclassified tumors, not a planned advanced-iCCA induction pathway.</w:t>
            </w:r>
          </w:p>
        </w:tc>
        <w:tc>
          <w:tcPr>
            <w:tcW w:type="dxa" w:w="3360"/>
            <w:tcW w:w="4180" w:type="dxa"/>
            <w:shd w:val="clear" w:color="auto" w:fill="F1F5F8"/>
          </w:tcPr>
          <w:p>
            <w:pPr>
              <w:spacing w:after="0"/>
            </w:pPr>
            <w:r>
              <w:rPr>
                <w:b w:val="0"/>
                <w:i w:val="0"/>
                <w:sz w:val="19"/>
              </w:rPr>
              <w:t>Five-year post-LT OS 65% very-early versus 45% advanced; 5-year recurrence 18% versus 61%.</w:t>
            </w:r>
          </w:p>
          <w:p>
            <w:pPr>
              <w:spacing w:after="0"/>
            </w:pPr>
            <w:r>
              <w:rPr>
                <w:b w:val="0"/>
                <w:i/>
                <w:sz w:val="19"/>
              </w:rPr>
              <w:t>Limits: Small retrospective pathological strata, not validation of ≤ 3 cm guidance or response-selected large disease. Preoperative sampling/recognition differs from known iCCA.</w:t>
            </w:r>
          </w:p>
          <w:p>
            <w:pPr>
              <w:spacing w:after="0"/>
            </w:pPr>
            <w:r>
              <w:rPr>
                <w:b w:val="0"/>
                <w:i w:val="0"/>
                <w:color w:val="5A6069"/>
                <w:sz w:val="18"/>
              </w:rPr>
              <w:t>Hepatology 2016; 64: 1178–1188; Methods and very-early/advanced survival analyses; full PDF.</w:t>
            </w:r>
          </w:p>
        </w:tc>
      </w:tr>
      <w:tr>
        <w:trPr>
          <w:cantSplit/>
        </w:trPr>
        <w:tc>
          <w:tcPr>
            <w:tcW w:type="dxa" w:w="3360"/>
            <w:tcW w:w="2000" w:type="dxa"/>
            <w:shd w:val="clear" w:color="auto" w:fill="FFFFFF"/>
          </w:tcPr>
          <w:p>
            <w:pPr>
              <w:spacing w:after="0"/>
            </w:pPr>
            <w:r>
              <w:rPr>
                <w:b/>
                <w:i w:val="0"/>
                <w:sz w:val="19"/>
              </w:rPr>
              <w:t>De Martin 2020</w:t>
            </w:r>
          </w:p>
        </w:tc>
        <w:tc>
          <w:tcPr>
            <w:tcW w:type="dxa" w:w="3360"/>
            <w:tcW w:w="3900" w:type="dxa"/>
            <w:shd w:val="clear" w:color="auto" w:fill="FFFFFF"/>
          </w:tcPr>
          <w:p>
            <w:pPr>
              <w:spacing w:after="0"/>
            </w:pPr>
            <w:r>
              <w:rPr>
                <w:b w:val="0"/>
                <w:i w:val="0"/>
                <w:sz w:val="19"/>
              </w:rPr>
              <w:t>Three-center retrospective cirrhosis cohort; 49 LT versus 26 resection, iCCA/mixed ≤ 5 cm. All LT diagnoses were incidental; 44/49 presumed HCC, 5 decompensated cirrhosis.</w:t>
            </w:r>
          </w:p>
        </w:tc>
        <w:tc>
          <w:tcPr>
            <w:tcW w:type="dxa" w:w="3360"/>
            <w:tcW w:w="4180" w:type="dxa"/>
            <w:shd w:val="clear" w:color="auto" w:fill="FFFFFF"/>
          </w:tcPr>
          <w:p>
            <w:pPr>
              <w:spacing w:after="0"/>
            </w:pPr>
            <w:r>
              <w:rPr>
                <w:b w:val="0"/>
                <w:i w:val="0"/>
                <w:sz w:val="19"/>
              </w:rPr>
              <w:t>From surgery, 5-year OS 67% LT versus 40% resection (p=.17), RFS 75% vs 36%(p=.004), recurrence 18% vs 46%. Differentiation independently predicted recurrence (HR 3.74).</w:t>
            </w:r>
          </w:p>
          <w:p>
            <w:pPr>
              <w:spacing w:after="0"/>
            </w:pPr>
            <w:r>
              <w:rPr>
                <w:b w:val="0"/>
                <w:i/>
                <w:sz w:val="19"/>
              </w:rPr>
              <w:t>Limits: Not proof to prospectively transplant known 5-cm pure/mixed disease; heterogeneous histology, small numbers, per-protocol selection.</w:t>
            </w:r>
          </w:p>
          <w:p>
            <w:pPr>
              <w:spacing w:after="0"/>
            </w:pPr>
            <w:r>
              <w:rPr>
                <w:b w:val="0"/>
                <w:i w:val="0"/>
                <w:color w:val="5A6069"/>
                <w:sz w:val="18"/>
              </w:rPr>
              <w:t>Liver Transpl 2020; 26: 785–798; Methods, OS/RFS and pathological-risk analyses.</w:t>
            </w:r>
          </w:p>
        </w:tc>
      </w:tr>
      <w:tr>
        <w:trPr>
          <w:cantSplit/>
        </w:trPr>
        <w:tc>
          <w:tcPr>
            <w:tcW w:type="dxa" w:w="3360"/>
            <w:tcW w:w="2000" w:type="dxa"/>
            <w:shd w:val="clear" w:color="auto" w:fill="F1F5F8"/>
          </w:tcPr>
          <w:p>
            <w:pPr>
              <w:spacing w:after="0"/>
            </w:pPr>
            <w:r>
              <w:rPr>
                <w:b/>
                <w:i w:val="0"/>
                <w:sz w:val="19"/>
              </w:rPr>
              <w:t>Dageforde 2021</w:t>
            </w:r>
          </w:p>
        </w:tc>
        <w:tc>
          <w:tcPr>
            <w:tcW w:type="dxa" w:w="3360"/>
            <w:tcW w:w="3900" w:type="dxa"/>
            <w:shd w:val="clear" w:color="auto" w:fill="F1F5F8"/>
          </w:tcPr>
          <w:p>
            <w:pPr>
              <w:spacing w:after="0"/>
            </w:pPr>
            <w:r>
              <w:rPr>
                <w:b w:val="0"/>
                <w:i w:val="0"/>
                <w:sz w:val="19"/>
              </w:rPr>
              <w:t>12-center retrospective; 208 mixed tumors, 99 LT and 109 resection; 67 LT within Milan, 14 beyond Milan/within UCSF, 18 beyond UCSF. Only 2/99 LT mixed diagnoses known preoperatively; most transplanted for presumed HCC.</w:t>
            </w:r>
          </w:p>
        </w:tc>
        <w:tc>
          <w:tcPr>
            <w:tcW w:type="dxa" w:w="3360"/>
            <w:tcW w:w="4180" w:type="dxa"/>
            <w:shd w:val="clear" w:color="auto" w:fill="F1F5F8"/>
          </w:tcPr>
          <w:p>
            <w:pPr>
              <w:spacing w:after="0"/>
            </w:pPr>
            <w:r>
              <w:rPr>
                <w:b w:val="0"/>
                <w:i w:val="0"/>
                <w:sz w:val="19"/>
              </w:rPr>
              <w:t>Within Milan 5-year post-LT OS 70.1%, recurrence 23.1%; HCC comparators 73.4%/11.5%. Beyond UCSF mixed 5-year OS 15.8%. Within Milan LT versus resection 5-year DFS 70.3% vs 33.6%.</w:t>
            </w:r>
          </w:p>
          <w:p>
            <w:pPr>
              <w:spacing w:after="0"/>
            </w:pPr>
            <w:r>
              <w:rPr>
                <w:b w:val="0"/>
                <w:i/>
                <w:sz w:val="19"/>
              </w:rPr>
              <w:t>Limits: Benefit is concentrated in small selected disease; does not validate advanced known mixed inclusion. Explant classification and preoperative misdiagnosis constrain applicability.</w:t>
            </w:r>
          </w:p>
          <w:p>
            <w:pPr>
              <w:spacing w:after="0"/>
            </w:pPr>
            <w:r>
              <w:rPr>
                <w:b w:val="0"/>
                <w:i w:val="0"/>
                <w:color w:val="5A6069"/>
                <w:sz w:val="18"/>
              </w:rPr>
              <w:t>J Am Coll Surg 2021; 232: 361–371; pp 363–367, Tables 1–3 and tumor-burden subgroup results; local PDF.</w:t>
            </w:r>
          </w:p>
        </w:tc>
      </w:tr>
      <w:tr>
        <w:trPr>
          <w:cantSplit/>
        </w:trPr>
        <w:tc>
          <w:tcPr>
            <w:tcW w:type="dxa" w:w="3360"/>
            <w:tcW w:w="2000" w:type="dxa"/>
            <w:shd w:val="clear" w:color="auto" w:fill="FFFFFF"/>
          </w:tcPr>
          <w:p>
            <w:pPr>
              <w:spacing w:after="0"/>
            </w:pPr>
            <w:r>
              <w:rPr>
                <w:b/>
                <w:i w:val="0"/>
                <w:sz w:val="19"/>
              </w:rPr>
              <w:t>McMillan 2022 · Houston update</w:t>
            </w:r>
          </w:p>
        </w:tc>
        <w:tc>
          <w:tcPr>
            <w:tcW w:type="dxa" w:w="3360"/>
            <w:tcW w:w="3900" w:type="dxa"/>
            <w:shd w:val="clear" w:color="auto" w:fill="FFFFFF"/>
          </w:tcPr>
          <w:p>
            <w:pPr>
              <w:spacing w:after="0"/>
            </w:pPr>
            <w:r>
              <w:rPr>
                <w:b w:val="0"/>
                <w:i w:val="0"/>
                <w:sz w:val="19"/>
              </w:rPr>
              <w:t>65 referred, 37 listed; five converted to resection, 32 LT-pathway analysis, 18 LT. No imposed size/number limits; 10/18 multifocal, median cumulative burden 10.4 cm; six poorly differentiated on explant.</w:t>
            </w:r>
          </w:p>
        </w:tc>
        <w:tc>
          <w:tcPr>
            <w:tcW w:type="dxa" w:w="3360"/>
            <w:tcW w:w="4180" w:type="dxa"/>
            <w:shd w:val="clear" w:color="auto" w:fill="FFFFFF"/>
          </w:tcPr>
          <w:p>
            <w:pPr>
              <w:spacing w:after="0"/>
            </w:pPr>
            <w:r>
              <w:rPr>
                <w:b w:val="0"/>
                <w:i w:val="0"/>
                <w:sz w:val="19"/>
              </w:rPr>
              <w:t>Five-year OS 49% all 32 and 57% recipient subgroup, each FROM LISTING; 7/18 recurrences.</w:t>
            </w:r>
          </w:p>
          <w:p>
            <w:pPr>
              <w:spacing w:after="0"/>
            </w:pPr>
            <w:r>
              <w:rPr>
                <w:b w:val="0"/>
                <w:i/>
                <w:sz w:val="19"/>
              </w:rPr>
              <w:t>Limits: Overlap with Lunsford; selection and immortal-time bias. Inclusion of G3/multifocal disease does not establish their safety, but contradicts claiming such patients were universally excluded by evidence.</w:t>
            </w:r>
          </w:p>
          <w:p>
            <w:pPr>
              <w:spacing w:after="0"/>
            </w:pPr>
            <w:r>
              <w:rPr>
                <w:b w:val="0"/>
                <w:i w:val="0"/>
                <w:color w:val="5A6069"/>
                <w:sz w:val="18"/>
              </w:rPr>
              <w:t>AJT 2022; 22: 823–832; Methods Statistics, Tables 1–2 and §3.5.</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r>
        <w:trPr>
          <w:cantSplit/>
        </w:trPr>
        <w:tc>
          <w:tcPr>
            <w:tcW w:type="dxa" w:w="3360"/>
            <w:tcW w:w="2000" w:type="dxa"/>
            <w:shd w:val="clear" w:color="auto" w:fill="F1F5F8"/>
          </w:tcPr>
          <w:p>
            <w:pPr>
              <w:spacing w:after="0"/>
            </w:pPr>
            <w:r>
              <w:rPr>
                <w:b/>
                <w:i w:val="0"/>
                <w:sz w:val="19"/>
              </w:rPr>
              <w:t>Giguet 2026</w:t>
            </w:r>
          </w:p>
        </w:tc>
        <w:tc>
          <w:tcPr>
            <w:tcW w:type="dxa" w:w="3360"/>
            <w:tcW w:w="3900" w:type="dxa"/>
            <w:shd w:val="clear" w:color="auto" w:fill="F1F5F8"/>
          </w:tcPr>
          <w:p>
            <w:pPr>
              <w:spacing w:after="0"/>
            </w:pPr>
            <w:r>
              <w:rPr>
                <w:b w:val="0"/>
                <w:i w:val="0"/>
                <w:sz w:val="19"/>
              </w:rPr>
              <w:t>Rennes retrospective SIRT pathway; 147 treated, 44 younger controlled cases, 19 resections, eight listed including two external referrals, six LT. Large predominantly unifocal tumors; median baseline total 10 cm; diffuse multifocal, MVI and EHD excluded.</w:t>
            </w:r>
          </w:p>
        </w:tc>
        <w:tc>
          <w:tcPr>
            <w:tcW w:type="dxa" w:w="3360"/>
            <w:tcW w:w="4180" w:type="dxa"/>
            <w:shd w:val="clear" w:color="auto" w:fill="F1F5F8"/>
          </w:tcPr>
          <w:p>
            <w:pPr>
              <w:spacing w:after="0"/>
            </w:pPr>
            <w:r>
              <w:rPr>
                <w:b w:val="0"/>
                <w:i w:val="0"/>
                <w:sz w:val="19"/>
              </w:rPr>
              <w:t>Post-LT 5-year OS 100%, PFS 44.4%; 3/6 recurrences.</w:t>
            </w:r>
          </w:p>
          <w:p>
            <w:pPr>
              <w:spacing w:after="0"/>
            </w:pPr>
            <w:r>
              <w:rPr>
                <w:b w:val="0"/>
                <w:i/>
                <w:sz w:val="19"/>
              </w:rPr>
              <w:t>Limits: Only six recipients over 15 years; eight refers to listing, not completed LT. No size cap validated.</w:t>
            </w:r>
          </w:p>
          <w:p>
            <w:pPr>
              <w:spacing w:after="0"/>
            </w:pPr>
            <w:r>
              <w:rPr>
                <w:b w:val="0"/>
                <w:i w:val="0"/>
                <w:color w:val="5A6069"/>
                <w:sz w:val="18"/>
              </w:rPr>
              <w:t>JHEP Rep 2026; 8: 101830; Eligibility, cohort flow, Tables 1–3.</w:t>
            </w:r>
          </w:p>
        </w:tc>
      </w:tr>
    </w:tbl>
    <w:p>
      <w:pPr>
        <w:spacing w:after="40"/>
      </w:pPr>
    </w:p>
    <w:p>
      <w:pPr>
        <w:pStyle w:val="Heading3"/>
        <w:keepNext/>
        <w:spacing w:before="120" w:after="80"/>
      </w:pPr>
      <w:r>
        <w:rPr>
          <w:b w:val="0"/>
          <w:i w:val="0"/>
        </w:rPr>
        <w:t>Our proposed selection (OPEN)</w:t>
      </w:r>
    </w:p>
    <w:p>
      <w:pPr>
        <w:spacing w:after="80"/>
      </w:pPr>
      <w:r>
        <w:rPr>
          <w:b w:val="0"/>
          <w:i w:val="0"/>
        </w:rPr>
        <w:t>Keep the small-cirrhotic pathway separate; define the initial advanced study by pure, favorable-grade, localized morphology rather than an invented size cap.</w:t>
      </w:r>
    </w:p>
    <w:p>
      <w:pPr>
        <w:numPr>
          <w:ilvl w:val="0"/>
          <w:numId w:val="5"/>
        </w:numPr>
        <w:spacing w:after="40"/>
      </w:pPr>
      <w:r>
        <w:rPr>
          <w:b w:val="0"/>
          <w:i w:val="0"/>
        </w:rPr>
        <w:t>Proposed advanced entry phenotype: pure iCCA, G1–2, one mass-forming focus with or without adjacent peritumoral satellites; no separate multifocal deposits across distinct segments. No universal 8 cm/three-lesion rule is adopted.</w:t>
      </w:r>
    </w:p>
    <w:p>
      <w:pPr>
        <w:numPr>
          <w:ilvl w:val="0"/>
          <w:numId w:val="5"/>
        </w:numPr>
        <w:spacing w:after="40"/>
      </w:pPr>
      <w:r>
        <w:rPr>
          <w:b w:val="0"/>
          <w:i w:val="0"/>
        </w:rPr>
        <w:t>Exclude known G3/poor differentiation, mixed HCC-iCCA, macroscopic tumor thrombus, proven malignant nodes, peritoneal or other extrahepatic disease, current or previously treated (iCCA-B4), from the initial advanced pilot. Negative core sampling cannot guarantee the whole tumor grade; record this limitation.</w:t>
      </w:r>
    </w:p>
    <w:p>
      <w:pPr>
        <w:numPr>
          <w:ilvl w:val="0"/>
          <w:numId w:val="5"/>
        </w:numPr>
        <w:spacing w:after="40"/>
      </w:pPr>
      <w:r>
        <w:rPr>
          <w:b w:val="0"/>
          <w:i w:val="0"/>
        </w:rPr>
        <w:t>Intrahepatic vascular encasement without tumor thrombus may be considered if complete explant/reconstruction is technically feasible. Larger size needs individualized technical/biological review, not an automatic permission.</w:t>
      </w:r>
    </w:p>
    <w:p>
      <w:pPr>
        <w:numPr>
          <w:ilvl w:val="0"/>
          <w:numId w:val="5"/>
        </w:numPr>
        <w:spacing w:after="40"/>
      </w:pPr>
      <w:r>
        <w:rPr>
          <w:b w:val="0"/>
          <w:i w:val="0"/>
        </w:rPr>
        <w:t>Do not apply the advanced-study mixed-histology exclusion to the separate NLRB small-cirrhotic route. Preserve ≤3 cm guidance wording and flag the exactly-3.0 cm clinical discrepancy with &lt;3 cm candidate-evaluation prose.</w:t>
      </w:r>
    </w:p>
    <w:p>
      <w:pPr>
        <w:spacing w:after="80"/>
      </w:pPr>
      <w:r>
        <w:rPr>
          <w:b/>
          <w:i w:val="0"/>
        </w:rPr>
        <w:t xml:space="preserve">Why: </w:t>
      </w:r>
      <w:r>
        <w:rPr>
          <w:b w:val="0"/>
          <w:i w:val="0"/>
        </w:rPr>
        <w:t>Small incidental iCCA/mixed disease cannot simply be pooled with known advanced pure iCCA. Large unifocal tumors can have durable post-LT survival after selection, but recurrence remains common and the screened-to-LT yield is low. Multifocality and poor differentiation are adverse signals; their precise exclusion boundaries remain unvalidated. Known advanced mixed tumors have particularly weak prospective support.</w:t>
      </w:r>
    </w:p>
    <w:p>
      <w:pPr>
        <w:spacing w:after="80"/>
      </w:pPr>
      <w:r>
        <w:rPr>
          <w:b/>
          <w:i w:val="0"/>
        </w:rPr>
        <w:t xml:space="preserve">Against, or uncertain: </w:t>
      </w:r>
      <w:r>
        <w:rPr>
          <w:b w:val="0"/>
          <w:i w:val="0"/>
        </w:rPr>
        <w:t>Houston included multifocal/G3 explants and TESLA intentionally enrolled extensive burden; therefore G1–2/unifocal restrictions are local conservatism, not universal trial criteria. Conversely, small mixed-tumor success does not rescue beyond-UCSF outcomes or validate advanced mixed inclusion. Negative limited biopsy cannot eliminate heterogeneous high-grade/mixed components.</w:t>
      </w:r>
    </w:p>
    <w:p>
      <w:pPr>
        <w:spacing w:after="80"/>
      </w:pPr>
      <w:r>
        <w:rPr>
          <w:b/>
          <w:i w:val="0"/>
        </w:rPr>
        <w:t xml:space="preserve">Certainty: </w:t>
      </w:r>
      <w:r>
        <w:rPr>
          <w:b w:val="0"/>
          <w:i w:val="0"/>
        </w:rPr>
        <w:t>Low for small retrospective cohorts; very low for benefit and optimal thresholds in advanced disease. No randomized advanced-iCCA LT comparison or validated universal diameter/lesion-count limit.</w:t>
      </w:r>
    </w:p>
    <w:p>
      <w:pPr>
        <w:spacing w:after="80"/>
      </w:pPr>
      <w:r>
        <w:rPr>
          <w:b/>
          <w:i w:val="0"/>
        </w:rPr>
        <w:t xml:space="preserve">Tests and records: </w:t>
      </w:r>
      <w:r>
        <w:rPr>
          <w:b w:val="0"/>
          <w:i w:val="0"/>
        </w:rPr>
        <w:t>Expert core-pathology review including pure versus mixed and grade; MRI/CT segment map; chest/systemic staging; nodal resolution; vascular thrombus versus encasement; resection review.</w:t>
      </w:r>
    </w:p>
    <w:p>
      <w:pPr>
        <w:spacing w:after="80"/>
      </w:pPr>
      <w:r>
        <w:rPr>
          <w:b/>
          <w:i w:val="0"/>
        </w:rPr>
        <w:t xml:space="preserve">Allocation: </w:t>
      </w:r>
      <w:r>
        <w:rPr>
          <w:b w:val="0"/>
          <w:i w:val="0"/>
        </w:rPr>
        <w:t>Advanced noncirrhotic or larger disease does not inherit the small-cirrhotic favorable NLRB pathway. Organ-route and research decisions remain explicit.</w:t>
      </w:r>
    </w:p>
    <w:p>
      <w:pPr>
        <w:spacing w:after="40"/>
      </w:pPr>
      <w:r>
        <w:rPr>
          <w:b/>
          <w:i w:val="0"/>
        </w:rPr>
        <w:t xml:space="preserve">Basis for the proposed thresholds: </w:t>
      </w:r>
    </w:p>
    <w:p>
      <w:pPr>
        <w:numPr>
          <w:ilvl w:val="0"/>
          <w:numId w:val="5"/>
        </w:numPr>
        <w:spacing w:after="40"/>
      </w:pPr>
      <w:r>
        <w:rPr>
          <w:b w:val="0"/>
          <w:i w:val="0"/>
        </w:rPr>
        <w:t>GUIDANCE: current NLRB small-cirrhotic unresectable solitary iCCA/mixed ≤ 3 cm after 6 months stability is a separate reviewed-exception lane; AASLD candidate wording uses &lt; 3 cm. STUDY: SYS-TARE/Rennes use restricted burden; Houston/TESLA use broader burden. LOCAL: G1–2 and unifocal±adjacent satellites is a conservative first-study definition, not an evidence-proven optimum.</w:t>
      </w:r>
    </w:p>
    <w:p>
      <w:pPr>
        <w:pStyle w:val="Heading3"/>
        <w:keepNext/>
        <w:spacing w:before="120" w:after="80"/>
      </w:pPr>
      <w:r>
        <w:rPr>
          <w:b w:val="0"/>
          <w:i w:val="0"/>
        </w:rPr>
        <w:t>iCCA-B1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iCCA-B2 — Response, progression and the observation period</w:t>
      </w:r>
    </w:p>
    <w:p>
      <w:pPr>
        <w:spacing w:after="80"/>
      </w:pPr>
      <w:r>
        <w:rPr>
          <w:b w:val="0"/>
          <w:i w:val="0"/>
          <w:color w:val="5A6069"/>
          <w:sz w:val="18"/>
        </w:rPr>
        <w:t>OPEN proposal · not activated · High-risk review</w:t>
      </w:r>
    </w:p>
    <w:p>
      <w:pPr>
        <w:spacing w:after="80"/>
      </w:pPr>
      <w:r>
        <w:rPr>
          <w:b/>
          <w:i w:val="0"/>
        </w:rPr>
        <w:t xml:space="preserve">Question: </w:t>
      </w:r>
      <w:r>
        <w:rPr>
          <w:b w:val="0"/>
          <w:i w:val="0"/>
        </w:rPr>
        <w:t>What does sustained control have to prove before transplant activation?</w:t>
      </w:r>
    </w:p>
    <w:p>
      <w:pPr>
        <w:spacing w:after="80"/>
      </w:pPr>
      <w:r>
        <w:rPr>
          <w:b/>
          <w:i w:val="0"/>
        </w:rPr>
        <w:t xml:space="preserve">When it applies: </w:t>
      </w:r>
      <w:r>
        <w:rPr>
          <w:b w:val="0"/>
          <w:i w:val="0"/>
        </w:rPr>
        <w:t>Use the full treatment and progression history to decide whether further observation or another treatment is needed.</w:t>
      </w:r>
    </w:p>
    <w:p>
      <w:pPr>
        <w:spacing w:after="80"/>
      </w:pPr>
      <w:r>
        <w:rPr>
          <w:b/>
          <w:i w:val="0"/>
        </w:rPr>
        <w:t xml:space="preserve">Where it is decided: </w:t>
      </w:r>
      <w:hyperlink r:id="rId38">
        <w:r>
          <w:rPr>
            <w:color w:val="0563C1"/>
            <w:u w:val="single"/>
          </w:rPr>
          <w:t xml:space="preserve">Plan pretransplant treatment</w:t>
        </w:r>
      </w:hyperlink>
      <w:r>
        <w:rPr>
          <w:b w:val="0"/>
          <w:i w:val="0"/>
        </w:rPr>
        <w:t xml:space="preserve"> · </w:t>
      </w:r>
      <w:hyperlink r:id="rId40">
        <w:r>
          <w:rPr>
            <w:color w:val="0563C1"/>
            <w:u w:val="single"/>
          </w:rPr>
          <w:t xml:space="preserve">Demonstrate stability</w:t>
        </w:r>
      </w:hyperlink>
    </w:p>
    <w:p>
      <w:pPr>
        <w:spacing w:after="120"/>
      </w:pPr>
      <w:r>
        <w:rPr>
          <w:b/>
          <w:i w:val="0"/>
          <w:sz w:val="18"/>
        </w:rPr>
        <w:t xml:space="preserve">Web page: </w:t>
      </w:r>
      <w:hyperlink r:id="rId4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Lunsford 2018 · Houston</w:t>
            </w:r>
          </w:p>
        </w:tc>
        <w:tc>
          <w:tcPr>
            <w:tcW w:type="dxa" w:w="3360"/>
            <w:tcW w:w="5480" w:type="dxa"/>
            <w:shd w:val="clear" w:color="auto" w:fill="F1F5F8"/>
          </w:tcPr>
          <w:p>
            <w:pPr>
              <w:spacing w:after="0"/>
            </w:pPr>
            <w:r>
              <w:rPr>
                <w:b w:val="0"/>
                <w:i w:val="0"/>
                <w:sz w:val="19"/>
              </w:rPr>
              <w:t>“disease must have been controlled for 6 months on that regimen.” Six months on an effective strategy has direct study precedent, including second-line treatment.</w:t>
            </w:r>
          </w:p>
        </w:tc>
        <w:tc>
          <w:tcPr>
            <w:tcW w:type="dxa" w:w="3360"/>
            <w:tcW w:w="2400" w:type="dxa"/>
            <w:shd w:val="clear" w:color="auto" w:fill="F1F5F8"/>
          </w:tcPr>
          <w:p>
            <w:pPr>
              <w:spacing w:after="0"/>
            </w:pPr>
            <w:r>
              <w:rPr>
                <w:b w:val="0"/>
                <w:i w:val="0"/>
                <w:color w:val="5A6069"/>
                <w:sz w:val="18"/>
              </w:rPr>
              <w:t>Published PDF p3, Methods—Study design and participants</w:t>
            </w:r>
          </w:p>
        </w:tc>
      </w:tr>
      <w:tr>
        <w:trPr>
          <w:cantSplit/>
        </w:trPr>
        <w:tc>
          <w:tcPr>
            <w:tcW w:type="dxa" w:w="3360"/>
            <w:tcW w:w="2200" w:type="dxa"/>
            <w:shd w:val="clear" w:color="auto" w:fill="FFFFFF"/>
          </w:tcPr>
          <w:p>
            <w:pPr>
              <w:spacing w:after="0"/>
            </w:pPr>
            <w:r>
              <w:rPr>
                <w:b/>
                <w:i w:val="0"/>
                <w:sz w:val="19"/>
              </w:rPr>
              <w:t>McMillan 2022 · Houston update</w:t>
            </w:r>
          </w:p>
        </w:tc>
        <w:tc>
          <w:tcPr>
            <w:tcW w:type="dxa" w:w="3360"/>
            <w:tcW w:w="5480" w:type="dxa"/>
            <w:shd w:val="clear" w:color="auto" w:fill="FFFFFF"/>
          </w:tcPr>
          <w:p>
            <w:pPr>
              <w:spacing w:after="0"/>
            </w:pPr>
            <w:r>
              <w:rPr>
                <w:b w:val="0"/>
                <w:i w:val="0"/>
                <w:sz w:val="19"/>
              </w:rPr>
              <w:t>“Patients who developed extrahepatic disease were delisted.” Liver-only progression was deferred and could be reconsidered; it was not treated identically to extrahepatic spread.</w:t>
            </w:r>
          </w:p>
        </w:tc>
        <w:tc>
          <w:tcPr>
            <w:tcW w:type="dxa" w:w="3360"/>
            <w:tcW w:w="2400" w:type="dxa"/>
            <w:shd w:val="clear" w:color="auto" w:fill="FFFFFF"/>
          </w:tcPr>
          <w:p>
            <w:pPr>
              <w:spacing w:after="0"/>
            </w:pPr>
            <w:r>
              <w:rPr>
                <w:b w:val="0"/>
                <w:i w:val="0"/>
                <w:color w:val="5A6069"/>
                <w:sz w:val="18"/>
              </w:rPr>
              <w:t>Full text, section 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Lunsford 2018 · Houston</w:t>
            </w:r>
          </w:p>
        </w:tc>
        <w:tc>
          <w:tcPr>
            <w:tcW w:type="dxa" w:w="3360"/>
            <w:tcW w:w="3900" w:type="dxa"/>
            <w:shd w:val="clear" w:color="auto" w:fill="F1F5F8"/>
          </w:tcPr>
          <w:p>
            <w:pPr>
              <w:spacing w:after="0"/>
            </w:pPr>
            <w:r>
              <w:rPr>
                <w:b w:val="0"/>
                <w:i w:val="0"/>
                <w:sz w:val="19"/>
              </w:rPr>
              <w:t>Prospective case series: 21 referrals, 12 accepted and six LT recipients. Unresectable, liver-confined pure iCCA without macrovascular invasion. Six months of response/stability required; second/third-line therapy allowed after six months of control on that regimen.</w:t>
            </w:r>
          </w:p>
        </w:tc>
        <w:tc>
          <w:tcPr>
            <w:tcW w:type="dxa" w:w="3360"/>
            <w:tcW w:w="4180" w:type="dxa"/>
            <w:shd w:val="clear" w:color="auto" w:fill="F1F5F8"/>
          </w:tcPr>
          <w:p>
            <w:pPr>
              <w:spacing w:after="0"/>
            </w:pPr>
            <w:r>
              <w:rPr>
                <w:b w:val="0"/>
                <w:i w:val="0"/>
                <w:sz w:val="19"/>
              </w:rPr>
              <w:t>Median diagnosis-to-LT interval 26 months. Post-LT 1-/3-/5-year OS 100%/83.3%/83.3%; five-year CI 27.3–97.5. Three of six recurred, median 7.6 months; RFS 50%.</w:t>
            </w:r>
          </w:p>
          <w:p>
            <w:pPr>
              <w:spacing w:after="0"/>
            </w:pPr>
            <w:r>
              <w:rPr>
                <w:b w:val="0"/>
                <w:i/>
                <w:sz w:val="19"/>
              </w:rPr>
              <w:t>Limits: Six highly selected recipients, wide intervals and substantial pre-LT survival. Does not establish six months as optimal or one salvage line as the maximum.</w:t>
            </w:r>
          </w:p>
          <w:p>
            <w:pPr>
              <w:spacing w:after="0"/>
            </w:pPr>
            <w:r>
              <w:rPr>
                <w:b w:val="0"/>
                <w:i w:val="0"/>
                <w:color w:val="5A6069"/>
                <w:sz w:val="18"/>
              </w:rPr>
              <w:t>Lancet Gastroenterol Hepatol 2018; 3: 337–348; Eligibility/Protocol, Table 1 and Figure 2; full local PDF.</w:t>
            </w:r>
          </w:p>
        </w:tc>
      </w:tr>
      <w:tr>
        <w:trPr>
          <w:cantSplit/>
        </w:trPr>
        <w:tc>
          <w:tcPr>
            <w:tcW w:type="dxa" w:w="3360"/>
            <w:tcW w:w="2000" w:type="dxa"/>
            <w:shd w:val="clear" w:color="auto" w:fill="FFFFFF"/>
          </w:tcPr>
          <w:p>
            <w:pPr>
              <w:spacing w:after="0"/>
            </w:pPr>
            <w:r>
              <w:rPr>
                <w:b/>
                <w:i w:val="0"/>
                <w:sz w:val="19"/>
              </w:rPr>
              <w:t>McMillan 2022 · Houston update</w:t>
            </w:r>
          </w:p>
        </w:tc>
        <w:tc>
          <w:tcPr>
            <w:tcW w:type="dxa" w:w="3360"/>
            <w:tcW w:w="3900" w:type="dxa"/>
            <w:shd w:val="clear" w:color="auto" w:fill="FFFFFF"/>
          </w:tcPr>
          <w:p>
            <w:pPr>
              <w:spacing w:after="0"/>
            </w:pPr>
            <w:r>
              <w:rPr>
                <w:b w:val="0"/>
                <w:i w:val="0"/>
                <w:sz w:val="19"/>
              </w:rPr>
              <w:t>Expanded Houston cohort, overlapping Lunsford. Six-month gemcitabine-based induction; liver progression deferred LT, with reconsideration after control; extrahepatic progression prompted delisting.</w:t>
            </w:r>
          </w:p>
        </w:tc>
        <w:tc>
          <w:tcPr>
            <w:tcW w:type="dxa" w:w="3360"/>
            <w:tcW w:w="4180" w:type="dxa"/>
            <w:shd w:val="clear" w:color="auto" w:fill="FFFFFF"/>
          </w:tcPr>
          <w:p>
            <w:pPr>
              <w:spacing w:after="0"/>
            </w:pPr>
            <w:r>
              <w:rPr>
                <w:b w:val="0"/>
                <w:i w:val="0"/>
                <w:sz w:val="19"/>
              </w:rPr>
              <w:t>Five listed patients converted to resection; seven others delisted and seven remained listed at cutoff.</w:t>
            </w:r>
          </w:p>
          <w:p>
            <w:pPr>
              <w:spacing w:after="0"/>
            </w:pPr>
            <w:r>
              <w:rPr>
                <w:b w:val="0"/>
                <w:i/>
                <w:sz w:val="19"/>
              </w:rPr>
              <w:t>Limits: No timing or salvage comparator; keep referral, listing and LT clocks distinct.</w:t>
            </w:r>
          </w:p>
          <w:p>
            <w:pPr>
              <w:spacing w:after="0"/>
            </w:pPr>
            <w:r>
              <w:rPr>
                <w:b w:val="0"/>
                <w:i w:val="0"/>
                <w:color w:val="5A6069"/>
                <w:sz w:val="18"/>
              </w:rPr>
              <w:t>AJT 2022; Methods eligibility and §§3.1–3.3.</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Thirteen entrants; four LT recipients. At least four months of response/stability after systemic treatment/Y 90 before staging; renewed control after salvage could qualify.</w:t>
            </w:r>
          </w:p>
        </w:tc>
        <w:tc>
          <w:tcPr>
            <w:tcW w:type="dxa" w:w="3360"/>
            <w:tcW w:w="4180" w:type="dxa"/>
            <w:shd w:val="clear" w:color="auto" w:fill="F1F5F8"/>
          </w:tcPr>
          <w:p>
            <w:pPr>
              <w:spacing w:after="0"/>
            </w:pPr>
            <w:r>
              <w:rPr>
                <w:b w:val="0"/>
                <w:i w:val="0"/>
                <w:sz w:val="19"/>
              </w:rPr>
              <w:t>All four recipients had RECIST stable disease and Choi response, with median density reduction 52.5%. One FGFR 2-targeted pemigatinib rescue reached LT. Two of six staged patients had positive nodes.</w:t>
            </w:r>
          </w:p>
          <w:p>
            <w:pPr>
              <w:spacing w:after="0"/>
            </w:pPr>
            <w:r>
              <w:rPr>
                <w:b w:val="0"/>
                <w:i/>
                <w:sz w:val="19"/>
              </w:rPr>
              <w:t>Limits: One rescue does not validate a general reset rule. PET-negative imaging cannot replace pathological staging.</w:t>
            </w:r>
          </w:p>
          <w:p>
            <w:pPr>
              <w:spacing w:after="0"/>
            </w:pPr>
            <w:r>
              <w:rPr>
                <w:b w:val="0"/>
                <w:i w:val="0"/>
                <w:color w:val="5A6069"/>
                <w:sz w:val="18"/>
              </w:rPr>
              <w:t>Transpl Int 2024; Protocol, restaging and individual-recipient tables;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Early prospective report; five LT recipients. The referral-flow figure specifies twelve months of treatment response; median diagnosis-to-LT interval 26 months.</w:t>
            </w:r>
          </w:p>
        </w:tc>
        <w:tc>
          <w:tcPr>
            <w:tcW w:type="dxa" w:w="3360"/>
            <w:tcW w:w="4180" w:type="dxa"/>
            <w:shd w:val="clear" w:color="auto" w:fill="FFFFFF"/>
          </w:tcPr>
          <w:p>
            <w:pPr>
              <w:spacing w:after="0"/>
            </w:pPr>
            <w:r>
              <w:rPr>
                <w:b w:val="0"/>
                <w:i w:val="0"/>
                <w:sz w:val="19"/>
              </w:rPr>
              <w:t>Two extensively multifocal patients recurred despite prolonged selection.</w:t>
            </w:r>
          </w:p>
          <w:p>
            <w:pPr>
              <w:spacing w:after="0"/>
            </w:pPr>
            <w:r>
              <w:rPr>
                <w:b w:val="0"/>
                <w:i/>
                <w:sz w:val="19"/>
              </w:rPr>
              <w:t>Limits: Supplementary eligibility needs checking; time alone does not neutralize burden.</w:t>
            </w:r>
          </w:p>
          <w:p>
            <w:pPr>
              <w:spacing w:after="0"/>
            </w:pPr>
            <w:r>
              <w:rPr>
                <w:b w:val="0"/>
                <w:i w:val="0"/>
                <w:color w:val="5A6069"/>
                <w:sz w:val="18"/>
              </w:rPr>
              <w:t>BJS 2025; Figure 1 flowchart and Table 1.</w:t>
            </w:r>
          </w:p>
        </w:tc>
      </w:tr>
      <w:tr>
        <w:trPr>
          <w:cantSplit/>
        </w:trPr>
        <w:tc>
          <w:tcPr>
            <w:tcW w:type="dxa" w:w="3360"/>
            <w:tcW w:w="2000" w:type="dxa"/>
            <w:shd w:val="clear" w:color="auto" w:fill="F1F5F8"/>
          </w:tcPr>
          <w:p>
            <w:pPr>
              <w:spacing w:after="0"/>
            </w:pPr>
            <w:r>
              <w:rPr>
                <w:b/>
                <w:i w:val="0"/>
                <w:sz w:val="19"/>
              </w:rPr>
              <w:t>Giguet 2026</w:t>
            </w:r>
          </w:p>
        </w:tc>
        <w:tc>
          <w:tcPr>
            <w:tcW w:type="dxa" w:w="3360"/>
            <w:tcW w:w="3900" w:type="dxa"/>
            <w:shd w:val="clear" w:color="auto" w:fill="F1F5F8"/>
          </w:tcPr>
          <w:p>
            <w:pPr>
              <w:spacing w:after="0"/>
            </w:pPr>
            <w:r>
              <w:rPr>
                <w:b w:val="0"/>
                <w:i w:val="0"/>
                <w:sz w:val="19"/>
              </w:rPr>
              <w:t>Six-recipient retrospective series. At least six months of response/stability, CT/MRI every 2–3 months; median diagnosis-to-listing 351 days.</w:t>
            </w:r>
          </w:p>
        </w:tc>
        <w:tc>
          <w:tcPr>
            <w:tcW w:type="dxa" w:w="3360"/>
            <w:tcW w:w="4180" w:type="dxa"/>
            <w:shd w:val="clear" w:color="auto" w:fill="F1F5F8"/>
          </w:tcPr>
          <w:p>
            <w:pPr>
              <w:spacing w:after="0"/>
            </w:pPr>
            <w:r>
              <w:rPr>
                <w:b w:val="0"/>
                <w:i w:val="0"/>
                <w:sz w:val="19"/>
              </w:rPr>
              <w:t>Nineteen controlled younger patients underwent secondary resection.</w:t>
            </w:r>
          </w:p>
          <w:p>
            <w:pPr>
              <w:spacing w:after="0"/>
            </w:pPr>
            <w:r>
              <w:rPr>
                <w:b w:val="0"/>
                <w:i/>
                <w:sz w:val="19"/>
              </w:rPr>
              <w:t>Limits: Observed longer selection does not prove a twelve-month requirement.</w:t>
            </w:r>
          </w:p>
          <w:p>
            <w:pPr>
              <w:spacing w:after="0"/>
            </w:pPr>
            <w:r>
              <w:rPr>
                <w:b w:val="0"/>
                <w:i w:val="0"/>
                <w:color w:val="5A6069"/>
                <w:sz w:val="18"/>
              </w:rPr>
              <w:t>JHEP Rep 2026; neoadjuvant/listing and Results sections.</w:t>
            </w:r>
          </w:p>
        </w:tc>
      </w:tr>
      <w:tr>
        <w:trPr>
          <w:cantSplit/>
        </w:trPr>
        <w:tc>
          <w:tcPr>
            <w:tcW w:type="dxa" w:w="3360"/>
            <w:tcW w:w="2000" w:type="dxa"/>
            <w:shd w:val="clear" w:color="auto" w:fill="FFFFFF"/>
          </w:tcPr>
          <w:p>
            <w:pPr>
              <w:spacing w:after="0"/>
            </w:pPr>
            <w:r>
              <w:rPr>
                <w:b/>
                <w:i w:val="0"/>
                <w:sz w:val="19"/>
              </w:rPr>
              <w:t>Schleimer 2026 · non-LT comparator</w:t>
            </w:r>
          </w:p>
        </w:tc>
        <w:tc>
          <w:tcPr>
            <w:tcW w:type="dxa" w:w="3360"/>
            <w:tcW w:w="3900" w:type="dxa"/>
            <w:shd w:val="clear" w:color="auto" w:fill="FFFFFF"/>
          </w:tcPr>
          <w:p>
            <w:pPr>
              <w:spacing w:after="0"/>
            </w:pPr>
            <w:r>
              <w:rPr>
                <w:b w:val="0"/>
                <w:i w:val="0"/>
                <w:sz w:val="19"/>
              </w:rPr>
              <w:t>Two-center retrospective: 1, 407 total iCCA, 327 advanced liver-confined; 180 progressed/died before six months, 47 converted to resection, 39 potentially LT-eligible. Response-selected non-LT patients; 22 of 39 received HAIP.</w:t>
            </w:r>
          </w:p>
        </w:tc>
        <w:tc>
          <w:tcPr>
            <w:tcW w:type="dxa" w:w="3360"/>
            <w:tcW w:w="4180" w:type="dxa"/>
            <w:shd w:val="clear" w:color="auto" w:fill="FFFFFF"/>
          </w:tcPr>
          <w:p>
            <w:pPr>
              <w:spacing w:after="0"/>
            </w:pPr>
            <w:r>
              <w:rPr>
                <w:b w:val="0"/>
                <w:i w:val="0"/>
                <w:sz w:val="19"/>
              </w:rPr>
              <w:t>Median survival 39 months from diagnosis; 3-/5-year survival 46%/26% from the six-month estimated-eligibility landmark.</w:t>
            </w:r>
          </w:p>
          <w:p>
            <w:pPr>
              <w:spacing w:after="0"/>
            </w:pPr>
            <w:r>
              <w:rPr>
                <w:b w:val="0"/>
                <w:i/>
                <w:sz w:val="19"/>
              </w:rPr>
              <w:t>Limits: Favorable biology selects survivors before any LT. Historical 2008–2018 cohort, not a randomized treatment comparison.</w:t>
            </w:r>
          </w:p>
          <w:p>
            <w:pPr>
              <w:spacing w:after="0"/>
            </w:pPr>
            <w:r>
              <w:rPr>
                <w:b w:val="0"/>
                <w:i w:val="0"/>
                <w:color w:val="5A6069"/>
                <w:sz w:val="18"/>
              </w:rPr>
              <w:t>Ann Surg Oncol 2026; survival methods, Results and Table 2; full PDF.</w:t>
            </w:r>
          </w:p>
        </w:tc>
      </w:tr>
      <w:tr>
        <w:trPr>
          <w:cantSplit/>
        </w:trPr>
        <w:tc>
          <w:tcPr>
            <w:tcW w:type="dxa" w:w="3360"/>
            <w:tcW w:w="2000" w:type="dxa"/>
            <w:shd w:val="clear" w:color="auto" w:fill="F1F5F8"/>
          </w:tcPr>
          <w:p>
            <w:pPr>
              <w:spacing w:after="0"/>
            </w:pPr>
            <w:r>
              <w:rPr>
                <w:b/>
                <w:i w:val="0"/>
                <w:sz w:val="19"/>
              </w:rPr>
              <w:t>PUMP-2</w:t>
            </w:r>
          </w:p>
        </w:tc>
        <w:tc>
          <w:tcPr>
            <w:tcW w:type="dxa" w:w="3360"/>
            <w:tcW w:w="3900" w:type="dxa"/>
            <w:shd w:val="clear" w:color="auto" w:fill="F1F5F8"/>
          </w:tcPr>
          <w:p>
            <w:pPr>
              <w:spacing w:after="0"/>
            </w:pPr>
            <w:r>
              <w:rPr>
                <w:b w:val="0"/>
                <w:i w:val="0"/>
                <w:sz w:val="19"/>
              </w:rPr>
              <w:t>Prospective phase II: 50 pump placements, 48 received FUDR, 37 concurrent GemCis. Regional/systemic treatment for selected unresectable iCCA, not an LT trial.</w:t>
            </w:r>
          </w:p>
        </w:tc>
        <w:tc>
          <w:tcPr>
            <w:tcW w:type="dxa" w:w="3360"/>
            <w:tcW w:w="4180" w:type="dxa"/>
            <w:shd w:val="clear" w:color="auto" w:fill="F1F5F8"/>
          </w:tcPr>
          <w:p>
            <w:pPr>
              <w:spacing w:after="0"/>
            </w:pPr>
            <w:r>
              <w:rPr>
                <w:b w:val="0"/>
                <w:i w:val="0"/>
                <w:sz w:val="19"/>
              </w:rPr>
              <w:t>Partial response 44%, disease control at six months 84%; five resected, one pathological complete response. Median survival 22.3 months, three-year 31.5%.</w:t>
            </w:r>
          </w:p>
          <w:p>
            <w:pPr>
              <w:spacing w:after="0"/>
            </w:pPr>
            <w:r>
              <w:rPr>
                <w:b w:val="0"/>
                <w:i/>
                <w:sz w:val="19"/>
              </w:rPr>
              <w:t>Limits: Does not validate a pre-LT clearance test or subsequent arterial safety. Reassess resection after response.</w:t>
            </w:r>
          </w:p>
          <w:p>
            <w:pPr>
              <w:spacing w:after="0"/>
            </w:pPr>
            <w:r>
              <w:rPr>
                <w:b w:val="0"/>
                <w:i w:val="0"/>
                <w:color w:val="5A6069"/>
                <w:sz w:val="18"/>
              </w:rPr>
              <w:t>JCO 2026; PUMP-2 Methods/Results; full PDF.</w:t>
            </w:r>
          </w:p>
        </w:tc>
      </w:tr>
    </w:tbl>
    <w:p>
      <w:pPr>
        <w:spacing w:after="40"/>
      </w:pPr>
    </w:p>
    <w:p>
      <w:pPr>
        <w:pStyle w:val="Heading3"/>
        <w:keepNext/>
        <w:spacing w:before="120" w:after="80"/>
      </w:pPr>
      <w:r>
        <w:rPr>
          <w:b w:val="0"/>
          <w:i w:val="0"/>
        </w:rPr>
        <w:t>Our proposed selection (OPEN)</w:t>
      </w:r>
    </w:p>
    <w:p>
      <w:pPr>
        <w:spacing w:after="80"/>
      </w:pPr>
      <w:r>
        <w:rPr>
          <w:b w:val="0"/>
          <w:i w:val="0"/>
        </w:rPr>
        <w:t>Require six months of continuous disease control, but distinguish liver-only progression with salvage from permanent exclusion.</w:t>
      </w:r>
    </w:p>
    <w:p>
      <w:pPr>
        <w:numPr>
          <w:ilvl w:val="0"/>
          <w:numId w:val="5"/>
        </w:numPr>
        <w:spacing w:after="40"/>
      </w:pPr>
      <w:r>
        <w:rPr>
          <w:b w:val="0"/>
          <w:i w:val="0"/>
        </w:rPr>
        <w:t>Proposed clock: ≥6 consecutive months of radiological response/stability from initiation of the effective strategy after the most recent confirmed progression, with baseline imaging, no extrahepatic disease and persistent unresectability. Image approximately every eight weeks and restage at completion.</w:t>
      </w:r>
    </w:p>
    <w:p>
      <w:pPr>
        <w:numPr>
          <w:ilvl w:val="0"/>
          <w:numId w:val="5"/>
        </w:numPr>
        <w:spacing w:after="40"/>
      </w:pPr>
      <w:r>
        <w:rPr>
          <w:b w:val="0"/>
          <w:i w:val="0"/>
        </w:rPr>
        <w:t>Dose reduction, toxicity-driven substitution or planned consolidation does not automatically reset the clock when control is continuous. Confirmed liver-only progression pauses eligibility; allow one separately reported salvage re-entry after a fresh six months of control.</w:t>
      </w:r>
    </w:p>
    <w:p>
      <w:pPr>
        <w:numPr>
          <w:ilvl w:val="0"/>
          <w:numId w:val="5"/>
        </w:numPr>
        <w:spacing w:after="40"/>
      </w:pPr>
      <w:r>
        <w:rPr>
          <w:b w:val="0"/>
          <w:i w:val="0"/>
        </w:rPr>
        <w:t>Further progression after that salvage strategy, proven malignant nodes or extrahepatic spread excludes the patient from the initial study. Reassess resection after each major response and immediately before LT; conversion to feasible curative resection redirects to resection.</w:t>
      </w:r>
    </w:p>
    <w:p>
      <w:pPr>
        <w:spacing w:after="80"/>
      </w:pPr>
      <w:r>
        <w:rPr>
          <w:b/>
          <w:i w:val="0"/>
        </w:rPr>
        <w:t xml:space="preserve">Why: </w:t>
      </w:r>
      <w:r>
        <w:rPr>
          <w:b w:val="0"/>
          <w:i w:val="0"/>
        </w:rPr>
        <w:t>A six-month control requirement is a defensible tested entry rule, not an established biological truth. SYS-TARE, TESLA and Rennes used different selection intervals. Stable measurable disease can qualify without RECIST partial response. New lesions or extrahepatic spread cannot be dismissed as stable biology. Regression can change the correct operation to resection.</w:t>
      </w:r>
    </w:p>
    <w:p>
      <w:pPr>
        <w:spacing w:after="80"/>
      </w:pPr>
      <w:r>
        <w:rPr>
          <w:b/>
          <w:i w:val="0"/>
        </w:rPr>
        <w:t xml:space="preserve">Against, or uncertain: </w:t>
      </w:r>
      <w:r>
        <w:rPr>
          <w:b w:val="0"/>
          <w:i w:val="0"/>
        </w:rPr>
        <w:t>Successful later-line cases refute a categorical ban on all salvage but do not validate unrestricted repeated resets. Patients controlled for six months already have better non-LT prognosis. Comparing their post-LT survival with unselected advanced-cancer median survival exaggerates benefit. Unresolved lung, bone or nodal findings require adjudication before activation.</w:t>
      </w:r>
    </w:p>
    <w:p>
      <w:pPr>
        <w:spacing w:after="80"/>
      </w:pPr>
      <w:r>
        <w:rPr>
          <w:b/>
          <w:i w:val="0"/>
        </w:rPr>
        <w:t xml:space="preserve">Certainty: </w:t>
      </w:r>
      <w:r>
        <w:rPr>
          <w:b w:val="0"/>
          <w:i w:val="0"/>
        </w:rPr>
        <w:t>Very low certainty for the optimal control clock, imaging metric or allowable salvage count; low certainty for sustained control as a useful selection approach.</w:t>
      </w:r>
    </w:p>
    <w:p>
      <w:pPr>
        <w:spacing w:after="80"/>
      </w:pPr>
      <w:r>
        <w:rPr>
          <w:b/>
          <w:i w:val="0"/>
        </w:rPr>
        <w:t xml:space="preserve">Tests and records: </w:t>
      </w:r>
      <w:r>
        <w:rPr>
          <w:b w:val="0"/>
          <w:i w:val="0"/>
        </w:rPr>
        <w:t>Dated regimen/response timeline; comparable liver imaging and systemic staging; RECIST and multidisciplinary adjudication; CA19-9 in obstruction context; repeated HPB review. Record latest confirmed progression, current effective-strategy start, first control, each imaging assessment and the proposed activation date; repeat R0/functional-FLR review after meaningful response.</w:t>
      </w:r>
    </w:p>
    <w:p>
      <w:pPr>
        <w:spacing w:after="80"/>
      </w:pPr>
      <w:r>
        <w:rPr>
          <w:b/>
          <w:i w:val="0"/>
        </w:rPr>
        <w:t xml:space="preserve">Allocation: </w:t>
      </w:r>
      <w:r>
        <w:rPr>
          <w:b w:val="0"/>
          <w:i w:val="0"/>
        </w:rPr>
        <w:t>This is the advanced-study clock; do not substitute it for the separate small-cirrhotic NLRB observation/exception requirements.</w:t>
      </w:r>
    </w:p>
    <w:p>
      <w:pPr>
        <w:spacing w:after="40"/>
      </w:pPr>
      <w:r>
        <w:rPr>
          <w:b/>
          <w:i w:val="0"/>
        </w:rPr>
        <w:t xml:space="preserve">Basis for the proposed thresholds: </w:t>
      </w:r>
    </w:p>
    <w:p>
      <w:pPr>
        <w:numPr>
          <w:ilvl w:val="0"/>
          <w:numId w:val="5"/>
        </w:numPr>
        <w:spacing w:after="40"/>
      </w:pPr>
      <w:r>
        <w:rPr>
          <w:b w:val="0"/>
          <w:i w:val="0"/>
        </w:rPr>
        <w:t>STUDY: six months in Houston/Rennes, four months in SYS-TARE and twelve months of treatment response in the TESLA flow diagram. LOCAL: approximately eight-week monitoring and one salvage re-entry. GUIDANCE: preserve the separate NLRB small-cirrhotic clock ('from diagnosis or last treatment'); do not silently replace it with the advanced research clock.</w:t>
      </w:r>
    </w:p>
    <w:p>
      <w:pPr>
        <w:pStyle w:val="Heading3"/>
        <w:keepNext/>
        <w:spacing w:before="120" w:after="80"/>
      </w:pPr>
      <w:r>
        <w:rPr>
          <w:b w:val="0"/>
          <w:i w:val="0"/>
        </w:rPr>
        <w:t>iCCA-B2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iCCA-B3 — Living-donor transplantation: study readiness</w:t>
      </w:r>
    </w:p>
    <w:p>
      <w:pPr>
        <w:spacing w:after="80"/>
      </w:pPr>
      <w:r>
        <w:rPr>
          <w:b w:val="0"/>
          <w:i w:val="0"/>
          <w:color w:val="5A6069"/>
          <w:sz w:val="18"/>
        </w:rPr>
        <w:t>Study development · no transplantation yet · not activated · High-risk review</w:t>
      </w:r>
    </w:p>
    <w:p>
      <w:pPr>
        <w:spacing w:after="80"/>
      </w:pPr>
      <w:r>
        <w:rPr>
          <w:b/>
          <w:i w:val="0"/>
        </w:rPr>
        <w:t xml:space="preserve">Question: </w:t>
      </w:r>
      <w:r>
        <w:rPr>
          <w:b w:val="0"/>
          <w:i w:val="0"/>
        </w:rPr>
        <w:t>Does access to LDLT change the evidentiary threshold?</w:t>
      </w:r>
    </w:p>
    <w:p>
      <w:pPr>
        <w:spacing w:after="80"/>
      </w:pPr>
      <w:r>
        <w:rPr>
          <w:b/>
          <w:i w:val="0"/>
        </w:rPr>
        <w:t xml:space="preserve">When it applies: </w:t>
      </w:r>
      <w:r>
        <w:rPr>
          <w:b w:val="0"/>
          <w:i w:val="0"/>
        </w:rPr>
        <w:t>A potential living donor does not by itself establish recipient eligibility or make a proposed study ready to open.</w:t>
      </w:r>
    </w:p>
    <w:p>
      <w:pPr>
        <w:spacing w:after="80"/>
      </w:pPr>
      <w:r>
        <w:rPr>
          <w:b/>
          <w:i w:val="0"/>
        </w:rPr>
        <w:t xml:space="preserve">Where it is decided: </w:t>
      </w:r>
      <w:hyperlink r:id="rId42">
        <w:r>
          <w:rPr>
            <w:color w:val="0563C1"/>
            <w:u w:val="single"/>
          </w:rPr>
          <w:t xml:space="preserve">Request an individual iCCA MELD exception</w:t>
        </w:r>
      </w:hyperlink>
    </w:p>
    <w:p>
      <w:pPr>
        <w:spacing w:after="120"/>
      </w:pPr>
      <w:r>
        <w:rPr>
          <w:b/>
          <w:i w:val="0"/>
          <w:sz w:val="18"/>
        </w:rPr>
        <w:t xml:space="preserve">Web page: </w:t>
      </w:r>
      <w:hyperlink r:id="rId4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Sethi 2026 · iCCA LDLT</w:t>
            </w:r>
          </w:p>
        </w:tc>
        <w:tc>
          <w:tcPr>
            <w:tcW w:type="dxa" w:w="3360"/>
            <w:tcW w:w="5480" w:type="dxa"/>
            <w:shd w:val="clear" w:color="auto" w:fill="F1F5F8"/>
          </w:tcPr>
          <w:p>
            <w:pPr>
              <w:spacing w:after="0"/>
            </w:pPr>
            <w:r>
              <w:rPr>
                <w:b w:val="0"/>
                <w:i w:val="0"/>
                <w:sz w:val="19"/>
              </w:rPr>
              <w:t>“This retrospective, single-center study investigated outcomes for seven patients” The complete main paper was reviewed. Seven selected recipients, wide confidence intervals and donor reoperation/drainage support prospective study development, not routine LDLT access. Separate supplementary details and individual ICI intervals remain unverified.</w:t>
            </w:r>
          </w:p>
        </w:tc>
        <w:tc>
          <w:tcPr>
            <w:tcW w:type="dxa" w:w="3360"/>
            <w:tcW w:w="2400" w:type="dxa"/>
            <w:shd w:val="clear" w:color="auto" w:fill="F1F5F8"/>
          </w:tcPr>
          <w:p>
            <w:pPr>
              <w:spacing w:after="0"/>
            </w:pPr>
            <w:r>
              <w:rPr>
                <w:b w:val="0"/>
                <w:i w:val="0"/>
                <w:color w:val="5A6069"/>
                <w:sz w:val="18"/>
              </w:rPr>
              <w:t>Complete 11-page AJT 2026 main-paper proof; Methods, referral flow, Tables 1–2 and recipient/donor outcomes</w:t>
            </w:r>
          </w:p>
        </w:tc>
      </w:tr>
      <w:tr>
        <w:trPr>
          <w:cantSplit/>
        </w:trPr>
        <w:tc>
          <w:tcPr>
            <w:tcW w:type="dxa" w:w="3360"/>
            <w:tcW w:w="2200" w:type="dxa"/>
            <w:shd w:val="clear" w:color="auto" w:fill="FFFFFF"/>
          </w:tcPr>
          <w:p>
            <w:pPr>
              <w:spacing w:after="0"/>
            </w:pPr>
            <w:r>
              <w:rPr>
                <w:b/>
                <w:i w:val="0"/>
                <w:sz w:val="19"/>
              </w:rPr>
              <w:t>Schleimer 2026 · non-LT comparator</w:t>
            </w:r>
          </w:p>
        </w:tc>
        <w:tc>
          <w:tcPr>
            <w:tcW w:type="dxa" w:w="3360"/>
            <w:tcW w:w="5480" w:type="dxa"/>
            <w:shd w:val="clear" w:color="auto" w:fill="FFFFFF"/>
          </w:tcPr>
          <w:p>
            <w:pPr>
              <w:spacing w:after="0"/>
            </w:pPr>
            <w:r>
              <w:rPr>
                <w:b w:val="0"/>
                <w:i w:val="0"/>
                <w:sz w:val="19"/>
              </w:rPr>
              <w:t>“Their median survival from diagnosis was 39 months” Selected contemporary non-LT survival is a relevant comparator; this is not a randomized LT-benefit estimate.</w:t>
            </w:r>
          </w:p>
        </w:tc>
        <w:tc>
          <w:tcPr>
            <w:tcW w:type="dxa" w:w="3360"/>
            <w:tcW w:w="2400" w:type="dxa"/>
            <w:shd w:val="clear" w:color="auto" w:fill="FFFFFF"/>
          </w:tcPr>
          <w:p>
            <w:pPr>
              <w:spacing w:after="0"/>
            </w:pPr>
            <w:r>
              <w:rPr>
                <w:b w:val="0"/>
                <w:i w:val="0"/>
                <w:color w:val="5A6069"/>
                <w:sz w:val="18"/>
              </w:rPr>
              <w:t>Published PDF p1 / journal p6099, abstract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Sethi 2026 · iCCA LDLT</w:t>
            </w:r>
          </w:p>
        </w:tc>
        <w:tc>
          <w:tcPr>
            <w:tcW w:type="dxa" w:w="3360"/>
            <w:tcW w:w="3900" w:type="dxa"/>
            <w:shd w:val="clear" w:color="auto" w:fill="F1F5F8"/>
          </w:tcPr>
          <w:p>
            <w:pPr>
              <w:spacing w:after="0"/>
            </w:pPr>
            <w:r>
              <w:rPr>
                <w:b w:val="0"/>
                <w:i w:val="0"/>
                <w:sz w:val="19"/>
              </w:rPr>
              <w:t>Retrospective single-center seven-recipient LDLT series. Six received systemic treatment, four locoregional treatment; median MELD 8 and wait 38 days.</w:t>
            </w:r>
          </w:p>
        </w:tc>
        <w:tc>
          <w:tcPr>
            <w:tcW w:type="dxa" w:w="3360"/>
            <w:tcW w:w="4180" w:type="dxa"/>
            <w:shd w:val="clear" w:color="auto" w:fill="F1F5F8"/>
          </w:tcPr>
          <w:p>
            <w:pPr>
              <w:spacing w:after="0"/>
            </w:pPr>
            <w:r>
              <w:rPr>
                <w:b w:val="0"/>
                <w:i w:val="0"/>
                <w:sz w:val="19"/>
              </w:rPr>
              <w:t>Median follow-up 5.1 years; two recurrences, one death. Five-year OS 85.7% (CI 33.4–97.9), RFS 71.4% (CI 25.8–92.0). Two gradeIII complications within six months; all donors alive.</w:t>
            </w:r>
          </w:p>
          <w:p>
            <w:pPr>
              <w:spacing w:after="0"/>
            </w:pPr>
            <w:r>
              <w:rPr>
                <w:b w:val="0"/>
                <w:i/>
                <w:sz w:val="19"/>
              </w:rPr>
              <w:t>Limits: Abstract independently checked; full selection, screened denominator and donor morbidity require PDF. Seven recipients cannot establish net benefit.</w:t>
            </w:r>
          </w:p>
          <w:p>
            <w:pPr>
              <w:spacing w:after="0"/>
            </w:pPr>
            <w:r>
              <w:rPr>
                <w:b w:val="0"/>
                <w:i w:val="0"/>
                <w:color w:val="5A6069"/>
                <w:sz w:val="18"/>
              </w:rPr>
              <w:t>AJT online 29 September 2026; primary abstract, PMID 42810588.</w:t>
            </w:r>
          </w:p>
        </w:tc>
      </w:tr>
      <w:tr>
        <w:trPr>
          <w:cantSplit/>
        </w:trPr>
        <w:tc>
          <w:tcPr>
            <w:tcW w:type="dxa" w:w="3360"/>
            <w:tcW w:w="2000" w:type="dxa"/>
            <w:shd w:val="clear" w:color="auto" w:fill="FFFFFF"/>
          </w:tcPr>
          <w:p>
            <w:pPr>
              <w:spacing w:after="0"/>
            </w:pPr>
            <w:r>
              <w:rPr>
                <w:b/>
                <w:i w:val="0"/>
                <w:sz w:val="19"/>
              </w:rPr>
              <w:t>Lunsford 2018 · Houston</w:t>
            </w:r>
          </w:p>
        </w:tc>
        <w:tc>
          <w:tcPr>
            <w:tcW w:type="dxa" w:w="3360"/>
            <w:tcW w:w="3900" w:type="dxa"/>
            <w:shd w:val="clear" w:color="auto" w:fill="FFFFFF"/>
          </w:tcPr>
          <w:p>
            <w:pPr>
              <w:spacing w:after="0"/>
            </w:pPr>
            <w:r>
              <w:rPr>
                <w:b w:val="0"/>
                <w:i w:val="0"/>
                <w:sz w:val="19"/>
              </w:rPr>
              <w:t>Twenty-one referrals, twelve accepted, six recipients. Six-month controlled, liver-confined unresectable iCCA.</w:t>
            </w:r>
          </w:p>
        </w:tc>
        <w:tc>
          <w:tcPr>
            <w:tcW w:type="dxa" w:w="3360"/>
            <w:tcW w:w="4180" w:type="dxa"/>
            <w:shd w:val="clear" w:color="auto" w:fill="FFFFFF"/>
          </w:tcPr>
          <w:p>
            <w:pPr>
              <w:spacing w:after="0"/>
            </w:pPr>
            <w:r>
              <w:rPr>
                <w:b w:val="0"/>
                <w:i w:val="0"/>
                <w:sz w:val="19"/>
              </w:rPr>
              <w:t>Five-year post-LT survival 83.3% with very wide CI; three of six recurred.</w:t>
            </w:r>
          </w:p>
          <w:p>
            <w:pPr>
              <w:spacing w:after="0"/>
            </w:pPr>
            <w:r>
              <w:rPr>
                <w:b w:val="0"/>
                <w:i/>
                <w:sz w:val="19"/>
              </w:rPr>
              <w:t>Limits: Feasibility, not LDLT-specific causal benefit; overlaps McMillan.</w:t>
            </w:r>
          </w:p>
          <w:p>
            <w:pPr>
              <w:spacing w:after="0"/>
            </w:pPr>
            <w:r>
              <w:rPr>
                <w:b w:val="0"/>
                <w:i w:val="0"/>
                <w:color w:val="5A6069"/>
                <w:sz w:val="18"/>
              </w:rPr>
              <w:t>Lancet Gastroenterol Hepatol 2018; Methods/Results; local PDF.</w:t>
            </w:r>
          </w:p>
        </w:tc>
      </w:tr>
      <w:tr>
        <w:trPr>
          <w:cantSplit/>
        </w:trPr>
        <w:tc>
          <w:tcPr>
            <w:tcW w:type="dxa" w:w="3360"/>
            <w:tcW w:w="2000" w:type="dxa"/>
            <w:shd w:val="clear" w:color="auto" w:fill="F1F5F8"/>
          </w:tcPr>
          <w:p>
            <w:pPr>
              <w:spacing w:after="0"/>
            </w:pPr>
            <w:r>
              <w:rPr>
                <w:b/>
                <w:i w:val="0"/>
                <w:sz w:val="19"/>
              </w:rPr>
              <w:t>Giguet 2026</w:t>
            </w:r>
          </w:p>
        </w:tc>
        <w:tc>
          <w:tcPr>
            <w:tcW w:type="dxa" w:w="3360"/>
            <w:tcW w:w="3900" w:type="dxa"/>
            <w:shd w:val="clear" w:color="auto" w:fill="F1F5F8"/>
          </w:tcPr>
          <w:p>
            <w:pPr>
              <w:spacing w:after="0"/>
            </w:pPr>
            <w:r>
              <w:rPr>
                <w:b w:val="0"/>
                <w:i w:val="0"/>
                <w:sz w:val="19"/>
              </w:rPr>
              <w:t>Six selected deceased-donor recipients. French declined-graft route, not LDLT.</w:t>
            </w:r>
          </w:p>
        </w:tc>
        <w:tc>
          <w:tcPr>
            <w:tcW w:type="dxa" w:w="3360"/>
            <w:tcW w:w="4180" w:type="dxa"/>
            <w:shd w:val="clear" w:color="auto" w:fill="F1F5F8"/>
          </w:tcPr>
          <w:p>
            <w:pPr>
              <w:spacing w:after="0"/>
            </w:pPr>
            <w:r>
              <w:rPr>
                <w:b w:val="0"/>
                <w:i w:val="0"/>
                <w:sz w:val="19"/>
              </w:rPr>
              <w:t>Arterial complications 3/6 and biliary 4/6; one late retransplant and one septic-cholangitis death at 6.4 years despite five-year OS 100%.</w:t>
            </w:r>
          </w:p>
          <w:p>
            <w:pPr>
              <w:spacing w:after="0"/>
            </w:pPr>
            <w:r>
              <w:rPr>
                <w:b w:val="0"/>
                <w:i/>
                <w:sz w:val="19"/>
              </w:rPr>
              <w:t>Limits: High survival is not low morbidity or cure; SIRT, surgery and graft-quality effects cannot be separated.</w:t>
            </w:r>
          </w:p>
          <w:p>
            <w:pPr>
              <w:spacing w:after="0"/>
            </w:pPr>
            <w:r>
              <w:rPr>
                <w:b w:val="0"/>
                <w:i w:val="0"/>
                <w:color w:val="5A6069"/>
                <w:sz w:val="18"/>
              </w:rPr>
              <w:t>JHEP Rep 2026; Table 3 and late-complication Results.</w:t>
            </w:r>
          </w:p>
        </w:tc>
      </w:tr>
      <w:tr>
        <w:trPr>
          <w:cantSplit/>
        </w:trPr>
        <w:tc>
          <w:tcPr>
            <w:tcW w:type="dxa" w:w="3360"/>
            <w:tcW w:w="2000" w:type="dxa"/>
            <w:shd w:val="clear" w:color="auto" w:fill="FFFFFF"/>
          </w:tcPr>
          <w:p>
            <w:pPr>
              <w:spacing w:after="0"/>
            </w:pPr>
            <w:r>
              <w:rPr>
                <w:b/>
                <w:i w:val="0"/>
                <w:sz w:val="19"/>
              </w:rPr>
              <w:t>Schleimer 2026 · non-LT comparator</w:t>
            </w:r>
          </w:p>
        </w:tc>
        <w:tc>
          <w:tcPr>
            <w:tcW w:type="dxa" w:w="3360"/>
            <w:tcW w:w="3900" w:type="dxa"/>
            <w:shd w:val="clear" w:color="auto" w:fill="FFFFFF"/>
          </w:tcPr>
          <w:p>
            <w:pPr>
              <w:spacing w:after="0"/>
            </w:pPr>
            <w:r>
              <w:rPr>
                <w:b w:val="0"/>
                <w:i w:val="0"/>
                <w:sz w:val="19"/>
              </w:rPr>
              <w:t>Thirty-nine selected non-LT patients from 327 advanced liver-confined cases; 22 received HAIP. Retrospective LT-eligibility assessment after six months of control.</w:t>
            </w:r>
          </w:p>
        </w:tc>
        <w:tc>
          <w:tcPr>
            <w:tcW w:type="dxa" w:w="3360"/>
            <w:tcW w:w="4180" w:type="dxa"/>
            <w:shd w:val="clear" w:color="auto" w:fill="FFFFFF"/>
          </w:tcPr>
          <w:p>
            <w:pPr>
              <w:spacing w:after="0"/>
            </w:pPr>
            <w:r>
              <w:rPr>
                <w:b w:val="0"/>
                <w:i w:val="0"/>
                <w:sz w:val="19"/>
              </w:rPr>
              <w:t>Median 39 months from diagnosis; five-year survival 26% from the six-month landmark.</w:t>
            </w:r>
          </w:p>
          <w:p>
            <w:pPr>
              <w:spacing w:after="0"/>
            </w:pPr>
            <w:r>
              <w:rPr>
                <w:b w:val="0"/>
                <w:i/>
                <w:sz w:val="19"/>
              </w:rPr>
              <w:t>Limits: More relevant than unselected metastatic BTC but historical and nonrandomized; cannot yield precise individual LT benefit.</w:t>
            </w:r>
          </w:p>
          <w:p>
            <w:pPr>
              <w:spacing w:after="0"/>
            </w:pPr>
            <w:r>
              <w:rPr>
                <w:b w:val="0"/>
                <w:i w:val="0"/>
                <w:color w:val="5A6069"/>
                <w:sz w:val="18"/>
              </w:rPr>
              <w:t>Ann Surg Oncol 2026; Methods/Results/Table 2; local PDF.</w:t>
            </w:r>
          </w:p>
        </w:tc>
      </w:tr>
      <w:tr>
        <w:trPr>
          <w:cantSplit/>
        </w:trPr>
        <w:tc>
          <w:tcPr>
            <w:tcW w:type="dxa" w:w="3360"/>
            <w:tcW w:w="2000" w:type="dxa"/>
            <w:shd w:val="clear" w:color="auto" w:fill="F1F5F8"/>
          </w:tcPr>
          <w:p>
            <w:pPr>
              <w:spacing w:after="0"/>
            </w:pPr>
            <w:r>
              <w:rPr>
                <w:b/>
                <w:i w:val="0"/>
                <w:sz w:val="19"/>
              </w:rPr>
              <w:t>PUMP-2</w:t>
            </w:r>
          </w:p>
        </w:tc>
        <w:tc>
          <w:tcPr>
            <w:tcW w:type="dxa" w:w="3360"/>
            <w:tcW w:w="3900" w:type="dxa"/>
            <w:shd w:val="clear" w:color="auto" w:fill="F1F5F8"/>
          </w:tcPr>
          <w:p>
            <w:pPr>
              <w:spacing w:after="0"/>
            </w:pPr>
            <w:r>
              <w:rPr>
                <w:b w:val="0"/>
                <w:i w:val="0"/>
                <w:sz w:val="19"/>
              </w:rPr>
              <w:t>Fifty pump placements; 48 received FUDR; single-arm phaseII. Non-LT unresectable iCCA.</w:t>
            </w:r>
          </w:p>
        </w:tc>
        <w:tc>
          <w:tcPr>
            <w:tcW w:type="dxa" w:w="3360"/>
            <w:tcW w:w="4180" w:type="dxa"/>
            <w:shd w:val="clear" w:color="auto" w:fill="F1F5F8"/>
          </w:tcPr>
          <w:p>
            <w:pPr>
              <w:spacing w:after="0"/>
            </w:pPr>
            <w:r>
              <w:rPr>
                <w:b w:val="0"/>
                <w:i w:val="0"/>
                <w:sz w:val="19"/>
              </w:rPr>
              <w:t>Median survival 22.3 months; three-year 31.5%; five conversion resections. Arterial dissection prevented treatment in one patient.</w:t>
            </w:r>
          </w:p>
          <w:p>
            <w:pPr>
              <w:spacing w:after="0"/>
            </w:pPr>
            <w:r>
              <w:rPr>
                <w:b w:val="0"/>
                <w:i/>
                <w:sz w:val="19"/>
              </w:rPr>
              <w:t>Limits: A current regional option, not a randomized LDLT comparator or proof of later graft-arterial safety.</w:t>
            </w:r>
          </w:p>
          <w:p>
            <w:pPr>
              <w:spacing w:after="0"/>
            </w:pPr>
            <w:r>
              <w:rPr>
                <w:b w:val="0"/>
                <w:i w:val="0"/>
                <w:color w:val="5A6069"/>
                <w:sz w:val="18"/>
              </w:rPr>
              <w:t>JCO 2026 PUMP-2; full-PDF Methods/Results and adverse events.</w:t>
            </w:r>
          </w:p>
        </w:tc>
      </w:tr>
      <w:tr>
        <w:trPr>
          <w:cantSplit/>
        </w:trPr>
        <w:tc>
          <w:tcPr>
            <w:tcW w:type="dxa" w:w="3360"/>
            <w:tcW w:w="2000" w:type="dxa"/>
            <w:shd w:val="clear" w:color="auto" w:fill="FFFFFF"/>
          </w:tcPr>
          <w:p>
            <w:pPr>
              <w:spacing w:after="0"/>
            </w:pPr>
            <w:r>
              <w:rPr>
                <w:b/>
                <w:i w:val="0"/>
                <w:sz w:val="19"/>
              </w:rPr>
              <w:t>Oh 2025</w:t>
            </w:r>
          </w:p>
        </w:tc>
        <w:tc>
          <w:tcPr>
            <w:tcW w:type="dxa" w:w="3360"/>
            <w:tcW w:w="3900" w:type="dxa"/>
            <w:shd w:val="clear" w:color="auto" w:fill="FFFFFF"/>
          </w:tcPr>
          <w:p>
            <w:pPr>
              <w:spacing w:after="0"/>
            </w:pPr>
            <w:r>
              <w:rPr>
                <w:b w:val="0"/>
                <w:i w:val="0"/>
                <w:sz w:val="19"/>
              </w:rPr>
              <w:t>Randomized phaseIII advanced BTC: 685 participants, 341 durvalumab/GemCis and 344 placebo/GemCis. Mixed biliary sites and locally advanced/metastatic disease, not a six-month LT-selected population.</w:t>
            </w:r>
          </w:p>
        </w:tc>
        <w:tc>
          <w:tcPr>
            <w:tcW w:type="dxa" w:w="3360"/>
            <w:tcW w:w="4180" w:type="dxa"/>
            <w:shd w:val="clear" w:color="auto" w:fill="FFFFFF"/>
          </w:tcPr>
          <w:p>
            <w:pPr>
              <w:spacing w:after="0"/>
            </w:pPr>
            <w:r>
              <w:rPr>
                <w:b w:val="0"/>
                <w:i w:val="0"/>
                <w:sz w:val="19"/>
              </w:rPr>
              <w:t>Median OS 12.9 versus 11.3 months; HR 0.74 (CI 0.63–0.87), 36-month OS 14.6% versus 6.9%, median follow-up 41.3 months.</w:t>
            </w:r>
          </w:p>
          <w:p>
            <w:pPr>
              <w:spacing w:after="0"/>
            </w:pPr>
            <w:r>
              <w:rPr>
                <w:b w:val="0"/>
                <w:i/>
                <w:sz w:val="19"/>
              </w:rPr>
              <w:t>Limits: High-level evidence for non-LT therapy, not pre-LT ICI safety or an exchangeable control for LT recipients.</w:t>
            </w:r>
          </w:p>
          <w:p>
            <w:pPr>
              <w:spacing w:after="0"/>
            </w:pPr>
            <w:r>
              <w:rPr>
                <w:b w:val="0"/>
                <w:i w:val="0"/>
                <w:color w:val="5A6069"/>
                <w:sz w:val="18"/>
              </w:rPr>
              <w:t>J Hepatol 2025; 83: 1092–1101; primary three-year update.</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SRTR 1989–2023: 8, 981 eligible donors, 8, 619 mortality analysis and 8, 314 secondary follow-up. Donors aged 18–65 across all indications, not iCCA-specific.</w:t>
            </w:r>
          </w:p>
        </w:tc>
        <w:tc>
          <w:tcPr>
            <w:tcW w:type="dxa" w:w="3360"/>
            <w:tcW w:w="4180" w:type="dxa"/>
            <w:shd w:val="clear" w:color="auto" w:fill="F1F5F8"/>
          </w:tcPr>
          <w:p>
            <w:pPr>
              <w:spacing w:after="0"/>
            </w:pPr>
            <w:r>
              <w:rPr>
                <w:b w:val="0"/>
                <w:i w:val="0"/>
                <w:sz w:val="19"/>
              </w:rPr>
              <w:t>Eight 90-day deaths (0.1%), 18 within two years (0.2%). Contemporary 90-day mortality approximately 0.04%. Secondary-outcome completeness 60–67% at six months and 37–39% at two years.</w:t>
            </w:r>
          </w:p>
          <w:p>
            <w:pPr>
              <w:spacing w:after="0"/>
            </w:pPr>
            <w:r>
              <w:rPr>
                <w:b w:val="0"/>
                <w:i/>
                <w:sz w:val="19"/>
              </w:rPr>
              <w:t>Limits: All-cause deaths are not all donation-attributable. Missingness, historical eras and mixed graft types limit individual risk estimates; employment burden also matters.</w:t>
            </w:r>
          </w:p>
          <w:p>
            <w:pPr>
              <w:spacing w:after="0"/>
            </w:pPr>
            <w:r>
              <w:rPr>
                <w:b w:val="0"/>
                <w:i w:val="0"/>
                <w:color w:val="5A6069"/>
                <w:sz w:val="18"/>
              </w:rPr>
              <w:t>J Transplant 2026: 2545887; Missing Data and Results§§3.1–3.3; complete 8-page PDF.</w:t>
            </w:r>
          </w:p>
        </w:tc>
      </w:tr>
    </w:tbl>
    <w:p>
      <w:pPr>
        <w:spacing w:after="40"/>
      </w:pPr>
    </w:p>
    <w:p>
      <w:pPr>
        <w:pStyle w:val="Heading3"/>
        <w:keepNext/>
        <w:spacing w:before="120" w:after="80"/>
      </w:pPr>
      <w:r>
        <w:rPr>
          <w:b w:val="0"/>
          <w:i w:val="0"/>
        </w:rPr>
        <w:t>Our proposed selection (OPEN)</w:t>
      </w:r>
    </w:p>
    <w:p>
      <w:pPr>
        <w:spacing w:after="80"/>
      </w:pPr>
      <w:r>
        <w:rPr>
          <w:b w:val="0"/>
          <w:i w:val="0"/>
        </w:rPr>
        <w:t>Develop a prospective LDLT feasibility study, but do not permit transplantation under this proposal yet.</w:t>
      </w:r>
    </w:p>
    <w:p>
      <w:pPr>
        <w:numPr>
          <w:ilvl w:val="0"/>
          <w:numId w:val="5"/>
        </w:numPr>
        <w:spacing w:after="40"/>
      </w:pPr>
      <w:r>
        <w:rPr>
          <w:b w:val="0"/>
          <w:i w:val="0"/>
        </w:rPr>
        <w:t>Before this study can open: all six readiness domains complete—approved recipient rules; independent benefit/comparator review; separate donor/advocate clearance; explicit uncertainty/graft-use consent; funded donor follow-up; and an all-screened registry with independently approved safety monitoring.</w:t>
      </w:r>
    </w:p>
    <w:p>
      <w:pPr>
        <w:numPr>
          <w:ilvl w:val="0"/>
          <w:numId w:val="5"/>
        </w:numPr>
        <w:spacing w:after="40"/>
      </w:pPr>
      <w:r>
        <w:rPr>
          <w:b w:val="0"/>
          <w:i w:val="0"/>
        </w:rPr>
        <w:t>Donor availability never lowers iCCA-B1/B2 selection or control requirements. Retain ordinary donor safety criteria and independent withdrawal rights.</w:t>
      </w:r>
    </w:p>
    <w:p>
      <w:pPr>
        <w:numPr>
          <w:ilvl w:val="0"/>
          <w:numId w:val="5"/>
        </w:numPr>
        <w:spacing w:after="40"/>
      </w:pPr>
      <w:r>
        <w:rPr>
          <w:b w:val="0"/>
          <w:i w:val="0"/>
        </w:rPr>
        <w:t>Do not use predicted five-year survival ≥50%, or another unvalidated number, as proof of readiness. Until approvals are complete: screening/registry and study development only, no protocol-directed LT.</w:t>
      </w:r>
    </w:p>
    <w:p>
      <w:pPr>
        <w:spacing w:after="80"/>
      </w:pPr>
      <w:r>
        <w:rPr>
          <w:b/>
          <w:i w:val="0"/>
        </w:rPr>
        <w:t xml:space="preserve">Why: </w:t>
      </w:r>
      <w:r>
        <w:rPr>
          <w:b w:val="0"/>
          <w:i w:val="0"/>
        </w:rPr>
        <w:t>The seven-recipient LDLT experience supports developing a carefully governed study, not announcing a standard indication. A shorter wait may avoid dropout but can also remove the biological observation that selected successful cohorts. Donor availability does not erase recipient uncertainty or non-LT alternatives. Benefit and donor harm require separate analyses and independent consent.</w:t>
      </w:r>
    </w:p>
    <w:p>
      <w:pPr>
        <w:spacing w:after="80"/>
      </w:pPr>
      <w:r>
        <w:rPr>
          <w:b/>
          <w:i w:val="0"/>
        </w:rPr>
        <w:t xml:space="preserve">Against, or uncertain: </w:t>
      </w:r>
      <w:r>
        <w:rPr>
          <w:b w:val="0"/>
          <w:i w:val="0"/>
        </w:rPr>
        <w:t>No randomized advanced-iCCA LDLT-benefit trial or validated minimum five-year survival forecast establishes study readiness. Response-selected non-LT patients may live for years. National mortality is small but nonzero and does not capture all financial, psychological or functional burden. Seven living donors reported alive is not a safety guarantee.</w:t>
      </w:r>
    </w:p>
    <w:p>
      <w:pPr>
        <w:spacing w:after="80"/>
      </w:pPr>
      <w:r>
        <w:rPr>
          <w:b/>
          <w:i w:val="0"/>
        </w:rPr>
        <w:t xml:space="preserve">Certainty: </w:t>
      </w:r>
      <w:r>
        <w:rPr>
          <w:b w:val="0"/>
          <w:i w:val="0"/>
        </w:rPr>
        <w:t>Very low certainty for causal LDLT benefit and the disease-specific donor-risk tradeoff; moderate confidence in broad national donor-mortality estimates, with limited individual transferability.</w:t>
      </w:r>
    </w:p>
    <w:p>
      <w:pPr>
        <w:spacing w:after="80"/>
      </w:pPr>
      <w:r>
        <w:rPr>
          <w:b/>
          <w:i w:val="0"/>
        </w:rPr>
        <w:t xml:space="preserve">Tests and records: </w:t>
      </w:r>
      <w:r>
        <w:rPr>
          <w:b w:val="0"/>
          <w:i w:val="0"/>
        </w:rPr>
        <w:t>Written study, statistical/safety plan, non-LT alternatives including HAI/conversion, donor resources, consent forms and documented independent approvals.</w:t>
      </w:r>
    </w:p>
    <w:p>
      <w:pPr>
        <w:spacing w:after="80"/>
      </w:pPr>
      <w:r>
        <w:rPr>
          <w:b/>
          <w:i w:val="0"/>
        </w:rPr>
        <w:t xml:space="preserve">Allocation: </w:t>
      </w:r>
      <w:r>
        <w:rPr>
          <w:b w:val="0"/>
          <w:i w:val="0"/>
        </w:rPr>
        <w:t>LDLT avoids allocation of that deceased-donor graft but adds healthy-donor risk and potential retransplant demand; it does not itself prove net benefit.</w:t>
      </w:r>
    </w:p>
    <w:p>
      <w:pPr>
        <w:spacing w:after="40"/>
      </w:pPr>
      <w:r>
        <w:rPr>
          <w:b/>
          <w:i w:val="0"/>
        </w:rPr>
        <w:t xml:space="preserve">Basis for the proposed thresholds: </w:t>
      </w:r>
    </w:p>
    <w:p>
      <w:pPr>
        <w:numPr>
          <w:ilvl w:val="0"/>
          <w:numId w:val="5"/>
        </w:numPr>
        <w:spacing w:after="40"/>
      </w:pPr>
      <w:r>
        <w:rPr>
          <w:b w:val="0"/>
          <w:i w:val="0"/>
        </w:rPr>
        <w:t>POLICY: donor independence, informed consent and withdrawal protections remain mandatory. STUDY: seven-recipient LDLT feasibility with wide confidence intervals; no validated minimum survival forecast. LOCAL: assessment of the six readiness domains. Recipient boundaries and safety stopping rules require prospective institutional approval before the first pair.</w:t>
      </w:r>
    </w:p>
    <w:p>
      <w:pPr>
        <w:pStyle w:val="Heading3"/>
        <w:keepNext/>
        <w:spacing w:before="120" w:after="80"/>
      </w:pPr>
      <w:r>
        <w:rPr>
          <w:b w:val="0"/>
          <w:i w:val="0"/>
        </w:rPr>
        <w:t>iCCA-B3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iCCA-B4 — Previously treated nodal or extrahepatic disease</w:t>
      </w:r>
    </w:p>
    <w:p>
      <w:pPr>
        <w:spacing w:after="80"/>
      </w:pPr>
      <w:r>
        <w:rPr>
          <w:b w:val="0"/>
          <w:i w:val="0"/>
          <w:color w:val="5A6069"/>
          <w:sz w:val="18"/>
        </w:rPr>
        <w:t>Closed · not activated · High-risk review</w:t>
      </w:r>
    </w:p>
    <w:p>
      <w:pPr>
        <w:spacing w:after="80"/>
      </w:pPr>
      <w:r>
        <w:rPr>
          <w:b/>
          <w:i w:val="0"/>
        </w:rPr>
        <w:t xml:space="preserve">Question: </w:t>
      </w:r>
      <w:r>
        <w:rPr>
          <w:b w:val="0"/>
          <w:i w:val="0"/>
        </w:rPr>
        <w:t>Should a patient whose iCCA nodal or extrahepatic disease has responded or been resected ever be considered for transplantation?</w:t>
      </w:r>
    </w:p>
    <w:p>
      <w:pPr>
        <w:spacing w:after="80"/>
      </w:pPr>
      <w:r>
        <w:rPr>
          <w:b/>
          <w:i w:val="0"/>
        </w:rPr>
        <w:t xml:space="preserve">When it applies: </w:t>
      </w:r>
      <w:r>
        <w:rPr>
          <w:b w:val="0"/>
          <w:i w:val="0"/>
        </w:rPr>
        <w:t>Use when iCCA has involved regional lymph nodes or any site outside the liver, including disease that later responded to chemotherapy or was resected or irradiated.</w:t>
      </w:r>
    </w:p>
    <w:p>
      <w:pPr>
        <w:spacing w:after="80"/>
      </w:pPr>
      <w:r>
        <w:rPr>
          <w:b/>
          <w:i w:val="0"/>
        </w:rPr>
        <w:t xml:space="preserve">Where it is decided: </w:t>
      </w:r>
      <w:hyperlink r:id="rId36">
        <w:r>
          <w:rPr>
            <w:color w:val="0563C1"/>
            <w:u w:val="single"/>
          </w:rPr>
          <w:t xml:space="preserve">Check clinical selection criteria</w:t>
        </w:r>
      </w:hyperlink>
      <w:r>
        <w:rPr>
          <w:b w:val="0"/>
          <w:i w:val="0"/>
        </w:rPr>
        <w:t xml:space="preserve"> · </w:t>
      </w:r>
      <w:hyperlink r:id="rId40">
        <w:r>
          <w:rPr>
            <w:color w:val="0563C1"/>
            <w:u w:val="single"/>
          </w:rPr>
          <w:t xml:space="preserve">Demonstrate stability</w:t>
        </w:r>
      </w:hyperlink>
    </w:p>
    <w:p>
      <w:pPr>
        <w:spacing w:after="120"/>
      </w:pPr>
      <w:r>
        <w:rPr>
          <w:b/>
          <w:i w:val="0"/>
          <w:sz w:val="18"/>
        </w:rPr>
        <w:t xml:space="preserve">Web page: </w:t>
      </w:r>
      <w:hyperlink r:id="rId4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ILTS–ILCA consensus</w:t>
            </w:r>
          </w:p>
        </w:tc>
        <w:tc>
          <w:tcPr>
            <w:tcW w:type="dxa" w:w="3360"/>
            <w:tcW w:w="3900" w:type="dxa"/>
            <w:shd w:val="clear" w:color="auto" w:fill="F1F5F8"/>
          </w:tcPr>
          <w:p>
            <w:pPr>
              <w:spacing w:after="0"/>
            </w:pPr>
            <w:r>
              <w:rPr>
                <w:b w:val="0"/>
                <w:i w:val="0"/>
                <w:sz w:val="19"/>
              </w:rPr>
              <w:t>2024 ILTS–ILCA Delphi consensus with external review. Cirrhotic, unresectable iCCA ≤3 cm: transplantation may be considered after a period of stability and without extrahepatic metastasis. Non-cirrhotic: only within investigational protocols for unresectable, liver-confined disease after at least six months of stability.</w:t>
            </w:r>
          </w:p>
        </w:tc>
        <w:tc>
          <w:tcPr>
            <w:tcW w:type="dxa" w:w="3360"/>
            <w:tcW w:w="4180" w:type="dxa"/>
            <w:shd w:val="clear" w:color="auto" w:fill="F1F5F8"/>
          </w:tcPr>
          <w:p>
            <w:pPr>
              <w:spacing w:after="0"/>
            </w:pPr>
            <w:r>
              <w:rPr>
                <w:b w:val="0"/>
                <w:i w:val="0"/>
                <w:sz w:val="19"/>
              </w:rPr>
              <w:t>No statement addresses previously treated nodal or extrahepatic disease.</w:t>
            </w:r>
          </w:p>
          <w:p>
            <w:pPr>
              <w:spacing w:after="0"/>
            </w:pPr>
            <w:r>
              <w:rPr>
                <w:b w:val="0"/>
                <w:i/>
                <w:sz w:val="19"/>
              </w:rPr>
              <w:t>Limits: Expert consensus.</w:t>
            </w:r>
          </w:p>
          <w:p>
            <w:pPr>
              <w:spacing w:after="0"/>
            </w:pPr>
            <w:r>
              <w:rPr>
                <w:b w:val="0"/>
                <w:i w:val="0"/>
                <w:color w:val="5A6069"/>
                <w:sz w:val="18"/>
              </w:rPr>
              <w:t>Liver Transpl 2025 and Liver Cancer 2026 (PMC13271748); iCCA statements.</w:t>
            </w:r>
          </w:p>
        </w:tc>
      </w:tr>
      <w:tr>
        <w:trPr>
          <w:cantSplit/>
        </w:trPr>
        <w:tc>
          <w:tcPr>
            <w:tcW w:type="dxa" w:w="3360"/>
            <w:tcW w:w="2000" w:type="dxa"/>
            <w:shd w:val="clear" w:color="auto" w:fill="FFFFFF"/>
          </w:tcPr>
          <w:p>
            <w:pPr>
              <w:spacing w:after="0"/>
            </w:pPr>
            <w:r>
              <w:rPr>
                <w:b/>
                <w:i w:val="0"/>
                <w:sz w:val="19"/>
              </w:rPr>
              <w:t>McMillan 2022 · Houston update</w:t>
            </w:r>
          </w:p>
        </w:tc>
        <w:tc>
          <w:tcPr>
            <w:tcW w:type="dxa" w:w="3360"/>
            <w:tcW w:w="3900" w:type="dxa"/>
            <w:shd w:val="clear" w:color="auto" w:fill="FFFFFF"/>
          </w:tcPr>
          <w:p>
            <w:pPr>
              <w:spacing w:after="0"/>
            </w:pPr>
            <w:r>
              <w:rPr>
                <w:b w:val="0"/>
                <w:i w:val="0"/>
                <w:sz w:val="19"/>
              </w:rPr>
              <w:t>Houston prospective neoadjuvant program for locally advanced unresectable iCCA; 32 listed, 18 transplanted. Six-month gemcitabine-based induction with stability and no extrahepatic disease; extrahepatic progression prompted delisting.</w:t>
            </w:r>
          </w:p>
        </w:tc>
        <w:tc>
          <w:tcPr>
            <w:tcW w:type="dxa" w:w="3360"/>
            <w:tcW w:w="4180" w:type="dxa"/>
            <w:shd w:val="clear" w:color="auto" w:fill="FFFFFF"/>
          </w:tcPr>
          <w:p>
            <w:pPr>
              <w:spacing w:after="0"/>
            </w:pPr>
            <w:r>
              <w:rPr>
                <w:b w:val="0"/>
                <w:i w:val="0"/>
                <w:sz w:val="19"/>
              </w:rPr>
              <w:t>Five-year overall survival 57% from listing among recipients (49% for all 32 listed); one explant had carcinoma in 4 of 7 hilar nodes; two early recurrences arose from indeterminate pre-transplant lesions.</w:t>
            </w:r>
          </w:p>
          <w:p>
            <w:pPr>
              <w:spacing w:after="0"/>
            </w:pPr>
            <w:r>
              <w:rPr>
                <w:b w:val="0"/>
                <w:i/>
                <w:sz w:val="19"/>
              </w:rPr>
              <w:t>Limits: Single program; previous nodal or extrahepatic disease was not studied.</w:t>
            </w:r>
          </w:p>
          <w:p>
            <w:pPr>
              <w:spacing w:after="0"/>
            </w:pPr>
            <w:r>
              <w:rPr>
                <w:b w:val="0"/>
                <w:i w:val="0"/>
                <w:color w:val="5A6069"/>
                <w:sz w:val="18"/>
              </w:rPr>
              <w:t>Am J Transplant 2022; Sections 2.1–2.2 and 3.4–3.5 (full text).</w:t>
            </w:r>
          </w:p>
        </w:tc>
      </w:tr>
      <w:tr>
        <w:trPr>
          <w:cantSplit/>
        </w:trPr>
        <w:tc>
          <w:tcPr>
            <w:tcW w:type="dxa" w:w="3360"/>
            <w:tcW w:w="2000" w:type="dxa"/>
            <w:shd w:val="clear" w:color="auto" w:fill="F1F5F8"/>
          </w:tcPr>
          <w:p>
            <w:pPr>
              <w:spacing w:after="0"/>
            </w:pPr>
            <w:r>
              <w:rPr>
                <w:b/>
                <w:i w:val="0"/>
                <w:sz w:val="19"/>
              </w:rPr>
              <w:t>Maspero 2024 · Milan SYS-TARE</w:t>
            </w:r>
          </w:p>
        </w:tc>
        <w:tc>
          <w:tcPr>
            <w:tcW w:type="dxa" w:w="3360"/>
            <w:tcW w:w="3900" w:type="dxa"/>
            <w:shd w:val="clear" w:color="auto" w:fill="F1F5F8"/>
          </w:tcPr>
          <w:p>
            <w:pPr>
              <w:spacing w:after="0"/>
            </w:pPr>
            <w:r>
              <w:rPr>
                <w:b w:val="0"/>
                <w:i w:val="0"/>
                <w:sz w:val="19"/>
              </w:rPr>
              <w:t>Prospective intention-to-treat protocol (Milan): 13 patients with unresectable iCCA treated with chemotherapy and radioembolization. Inclusion: no lymphatic or extrahepatic spread. Exclusion: prior resected extrahepatic tumour spread. Surgical sampling of stations 8 and 12 before listing; extrahepatic progression or positive nodal sampling ended the protocol.</w:t>
            </w:r>
          </w:p>
        </w:tc>
        <w:tc>
          <w:tcPr>
            <w:tcW w:type="dxa" w:w="3360"/>
            <w:tcW w:w="4180" w:type="dxa"/>
            <w:shd w:val="clear" w:color="auto" w:fill="F1F5F8"/>
          </w:tcPr>
          <w:p>
            <w:pPr>
              <w:spacing w:after="0"/>
            </w:pPr>
            <w:r>
              <w:rPr>
                <w:b w:val="0"/>
                <w:i w:val="0"/>
                <w:sz w:val="19"/>
              </w:rPr>
              <w:t>Nine of 13 dropped out (3 progression, 4 extrahepatic disease, 2 positive nodes at pre-listing exploration); all four transplanted patients were alive and disease-free at 8–73 months.</w:t>
            </w:r>
          </w:p>
          <w:p>
            <w:pPr>
              <w:spacing w:after="0"/>
            </w:pPr>
            <w:r>
              <w:rPr>
                <w:b w:val="0"/>
                <w:i/>
                <w:sz w:val="19"/>
              </w:rPr>
              <w:t>Limits: Small single-centre series.</w:t>
            </w:r>
          </w:p>
          <w:p>
            <w:pPr>
              <w:spacing w:after="0"/>
            </w:pPr>
            <w:r>
              <w:rPr>
                <w:b w:val="0"/>
                <w:i w:val="0"/>
                <w:color w:val="5A6069"/>
                <w:sz w:val="18"/>
              </w:rPr>
              <w:t>Transpl Int 2024; Methods (criteria) and Results.</w:t>
            </w:r>
          </w:p>
        </w:tc>
      </w:tr>
      <w:tr>
        <w:trPr>
          <w:cantSplit/>
        </w:trPr>
        <w:tc>
          <w:tcPr>
            <w:tcW w:type="dxa" w:w="3360"/>
            <w:tcW w:w="2000" w:type="dxa"/>
            <w:shd w:val="clear" w:color="auto" w:fill="FFFFFF"/>
          </w:tcPr>
          <w:p>
            <w:pPr>
              <w:spacing w:after="0"/>
            </w:pPr>
            <w:r>
              <w:rPr>
                <w:b/>
                <w:i w:val="0"/>
                <w:sz w:val="19"/>
              </w:rPr>
              <w:t>Giguet 2026</w:t>
            </w:r>
          </w:p>
        </w:tc>
        <w:tc>
          <w:tcPr>
            <w:tcW w:type="dxa" w:w="3360"/>
            <w:tcW w:w="3900" w:type="dxa"/>
            <w:shd w:val="clear" w:color="auto" w:fill="FFFFFF"/>
          </w:tcPr>
          <w:p>
            <w:pPr>
              <w:spacing w:after="0"/>
            </w:pPr>
            <w:r>
              <w:rPr>
                <w:b w:val="0"/>
                <w:i w:val="0"/>
                <w:sz w:val="19"/>
              </w:rPr>
              <w:t>Retrospective Rennes series after neoadjuvant chemotherapy and SIRT; six transplanted. Laparoscopic sampling of station 8 (common hepatic artery) and station 12 (hepatoduodenal ligament) nodes before listing; diffuse multifocal disease, macrovascular invasion and extrahepatic disease excluded.</w:t>
            </w:r>
          </w:p>
        </w:tc>
        <w:tc>
          <w:tcPr>
            <w:tcW w:type="dxa" w:w="3360"/>
            <w:tcW w:w="4180" w:type="dxa"/>
            <w:shd w:val="clear" w:color="auto" w:fill="FFFFFF"/>
          </w:tcPr>
          <w:p>
            <w:pPr>
              <w:spacing w:after="0"/>
            </w:pPr>
            <w:r>
              <w:rPr>
                <w:b w:val="0"/>
                <w:i w:val="0"/>
                <w:sz w:val="19"/>
              </w:rPr>
              <w:t>Five-year overall survival 100% and progression-free survival 44.4% after transplantation; three of six recurred.</w:t>
            </w:r>
          </w:p>
          <w:p>
            <w:pPr>
              <w:spacing w:after="0"/>
            </w:pPr>
            <w:r>
              <w:rPr>
                <w:b w:val="0"/>
                <w:i/>
                <w:sz w:val="19"/>
              </w:rPr>
              <w:t>Limits: Six recipients; retrospective.</w:t>
            </w:r>
          </w:p>
          <w:p>
            <w:pPr>
              <w:spacing w:after="0"/>
            </w:pPr>
            <w:r>
              <w:rPr>
                <w:b w:val="0"/>
                <w:i w:val="0"/>
                <w:color w:val="5A6069"/>
                <w:sz w:val="18"/>
              </w:rPr>
              <w:t>JHEP Rep 2026; Methods.</w:t>
            </w:r>
          </w:p>
        </w:tc>
      </w:tr>
      <w:tr>
        <w:trPr>
          <w:cantSplit/>
        </w:trPr>
        <w:tc>
          <w:tcPr>
            <w:tcW w:type="dxa" w:w="3360"/>
            <w:tcW w:w="2000" w:type="dxa"/>
            <w:shd w:val="clear" w:color="auto" w:fill="F1F5F8"/>
          </w:tcPr>
          <w:p>
            <w:pPr>
              <w:spacing w:after="0"/>
            </w:pPr>
            <w:r>
              <w:rPr>
                <w:b/>
                <w:i w:val="0"/>
                <w:sz w:val="19"/>
              </w:rPr>
              <w:t>Malikowski 2020 · EUS nodal staging</w:t>
            </w:r>
          </w:p>
        </w:tc>
        <w:tc>
          <w:tcPr>
            <w:tcW w:type="dxa" w:w="3360"/>
            <w:tcW w:w="3900" w:type="dxa"/>
            <w:shd w:val="clear" w:color="auto" w:fill="F1F5F8"/>
          </w:tcPr>
          <w:p>
            <w:pPr>
              <w:spacing w:after="0"/>
            </w:pPr>
            <w:r>
              <w:rPr>
                <w:b w:val="0"/>
                <w:i w:val="0"/>
                <w:sz w:val="19"/>
              </w:rPr>
              <w:t>Single-centre EUS staging cohort: 157 cholangiocarcinoma patients (24 intrahepatic). Consecutive EUS staging; malignant regional nodes preclude resection or transplantation at this centre.</w:t>
            </w:r>
          </w:p>
        </w:tc>
        <w:tc>
          <w:tcPr>
            <w:tcW w:type="dxa" w:w="3360"/>
            <w:tcW w:w="4180" w:type="dxa"/>
            <w:shd w:val="clear" w:color="auto" w:fill="F1F5F8"/>
          </w:tcPr>
          <w:p>
            <w:pPr>
              <w:spacing w:after="0"/>
            </w:pPr>
            <w:r>
              <w:rPr>
                <w:b w:val="0"/>
                <w:i w:val="0"/>
                <w:sz w:val="19"/>
              </w:rPr>
              <w:t>EUS identified regional nodes more often than cross-sectional imaging (iCCA 83% versus 50%); malignant nodes in 4 of 24 with iCCA; a malignant node was associated with death (HR 4.1).</w:t>
            </w:r>
          </w:p>
          <w:p>
            <w:pPr>
              <w:spacing w:after="0"/>
            </w:pPr>
            <w:r>
              <w:rPr>
                <w:b w:val="0"/>
                <w:i/>
                <w:sz w:val="19"/>
              </w:rPr>
              <w:t>Limits: Single centre; mostly perihilar disease.</w:t>
            </w:r>
          </w:p>
          <w:p>
            <w:pPr>
              <w:spacing w:after="0"/>
            </w:pPr>
            <w:r>
              <w:rPr>
                <w:b w:val="0"/>
                <w:i w:val="0"/>
                <w:color w:val="5A6069"/>
                <w:sz w:val="18"/>
              </w:rPr>
              <w:t>Hepatology 2020; abstract.</w:t>
            </w:r>
          </w:p>
        </w:tc>
      </w:tr>
      <w:tr>
        <w:trPr>
          <w:cantSplit/>
        </w:trPr>
        <w:tc>
          <w:tcPr>
            <w:tcW w:type="dxa" w:w="3360"/>
            <w:tcW w:w="2000" w:type="dxa"/>
            <w:shd w:val="clear" w:color="auto" w:fill="FFFFFF"/>
          </w:tcPr>
          <w:p>
            <w:pPr>
              <w:spacing w:after="0"/>
            </w:pPr>
            <w:r>
              <w:rPr>
                <w:b/>
                <w:i w:val="0"/>
                <w:sz w:val="19"/>
              </w:rPr>
              <w:t>Wong 2019 · downstaging pilot</w:t>
            </w:r>
          </w:p>
        </w:tc>
        <w:tc>
          <w:tcPr>
            <w:tcW w:type="dxa" w:w="3360"/>
            <w:tcW w:w="3900" w:type="dxa"/>
            <w:shd w:val="clear" w:color="auto" w:fill="FFFFFF"/>
          </w:tcPr>
          <w:p>
            <w:pPr>
              <w:spacing w:after="0"/>
            </w:pPr>
            <w:r>
              <w:rPr>
                <w:b w:val="0"/>
                <w:i w:val="0"/>
                <w:sz w:val="19"/>
              </w:rPr>
              <w:t>Prospective pilot of neoadjuvant therapy before transplantation for locally advanced hilar and intrahepatic cholangiocarcinoma; 18 started treatment. Hilar ≤3.5 cm or intrahepatic ≤8 cm; regional lymphadenopathy allowed, distant metastasis excluded.</w:t>
            </w:r>
          </w:p>
        </w:tc>
        <w:tc>
          <w:tcPr>
            <w:tcW w:type="dxa" w:w="3360"/>
            <w:tcW w:w="4180" w:type="dxa"/>
            <w:shd w:val="clear" w:color="auto" w:fill="FFFFFF"/>
          </w:tcPr>
          <w:p>
            <w:pPr>
              <w:spacing w:after="0"/>
            </w:pPr>
            <w:r>
              <w:rPr>
                <w:b w:val="0"/>
                <w:i w:val="0"/>
                <w:sz w:val="19"/>
              </w:rPr>
              <w:t>Eleven of 18 dropped out; five transplanted, three recurrence-free at 14.5–29.2 months, one isolated portacaval nodal recurrence at 12 months; all dropouts died (median 14.4 months from diagnosis).</w:t>
            </w:r>
          </w:p>
          <w:p>
            <w:pPr>
              <w:spacing w:after="0"/>
            </w:pPr>
            <w:r>
              <w:rPr>
                <w:b w:val="0"/>
                <w:i/>
                <w:sz w:val="19"/>
              </w:rPr>
              <w:t>Limits: Mixed tumour types and tiny numbers; nodal pathology not reported in the abstract.</w:t>
            </w:r>
          </w:p>
          <w:p>
            <w:pPr>
              <w:spacing w:after="0"/>
            </w:pPr>
            <w:r>
              <w:rPr>
                <w:b w:val="0"/>
                <w:i w:val="0"/>
                <w:color w:val="5A6069"/>
                <w:sz w:val="18"/>
              </w:rPr>
              <w:t>J Surg Res 2019; abstract.</w:t>
            </w:r>
          </w:p>
        </w:tc>
      </w:tr>
      <w:tr>
        <w:trPr>
          <w:cantSplit/>
        </w:trPr>
        <w:tc>
          <w:tcPr>
            <w:tcW w:type="dxa" w:w="3360"/>
            <w:tcW w:w="2000" w:type="dxa"/>
            <w:shd w:val="clear" w:color="auto" w:fill="F1F5F8"/>
          </w:tcPr>
          <w:p>
            <w:pPr>
              <w:spacing w:after="0"/>
            </w:pPr>
            <w:r>
              <w:rPr>
                <w:b/>
                <w:i w:val="0"/>
                <w:sz w:val="19"/>
              </w:rPr>
              <w:t>NLRB oncology guidance</w:t>
            </w:r>
          </w:p>
        </w:tc>
        <w:tc>
          <w:tcPr>
            <w:tcW w:type="dxa" w:w="3360"/>
            <w:tcW w:w="3900" w:type="dxa"/>
            <w:shd w:val="clear" w:color="auto" w:fill="F1F5F8"/>
          </w:tcPr>
          <w:p>
            <w:pPr>
              <w:spacing w:after="0"/>
            </w:pPr>
            <w:r>
              <w:rPr>
                <w:b w:val="0"/>
                <w:i w:val="0"/>
                <w:sz w:val="19"/>
              </w:rPr>
              <w:t>Official OPTN/NLRB guidance: Adult MELD Exceptions for Transplant Oncology. Small-cirrhotic iCCA: six months of stability with no new lesions or extrahepatic disease before applying; no extrahepatic disease before extending the exception.</w:t>
            </w:r>
          </w:p>
        </w:tc>
        <w:tc>
          <w:tcPr>
            <w:tcW w:type="dxa" w:w="3360"/>
            <w:tcW w:w="4180" w:type="dxa"/>
            <w:shd w:val="clear" w:color="auto" w:fill="F1F5F8"/>
          </w:tcPr>
          <w:p>
            <w:pPr>
              <w:spacing w:after="0"/>
            </w:pPr>
            <w:r>
              <w:rPr>
                <w:b w:val="0"/>
                <w:i w:val="0"/>
                <w:sz w:val="19"/>
              </w:rPr>
              <w:t>Allocation guidance; no outcome data.</w:t>
            </w:r>
          </w:p>
          <w:p>
            <w:pPr>
              <w:spacing w:after="0"/>
            </w:pPr>
            <w:r>
              <w:rPr>
                <w:b w:val="0"/>
                <w:i/>
                <w:sz w:val="19"/>
              </w:rPr>
              <w:t>Limits: Applies to the small-cirrhotic route only.</w:t>
            </w:r>
          </w:p>
          <w:p>
            <w:pPr>
              <w:spacing w:after="0"/>
            </w:pPr>
            <w:r>
              <w:rPr>
                <w:b w:val="0"/>
                <w:i w:val="0"/>
                <w:color w:val="5A6069"/>
                <w:sz w:val="18"/>
              </w:rPr>
              <w:t>Official PDF, iCCA section.</w:t>
            </w:r>
          </w:p>
        </w:tc>
      </w:tr>
      <w:tr>
        <w:trPr>
          <w:cantSplit/>
        </w:trPr>
        <w:tc>
          <w:tcPr>
            <w:tcW w:type="dxa" w:w="3360"/>
            <w:tcW w:w="2000" w:type="dxa"/>
            <w:shd w:val="clear" w:color="auto" w:fill="FFFFFF"/>
          </w:tcPr>
          <w:p>
            <w:pPr>
              <w:spacing w:after="0"/>
            </w:pPr>
            <w:r>
              <w:rPr>
                <w:b/>
                <w:i w:val="0"/>
                <w:sz w:val="19"/>
              </w:rPr>
              <w:t>Lunsford 2018 · Houston</w:t>
            </w:r>
          </w:p>
        </w:tc>
        <w:tc>
          <w:tcPr>
            <w:tcW w:type="dxa" w:w="3360"/>
            <w:tcW w:w="3900" w:type="dxa"/>
            <w:shd w:val="clear" w:color="auto" w:fill="FFFFFF"/>
          </w:tcPr>
          <w:p>
            <w:pPr>
              <w:spacing w:after="0"/>
            </w:pPr>
            <w:r>
              <w:rPr>
                <w:b w:val="0"/>
                <w:i w:val="0"/>
                <w:sz w:val="19"/>
              </w:rPr>
              <w:t>Houston prospective protocol; 21 referred, 6 transplanted. Excluded extrahepatic metastases and lymph-node involvement; suspicious regional nodes biopsied by EUS before treatment.</w:t>
            </w:r>
          </w:p>
        </w:tc>
        <w:tc>
          <w:tcPr>
            <w:tcW w:type="dxa" w:w="3360"/>
            <w:tcW w:w="4180" w:type="dxa"/>
            <w:shd w:val="clear" w:color="auto" w:fill="FFFFFF"/>
          </w:tcPr>
          <w:p>
            <w:pPr>
              <w:spacing w:after="0"/>
            </w:pPr>
            <w:r>
              <w:rPr>
                <w:b w:val="0"/>
                <w:i w:val="0"/>
                <w:sz w:val="19"/>
              </w:rPr>
              <w:t>One recipient with unbiopsied, PET-negative periportal nodes that regressed (node-negative on explant) recurred in the peritoneum at 9.7 months, attributed by the authors to perihilar-fat invasion with a positive margin; in 2 of 6, “stable” extrahepatic lesions proved metastatic after transplantation.</w:t>
            </w:r>
          </w:p>
          <w:p>
            <w:pPr>
              <w:spacing w:after="0"/>
            </w:pPr>
            <w:r>
              <w:rPr>
                <w:b w:val="0"/>
                <w:i/>
                <w:sz w:val="19"/>
              </w:rPr>
              <w:t>Limits: Six recipients; interim report.</w:t>
            </w:r>
          </w:p>
          <w:p>
            <w:pPr>
              <w:spacing w:after="0"/>
            </w:pPr>
            <w:r>
              <w:rPr>
                <w:b w:val="0"/>
                <w:i w:val="0"/>
                <w:color w:val="5A6069"/>
                <w:sz w:val="18"/>
              </w:rPr>
              <w:t>Lancet Gastroenterol Hepatol 2018; Methods, Table 2 (full text).</w:t>
            </w:r>
          </w:p>
        </w:tc>
      </w:tr>
      <w:tr>
        <w:trPr>
          <w:cantSplit/>
        </w:trPr>
        <w:tc>
          <w:tcPr>
            <w:tcW w:type="dxa" w:w="3360"/>
            <w:tcW w:w="2000" w:type="dxa"/>
            <w:shd w:val="clear" w:color="auto" w:fill="F1F5F8"/>
          </w:tcPr>
          <w:p>
            <w:pPr>
              <w:spacing w:after="0"/>
            </w:pPr>
            <w:r>
              <w:rPr>
                <w:b/>
                <w:i w:val="0"/>
                <w:sz w:val="19"/>
              </w:rPr>
              <w:t>Sethi 2026 · iCCA LDLT</w:t>
            </w:r>
          </w:p>
        </w:tc>
        <w:tc>
          <w:tcPr>
            <w:tcW w:type="dxa" w:w="3360"/>
            <w:tcW w:w="3900" w:type="dxa"/>
            <w:shd w:val="clear" w:color="auto" w:fill="F1F5F8"/>
          </w:tcPr>
          <w:p>
            <w:pPr>
              <w:spacing w:after="0"/>
            </w:pPr>
            <w:r>
              <w:rPr>
                <w:b w:val="0"/>
                <w:i w:val="0"/>
                <w:sz w:val="19"/>
              </w:rPr>
              <w:t>UPMC living-donor series, 7 recipients. Unresectable, liver-confined iCCA; nodes biopsied at the combined donor–recipient laparotomy.</w:t>
            </w:r>
          </w:p>
        </w:tc>
        <w:tc>
          <w:tcPr>
            <w:tcW w:type="dxa" w:w="3360"/>
            <w:tcW w:w="4180" w:type="dxa"/>
            <w:shd w:val="clear" w:color="auto" w:fill="F1F5F8"/>
          </w:tcPr>
          <w:p>
            <w:pPr>
              <w:spacing w:after="0"/>
            </w:pPr>
            <w:r>
              <w:rPr>
                <w:b w:val="0"/>
                <w:i w:val="0"/>
                <w:sz w:val="19"/>
              </w:rPr>
              <w:t>2 of 6 explants with viable tumour were node-positive although the protocol included nodal biopsy at the same laparotomy; one died at about 7 months, the other was disease-free at 2.4 years; a sub-PET-threshold lung nodule became a metastasis.</w:t>
            </w:r>
          </w:p>
          <w:p>
            <w:pPr>
              <w:spacing w:after="0"/>
            </w:pPr>
            <w:r>
              <w:rPr>
                <w:b w:val="0"/>
                <w:i/>
                <w:sz w:val="19"/>
              </w:rPr>
              <w:t>Limits: Seven patients.</w:t>
            </w:r>
          </w:p>
          <w:p>
            <w:pPr>
              <w:spacing w:after="0"/>
            </w:pPr>
            <w:r>
              <w:rPr>
                <w:b w:val="0"/>
                <w:i w:val="0"/>
                <w:color w:val="5A6069"/>
                <w:sz w:val="18"/>
              </w:rPr>
              <w:t>Am J Transplant 2026; Results, Table 2 (full text).</w:t>
            </w:r>
          </w:p>
        </w:tc>
      </w:tr>
      <w:tr>
        <w:trPr>
          <w:cantSplit/>
        </w:trPr>
        <w:tc>
          <w:tcPr>
            <w:tcW w:type="dxa" w:w="3360"/>
            <w:tcW w:w="2000" w:type="dxa"/>
            <w:shd w:val="clear" w:color="auto" w:fill="FFFFFF"/>
          </w:tcPr>
          <w:p>
            <w:pPr>
              <w:spacing w:after="0"/>
            </w:pPr>
            <w:r>
              <w:rPr>
                <w:b/>
                <w:i w:val="0"/>
                <w:sz w:val="19"/>
              </w:rPr>
              <w:t>Campbell 2026 · biliary cancer LT, single centre</w:t>
            </w:r>
          </w:p>
        </w:tc>
        <w:tc>
          <w:tcPr>
            <w:tcW w:type="dxa" w:w="3360"/>
            <w:tcW w:w="3900" w:type="dxa"/>
            <w:shd w:val="clear" w:color="auto" w:fill="FFFFFF"/>
          </w:tcPr>
          <w:p>
            <w:pPr>
              <w:spacing w:after="0"/>
            </w:pPr>
            <w:r>
              <w:rPr>
                <w:b w:val="0"/>
                <w:i w:val="0"/>
                <w:sz w:val="19"/>
              </w:rPr>
              <w:t>Single-centre series, 98 transplants for biliary cancers. Explant nodal status.</w:t>
            </w:r>
          </w:p>
        </w:tc>
        <w:tc>
          <w:tcPr>
            <w:tcW w:type="dxa" w:w="3360"/>
            <w:tcW w:w="4180" w:type="dxa"/>
            <w:shd w:val="clear" w:color="auto" w:fill="FFFFFF"/>
          </w:tcPr>
          <w:p>
            <w:pPr>
              <w:spacing w:after="0"/>
            </w:pPr>
            <w:r>
              <w:rPr>
                <w:b w:val="0"/>
                <w:i w:val="0"/>
                <w:sz w:val="19"/>
              </w:rPr>
              <w:t>Node positivity predicted recurrence (HR 3.27, 1.32–8.10) but not overall survival (p=0.14); in the intentional pCCA/iCCA subset (n=53) the recurrence HR was 2.48 and not significant (p=0.17).</w:t>
            </w:r>
          </w:p>
          <w:p>
            <w:pPr>
              <w:spacing w:after="0"/>
            </w:pPr>
            <w:r>
              <w:rPr>
                <w:b w:val="0"/>
                <w:i/>
                <w:sz w:val="19"/>
              </w:rPr>
              <w:t>Limits: Mixed subtypes; nodes found on explant, not before transplantation.</w:t>
            </w:r>
          </w:p>
          <w:p>
            <w:pPr>
              <w:spacing w:after="0"/>
            </w:pPr>
            <w:r>
              <w:rPr>
                <w:b w:val="0"/>
                <w:i w:val="0"/>
                <w:color w:val="5A6069"/>
                <w:sz w:val="18"/>
              </w:rPr>
              <w:t>Ann Surg Oncol 2026 (full text).</w:t>
            </w:r>
          </w:p>
        </w:tc>
      </w:tr>
    </w:tbl>
    <w:p>
      <w:pPr>
        <w:spacing w:after="40"/>
      </w:pPr>
    </w:p>
    <w:p>
      <w:pPr>
        <w:pStyle w:val="Heading3"/>
        <w:keepNext/>
        <w:spacing w:before="120" w:after="80"/>
      </w:pPr>
      <w:r>
        <w:rPr>
          <w:b w:val="0"/>
          <w:i w:val="0"/>
        </w:rPr>
        <w:t>Our proposed selection (OPEN)</w:t>
      </w:r>
    </w:p>
    <w:p>
      <w:pPr>
        <w:spacing w:after="80"/>
      </w:pPr>
      <w:r>
        <w:rPr>
          <w:b w:val="0"/>
          <w:i w:val="0"/>
        </w:rPr>
        <w:t>Keep closed. Proven malignant nodes or extrahepatic disease, current or previously treated, exclude the small-cirrhotic route and the advanced-iCCA study. Confirm node-negative status pathologically before listing.</w:t>
      </w:r>
    </w:p>
    <w:p>
      <w:pPr>
        <w:numPr>
          <w:ilvl w:val="0"/>
          <w:numId w:val="5"/>
        </w:numPr>
        <w:spacing w:after="40"/>
      </w:pPr>
      <w:r>
        <w:rPr>
          <w:b w:val="0"/>
          <w:i w:val="0"/>
        </w:rPr>
        <w:t>Previously proven malignant regional nodes, even after radiological or pathological response, and any previous distant metastasis (peritoneum, lung, bone, distant nodes) are outside the initial iCCA routes. Resection of an extrahepatic site does not clear this history.</w:t>
      </w:r>
    </w:p>
    <w:p>
      <w:pPr>
        <w:numPr>
          <w:ilvl w:val="0"/>
          <w:numId w:val="5"/>
        </w:numPr>
        <w:spacing w:after="40"/>
      </w:pPr>
      <w:r>
        <w:rPr>
          <w:b w:val="0"/>
          <w:i w:val="0"/>
        </w:rPr>
        <w:t>Suspicious or indeterminate nodes are HOLD until resolved pathologically; an imaging response is not nodal clearance.</w:t>
      </w:r>
    </w:p>
    <w:p>
      <w:pPr>
        <w:numPr>
          <w:ilvl w:val="0"/>
          <w:numId w:val="5"/>
        </w:numPr>
        <w:spacing w:after="40"/>
      </w:pPr>
      <w:r>
        <w:rPr>
          <w:b w:val="0"/>
          <w:i w:val="0"/>
        </w:rPr>
        <w:t>Proposed for the advanced-iCCA study: before listing, sample any suspicious node (EUS-FNA or surgical) and sample the common hepatic artery (station 8) and hepatoduodenal ligament (station 12) nodes surgically; for living donation complete this before listing, not only at the combined donor–recipient laparotomy. A positive result ends the transplant route. Perform regional lymphadenectomy at transplantation.</w:t>
      </w:r>
    </w:p>
    <w:p>
      <w:pPr>
        <w:numPr>
          <w:ilvl w:val="0"/>
          <w:numId w:val="5"/>
        </w:numPr>
        <w:spacing w:after="40"/>
      </w:pPr>
      <w:r>
        <w:rPr>
          <w:b w:val="0"/>
          <w:i w:val="0"/>
        </w:rPr>
        <w:t>Indeterminate extrahepatic lesions (subcentimetre lung nodules, bone lesions) need biopsy or interval imaging before listing; “stable on chemotherapy” is not clearance.</w:t>
      </w:r>
    </w:p>
    <w:p>
      <w:pPr>
        <w:numPr>
          <w:ilvl w:val="0"/>
          <w:numId w:val="5"/>
        </w:numPr>
        <w:spacing w:after="40"/>
      </w:pPr>
      <w:r>
        <w:rPr>
          <w:b w:val="0"/>
          <w:i w:val="0"/>
        </w:rPr>
        <w:t>Previously node-positive disease that has cleared is a separate future research question; do not combine it with multifocal, G3 or living-donor expansions.</w:t>
      </w:r>
    </w:p>
    <w:p>
      <w:pPr>
        <w:spacing w:after="80"/>
      </w:pPr>
      <w:r>
        <w:rPr>
          <w:b/>
          <w:i w:val="0"/>
        </w:rPr>
        <w:t xml:space="preserve">Why: </w:t>
      </w:r>
      <w:r>
        <w:rPr>
          <w:b w:val="0"/>
          <w:i w:val="0"/>
        </w:rPr>
        <w:t>Published transplant programs for iCCA require liver-limited disease. ILTS–ILCA limits transplantation to cirrhotic tumours ≤3 cm without extrahepatic metastasis, or to unresectable, liver-confined disease within investigational protocols in non-cirrhotic livers; the Houston program delisted patients for extrahepatic progression. The Milan protocol explicitly excludes previously resected extrahepatic tumour spread. Programs that stage nodes surgically before listing remove node-positive patients: in Milan, 2 of 13 were node-positive at pre-listing exploration and 4 developed extrahepatic disease, while all four transplanted patients were disease-free at 8–73 months; Rennes sampled stations 8 and 12 laparoscopically before listing. Malignant regional nodes found by EUS were associated with death (HR 4.1) across cholangiocarcinoma subtypes. In the published series, early recurrences came from disease that staging missed or tolerated: the one Houston recipient with imaging-only periportal nodes (unbiopsied, PET-negative, regressed; node-negative on explant) recurred in the peritoneum at 9.7 months, which the authors attributed to perihilar-fat invasion with a positive margin; “stable” extrahepatic lesions on chemotherapy proved metastatic in 2 of 6 Houston recipients, one later explant had carcinoma in 4 of 7 hilar nodes, and in a living-donor series 2 of 6 explants with viable tumour were node-positive although the protocol included nodal biopsy at the combined laparotomy.</w:t>
      </w:r>
    </w:p>
    <w:p>
      <w:pPr>
        <w:spacing w:after="80"/>
      </w:pPr>
      <w:r>
        <w:rPr>
          <w:b/>
          <w:i w:val="0"/>
        </w:rPr>
        <w:t xml:space="preserve">Against, or uncertain: </w:t>
      </w:r>
      <w:r>
        <w:rPr>
          <w:b w:val="0"/>
          <w:i w:val="0"/>
        </w:rPr>
        <w:t>One prospective pilot admitted regional lymphadenopathy in locally advanced hilar and intrahepatic cholangiocarcinoma: 5 of 18 reached transplantation, three were recurrence-free at 14.5–29.2 months and one had an isolated portacaval nodal recurrence at 12 months. It combined tumour types and did not require nodes to be proven malignant, so it cannot establish a cleared-node pathway, but it shows that a small subset can reach transplantation.</w:t>
      </w:r>
    </w:p>
    <w:p>
      <w:pPr>
        <w:spacing w:after="80"/>
      </w:pPr>
      <w:r>
        <w:rPr>
          <w:b/>
          <w:i w:val="0"/>
        </w:rPr>
        <w:t xml:space="preserve">Certainty: </w:t>
      </w:r>
      <w:r>
        <w:rPr>
          <w:b w:val="0"/>
          <w:i w:val="0"/>
        </w:rPr>
        <w:t>Low that liver-confined disease after sustained response selects better recipients; very low for transplantation after previously malignant nodes; no evidence for previously treated distant disease.</w:t>
      </w:r>
    </w:p>
    <w:p>
      <w:pPr>
        <w:spacing w:after="80"/>
      </w:pPr>
      <w:r>
        <w:rPr>
          <w:b/>
          <w:i w:val="0"/>
        </w:rPr>
        <w:t xml:space="preserve">Tests and records: </w:t>
      </w:r>
      <w:r>
        <w:rPr>
          <w:b w:val="0"/>
          <w:i w:val="0"/>
        </w:rPr>
        <w:t>Original and current nodal imaging with a station map; nodal pathology (EUS-FNA, operative sampling) with dates; chest CT and PET or whole-body staging; CA19-9 series; pre-listing operative staging report.</w:t>
      </w:r>
    </w:p>
    <w:p>
      <w:pPr>
        <w:spacing w:after="80"/>
      </w:pPr>
      <w:r>
        <w:rPr>
          <w:b/>
          <w:i w:val="0"/>
        </w:rPr>
        <w:t xml:space="preserve">Allocation: </w:t>
      </w:r>
      <w:r>
        <w:rPr>
          <w:b w:val="0"/>
          <w:i w:val="0"/>
        </w:rPr>
        <w:t>NLRB small-cirrhotic iCCA guidance requires no extrahepatic disease before the initial request and before each extension. Advanced iCCA has no standardized exception; any route would be an approved study, often with a living donor, and previous nodal or extrahepatic disease is not proposed for either.</w:t>
      </w:r>
    </w:p>
    <w:p>
      <w:pPr>
        <w:spacing w:after="40"/>
      </w:pPr>
      <w:r>
        <w:rPr>
          <w:b/>
          <w:i w:val="0"/>
        </w:rPr>
        <w:t xml:space="preserve">Basis for the proposed thresholds: </w:t>
      </w:r>
    </w:p>
    <w:p>
      <w:pPr>
        <w:numPr>
          <w:ilvl w:val="0"/>
          <w:numId w:val="5"/>
        </w:numPr>
        <w:spacing w:after="40"/>
      </w:pPr>
      <w:r>
        <w:rPr>
          <w:b w:val="0"/>
          <w:i w:val="0"/>
        </w:rPr>
        <w:t>Surgical sampling of stations 8 and 12 before listing follows the Milan and Rennes protocols; it is a proposed local requirement for the advanced study, not national guidance. Excluding previously resected extrahepatic spread follows Milan; NLRB requires no extrahepatic disease at the initial request and extension.</w:t>
      </w:r>
    </w:p>
    <w:p>
      <w:pPr>
        <w:pStyle w:val="Heading3"/>
        <w:keepNext/>
        <w:spacing w:before="120" w:after="80"/>
      </w:pPr>
      <w:r>
        <w:rPr>
          <w:b w:val="0"/>
          <w:i w:val="0"/>
        </w:rPr>
        <w:t>iCCA-B4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Shared approval requirements (all pathways)</w:t>
      </w:r>
    </w:p>
    <w:p>
      <w:pPr>
        <w:pStyle w:val="Heading3"/>
        <w:keepNext/>
        <w:spacing w:before="12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50">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4"/>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4"/>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51">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4"/>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4"/>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52">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4"/>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4"/>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53">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4"/>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4"/>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AASLD PSC/CCA 2023</w:t>
      </w:r>
      <w:r>
        <w:rPr>
          <w:b w:val="0"/>
          <w:i w:val="0"/>
          <w:sz w:val="19"/>
        </w:rPr>
        <w:t xml:space="preserve"> — Bowlus CL, Arrivé L, Bergquist A, et al. AASLD practice guidance on primary sclerosing cholangitis and cholangiocarcinoma. Hepatology. 2023;77(2):659-702. doi:10.1002/hep.32771. PMID:36083140.</w:t>
      </w:r>
      <w:r>
        <w:rPr>
          <w:b w:val="0"/>
          <w:i w:val="0"/>
          <w:sz w:val="19"/>
        </w:rPr>
        <w:t xml:space="preserve">  </w:t>
      </w:r>
      <w:hyperlink r:id="rId54">
        <w:r>
          <w:rPr>
            <w:color w:val="0563C1"/>
            <w:u w:val="single"/>
            <w:sz w:val="19"/>
          </w:rPr>
          <w:t xml:space="preserve">PubMed</w:t>
        </w:r>
      </w:hyperlink>
    </w:p>
    <w:p>
      <w:pPr>
        <w:spacing w:after="60"/>
      </w:pPr>
      <w:r>
        <w:rPr>
          <w:b/>
          <w:i w:val="0"/>
          <w:sz w:val="19"/>
        </w:rPr>
        <w:t>AASLD · CCA</w:t>
      </w:r>
      <w:r>
        <w:rPr>
          <w:b w:val="0"/>
          <w:i w:val="0"/>
          <w:sz w:val="19"/>
        </w:rPr>
        <w:t xml:space="preserve"> — AASLD Practice Guidance on PSC and cholangiocarcinoma</w:t>
      </w:r>
      <w:r>
        <w:rPr>
          <w:b w:val="0"/>
          <w:i w:val="0"/>
          <w:sz w:val="19"/>
        </w:rPr>
        <w:t xml:space="preserve">  </w:t>
      </w:r>
      <w:hyperlink r:id="rId55">
        <w:r>
          <w:rPr>
            <w:color w:val="0563C1"/>
            <w:u w:val="single"/>
            <w:sz w:val="19"/>
          </w:rPr>
          <w:t xml:space="preserve">Source</w:t>
        </w:r>
      </w:hyperlink>
    </w:p>
    <w:p>
      <w:pPr>
        <w:spacing w:after="60"/>
      </w:pPr>
      <w:r>
        <w:rPr>
          <w:b/>
          <w:i w:val="0"/>
          <w:sz w:val="19"/>
        </w:rPr>
        <w:t>AASLD/AST candidate evaluation</w:t>
      </w:r>
      <w:r>
        <w:rPr>
          <w:b w:val="0"/>
          <w:i w:val="0"/>
          <w:sz w:val="19"/>
        </w:rPr>
        <w:t xml:space="preserve"> — AASLD AST Practice Guideline on adult liver transplantation: Candidate evaluation</w:t>
      </w:r>
      <w:r>
        <w:rPr>
          <w:b w:val="0"/>
          <w:i w:val="0"/>
          <w:sz w:val="19"/>
        </w:rPr>
        <w:t xml:space="preserve">  </w:t>
      </w:r>
      <w:hyperlink r:id="rId56">
        <w:r>
          <w:rPr>
            <w:color w:val="0563C1"/>
            <w:u w:val="single"/>
            <w:sz w:val="19"/>
          </w:rPr>
          <w:t xml:space="preserve">PubMed</w:t>
        </w:r>
      </w:hyperlink>
      <w:r>
        <w:rPr>
          <w:b w:val="0"/>
          <w:i w:val="0"/>
          <w:sz w:val="19"/>
        </w:rPr>
        <w:t xml:space="preserve"> · </w:t>
      </w:r>
      <w:hyperlink r:id="rId57">
        <w:r>
          <w:rPr>
            <w:color w:val="0563C1"/>
            <w:u w:val="single"/>
            <w:sz w:val="19"/>
          </w:rPr>
          <w:t xml:space="preserve">Journal</w:t>
        </w:r>
      </w:hyperlink>
      <w:r>
        <w:rPr>
          <w:b w:val="0"/>
          <w:i w:val="0"/>
          <w:sz w:val="19"/>
        </w:rPr>
        <w:t xml:space="preserve"> · </w:t>
      </w:r>
      <w:hyperlink r:id="rId58">
        <w:r>
          <w:rPr>
            <w:color w:val="0563C1"/>
            <w:u w:val="single"/>
            <w:sz w:val="19"/>
          </w:rPr>
          <w:t xml:space="preserve">Free full text</w:t>
        </w:r>
      </w:hyperlink>
      <w:r>
        <w:rPr>
          <w:b w:val="0"/>
          <w:i w:val="0"/>
          <w:sz w:val="19"/>
        </w:rPr>
        <w:t xml:space="preserve"> · </w:t>
      </w:r>
      <w:hyperlink r:id="rId59">
        <w:r>
          <w:rPr>
            <w:color w:val="0563C1"/>
            <w:u w:val="single"/>
            <w:sz w:val="19"/>
          </w:rPr>
          <w:t xml:space="preserve">Source</w:t>
        </w:r>
      </w:hyperlink>
      <w:r>
        <w:rPr>
          <w:b w:val="0"/>
          <w:i w:val="0"/>
          <w:sz w:val="19"/>
        </w:rPr>
        <w:t xml:space="preserve"> · </w:t>
      </w:r>
      <w:hyperlink r:id="rId60">
        <w:r>
          <w:rPr>
            <w:color w:val="0563C1"/>
            <w:u w:val="single"/>
            <w:sz w:val="19"/>
          </w:rPr>
          <w:t xml:space="preserve">TMC library</w:t>
        </w:r>
      </w:hyperlink>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61">
        <w:r>
          <w:rPr>
            <w:color w:val="0563C1"/>
            <w:u w:val="single"/>
            <w:sz w:val="19"/>
          </w:rPr>
          <w:t xml:space="preserve">PubMed</w:t>
        </w:r>
      </w:hyperlink>
      <w:r>
        <w:rPr>
          <w:b w:val="0"/>
          <w:i w:val="0"/>
          <w:sz w:val="19"/>
        </w:rPr>
        <w:t xml:space="preserve"> · </w:t>
      </w:r>
      <w:hyperlink r:id="rId62">
        <w:r>
          <w:rPr>
            <w:color w:val="0563C1"/>
            <w:u w:val="single"/>
            <w:sz w:val="19"/>
          </w:rPr>
          <w:t xml:space="preserve">Journal</w:t>
        </w:r>
      </w:hyperlink>
      <w:r>
        <w:rPr>
          <w:b w:val="0"/>
          <w:i w:val="0"/>
          <w:sz w:val="19"/>
        </w:rPr>
        <w:t xml:space="preserve"> · </w:t>
      </w:r>
      <w:hyperlink r:id="rId63">
        <w:r>
          <w:rPr>
            <w:color w:val="0563C1"/>
            <w:u w:val="single"/>
            <w:sz w:val="19"/>
          </w:rPr>
          <w:t xml:space="preserve">Free full text</w:t>
        </w:r>
      </w:hyperlink>
      <w:r>
        <w:rPr>
          <w:b w:val="0"/>
          <w:i w:val="0"/>
          <w:sz w:val="19"/>
        </w:rPr>
        <w:t xml:space="preserve"> · </w:t>
      </w:r>
      <w:hyperlink r:id="rId64">
        <w:r>
          <w:rPr>
            <w:color w:val="0563C1"/>
            <w:u w:val="single"/>
            <w:sz w:val="19"/>
          </w:rPr>
          <w:t xml:space="preserve">Source</w:t>
        </w:r>
      </w:hyperlink>
      <w:r>
        <w:rPr>
          <w:b w:val="0"/>
          <w:i w:val="0"/>
          <w:sz w:val="19"/>
        </w:rPr>
        <w:t xml:space="preserve"> · </w:t>
      </w:r>
      <w:hyperlink r:id="rId65">
        <w:r>
          <w:rPr>
            <w:color w:val="0563C1"/>
            <w:u w:val="single"/>
            <w:sz w:val="19"/>
          </w:rPr>
          <w:t xml:space="preserve">TMC library</w:t>
        </w:r>
      </w:hyperlink>
    </w:p>
    <w:p>
      <w:pPr>
        <w:spacing w:after="60"/>
      </w:pPr>
      <w:r>
        <w:rPr>
          <w:b/>
          <w:i w:val="0"/>
          <w:sz w:val="19"/>
        </w:rPr>
        <w:t>Ablation meta-analysis</w:t>
      </w:r>
      <w:r>
        <w:rPr>
          <w:b w:val="0"/>
          <w:i w:val="0"/>
          <w:sz w:val="19"/>
        </w:rPr>
        <w:t xml:space="preserve"> — Kim JH, et al. Thermal ablation in the treatment of intrahepatic cholangiocarcinoma: a systematic review and meta-analysis. Eur Radiol. 2021. doi:10.1007/s00330-021-08216-x. PMID:34347159.</w:t>
      </w:r>
      <w:r>
        <w:rPr>
          <w:b w:val="0"/>
          <w:i w:val="0"/>
          <w:sz w:val="19"/>
        </w:rPr>
        <w:t xml:space="preserve">  </w:t>
      </w:r>
      <w:hyperlink r:id="rId66">
        <w:r>
          <w:rPr>
            <w:color w:val="0563C1"/>
            <w:u w:val="single"/>
            <w:sz w:val="19"/>
          </w:rPr>
          <w:t xml:space="preserve">PubMed</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ASCOT</w:t>
      </w:r>
      <w:r>
        <w:rPr>
          <w:b w:val="0"/>
          <w:i w:val="0"/>
          <w:sz w:val="19"/>
        </w:rPr>
        <w:t xml:space="preserve"> — Nakachi K, Ikeda M, Konishi M, et al. Adjuvant S-1 compared with observation in resected biliary tract cancer (JCOG1202, ASCOT): a multicentre, open-label, randomised, controlled, phase 3 trial. Lancet. 2023;401(10372):195-203. doi:10.1016/S0140-6736(22)02038-4. PMID:36681415.</w:t>
      </w:r>
      <w:r>
        <w:rPr>
          <w:b w:val="0"/>
          <w:i w:val="0"/>
          <w:sz w:val="19"/>
        </w:rPr>
        <w:t xml:space="preserve">  </w:t>
      </w:r>
      <w:hyperlink r:id="rId70">
        <w:r>
          <w:rPr>
            <w:color w:val="0563C1"/>
            <w:u w:val="single"/>
            <w:sz w:val="19"/>
          </w:rPr>
          <w:t xml:space="preserve">PubMed</w:t>
        </w:r>
      </w:hyperlink>
    </w:p>
    <w:p>
      <w:pPr>
        <w:spacing w:after="60"/>
      </w:pPr>
      <w:r>
        <w:rPr>
          <w:b/>
          <w:i w:val="0"/>
          <w:sz w:val="19"/>
        </w:rPr>
        <w:t>BILCAP</w:t>
      </w:r>
      <w:r>
        <w:rPr>
          <w:b w:val="0"/>
          <w:i w:val="0"/>
          <w:sz w:val="19"/>
        </w:rPr>
        <w:t xml:space="preserve"> — Primrose JN, Fox RP, Palmer DH, et al. Capecitabine compared with observation in resected biliary tract cancer (BILCAP): a randomised, controlled, multicentre, phase 3 study. Lancet Oncol. 2019;20(5):663-673. doi:10.1016/S1470-2045(18)30915-X. PMID:30922733.</w:t>
      </w:r>
      <w:r>
        <w:rPr>
          <w:b w:val="0"/>
          <w:i w:val="0"/>
          <w:sz w:val="19"/>
        </w:rPr>
        <w:t xml:space="preserve">  </w:t>
      </w:r>
      <w:hyperlink r:id="rId71">
        <w:r>
          <w:rPr>
            <w:color w:val="0563C1"/>
            <w:u w:val="single"/>
            <w:sz w:val="19"/>
          </w:rPr>
          <w:t xml:space="preserve">PubMed</w:t>
        </w:r>
      </w:hyperlink>
    </w:p>
    <w:p>
      <w:pPr>
        <w:spacing w:after="60"/>
      </w:pPr>
      <w:r>
        <w:rPr>
          <w:b/>
          <w:i w:val="0"/>
          <w:sz w:val="19"/>
        </w:rPr>
        <w:t>BSG CCA 2023</w:t>
      </w:r>
      <w:r>
        <w:rPr>
          <w:b w:val="0"/>
          <w:i w:val="0"/>
          <w:sz w:val="19"/>
        </w:rPr>
        <w:t xml:space="preserve"> — Rushbrook SM, Kendall TJ, Zen Y, et al. British Society of Gastroenterology guidelines for the diagnosis and management of cholangiocarcinoma. Gut. 2023;73(1):16-46. doi:10.1136/gutjnl-2023-330029. PMID:37770126.</w:t>
      </w:r>
      <w:r>
        <w:rPr>
          <w:b w:val="0"/>
          <w:i w:val="0"/>
          <w:sz w:val="19"/>
        </w:rPr>
        <w:t xml:space="preserve">  </w:t>
      </w:r>
      <w:hyperlink r:id="rId72">
        <w:r>
          <w:rPr>
            <w:color w:val="0563C1"/>
            <w:u w:val="single"/>
            <w:sz w:val="19"/>
          </w:rPr>
          <w:t xml:space="preserve">PubMed</w:t>
        </w:r>
      </w:hyperlink>
    </w:p>
    <w:p>
      <w:pPr>
        <w:spacing w:after="60"/>
      </w:pPr>
      <w:r>
        <w:rPr>
          <w:b/>
          <w:i w:val="0"/>
          <w:sz w:val="19"/>
        </w:rPr>
        <w:t>Campbell 2026 · biliary cancer LT, single centre</w:t>
      </w:r>
      <w:r>
        <w:rPr>
          <w:b w:val="0"/>
          <w:i w:val="0"/>
          <w:sz w:val="19"/>
        </w:rPr>
        <w:t xml:space="preserve"> — Liver Transplantation for Unresectable Biliary Tract Cancers: Largest Single-Center Analysis of Subtype-Specific Survival and Recurrence (2007-2025)</w:t>
      </w:r>
      <w:r>
        <w:rPr>
          <w:b w:val="0"/>
          <w:i w:val="0"/>
          <w:sz w:val="19"/>
        </w:rPr>
        <w:t xml:space="preserve">  </w:t>
      </w:r>
      <w:hyperlink r:id="rId73">
        <w:r>
          <w:rPr>
            <w:color w:val="0563C1"/>
            <w:u w:val="single"/>
            <w:sz w:val="19"/>
          </w:rPr>
          <w:t xml:space="preserve">PubMed</w:t>
        </w:r>
      </w:hyperlink>
      <w:r>
        <w:rPr>
          <w:b w:val="0"/>
          <w:i w:val="0"/>
          <w:sz w:val="19"/>
        </w:rPr>
        <w:t xml:space="preserve"> · </w:t>
      </w:r>
      <w:hyperlink r:id="rId74">
        <w:r>
          <w:rPr>
            <w:color w:val="0563C1"/>
            <w:u w:val="single"/>
            <w:sz w:val="19"/>
          </w:rPr>
          <w:t xml:space="preserve">Journal</w:t>
        </w:r>
      </w:hyperlink>
      <w:r>
        <w:rPr>
          <w:b w:val="0"/>
          <w:i w:val="0"/>
          <w:sz w:val="19"/>
        </w:rPr>
        <w:t xml:space="preserve"> · </w:t>
      </w:r>
      <w:hyperlink r:id="rId75">
        <w:r>
          <w:rPr>
            <w:color w:val="0563C1"/>
            <w:u w:val="single"/>
            <w:sz w:val="19"/>
          </w:rPr>
          <w:t xml:space="preserve">TMC library</w:t>
        </w:r>
      </w:hyperlink>
    </w:p>
    <w:p>
      <w:pPr>
        <w:spacing w:after="60"/>
      </w:pPr>
      <w:r>
        <w:rPr>
          <w:b/>
          <w:i w:val="0"/>
          <w:sz w:val="19"/>
        </w:rPr>
        <w:t>Cercek HAI phase 2</w:t>
      </w:r>
      <w:r>
        <w:rPr>
          <w:b w:val="0"/>
          <w:i w:val="0"/>
          <w:sz w:val="19"/>
        </w:rPr>
        <w:t xml:space="preserve"> — Cercek A, Boerner T, Tan BR, et al. Assessment of Hepatic Arterial Infusion of Floxuridine in Combination With Systemic Gemcitabine and Oxaliplatin in Patients With Unresectable Intrahepatic Cholangiocarcinoma: A Phase 2 Clinical Trial. JAMA Oncol. 2020;6(1):60-67. doi:10.1001/jamaoncol.2019.3718. PMID:31670750.</w:t>
      </w:r>
      <w:r>
        <w:rPr>
          <w:b w:val="0"/>
          <w:i w:val="0"/>
          <w:sz w:val="19"/>
        </w:rPr>
        <w:t xml:space="preserve">  </w:t>
      </w:r>
      <w:hyperlink r:id="rId76">
        <w:r>
          <w:rPr>
            <w:color w:val="0563C1"/>
            <w:u w:val="single"/>
            <w:sz w:val="19"/>
          </w:rPr>
          <w:t xml:space="preserve">PubMed</w:t>
        </w:r>
      </w:hyperlink>
    </w:p>
    <w:p>
      <w:pPr>
        <w:spacing w:after="60"/>
      </w:pPr>
      <w:r>
        <w:rPr>
          <w:b/>
          <w:i w:val="0"/>
          <w:sz w:val="19"/>
        </w:rPr>
        <w:t>Dageforde 2021</w:t>
      </w:r>
      <w:r>
        <w:rPr>
          <w:b w:val="0"/>
          <w:i w:val="0"/>
          <w:sz w:val="19"/>
        </w:rPr>
        <w:t xml:space="preserve"> — Multi-Center Analysis of Liver Transplantation for Combined Hepatocellular Carcinoma-Cholangiocarcinoma Liver Tumors</w:t>
      </w:r>
      <w:r>
        <w:rPr>
          <w:b w:val="0"/>
          <w:i w:val="0"/>
          <w:sz w:val="19"/>
        </w:rPr>
        <w:t xml:space="preserve">  </w:t>
      </w:r>
      <w:hyperlink r:id="rId77">
        <w:r>
          <w:rPr>
            <w:color w:val="0563C1"/>
            <w:u w:val="single"/>
            <w:sz w:val="19"/>
          </w:rPr>
          <w:t xml:space="preserve">PubMed</w:t>
        </w:r>
      </w:hyperlink>
      <w:r>
        <w:rPr>
          <w:b w:val="0"/>
          <w:i w:val="0"/>
          <w:sz w:val="19"/>
        </w:rPr>
        <w:t xml:space="preserve"> · </w:t>
      </w:r>
      <w:hyperlink r:id="rId78">
        <w:r>
          <w:rPr>
            <w:color w:val="0563C1"/>
            <w:u w:val="single"/>
            <w:sz w:val="19"/>
          </w:rPr>
          <w:t xml:space="preserve">Journal</w:t>
        </w:r>
      </w:hyperlink>
      <w:r>
        <w:rPr>
          <w:b w:val="0"/>
          <w:i w:val="0"/>
          <w:sz w:val="19"/>
        </w:rPr>
        <w:t xml:space="preserve"> · </w:t>
      </w:r>
      <w:hyperlink r:id="rId79">
        <w:r>
          <w:rPr>
            <w:color w:val="0563C1"/>
            <w:u w:val="single"/>
            <w:sz w:val="19"/>
          </w:rPr>
          <w:t xml:space="preserve">Source</w:t>
        </w:r>
      </w:hyperlink>
      <w:r>
        <w:rPr>
          <w:b w:val="0"/>
          <w:i w:val="0"/>
          <w:sz w:val="19"/>
        </w:rPr>
        <w:t xml:space="preserve"> · </w:t>
      </w:r>
      <w:hyperlink r:id="rId80">
        <w:r>
          <w:rPr>
            <w:color w:val="0563C1"/>
            <w:u w:val="single"/>
            <w:sz w:val="19"/>
          </w:rPr>
          <w:t xml:space="preserve">TMC library</w:t>
        </w:r>
      </w:hyperlink>
    </w:p>
    <w:p>
      <w:pPr>
        <w:spacing w:after="60"/>
      </w:pPr>
      <w:r>
        <w:rPr>
          <w:b/>
          <w:i w:val="0"/>
          <w:sz w:val="19"/>
        </w:rPr>
        <w:t>De Martin 2020</w:t>
      </w:r>
      <w:r>
        <w:rPr>
          <w:b w:val="0"/>
          <w:i w:val="0"/>
          <w:sz w:val="19"/>
        </w:rPr>
        <w:t xml:space="preserve"> — Analysis of Liver Resection Versus Liver Transplantation on Outcome of Small Intrahepatic Cholangiocarcinoma and Combined Hepatocellular-Cholangiocarcinoma in the Setting of Cirrhosis</w:t>
      </w:r>
      <w:r>
        <w:rPr>
          <w:b w:val="0"/>
          <w:i w:val="0"/>
          <w:sz w:val="19"/>
        </w:rPr>
        <w:t xml:space="preserve">  </w:t>
      </w:r>
      <w:hyperlink r:id="rId81">
        <w:r>
          <w:rPr>
            <w:color w:val="0563C1"/>
            <w:u w:val="single"/>
            <w:sz w:val="19"/>
          </w:rPr>
          <w:t xml:space="preserve">PubMed</w:t>
        </w:r>
      </w:hyperlink>
      <w:r>
        <w:rPr>
          <w:b w:val="0"/>
          <w:i w:val="0"/>
          <w:sz w:val="19"/>
        </w:rPr>
        <w:t xml:space="preserve"> · </w:t>
      </w:r>
      <w:hyperlink r:id="rId82">
        <w:r>
          <w:rPr>
            <w:color w:val="0563C1"/>
            <w:u w:val="single"/>
            <w:sz w:val="19"/>
          </w:rPr>
          <w:t xml:space="preserve">Journal</w:t>
        </w:r>
      </w:hyperlink>
      <w:r>
        <w:rPr>
          <w:b w:val="0"/>
          <w:i w:val="0"/>
          <w:sz w:val="19"/>
        </w:rPr>
        <w:t xml:space="preserve"> · </w:t>
      </w:r>
      <w:hyperlink r:id="rId83">
        <w:r>
          <w:rPr>
            <w:color w:val="0563C1"/>
            <w:u w:val="single"/>
            <w:sz w:val="19"/>
          </w:rPr>
          <w:t xml:space="preserve">Source</w:t>
        </w:r>
      </w:hyperlink>
      <w:r>
        <w:rPr>
          <w:b w:val="0"/>
          <w:i w:val="0"/>
          <w:sz w:val="19"/>
        </w:rPr>
        <w:t xml:space="preserve"> · </w:t>
      </w:r>
      <w:hyperlink r:id="rId84">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85">
        <w:r>
          <w:rPr>
            <w:color w:val="0563C1"/>
            <w:u w:val="single"/>
            <w:sz w:val="19"/>
          </w:rPr>
          <w:t xml:space="preserve">PubMed</w:t>
        </w:r>
      </w:hyperlink>
      <w:r>
        <w:rPr>
          <w:b w:val="0"/>
          <w:i w:val="0"/>
          <w:sz w:val="19"/>
        </w:rPr>
        <w:t xml:space="preserve"> · </w:t>
      </w:r>
      <w:hyperlink r:id="rId86">
        <w:r>
          <w:rPr>
            <w:color w:val="0563C1"/>
            <w:u w:val="single"/>
            <w:sz w:val="19"/>
          </w:rPr>
          <w:t xml:space="preserve">Journal</w:t>
        </w:r>
      </w:hyperlink>
      <w:r>
        <w:rPr>
          <w:b w:val="0"/>
          <w:i w:val="0"/>
          <w:sz w:val="19"/>
        </w:rPr>
        <w:t xml:space="preserve"> · </w:t>
      </w:r>
      <w:hyperlink r:id="rId87">
        <w:r>
          <w:rPr>
            <w:color w:val="0563C1"/>
            <w:u w:val="single"/>
            <w:sz w:val="19"/>
          </w:rPr>
          <w:t xml:space="preserve">Free full text</w:t>
        </w:r>
      </w:hyperlink>
      <w:r>
        <w:rPr>
          <w:b w:val="0"/>
          <w:i w:val="0"/>
          <w:sz w:val="19"/>
        </w:rPr>
        <w:t xml:space="preserve"> · </w:t>
      </w:r>
      <w:hyperlink r:id="rId88">
        <w:r>
          <w:rPr>
            <w:color w:val="0563C1"/>
            <w:u w:val="single"/>
            <w:sz w:val="19"/>
          </w:rPr>
          <w:t xml:space="preserve">Source</w:t>
        </w:r>
      </w:hyperlink>
      <w:r>
        <w:rPr>
          <w:b w:val="0"/>
          <w:i w:val="0"/>
          <w:sz w:val="19"/>
        </w:rPr>
        <w:t xml:space="preserve"> · </w:t>
      </w:r>
      <w:hyperlink r:id="rId89">
        <w:r>
          <w:rPr>
            <w:color w:val="0563C1"/>
            <w:u w:val="single"/>
            <w:sz w:val="19"/>
          </w:rPr>
          <w:t xml:space="preserve">TMC library</w:t>
        </w:r>
      </w:hyperlink>
    </w:p>
    <w:p>
      <w:pPr>
        <w:spacing w:after="60"/>
      </w:pPr>
      <w:r>
        <w:rPr>
          <w:b/>
          <w:i w:val="0"/>
          <w:sz w:val="19"/>
        </w:rPr>
        <w:t>EASL-ILCA iCCA 2023</w:t>
      </w:r>
      <w:r>
        <w:rPr>
          <w:b w:val="0"/>
          <w:i w:val="0"/>
          <w:sz w:val="19"/>
        </w:rPr>
        <w:t xml:space="preserve"> — European Association for the Study of the Liver; International Liver Cancer Association. EASL-ILCA Clinical Practice Guidelines on the management of intrahepatic cholangiocarcinoma. J Hepatol. 2023;79(1):181-208. doi:10.1016/j.jhep.2023.03.010. PMID:37084797.</w:t>
      </w:r>
      <w:r>
        <w:rPr>
          <w:b w:val="0"/>
          <w:i w:val="0"/>
          <w:sz w:val="19"/>
        </w:rPr>
        <w:t xml:space="preserve">  </w:t>
      </w:r>
      <w:hyperlink r:id="rId90">
        <w:r>
          <w:rPr>
            <w:color w:val="0563C1"/>
            <w:u w:val="single"/>
            <w:sz w:val="19"/>
          </w:rPr>
          <w:t xml:space="preserve">PubMed</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91">
        <w:r>
          <w:rPr>
            <w:color w:val="0563C1"/>
            <w:u w:val="single"/>
            <w:sz w:val="19"/>
          </w:rPr>
          <w:t xml:space="preserve">PubMed</w:t>
        </w:r>
      </w:hyperlink>
      <w:r>
        <w:rPr>
          <w:b w:val="0"/>
          <w:i w:val="0"/>
          <w:sz w:val="19"/>
        </w:rPr>
        <w:t xml:space="preserve"> · </w:t>
      </w:r>
      <w:hyperlink r:id="rId92">
        <w:r>
          <w:rPr>
            <w:color w:val="0563C1"/>
            <w:u w:val="single"/>
            <w:sz w:val="19"/>
          </w:rPr>
          <w:t xml:space="preserve">Journal</w:t>
        </w:r>
      </w:hyperlink>
      <w:r>
        <w:rPr>
          <w:b w:val="0"/>
          <w:i w:val="0"/>
          <w:sz w:val="19"/>
        </w:rPr>
        <w:t xml:space="preserve"> · </w:t>
      </w:r>
      <w:hyperlink r:id="rId93">
        <w:r>
          <w:rPr>
            <w:color w:val="0563C1"/>
            <w:u w:val="single"/>
            <w:sz w:val="19"/>
          </w:rPr>
          <w:t xml:space="preserve">Free full text</w:t>
        </w:r>
      </w:hyperlink>
      <w:r>
        <w:rPr>
          <w:b w:val="0"/>
          <w:i w:val="0"/>
          <w:sz w:val="19"/>
        </w:rPr>
        <w:t xml:space="preserve"> · </w:t>
      </w:r>
      <w:hyperlink r:id="rId94">
        <w:r>
          <w:rPr>
            <w:color w:val="0563C1"/>
            <w:u w:val="single"/>
            <w:sz w:val="19"/>
          </w:rPr>
          <w:t xml:space="preserve">Source</w:t>
        </w:r>
      </w:hyperlink>
      <w:r>
        <w:rPr>
          <w:b w:val="0"/>
          <w:i w:val="0"/>
          <w:sz w:val="19"/>
        </w:rPr>
        <w:t xml:space="preserve"> · </w:t>
      </w:r>
      <w:hyperlink r:id="rId95">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96">
        <w:r>
          <w:rPr>
            <w:color w:val="0563C1"/>
            <w:u w:val="single"/>
            <w:sz w:val="19"/>
          </w:rPr>
          <w:t xml:space="preserve">PubMed</w:t>
        </w:r>
      </w:hyperlink>
      <w:r>
        <w:rPr>
          <w:b w:val="0"/>
          <w:i w:val="0"/>
          <w:sz w:val="19"/>
        </w:rPr>
        <w:t xml:space="preserve"> · </w:t>
      </w:r>
      <w:hyperlink r:id="rId97">
        <w:r>
          <w:rPr>
            <w:color w:val="0563C1"/>
            <w:u w:val="single"/>
            <w:sz w:val="19"/>
          </w:rPr>
          <w:t xml:space="preserve">Journal</w:t>
        </w:r>
      </w:hyperlink>
      <w:r>
        <w:rPr>
          <w:b w:val="0"/>
          <w:i w:val="0"/>
          <w:sz w:val="19"/>
        </w:rPr>
        <w:t xml:space="preserve"> · </w:t>
      </w:r>
      <w:hyperlink r:id="rId98">
        <w:r>
          <w:rPr>
            <w:color w:val="0563C1"/>
            <w:u w:val="single"/>
            <w:sz w:val="19"/>
          </w:rPr>
          <w:t xml:space="preserve">Source</w:t>
        </w:r>
      </w:hyperlink>
      <w:r>
        <w:rPr>
          <w:b w:val="0"/>
          <w:i w:val="0"/>
          <w:sz w:val="19"/>
        </w:rPr>
        <w:t xml:space="preserve"> · </w:t>
      </w:r>
      <w:hyperlink r:id="rId99">
        <w:r>
          <w:rPr>
            <w:color w:val="0563C1"/>
            <w:u w:val="single"/>
            <w:sz w:val="19"/>
          </w:rPr>
          <w:t xml:space="preserve">TMC library</w:t>
        </w:r>
      </w:hyperlink>
    </w:p>
    <w:p>
      <w:pPr>
        <w:spacing w:after="60"/>
      </w:pPr>
      <w:r>
        <w:rPr>
          <w:b/>
          <w:i w:val="0"/>
          <w:sz w:val="19"/>
        </w:rPr>
        <w:t>ESMO BTC 2023 guideline</w:t>
      </w:r>
      <w:r>
        <w:rPr>
          <w:b w:val="0"/>
          <w:i w:val="0"/>
          <w:sz w:val="19"/>
        </w:rPr>
        <w:t xml:space="preserve"> — Vogel A, Bridgewater J, Edeline J, et al. Biliary tract cancer: ESMO Clinical Practice Guideline for diagnosis, treatment and follow-up. Ann Oncol. 2023;34(2):127-140. doi:10.1016/j.annonc.2022.10.506. PMID:36372281. The parent guideline to the 2024 interim update (PMID:39864891), which covers only molecular diagnostics and advanced disease; the surgical, adjuvant and locoregional recommendations are here.</w:t>
      </w:r>
      <w:r>
        <w:rPr>
          <w:b w:val="0"/>
          <w:i w:val="0"/>
          <w:sz w:val="19"/>
        </w:rPr>
        <w:t xml:space="preserve">  </w:t>
      </w:r>
      <w:hyperlink r:id="rId100">
        <w:r>
          <w:rPr>
            <w:color w:val="0563C1"/>
            <w:u w:val="single"/>
            <w:sz w:val="19"/>
          </w:rPr>
          <w:t xml:space="preserve">PubMed</w:t>
        </w:r>
      </w:hyperlink>
    </w:p>
    <w:p>
      <w:pPr>
        <w:spacing w:after="60"/>
      </w:pPr>
      <w:r>
        <w:rPr>
          <w:b/>
          <w:i w:val="0"/>
          <w:sz w:val="19"/>
        </w:rPr>
        <w:t>ESMO BTC 2024 interim</w:t>
      </w:r>
      <w:r>
        <w:rPr>
          <w:b w:val="0"/>
          <w:i w:val="0"/>
          <w:sz w:val="19"/>
        </w:rPr>
        <w:t xml:space="preserve"> — Vogel A, Ducreux M, on behalf of the ESMO Guidelines Committee. ESMO Clinical Practice Guideline interim update on the management of biliary tract cancer. ESMO Open. 2025;10(1):104003. doi:10.1016/j.esmoop.2024.104003. PMID:39864891.</w:t>
      </w:r>
      <w:r>
        <w:rPr>
          <w:b w:val="0"/>
          <w:i w:val="0"/>
          <w:sz w:val="19"/>
        </w:rPr>
        <w:t xml:space="preserve">  </w:t>
      </w:r>
      <w:hyperlink r:id="rId101">
        <w:r>
          <w:rPr>
            <w:color w:val="0563C1"/>
            <w:u w:val="single"/>
            <w:sz w:val="19"/>
          </w:rPr>
          <w:t xml:space="preserve">PubMed</w:t>
        </w:r>
      </w:hyperlink>
    </w:p>
    <w:p>
      <w:pPr>
        <w:spacing w:after="60"/>
      </w:pPr>
      <w:r>
        <w:rPr>
          <w:b/>
          <w:i w:val="0"/>
          <w:sz w:val="19"/>
        </w:rPr>
        <w:t>Floxuridine hepatic arterial infusion associated biliary toxicity is increased by concurrent administration of systemic bevacizumab</w:t>
      </w:r>
      <w:r>
        <w:rPr>
          <w:b w:val="0"/>
          <w:i w:val="0"/>
          <w:sz w:val="19"/>
        </w:rPr>
        <w:t xml:space="preserve"> — Floxuridine hepatic arterial infusion associated biliary toxicity is increased by concurrent administration of systemic bevacizumab. DOI: 10.1245/s10434-013-3275-0. PMID: 24154839.</w:t>
      </w:r>
      <w:r>
        <w:rPr>
          <w:b w:val="0"/>
          <w:i w:val="0"/>
          <w:sz w:val="19"/>
        </w:rPr>
        <w:t xml:space="preserve">  </w:t>
      </w:r>
      <w:hyperlink r:id="rId102">
        <w:r>
          <w:rPr>
            <w:color w:val="0563C1"/>
            <w:u w:val="single"/>
            <w:sz w:val="19"/>
          </w:rPr>
          <w:t xml:space="preserve">PubMed</w:t>
        </w:r>
      </w:hyperlink>
    </w:p>
    <w:p>
      <w:pPr>
        <w:spacing w:after="60"/>
      </w:pPr>
      <w:r>
        <w:rPr>
          <w:b/>
          <w:i w:val="0"/>
          <w:sz w:val="19"/>
        </w:rPr>
        <w:t>Giguet 2026</w:t>
      </w:r>
      <w:r>
        <w:rPr>
          <w:b w:val="0"/>
          <w:i w:val="0"/>
          <w:sz w:val="19"/>
        </w:rPr>
        <w:t xml:space="preserve"> — Liver transplantation in unresectable intrahepatic cholangiocarcinoma following neoadjuvant chemotherapy and SIRT</w:t>
      </w:r>
      <w:r>
        <w:rPr>
          <w:b w:val="0"/>
          <w:i w:val="0"/>
          <w:sz w:val="19"/>
        </w:rPr>
        <w:t xml:space="preserve">  </w:t>
      </w:r>
      <w:hyperlink r:id="rId103">
        <w:r>
          <w:rPr>
            <w:color w:val="0563C1"/>
            <w:u w:val="single"/>
            <w:sz w:val="19"/>
          </w:rPr>
          <w:t xml:space="preserve">PubMed</w:t>
        </w:r>
      </w:hyperlink>
      <w:r>
        <w:rPr>
          <w:b w:val="0"/>
          <w:i w:val="0"/>
          <w:sz w:val="19"/>
        </w:rPr>
        <w:t xml:space="preserve"> · </w:t>
      </w:r>
      <w:hyperlink r:id="rId104">
        <w:r>
          <w:rPr>
            <w:color w:val="0563C1"/>
            <w:u w:val="single"/>
            <w:sz w:val="19"/>
          </w:rPr>
          <w:t xml:space="preserve">Journal</w:t>
        </w:r>
      </w:hyperlink>
      <w:r>
        <w:rPr>
          <w:b w:val="0"/>
          <w:i w:val="0"/>
          <w:sz w:val="19"/>
        </w:rPr>
        <w:t xml:space="preserve"> · </w:t>
      </w:r>
      <w:hyperlink r:id="rId105">
        <w:r>
          <w:rPr>
            <w:color w:val="0563C1"/>
            <w:u w:val="single"/>
            <w:sz w:val="19"/>
          </w:rPr>
          <w:t xml:space="preserve">Source</w:t>
        </w:r>
      </w:hyperlink>
      <w:r>
        <w:rPr>
          <w:b w:val="0"/>
          <w:i w:val="0"/>
          <w:sz w:val="19"/>
        </w:rPr>
        <w:t xml:space="preserve"> · </w:t>
      </w:r>
      <w:hyperlink r:id="rId106">
        <w:r>
          <w:rPr>
            <w:color w:val="0563C1"/>
            <w:u w:val="single"/>
            <w:sz w:val="19"/>
          </w:rPr>
          <w:t xml:space="preserve">TMC library</w:t>
        </w:r>
      </w:hyperlink>
    </w:p>
    <w:p>
      <w:pPr>
        <w:spacing w:after="60"/>
      </w:pPr>
      <w:r>
        <w:rPr>
          <w:b/>
          <w:i w:val="0"/>
          <w:sz w:val="19"/>
        </w:rPr>
        <w:t>Hepatic artery infusion pump chemotherapy for unresectable intrahepatic cholangiocarcinoma: Pooled individual patient-level analysis of four clinical trials</w:t>
      </w:r>
      <w:r>
        <w:rPr>
          <w:b w:val="0"/>
          <w:i w:val="0"/>
          <w:sz w:val="19"/>
        </w:rPr>
        <w:t xml:space="preserve"> — Hepatic artery infusion pump chemotherapy for unresectable intrahepatic cholangiocarcinoma: Pooled individual patient-level analysis of four clinical trials. DOI: 10.1016/j.jhep.2026.06.022. PMID: 42331230.</w:t>
      </w:r>
      <w:r>
        <w:rPr>
          <w:b w:val="0"/>
          <w:i w:val="0"/>
          <w:sz w:val="19"/>
        </w:rPr>
        <w:t xml:space="preserve">  </w:t>
      </w:r>
      <w:hyperlink r:id="rId107">
        <w:r>
          <w:rPr>
            <w:color w:val="0563C1"/>
            <w:u w:val="single"/>
            <w:sz w:val="19"/>
          </w:rPr>
          <w:t xml:space="preserve">PubMed</w:t>
        </w:r>
      </w:hyperlink>
    </w:p>
    <w:p>
      <w:pPr>
        <w:spacing w:after="60"/>
      </w:pPr>
      <w:r>
        <w:rPr>
          <w:b/>
          <w:i w:val="0"/>
          <w:sz w:val="19"/>
        </w:rPr>
        <w:t>HERIZON-BTC-01</w:t>
      </w:r>
      <w:r>
        <w:rPr>
          <w:b w:val="0"/>
          <w:i w:val="0"/>
          <w:sz w:val="19"/>
        </w:rPr>
        <w:t xml:space="preserve"> — Pant S, Fan J, Oh DY, et al. Zanidatamab in HER2-Positive Metastatic Biliary Tract Cancer: Final Results From HERIZON-BTC-01. JAMA Oncol. 2026;12(1):106-109. doi:10.1001/jamaoncol.2025.4736. PMID:41264278.</w:t>
      </w:r>
      <w:r>
        <w:rPr>
          <w:b w:val="0"/>
          <w:i w:val="0"/>
          <w:sz w:val="19"/>
        </w:rPr>
        <w:t xml:space="preserve">  </w:t>
      </w:r>
      <w:hyperlink r:id="rId108">
        <w:r>
          <w:rPr>
            <w:color w:val="0563C1"/>
            <w:u w:val="single"/>
            <w:sz w:val="19"/>
          </w:rPr>
          <w:t xml:space="preserve">PubMed</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109">
        <w:r>
          <w:rPr>
            <w:color w:val="0563C1"/>
            <w:u w:val="single"/>
            <w:sz w:val="19"/>
          </w:rPr>
          <w:t xml:space="preserve">Source</w:t>
        </w:r>
      </w:hyperlink>
    </w:p>
    <w:p>
      <w:pPr>
        <w:spacing w:after="60"/>
      </w:pPr>
      <w:r>
        <w:rPr>
          <w:b/>
          <w:i w:val="0"/>
          <w:sz w:val="19"/>
        </w:rPr>
        <w:t>ILTS-ILCA 2024 consensus</w:t>
      </w:r>
      <w:r>
        <w:rPr>
          <w:b w:val="0"/>
          <w:i w:val="0"/>
          <w:sz w:val="19"/>
        </w:rPr>
        <w:t xml:space="preserve"> — Kodali S, Kulik L, D'Alessio A, et al. The 2024 International Liver Transplant Society and International Liver Cancer Association Consensus Recommendations for Liver Transplantation for Liver Cancer. Liver Cancer. 2026. doi:10.1159/000550600. PMID:42312290. Also published as Liver Transpl. 2025;31(6):815-831, PMID:40014003.</w:t>
      </w:r>
      <w:r>
        <w:rPr>
          <w:b w:val="0"/>
          <w:i w:val="0"/>
          <w:sz w:val="19"/>
        </w:rPr>
        <w:t xml:space="preserve">  </w:t>
      </w:r>
      <w:hyperlink r:id="rId110">
        <w:r>
          <w:rPr>
            <w:color w:val="0563C1"/>
            <w:u w:val="single"/>
            <w:sz w:val="19"/>
          </w:rPr>
          <w:t xml:space="preserve">PubMed</w:t>
        </w:r>
      </w:hyperlink>
    </w:p>
    <w:p>
      <w:pPr>
        <w:spacing w:after="60"/>
      </w:pPr>
      <w:r>
        <w:rPr>
          <w:b/>
          <w:i w:val="0"/>
          <w:sz w:val="19"/>
        </w:rPr>
        <w:t>ILTS–ILCA consensus</w:t>
      </w:r>
      <w:r>
        <w:rPr>
          <w:b w:val="0"/>
          <w:i w:val="0"/>
          <w:sz w:val="19"/>
        </w:rPr>
        <w:t xml:space="preserve"> — The 2024 ILTS-ILCA consensus recommendations for liver transplantation for HCC and intrahepatic cholangiocarcinoma</w:t>
      </w:r>
      <w:r>
        <w:rPr>
          <w:b w:val="0"/>
          <w:i w:val="0"/>
          <w:sz w:val="19"/>
        </w:rPr>
        <w:t xml:space="preserve">  </w:t>
      </w:r>
      <w:hyperlink r:id="rId111">
        <w:r>
          <w:rPr>
            <w:color w:val="0563C1"/>
            <w:u w:val="single"/>
            <w:sz w:val="19"/>
          </w:rPr>
          <w:t xml:space="preserve">PubMed</w:t>
        </w:r>
      </w:hyperlink>
      <w:r>
        <w:rPr>
          <w:b w:val="0"/>
          <w:i w:val="0"/>
          <w:sz w:val="19"/>
        </w:rPr>
        <w:t xml:space="preserve"> · </w:t>
      </w:r>
      <w:hyperlink r:id="rId112">
        <w:r>
          <w:rPr>
            <w:color w:val="0563C1"/>
            <w:u w:val="single"/>
            <w:sz w:val="19"/>
          </w:rPr>
          <w:t xml:space="preserve">Journal</w:t>
        </w:r>
      </w:hyperlink>
      <w:r>
        <w:rPr>
          <w:b w:val="0"/>
          <w:i w:val="0"/>
          <w:sz w:val="19"/>
        </w:rPr>
        <w:t xml:space="preserve"> · </w:t>
      </w:r>
      <w:hyperlink r:id="rId113">
        <w:r>
          <w:rPr>
            <w:color w:val="0563C1"/>
            <w:u w:val="single"/>
            <w:sz w:val="19"/>
          </w:rPr>
          <w:t xml:space="preserve">TMC library</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114">
        <w:r>
          <w:rPr>
            <w:color w:val="0563C1"/>
            <w:u w:val="single"/>
            <w:sz w:val="19"/>
          </w:rPr>
          <w:t xml:space="preserve">PubMed</w:t>
        </w:r>
      </w:hyperlink>
      <w:r>
        <w:rPr>
          <w:b w:val="0"/>
          <w:i w:val="0"/>
          <w:sz w:val="19"/>
        </w:rPr>
        <w:t xml:space="preserve"> · </w:t>
      </w:r>
      <w:hyperlink r:id="rId115">
        <w:r>
          <w:rPr>
            <w:color w:val="0563C1"/>
            <w:u w:val="single"/>
            <w:sz w:val="19"/>
          </w:rPr>
          <w:t xml:space="preserve">Journal</w:t>
        </w:r>
      </w:hyperlink>
      <w:r>
        <w:rPr>
          <w:b w:val="0"/>
          <w:i w:val="0"/>
          <w:sz w:val="19"/>
        </w:rPr>
        <w:t xml:space="preserve"> · </w:t>
      </w:r>
      <w:hyperlink r:id="rId116">
        <w:r>
          <w:rPr>
            <w:color w:val="0563C1"/>
            <w:u w:val="single"/>
            <w:sz w:val="19"/>
          </w:rPr>
          <w:t xml:space="preserve">TMC library</w:t>
        </w:r>
      </w:hyperlink>
    </w:p>
    <w:p>
      <w:pPr>
        <w:spacing w:after="60"/>
      </w:pPr>
      <w:r>
        <w:rPr>
          <w:b/>
          <w:i w:val="0"/>
          <w:sz w:val="19"/>
        </w:rPr>
        <w:t>KEYNOTE-966</w:t>
      </w:r>
      <w:r>
        <w:rPr>
          <w:b w:val="0"/>
          <w:i w:val="0"/>
          <w:sz w:val="19"/>
        </w:rPr>
        <w:t xml:space="preserve"> — Kelley RK, Ueno M, Yoo C, et al. Pembrolizumab in combination with gemcitabine and cisplatin compared with gemcitabine and cisplatin alone for patients with advanced biliary tract cancer (KEYNOTE-966): a randomised, double-blind, placebo-controlled, phase 3 trial. Lancet. 2023;401(10391):1853-1865. doi:10.1016/S0140-6736(23)00727-4. PMID:37075781.</w:t>
      </w:r>
      <w:r>
        <w:rPr>
          <w:b w:val="0"/>
          <w:i w:val="0"/>
          <w:sz w:val="19"/>
        </w:rPr>
        <w:t xml:space="preserve">  </w:t>
      </w:r>
      <w:hyperlink r:id="rId117">
        <w:r>
          <w:rPr>
            <w:color w:val="0563C1"/>
            <w:u w:val="single"/>
            <w:sz w:val="19"/>
          </w:rPr>
          <w:t xml:space="preserve">PubMed</w:t>
        </w:r>
      </w:hyperlink>
    </w:p>
    <w:p>
      <w:pPr>
        <w:spacing w:after="60"/>
      </w:pPr>
      <w:r>
        <w:rPr>
          <w:b/>
          <w:i w:val="0"/>
          <w:sz w:val="19"/>
        </w:rPr>
        <w:t>Kiefer TACE 2-centre</w:t>
      </w:r>
      <w:r>
        <w:rPr>
          <w:b w:val="0"/>
          <w:i w:val="0"/>
          <w:sz w:val="19"/>
        </w:rPr>
        <w:t xml:space="preserve"> — Kiefer MV, et al. Chemoembolization of intrahepatic cholangiocarcinoma with cisplatinum, doxorubicin, mitomycin C, ethiodol, and polyvinyl alcohol: a 2-center study. Cancer. 2011;117(7):1498-1505. doi:10.1002/cncr.25625. PMID:21425151.</w:t>
      </w:r>
      <w:r>
        <w:rPr>
          <w:b w:val="0"/>
          <w:i w:val="0"/>
          <w:sz w:val="19"/>
        </w:rPr>
        <w:t xml:space="preserve">  </w:t>
      </w:r>
      <w:hyperlink r:id="rId118">
        <w:r>
          <w:rPr>
            <w:color w:val="0563C1"/>
            <w:u w:val="single"/>
            <w:sz w:val="19"/>
          </w:rPr>
          <w:t xml:space="preserve">PubMed</w:t>
        </w:r>
      </w:hyperlink>
    </w:p>
    <w:p>
      <w:pPr>
        <w:spacing w:after="60"/>
      </w:pPr>
      <w:r>
        <w:rPr>
          <w:b/>
          <w:i w:val="0"/>
          <w:sz w:val="19"/>
        </w:rPr>
        <w:t>Konstantinidis HAI cohort</w:t>
      </w:r>
      <w:r>
        <w:rPr>
          <w:b w:val="0"/>
          <w:i w:val="0"/>
          <w:sz w:val="19"/>
        </w:rPr>
        <w:t xml:space="preserve"> — Konstantinidis IT, et al. Unresectable intrahepatic cholangiocarcinoma: systemic plus hepatic arterial infusion chemotherapy is associated with longer survival in comparison with systemic chemotherapy alone. Cancer. 2016;122(5):758-765. doi:10.1002/cncr.29824. PMID:26695839.</w:t>
      </w:r>
      <w:r>
        <w:rPr>
          <w:b w:val="0"/>
          <w:i w:val="0"/>
          <w:sz w:val="19"/>
        </w:rPr>
        <w:t xml:space="preserve">  </w:t>
      </w:r>
      <w:hyperlink r:id="rId119">
        <w:r>
          <w:rPr>
            <w:color w:val="0563C1"/>
            <w:u w:val="single"/>
            <w:sz w:val="19"/>
          </w:rPr>
          <w:t xml:space="preserve">PubMed</w:t>
        </w:r>
      </w:hyperlink>
    </w:p>
    <w:p>
      <w:pPr>
        <w:spacing w:after="60"/>
      </w:pPr>
      <w:r>
        <w:rPr>
          <w:b/>
          <w:i w:val="0"/>
          <w:sz w:val="19"/>
        </w:rPr>
        <w:t>Kurimoto 2025 · iCCA nodal metastasis areas</w:t>
      </w:r>
      <w:r>
        <w:rPr>
          <w:b w:val="0"/>
          <w:i w:val="0"/>
          <w:sz w:val="19"/>
        </w:rPr>
        <w:t xml:space="preserve">  </w:t>
      </w:r>
      <w:hyperlink r:id="rId120">
        <w:r>
          <w:rPr>
            <w:color w:val="0563C1"/>
            <w:u w:val="single"/>
            <w:sz w:val="19"/>
          </w:rPr>
          <w:t xml:space="preserve">PubMed</w:t>
        </w:r>
      </w:hyperlink>
      <w:r>
        <w:rPr>
          <w:b w:val="0"/>
          <w:i w:val="0"/>
          <w:sz w:val="19"/>
        </w:rPr>
        <w:t xml:space="preserve"> · </w:t>
      </w:r>
      <w:hyperlink r:id="rId121">
        <w:r>
          <w:rPr>
            <w:color w:val="0563C1"/>
            <w:u w:val="single"/>
            <w:sz w:val="19"/>
          </w:rPr>
          <w:t xml:space="preserve">Journal</w:t>
        </w:r>
      </w:hyperlink>
      <w:r>
        <w:rPr>
          <w:b w:val="0"/>
          <w:i w:val="0"/>
          <w:sz w:val="19"/>
        </w:rPr>
        <w:t xml:space="preserve"> · </w:t>
      </w:r>
      <w:hyperlink r:id="rId122">
        <w:r>
          <w:rPr>
            <w:color w:val="0563C1"/>
            <w:u w:val="single"/>
            <w:sz w:val="19"/>
          </w:rPr>
          <w:t xml:space="preserve">TMC library</w:t>
        </w:r>
      </w:hyperlink>
    </w:p>
    <w:p>
      <w:pPr>
        <w:spacing w:after="60"/>
      </w:pPr>
      <w:r>
        <w:rPr>
          <w:b/>
          <w:i w:val="0"/>
          <w:sz w:val="19"/>
        </w:rPr>
        <w:t>LCSGJ iCCA 2022</w:t>
      </w:r>
      <w:r>
        <w:rPr>
          <w:b w:val="0"/>
          <w:i w:val="0"/>
          <w:sz w:val="19"/>
        </w:rPr>
        <w:t xml:space="preserve"> — Kubo S, Shinkawa H, Asaoka Y, et al. Liver Cancer Study Group of Japan Clinical Practice Guidelines for Intrahepatic Cholangiocarcinoma. Liver Cancer. 2022;11(4):290-314. doi:10.1159/000522403. PMID:35978598.</w:t>
      </w:r>
      <w:r>
        <w:rPr>
          <w:b w:val="0"/>
          <w:i w:val="0"/>
          <w:sz w:val="19"/>
        </w:rPr>
        <w:t xml:space="preserve">  </w:t>
      </w:r>
      <w:hyperlink r:id="rId123">
        <w:r>
          <w:rPr>
            <w:color w:val="0563C1"/>
            <w:u w:val="single"/>
            <w:sz w:val="19"/>
          </w:rPr>
          <w:t xml:space="preserve">PubMed</w:t>
        </w:r>
      </w:hyperlink>
    </w:p>
    <w:p>
      <w:pPr>
        <w:spacing w:after="60"/>
      </w:pPr>
      <w:r>
        <w:rPr>
          <w:b/>
          <w:i w:val="0"/>
          <w:sz w:val="19"/>
        </w:rPr>
        <w:t>Le Roy 2017 · secondary resection of iCCA</w:t>
      </w:r>
      <w:r>
        <w:rPr>
          <w:b w:val="0"/>
          <w:i w:val="0"/>
          <w:sz w:val="19"/>
        </w:rPr>
        <w:t xml:space="preserve">  </w:t>
      </w:r>
      <w:hyperlink r:id="rId124">
        <w:r>
          <w:rPr>
            <w:color w:val="0563C1"/>
            <w:u w:val="single"/>
            <w:sz w:val="19"/>
          </w:rPr>
          <w:t xml:space="preserve">PubMed</w:t>
        </w:r>
      </w:hyperlink>
      <w:r>
        <w:rPr>
          <w:b w:val="0"/>
          <w:i w:val="0"/>
          <w:sz w:val="19"/>
        </w:rPr>
        <w:t xml:space="preserve"> · </w:t>
      </w:r>
      <w:hyperlink r:id="rId125">
        <w:r>
          <w:rPr>
            <w:color w:val="0563C1"/>
            <w:u w:val="single"/>
            <w:sz w:val="19"/>
          </w:rPr>
          <w:t xml:space="preserve">Journal</w:t>
        </w:r>
      </w:hyperlink>
      <w:r>
        <w:rPr>
          <w:b w:val="0"/>
          <w:i w:val="0"/>
          <w:sz w:val="19"/>
        </w:rPr>
        <w:t xml:space="preserve"> · </w:t>
      </w:r>
      <w:hyperlink r:id="rId126">
        <w:r>
          <w:rPr>
            <w:color w:val="0563C1"/>
            <w:u w:val="single"/>
            <w:sz w:val="19"/>
          </w:rPr>
          <w:t xml:space="preserve">TMC library</w:t>
        </w:r>
      </w:hyperlink>
    </w:p>
    <w:p>
      <w:pPr>
        <w:spacing w:after="60"/>
      </w:pPr>
      <w:r>
        <w:rPr>
          <w:b/>
          <w:i w:val="0"/>
          <w:sz w:val="19"/>
        </w:rPr>
        <w:t>Lunsford 2018 · Houston</w:t>
      </w:r>
      <w:r>
        <w:rPr>
          <w:b w:val="0"/>
          <w:i w:val="0"/>
          <w:sz w:val="19"/>
        </w:rPr>
        <w:t xml:space="preserve"> — Liver transplantation for locally advanced intrahepatic cholangiocarcinoma treated with neoadjuvant therapy: a prospective case-series</w:t>
      </w:r>
      <w:r>
        <w:rPr>
          <w:b w:val="0"/>
          <w:i w:val="0"/>
          <w:sz w:val="19"/>
        </w:rPr>
        <w:t xml:space="preserve">  </w:t>
      </w:r>
      <w:hyperlink r:id="rId127">
        <w:r>
          <w:rPr>
            <w:color w:val="0563C1"/>
            <w:u w:val="single"/>
            <w:sz w:val="19"/>
          </w:rPr>
          <w:t xml:space="preserve">PubMed</w:t>
        </w:r>
      </w:hyperlink>
      <w:r>
        <w:rPr>
          <w:b w:val="0"/>
          <w:i w:val="0"/>
          <w:sz w:val="19"/>
        </w:rPr>
        <w:t xml:space="preserve"> · </w:t>
      </w:r>
      <w:hyperlink r:id="rId128">
        <w:r>
          <w:rPr>
            <w:color w:val="0563C1"/>
            <w:u w:val="single"/>
            <w:sz w:val="19"/>
          </w:rPr>
          <w:t xml:space="preserve">Journal</w:t>
        </w:r>
      </w:hyperlink>
      <w:r>
        <w:rPr>
          <w:b w:val="0"/>
          <w:i w:val="0"/>
          <w:sz w:val="19"/>
        </w:rPr>
        <w:t xml:space="preserve"> · </w:t>
      </w:r>
      <w:hyperlink r:id="rId129">
        <w:r>
          <w:rPr>
            <w:color w:val="0563C1"/>
            <w:u w:val="single"/>
            <w:sz w:val="19"/>
          </w:rPr>
          <w:t xml:space="preserve">TMC library</w:t>
        </w:r>
      </w:hyperlink>
    </w:p>
    <w:p>
      <w:pPr>
        <w:spacing w:after="60"/>
      </w:pPr>
      <w:r>
        <w:rPr>
          <w:b/>
          <w:i w:val="0"/>
          <w:sz w:val="19"/>
        </w:rPr>
        <w:t>Lunsford protocol series</w:t>
      </w:r>
      <w:r>
        <w:rPr>
          <w:b w:val="0"/>
          <w:i w:val="0"/>
          <w:sz w:val="19"/>
        </w:rPr>
        <w:t xml:space="preserve"> — Lunsford KE, et al. Liver transplantation for locally advanced intrahepatic cholangiocarcinoma treated with neoadjuvant therapy: a prospective case-series. Lancet Gastroenterol Hepatol. 2018;3(5):337-348. PMID:29548617.</w:t>
      </w:r>
      <w:r>
        <w:rPr>
          <w:b w:val="0"/>
          <w:i w:val="0"/>
          <w:sz w:val="19"/>
        </w:rPr>
        <w:t xml:space="preserve">  </w:t>
      </w:r>
      <w:hyperlink r:id="rId127">
        <w:r>
          <w:rPr>
            <w:color w:val="0563C1"/>
            <w:u w:val="single"/>
            <w:sz w:val="19"/>
          </w:rPr>
          <w:t xml:space="preserve">PubMed</w:t>
        </w:r>
      </w:hyperlink>
    </w:p>
    <w:p>
      <w:pPr>
        <w:spacing w:after="60"/>
      </w:pPr>
      <w:r>
        <w:rPr>
          <w:b/>
          <w:i w:val="0"/>
          <w:sz w:val="19"/>
        </w:rPr>
        <w:t>Malikowski 2020 · EUS nodal staging</w:t>
      </w:r>
      <w:r>
        <w:rPr>
          <w:b w:val="0"/>
          <w:i w:val="0"/>
          <w:sz w:val="19"/>
        </w:rPr>
        <w:t xml:space="preserve"> — Endoscopic ultrasound/fine needle aspiration is effective for lymph node staging in patients with cholangiocarcinoma</w:t>
      </w:r>
      <w:r>
        <w:rPr>
          <w:b w:val="0"/>
          <w:i w:val="0"/>
          <w:sz w:val="19"/>
        </w:rPr>
        <w:t xml:space="preserve">  </w:t>
      </w:r>
      <w:hyperlink r:id="rId130">
        <w:r>
          <w:rPr>
            <w:color w:val="0563C1"/>
            <w:u w:val="single"/>
            <w:sz w:val="19"/>
          </w:rPr>
          <w:t xml:space="preserve">PubMed</w:t>
        </w:r>
      </w:hyperlink>
      <w:r>
        <w:rPr>
          <w:b w:val="0"/>
          <w:i w:val="0"/>
          <w:sz w:val="19"/>
        </w:rPr>
        <w:t xml:space="preserve"> · </w:t>
      </w:r>
      <w:hyperlink r:id="rId131">
        <w:r>
          <w:rPr>
            <w:color w:val="0563C1"/>
            <w:u w:val="single"/>
            <w:sz w:val="19"/>
          </w:rPr>
          <w:t xml:space="preserve">Journal</w:t>
        </w:r>
      </w:hyperlink>
      <w:r>
        <w:rPr>
          <w:b w:val="0"/>
          <w:i w:val="0"/>
          <w:sz w:val="19"/>
        </w:rPr>
        <w:t xml:space="preserve"> · </w:t>
      </w:r>
      <w:hyperlink r:id="rId132">
        <w:r>
          <w:rPr>
            <w:color w:val="0563C1"/>
            <w:u w:val="single"/>
            <w:sz w:val="19"/>
          </w:rPr>
          <w:t xml:space="preserve">TMC library</w:t>
        </w:r>
      </w:hyperlink>
    </w:p>
    <w:p>
      <w:pPr>
        <w:spacing w:after="60"/>
      </w:pPr>
      <w:r>
        <w:rPr>
          <w:b/>
          <w:i w:val="0"/>
          <w:sz w:val="19"/>
        </w:rPr>
        <w:t>MALRIC primary</w:t>
      </w:r>
      <w:r>
        <w:rPr>
          <w:b w:val="0"/>
          <w:i w:val="0"/>
          <w:sz w:val="19"/>
        </w:rPr>
        <w:t xml:space="preserve"> — Pang L, et al. Microwave ablation versus liver resection for primary intrahepatic cholangiocarcinoma within Milan criteria: a long-term multicenter cohort study (MALRIC). EClinicalMedicine. 2024. doi:10.1016/j.eclinm.2023.102336. PMID:38261915.</w:t>
      </w:r>
      <w:r>
        <w:rPr>
          <w:b w:val="0"/>
          <w:i w:val="0"/>
          <w:sz w:val="19"/>
        </w:rPr>
        <w:t xml:space="preserve">  </w:t>
      </w:r>
      <w:hyperlink r:id="rId133">
        <w:r>
          <w:rPr>
            <w:color w:val="0563C1"/>
            <w:u w:val="single"/>
            <w:sz w:val="19"/>
          </w:rPr>
          <w:t xml:space="preserve">PubMed</w:t>
        </w:r>
      </w:hyperlink>
    </w:p>
    <w:p>
      <w:pPr>
        <w:spacing w:after="60"/>
      </w:pPr>
      <w:r>
        <w:rPr>
          <w:b/>
          <w:i w:val="0"/>
          <w:sz w:val="19"/>
        </w:rPr>
        <w:t>MALRIC recurrent</w:t>
      </w:r>
      <w:r>
        <w:rPr>
          <w:b w:val="0"/>
          <w:i w:val="0"/>
          <w:sz w:val="19"/>
        </w:rPr>
        <w:t xml:space="preserve"> — Pang L, et al. Survival Outcomes of Microwave Ablation Compared with Repeat Liver Resection in the Treatment of Recurrent Intrahepatic Cholangiocarcinoma. Radiology. 2026. doi:10.1148/radiol.243254. PMID:41528222.</w:t>
      </w:r>
      <w:r>
        <w:rPr>
          <w:b w:val="0"/>
          <w:i w:val="0"/>
          <w:sz w:val="19"/>
        </w:rPr>
        <w:t xml:space="preserve">  </w:t>
      </w:r>
      <w:hyperlink r:id="rId134">
        <w:r>
          <w:rPr>
            <w:color w:val="0563C1"/>
            <w:u w:val="single"/>
            <w:sz w:val="19"/>
          </w:rPr>
          <w:t xml:space="preserve">PubMed</w:t>
        </w:r>
      </w:hyperlink>
    </w:p>
    <w:p>
      <w:pPr>
        <w:spacing w:after="60"/>
      </w:pPr>
      <w:r>
        <w:rPr>
          <w:b/>
          <w:i w:val="0"/>
          <w:sz w:val="19"/>
        </w:rPr>
        <w:t>Maspero 2024 · Milan SYS-TARE</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135">
        <w:r>
          <w:rPr>
            <w:color w:val="0563C1"/>
            <w:u w:val="single"/>
            <w:sz w:val="19"/>
          </w:rPr>
          <w:t xml:space="preserve">PubMed</w:t>
        </w:r>
      </w:hyperlink>
      <w:r>
        <w:rPr>
          <w:b w:val="0"/>
          <w:i w:val="0"/>
          <w:sz w:val="19"/>
        </w:rPr>
        <w:t xml:space="preserve"> · </w:t>
      </w:r>
      <w:hyperlink r:id="rId136">
        <w:r>
          <w:rPr>
            <w:color w:val="0563C1"/>
            <w:u w:val="single"/>
            <w:sz w:val="19"/>
          </w:rPr>
          <w:t xml:space="preserve">Journal</w:t>
        </w:r>
      </w:hyperlink>
      <w:r>
        <w:rPr>
          <w:b w:val="0"/>
          <w:i w:val="0"/>
          <w:sz w:val="19"/>
        </w:rPr>
        <w:t xml:space="preserve"> · </w:t>
      </w:r>
      <w:hyperlink r:id="rId137">
        <w:r>
          <w:rPr>
            <w:color w:val="0563C1"/>
            <w:u w:val="single"/>
            <w:sz w:val="19"/>
          </w:rPr>
          <w:t xml:space="preserve">Source</w:t>
        </w:r>
      </w:hyperlink>
      <w:r>
        <w:rPr>
          <w:b w:val="0"/>
          <w:i w:val="0"/>
          <w:sz w:val="19"/>
        </w:rPr>
        <w:t xml:space="preserve"> · </w:t>
      </w:r>
      <w:hyperlink r:id="rId138">
        <w:r>
          <w:rPr>
            <w:color w:val="0563C1"/>
            <w:u w:val="single"/>
            <w:sz w:val="19"/>
          </w:rPr>
          <w:t xml:space="preserve">TMC library</w:t>
        </w:r>
      </w:hyperlink>
    </w:p>
    <w:p>
      <w:pPr>
        <w:spacing w:after="60"/>
      </w:pPr>
      <w:r>
        <w:rPr>
          <w:b/>
          <w:i w:val="0"/>
          <w:sz w:val="19"/>
        </w:rPr>
        <w:t>McMillan 2022 · Houston update</w:t>
      </w:r>
      <w:r>
        <w:rPr>
          <w:b w:val="0"/>
          <w:i w:val="0"/>
          <w:sz w:val="19"/>
        </w:rPr>
        <w:t xml:space="preserve"> — Survival following liver transplantation for locally advanced, unresectable intrahepatic cholangiocarcinoma</w:t>
      </w:r>
      <w:r>
        <w:rPr>
          <w:b w:val="0"/>
          <w:i w:val="0"/>
          <w:sz w:val="19"/>
        </w:rPr>
        <w:t xml:space="preserve">  </w:t>
      </w:r>
      <w:hyperlink r:id="rId139">
        <w:r>
          <w:rPr>
            <w:color w:val="0563C1"/>
            <w:u w:val="single"/>
            <w:sz w:val="19"/>
          </w:rPr>
          <w:t xml:space="preserve">PubMed</w:t>
        </w:r>
      </w:hyperlink>
      <w:r>
        <w:rPr>
          <w:b w:val="0"/>
          <w:i w:val="0"/>
          <w:sz w:val="19"/>
        </w:rPr>
        <w:t xml:space="preserve"> · </w:t>
      </w:r>
      <w:hyperlink r:id="rId140">
        <w:r>
          <w:rPr>
            <w:color w:val="0563C1"/>
            <w:u w:val="single"/>
            <w:sz w:val="19"/>
          </w:rPr>
          <w:t xml:space="preserve">Journal</w:t>
        </w:r>
      </w:hyperlink>
      <w:r>
        <w:rPr>
          <w:b w:val="0"/>
          <w:i w:val="0"/>
          <w:sz w:val="19"/>
        </w:rPr>
        <w:t xml:space="preserve"> · </w:t>
      </w:r>
      <w:hyperlink r:id="rId141">
        <w:r>
          <w:rPr>
            <w:color w:val="0563C1"/>
            <w:u w:val="single"/>
            <w:sz w:val="19"/>
          </w:rPr>
          <w:t xml:space="preserve">TMC library</w:t>
        </w:r>
      </w:hyperlink>
    </w:p>
    <w:p>
      <w:pPr>
        <w:spacing w:after="60"/>
      </w:pPr>
      <w:r>
        <w:rPr>
          <w:b/>
          <w:i w:val="0"/>
          <w:sz w:val="19"/>
        </w:rPr>
        <w:t>Minimum Requirements to Safely Establish and Sustain New Hepatic Arterial Infusion Pump Programs: An International Expert Perspective</w:t>
      </w:r>
      <w:r>
        <w:rPr>
          <w:b w:val="0"/>
          <w:i w:val="0"/>
          <w:sz w:val="19"/>
        </w:rPr>
        <w:t xml:space="preserve"> — Minimum Requirements to Safely Establish and Sustain New Hepatic Arterial Infusion Pump Programs: An International Expert Perspective. DOI: 10.1245/s10434-025-17009-1. PMID: 39962001.</w:t>
      </w:r>
      <w:r>
        <w:rPr>
          <w:b w:val="0"/>
          <w:i w:val="0"/>
          <w:sz w:val="19"/>
        </w:rPr>
        <w:t xml:space="preserve">  </w:t>
      </w:r>
      <w:hyperlink r:id="rId142">
        <w:r>
          <w:rPr>
            <w:color w:val="0563C1"/>
            <w:u w:val="single"/>
            <w:sz w:val="19"/>
          </w:rPr>
          <w:t xml:space="preserve">PubMed</w:t>
        </w:r>
      </w:hyperlink>
    </w:p>
    <w:p>
      <w:pPr>
        <w:spacing w:after="60"/>
      </w:pPr>
      <w:r>
        <w:rPr>
          <w:b/>
          <w:i w:val="0"/>
          <w:sz w:val="19"/>
        </w:rPr>
        <w:t>MISPHEC</w:t>
      </w:r>
      <w:r>
        <w:rPr>
          <w:b w:val="0"/>
          <w:i w:val="0"/>
          <w:sz w:val="19"/>
        </w:rPr>
        <w:t xml:space="preserve"> — Edeline J, et al. Radioembolization Plus Chemotherapy for First-line Treatment of Locally Advanced Intrahepatic Cholangiocarcinoma: A Phase 2 Clinical Trial (MISPHEC). JAMA Oncol. 2020;6(1):51-59. doi:10.1001/jamaoncol.2019.3702. PMID:31670746.</w:t>
      </w:r>
      <w:r>
        <w:rPr>
          <w:b w:val="0"/>
          <w:i w:val="0"/>
          <w:sz w:val="19"/>
        </w:rPr>
        <w:t xml:space="preserve">  </w:t>
      </w:r>
      <w:hyperlink r:id="rId143">
        <w:r>
          <w:rPr>
            <w:color w:val="0563C1"/>
            <w:u w:val="single"/>
            <w:sz w:val="19"/>
          </w:rPr>
          <w:t xml:space="preserve">PubMed</w:t>
        </w:r>
      </w:hyperlink>
    </w:p>
    <w:p>
      <w:pPr>
        <w:spacing w:after="60"/>
      </w:pPr>
      <w:r>
        <w:rPr>
          <w:b/>
          <w:i w:val="0"/>
          <w:sz w:val="19"/>
        </w:rPr>
        <w:t>Murakami 2025 · conversion surgery for BTC</w:t>
      </w:r>
      <w:r>
        <w:rPr>
          <w:b w:val="0"/>
          <w:i w:val="0"/>
          <w:sz w:val="19"/>
        </w:rPr>
        <w:t xml:space="preserve">  </w:t>
      </w:r>
      <w:hyperlink r:id="rId144">
        <w:r>
          <w:rPr>
            <w:color w:val="0563C1"/>
            <w:u w:val="single"/>
            <w:sz w:val="19"/>
          </w:rPr>
          <w:t xml:space="preserve">PubMed</w:t>
        </w:r>
      </w:hyperlink>
      <w:r>
        <w:rPr>
          <w:b w:val="0"/>
          <w:i w:val="0"/>
          <w:sz w:val="19"/>
        </w:rPr>
        <w:t xml:space="preserve"> · </w:t>
      </w:r>
      <w:hyperlink r:id="rId145">
        <w:r>
          <w:rPr>
            <w:color w:val="0563C1"/>
            <w:u w:val="single"/>
            <w:sz w:val="19"/>
          </w:rPr>
          <w:t xml:space="preserve">Journal</w:t>
        </w:r>
      </w:hyperlink>
      <w:r>
        <w:rPr>
          <w:b w:val="0"/>
          <w:i w:val="0"/>
          <w:sz w:val="19"/>
        </w:rPr>
        <w:t xml:space="preserve"> · </w:t>
      </w:r>
      <w:hyperlink r:id="rId146">
        <w:r>
          <w:rPr>
            <w:color w:val="0563C1"/>
            <w:u w:val="single"/>
            <w:sz w:val="19"/>
          </w:rPr>
          <w:t xml:space="preserve">Free full text</w:t>
        </w:r>
      </w:hyperlink>
      <w:r>
        <w:rPr>
          <w:b w:val="0"/>
          <w:i w:val="0"/>
          <w:sz w:val="19"/>
        </w:rPr>
        <w:t xml:space="preserve"> · </w:t>
      </w:r>
      <w:hyperlink r:id="rId147">
        <w:r>
          <w:rPr>
            <w:color w:val="0563C1"/>
            <w:u w:val="single"/>
            <w:sz w:val="19"/>
          </w:rPr>
          <w:t xml:space="preserve">TMC library</w:t>
        </w:r>
      </w:hyperlink>
    </w:p>
    <w:p>
      <w:pPr>
        <w:spacing w:after="60"/>
      </w:pPr>
      <w:r>
        <w:rPr>
          <w:b/>
          <w:i w:val="0"/>
          <w:sz w:val="19"/>
        </w:rPr>
        <w:t>NCCN BTC v1.2026</w:t>
      </w:r>
      <w:r>
        <w:rPr>
          <w:b w:val="0"/>
          <w:i w:val="0"/>
          <w:sz w:val="19"/>
        </w:rPr>
        <w:t xml:space="preserve"> — National Comprehensive Cancer Network. Biliary Tract Cancers. NCCN Clinical Practice Guidelines in Oncology. Version 1.2026, 10 March 2026. Original PDF page locations are cited in the roadmap's NCCN decision rows (INTRA-1, INTRA-A, INTRA-D, BIL-A to BIL-D).</w:t>
      </w:r>
      <w:r>
        <w:rPr>
          <w:b w:val="0"/>
          <w:i w:val="0"/>
          <w:sz w:val="19"/>
        </w:rPr>
        <w:t xml:space="preserve">  </w:t>
      </w:r>
      <w:hyperlink r:id="rId148">
        <w:r>
          <w:rPr>
            <w:color w:val="0563C1"/>
            <w:u w:val="single"/>
            <w:sz w:val="19"/>
          </w:rPr>
          <w:t xml:space="preserve">Source</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149">
        <w:r>
          <w:rPr>
            <w:color w:val="0563C1"/>
            <w:u w:val="single"/>
            <w:sz w:val="19"/>
          </w:rPr>
          <w:t xml:space="preserve">Source</w:t>
        </w:r>
      </w:hyperlink>
    </w:p>
    <w:p>
      <w:pPr>
        <w:spacing w:after="60"/>
      </w:pPr>
      <w:r>
        <w:rPr>
          <w:b/>
          <w:i w:val="0"/>
          <w:sz w:val="19"/>
        </w:rPr>
        <w:t>NLRB · iCCA</w:t>
      </w:r>
      <w:r>
        <w:rPr>
          <w:b w:val="0"/>
          <w:i w:val="0"/>
          <w:sz w:val="19"/>
        </w:rPr>
        <w:t xml:space="preserve"> — Adult MELD exception review guidance — iCCA / mixed HCC-iCCA</w:t>
      </w:r>
      <w:r>
        <w:rPr>
          <w:b w:val="0"/>
          <w:i w:val="0"/>
          <w:sz w:val="19"/>
        </w:rPr>
        <w:t xml:space="preserve">  </w:t>
      </w:r>
      <w:hyperlink r:id="rId150">
        <w:r>
          <w:rPr>
            <w:color w:val="0563C1"/>
            <w:u w:val="single"/>
            <w:sz w:val="19"/>
          </w:rPr>
          <w:t xml:space="preserve">Source</w:t>
        </w:r>
      </w:hyperlink>
    </w:p>
    <w:p>
      <w:pPr>
        <w:spacing w:after="60"/>
      </w:pPr>
      <w:r>
        <w:rPr>
          <w:b/>
          <w:i w:val="0"/>
          <w:sz w:val="19"/>
        </w:rPr>
        <w:t>Oh 2025</w:t>
      </w:r>
      <w:r>
        <w:rPr>
          <w:b w:val="0"/>
          <w:i w:val="0"/>
          <w:sz w:val="19"/>
        </w:rPr>
        <w:t xml:space="preserve"> — Durvalumab plus chemotherapy in advanced biliary tract cancer: 3-year overall survival update from the phase III TOPAZ-1 study</w:t>
      </w:r>
      <w:r>
        <w:rPr>
          <w:b w:val="0"/>
          <w:i w:val="0"/>
          <w:sz w:val="19"/>
        </w:rPr>
        <w:t xml:space="preserve">  </w:t>
      </w:r>
      <w:hyperlink r:id="rId151">
        <w:r>
          <w:rPr>
            <w:color w:val="0563C1"/>
            <w:u w:val="single"/>
            <w:sz w:val="19"/>
          </w:rPr>
          <w:t xml:space="preserve">PubMed</w:t>
        </w:r>
      </w:hyperlink>
      <w:r>
        <w:rPr>
          <w:b w:val="0"/>
          <w:i w:val="0"/>
          <w:sz w:val="19"/>
        </w:rPr>
        <w:t xml:space="preserve"> · </w:t>
      </w:r>
      <w:hyperlink r:id="rId152">
        <w:r>
          <w:rPr>
            <w:color w:val="0563C1"/>
            <w:u w:val="single"/>
            <w:sz w:val="19"/>
          </w:rPr>
          <w:t xml:space="preserve">Journal</w:t>
        </w:r>
      </w:hyperlink>
      <w:r>
        <w:rPr>
          <w:b w:val="0"/>
          <w:i w:val="0"/>
          <w:sz w:val="19"/>
        </w:rPr>
        <w:t xml:space="preserve"> · </w:t>
      </w:r>
      <w:hyperlink r:id="rId153">
        <w:r>
          <w:rPr>
            <w:color w:val="0563C1"/>
            <w:u w:val="single"/>
            <w:sz w:val="19"/>
          </w:rPr>
          <w:t xml:space="preserve">Source</w:t>
        </w:r>
      </w:hyperlink>
      <w:r>
        <w:rPr>
          <w:b w:val="0"/>
          <w:i w:val="0"/>
          <w:sz w:val="19"/>
        </w:rPr>
        <w:t xml:space="preserve"> · </w:t>
      </w:r>
      <w:hyperlink r:id="rId154">
        <w:r>
          <w:rPr>
            <w:color w:val="0563C1"/>
            <w:u w:val="single"/>
            <w:sz w:val="19"/>
          </w:rPr>
          <w:t xml:space="preserve">TMC library</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155">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156">
        <w:r>
          <w:rPr>
            <w:color w:val="0563C1"/>
            <w:u w:val="single"/>
            <w:sz w:val="19"/>
          </w:rPr>
          <w:t xml:space="preserve">Source</w:t>
        </w:r>
      </w:hyperlink>
    </w:p>
    <w:p>
      <w:pPr>
        <w:spacing w:after="60"/>
      </w:pPr>
      <w:r>
        <w:rPr>
          <w:b/>
          <w:i w:val="0"/>
          <w:sz w:val="19"/>
        </w:rPr>
        <w:t>OPTN transplant-oncology guidance</w:t>
      </w:r>
      <w:r>
        <w:rPr>
          <w:b w:val="0"/>
          <w:i w:val="0"/>
          <w:sz w:val="19"/>
        </w:rPr>
        <w:t xml:space="preserve"> — Organ Procurement and Transplantation Network, Liver and Intestinal Organ Transplantation Committee. Guidance to Liver Transplant Programs and the National Liver Review Board for: Adult MELD Exceptions for Transplant Oncology. December 2025. Review-board guidance, not OPTN policy and not a clinical practice guideline; adult transplant-oncology guidance pp7–8.</w:t>
      </w:r>
      <w:r>
        <w:rPr>
          <w:b w:val="0"/>
          <w:i w:val="0"/>
          <w:sz w:val="19"/>
        </w:rPr>
        <w:t xml:space="preserve">  </w:t>
      </w:r>
      <w:hyperlink r:id="rId149">
        <w:r>
          <w:rPr>
            <w:color w:val="0563C1"/>
            <w:u w:val="single"/>
            <w:sz w:val="19"/>
          </w:rPr>
          <w:t xml:space="preserve">Source</w:t>
        </w:r>
      </w:hyperlink>
    </w:p>
    <w:p>
      <w:pPr>
        <w:spacing w:after="60"/>
      </w:pPr>
      <w:r>
        <w:rPr>
          <w:b/>
          <w:i w:val="0"/>
          <w:sz w:val="19"/>
        </w:rPr>
        <w:t>PUMP-2</w:t>
      </w:r>
      <w:r>
        <w:rPr>
          <w:b w:val="0"/>
          <w:i w:val="0"/>
          <w:sz w:val="19"/>
        </w:rPr>
        <w:t xml:space="preserve"> — Hepatic Arterial Infusion Pump Chemotherapy in Patients With Unresectable Intrahepatic Cholangiocarcinoma-PUMP-2 Trial. DOI: 10.1200/JCO-25-00923. PMID: 41082695.</w:t>
      </w:r>
      <w:r>
        <w:rPr>
          <w:b w:val="0"/>
          <w:i w:val="0"/>
          <w:sz w:val="19"/>
        </w:rPr>
        <w:t xml:space="preserve">  </w:t>
      </w:r>
      <w:hyperlink r:id="rId157">
        <w:r>
          <w:rPr>
            <w:color w:val="0563C1"/>
            <w:u w:val="single"/>
            <w:sz w:val="19"/>
          </w:rPr>
          <w:t xml:space="preserve">PubMed</w:t>
        </w:r>
      </w:hyperlink>
    </w:p>
    <w:p>
      <w:pPr>
        <w:spacing w:after="60"/>
      </w:pPr>
      <w:r>
        <w:rPr>
          <w:b/>
          <w:i w:val="0"/>
          <w:sz w:val="19"/>
        </w:rPr>
        <w:t>PUMP-2</w:t>
      </w:r>
      <w:r>
        <w:rPr>
          <w:b w:val="0"/>
          <w:i w:val="0"/>
          <w:sz w:val="19"/>
        </w:rPr>
        <w:t xml:space="preserve"> — Hepatic Arterial Infusion Pump Chemotherapy in Patients With Unresectable Intrahepatic Cholangiocarcinoma-PUMP-2 Trial</w:t>
      </w:r>
      <w:r>
        <w:rPr>
          <w:b w:val="0"/>
          <w:i w:val="0"/>
          <w:sz w:val="19"/>
        </w:rPr>
        <w:t xml:space="preserve">  </w:t>
      </w:r>
      <w:hyperlink r:id="rId157">
        <w:r>
          <w:rPr>
            <w:color w:val="0563C1"/>
            <w:u w:val="single"/>
            <w:sz w:val="19"/>
          </w:rPr>
          <w:t xml:space="preserve">PubMed</w:t>
        </w:r>
      </w:hyperlink>
      <w:r>
        <w:rPr>
          <w:b w:val="0"/>
          <w:i w:val="0"/>
          <w:sz w:val="19"/>
        </w:rPr>
        <w:t xml:space="preserve"> · </w:t>
      </w:r>
      <w:hyperlink r:id="rId158">
        <w:r>
          <w:rPr>
            <w:color w:val="0563C1"/>
            <w:u w:val="single"/>
            <w:sz w:val="19"/>
          </w:rPr>
          <w:t xml:space="preserve">Journal</w:t>
        </w:r>
      </w:hyperlink>
      <w:r>
        <w:rPr>
          <w:b w:val="0"/>
          <w:i w:val="0"/>
          <w:sz w:val="19"/>
        </w:rPr>
        <w:t xml:space="preserve"> · </w:t>
      </w:r>
      <w:hyperlink r:id="rId159">
        <w:r>
          <w:rPr>
            <w:color w:val="0563C1"/>
            <w:u w:val="single"/>
            <w:sz w:val="19"/>
          </w:rPr>
          <w:t xml:space="preserve">TMC library</w:t>
        </w:r>
      </w:hyperlink>
    </w:p>
    <w:p>
      <w:pPr>
        <w:spacing w:after="60"/>
      </w:pPr>
      <w:r>
        <w:rPr>
          <w:b/>
          <w:i w:val="0"/>
          <w:sz w:val="19"/>
        </w:rPr>
        <w:t>Rimini 2026 · locally advanced BTC</w:t>
      </w:r>
      <w:r>
        <w:rPr>
          <w:b w:val="0"/>
          <w:i w:val="0"/>
          <w:sz w:val="19"/>
        </w:rPr>
        <w:t xml:space="preserve">  </w:t>
      </w:r>
      <w:hyperlink r:id="rId160">
        <w:r>
          <w:rPr>
            <w:color w:val="0563C1"/>
            <w:u w:val="single"/>
            <w:sz w:val="19"/>
          </w:rPr>
          <w:t xml:space="preserve">PubMed</w:t>
        </w:r>
      </w:hyperlink>
      <w:r>
        <w:rPr>
          <w:b w:val="0"/>
          <w:i w:val="0"/>
          <w:sz w:val="19"/>
        </w:rPr>
        <w:t xml:space="preserve"> · </w:t>
      </w:r>
      <w:hyperlink r:id="rId161">
        <w:r>
          <w:rPr>
            <w:color w:val="0563C1"/>
            <w:u w:val="single"/>
            <w:sz w:val="19"/>
          </w:rPr>
          <w:t xml:space="preserve">Journal</w:t>
        </w:r>
      </w:hyperlink>
      <w:r>
        <w:rPr>
          <w:b w:val="0"/>
          <w:i w:val="0"/>
          <w:sz w:val="19"/>
        </w:rPr>
        <w:t xml:space="preserve"> · </w:t>
      </w:r>
      <w:hyperlink r:id="rId162">
        <w:r>
          <w:rPr>
            <w:color w:val="0563C1"/>
            <w:u w:val="single"/>
            <w:sz w:val="19"/>
          </w:rPr>
          <w:t xml:space="preserve">TMC library</w:t>
        </w:r>
      </w:hyperlink>
    </w:p>
    <w:p>
      <w:pPr>
        <w:spacing w:after="60"/>
      </w:pPr>
      <w:r>
        <w:rPr>
          <w:b/>
          <w:i w:val="0"/>
          <w:sz w:val="19"/>
        </w:rPr>
        <w:t>Sapisochin 2016 · very early iCCA</w:t>
      </w:r>
      <w:r>
        <w:rPr>
          <w:b w:val="0"/>
          <w:i w:val="0"/>
          <w:sz w:val="19"/>
        </w:rPr>
        <w:t xml:space="preserve"> — Liver transplantation for "very early" intrahepatic cholangiocarcinoma: International retrospective study supporting a prospective assessment</w:t>
      </w:r>
      <w:r>
        <w:rPr>
          <w:b w:val="0"/>
          <w:i w:val="0"/>
          <w:sz w:val="19"/>
        </w:rPr>
        <w:t xml:space="preserve">  </w:t>
      </w:r>
      <w:hyperlink r:id="rId163">
        <w:r>
          <w:rPr>
            <w:color w:val="0563C1"/>
            <w:u w:val="single"/>
            <w:sz w:val="19"/>
          </w:rPr>
          <w:t xml:space="preserve">PubMed</w:t>
        </w:r>
      </w:hyperlink>
      <w:r>
        <w:rPr>
          <w:b w:val="0"/>
          <w:i w:val="0"/>
          <w:sz w:val="19"/>
        </w:rPr>
        <w:t xml:space="preserve"> · </w:t>
      </w:r>
      <w:hyperlink r:id="rId164">
        <w:r>
          <w:rPr>
            <w:color w:val="0563C1"/>
            <w:u w:val="single"/>
            <w:sz w:val="19"/>
          </w:rPr>
          <w:t xml:space="preserve">Journal</w:t>
        </w:r>
      </w:hyperlink>
      <w:r>
        <w:rPr>
          <w:b w:val="0"/>
          <w:i w:val="0"/>
          <w:sz w:val="19"/>
        </w:rPr>
        <w:t xml:space="preserve"> · </w:t>
      </w:r>
      <w:hyperlink r:id="rId165">
        <w:r>
          <w:rPr>
            <w:color w:val="0563C1"/>
            <w:u w:val="single"/>
            <w:sz w:val="19"/>
          </w:rPr>
          <w:t xml:space="preserve">TMC library</w:t>
        </w:r>
      </w:hyperlink>
    </w:p>
    <w:p>
      <w:pPr>
        <w:spacing w:after="60"/>
      </w:pPr>
      <w:r>
        <w:rPr>
          <w:b/>
          <w:i w:val="0"/>
          <w:sz w:val="19"/>
        </w:rPr>
        <w:t>Sapisochin very early iCCA</w:t>
      </w:r>
      <w:r>
        <w:rPr>
          <w:b w:val="0"/>
          <w:i w:val="0"/>
          <w:sz w:val="19"/>
        </w:rPr>
        <w:t xml:space="preserve"> — Sapisochin G, Facciuto M, Rubbia-Brandt L, et al. Liver transplantation for "very early" intrahepatic cholangiocarcinoma: International retrospective study supporting a prospective assessment. Hepatology. 2016;64(4):1178-1188. doi:10.1002/hep.28744. PMID:27481548.</w:t>
      </w:r>
      <w:r>
        <w:rPr>
          <w:b w:val="0"/>
          <w:i w:val="0"/>
          <w:sz w:val="19"/>
        </w:rPr>
        <w:t xml:space="preserve">  </w:t>
      </w:r>
      <w:hyperlink r:id="rId163">
        <w:r>
          <w:rPr>
            <w:color w:val="0563C1"/>
            <w:u w:val="single"/>
            <w:sz w:val="19"/>
          </w:rPr>
          <w:t xml:space="preserve">PubMed</w:t>
        </w:r>
      </w:hyperlink>
    </w:p>
    <w:p>
      <w:pPr>
        <w:spacing w:after="60"/>
      </w:pPr>
      <w:r>
        <w:rPr>
          <w:b/>
          <w:i w:val="0"/>
          <w:sz w:val="19"/>
        </w:rPr>
        <w:t>Schleimer 2026 · non-LT comparator</w:t>
      </w:r>
      <w:r>
        <w:rPr>
          <w:b w:val="0"/>
          <w:i w:val="0"/>
          <w:sz w:val="19"/>
        </w:rPr>
        <w:t xml:space="preserve"> — Eligibility for Liver Transplantation in Patients with Intrahepatic Cholangiocarcinoma</w:t>
      </w:r>
      <w:r>
        <w:rPr>
          <w:b w:val="0"/>
          <w:i w:val="0"/>
          <w:sz w:val="19"/>
        </w:rPr>
        <w:t xml:space="preserve">  </w:t>
      </w:r>
      <w:hyperlink r:id="rId166">
        <w:r>
          <w:rPr>
            <w:color w:val="0563C1"/>
            <w:u w:val="single"/>
            <w:sz w:val="19"/>
          </w:rPr>
          <w:t xml:space="preserve">PubMed</w:t>
        </w:r>
      </w:hyperlink>
      <w:r>
        <w:rPr>
          <w:b w:val="0"/>
          <w:i w:val="0"/>
          <w:sz w:val="19"/>
        </w:rPr>
        <w:t xml:space="preserve"> · </w:t>
      </w:r>
      <w:hyperlink r:id="rId167">
        <w:r>
          <w:rPr>
            <w:color w:val="0563C1"/>
            <w:u w:val="single"/>
            <w:sz w:val="19"/>
          </w:rPr>
          <w:t xml:space="preserve">Journal</w:t>
        </w:r>
      </w:hyperlink>
      <w:r>
        <w:rPr>
          <w:b w:val="0"/>
          <w:i w:val="0"/>
          <w:sz w:val="19"/>
        </w:rPr>
        <w:t xml:space="preserve"> · </w:t>
      </w:r>
      <w:hyperlink r:id="rId168">
        <w:r>
          <w:rPr>
            <w:color w:val="0563C1"/>
            <w:u w:val="single"/>
            <w:sz w:val="19"/>
          </w:rPr>
          <w:t xml:space="preserve">TMC library</w:t>
        </w:r>
      </w:hyperlink>
    </w:p>
    <w:p>
      <w:pPr>
        <w:spacing w:after="60"/>
      </w:pPr>
      <w:r>
        <w:rPr>
          <w:b/>
          <w:i w:val="0"/>
          <w:sz w:val="19"/>
        </w:rPr>
        <w:t>Sethi 2026 · iCCA LDLT</w:t>
      </w:r>
      <w:r>
        <w:rPr>
          <w:b w:val="0"/>
          <w:i w:val="0"/>
          <w:sz w:val="19"/>
        </w:rPr>
        <w:t xml:space="preserve"> — Outcomes after living donor liver transplant for intrahepatic cholangiocarcinoma</w:t>
      </w:r>
      <w:r>
        <w:rPr>
          <w:b w:val="0"/>
          <w:i w:val="0"/>
          <w:sz w:val="19"/>
        </w:rPr>
        <w:t xml:space="preserve">  </w:t>
      </w:r>
      <w:hyperlink r:id="rId169">
        <w:r>
          <w:rPr>
            <w:color w:val="0563C1"/>
            <w:u w:val="single"/>
            <w:sz w:val="19"/>
          </w:rPr>
          <w:t xml:space="preserve">PubMed</w:t>
        </w:r>
      </w:hyperlink>
      <w:r>
        <w:rPr>
          <w:b w:val="0"/>
          <w:i w:val="0"/>
          <w:sz w:val="19"/>
        </w:rPr>
        <w:t xml:space="preserve"> · </w:t>
      </w:r>
      <w:hyperlink r:id="rId170">
        <w:r>
          <w:rPr>
            <w:color w:val="0563C1"/>
            <w:u w:val="single"/>
            <w:sz w:val="19"/>
          </w:rPr>
          <w:t xml:space="preserve">Journal</w:t>
        </w:r>
      </w:hyperlink>
      <w:r>
        <w:rPr>
          <w:b w:val="0"/>
          <w:i w:val="0"/>
          <w:sz w:val="19"/>
        </w:rPr>
        <w:t xml:space="preserve"> · </w:t>
      </w:r>
      <w:hyperlink r:id="rId171">
        <w:r>
          <w:rPr>
            <w:color w:val="0563C1"/>
            <w:u w:val="single"/>
            <w:sz w:val="19"/>
          </w:rPr>
          <w:t xml:space="preserve">TMC library</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135">
        <w:r>
          <w:rPr>
            <w:color w:val="0563C1"/>
            <w:u w:val="single"/>
            <w:sz w:val="19"/>
          </w:rPr>
          <w:t xml:space="preserve">PubMed</w:t>
        </w:r>
      </w:hyperlink>
      <w:r>
        <w:rPr>
          <w:b w:val="0"/>
          <w:i w:val="0"/>
          <w:sz w:val="19"/>
        </w:rPr>
        <w:t xml:space="preserve"> · </w:t>
      </w:r>
      <w:hyperlink r:id="rId136">
        <w:r>
          <w:rPr>
            <w:color w:val="0563C1"/>
            <w:u w:val="single"/>
            <w:sz w:val="19"/>
          </w:rPr>
          <w:t xml:space="preserve">Journal</w:t>
        </w:r>
      </w:hyperlink>
      <w:r>
        <w:rPr>
          <w:b w:val="0"/>
          <w:i w:val="0"/>
          <w:sz w:val="19"/>
        </w:rPr>
        <w:t xml:space="preserve"> · </w:t>
      </w:r>
      <w:hyperlink r:id="rId172">
        <w:r>
          <w:rPr>
            <w:color w:val="0563C1"/>
            <w:u w:val="single"/>
            <w:sz w:val="19"/>
          </w:rPr>
          <w:t xml:space="preserve">Free full text</w:t>
        </w:r>
      </w:hyperlink>
      <w:r>
        <w:rPr>
          <w:b w:val="0"/>
          <w:i w:val="0"/>
          <w:sz w:val="19"/>
        </w:rPr>
        <w:t xml:space="preserve"> · </w:t>
      </w:r>
      <w:hyperlink r:id="rId137">
        <w:r>
          <w:rPr>
            <w:color w:val="0563C1"/>
            <w:u w:val="single"/>
            <w:sz w:val="19"/>
          </w:rPr>
          <w:t xml:space="preserve">Source</w:t>
        </w:r>
      </w:hyperlink>
      <w:r>
        <w:rPr>
          <w:b w:val="0"/>
          <w:i w:val="0"/>
          <w:sz w:val="19"/>
        </w:rPr>
        <w:t xml:space="preserve"> · </w:t>
      </w:r>
      <w:hyperlink r:id="rId138">
        <w:r>
          <w:rPr>
            <w:color w:val="0563C1"/>
            <w:u w:val="single"/>
            <w:sz w:val="19"/>
          </w:rPr>
          <w:t xml:space="preserve">TMC library</w:t>
        </w:r>
      </w:hyperlink>
    </w:p>
    <w:p>
      <w:pPr>
        <w:spacing w:after="60"/>
      </w:pPr>
      <w:r>
        <w:rPr>
          <w:b/>
          <w:i w:val="0"/>
          <w:sz w:val="19"/>
        </w:rPr>
        <w:t>Tao dose-response</w:t>
      </w:r>
      <w:r>
        <w:rPr>
          <w:b w:val="0"/>
          <w:i w:val="0"/>
          <w:sz w:val="19"/>
        </w:rPr>
        <w:t xml:space="preserve"> — Tao R, et al. Ablative Radiotherapy Doses Lead to a Substantial Prolongation of Survival in Patients With Inoperable Intrahepatic Cholangiocarcinoma: A Retrospective Dose Response Analysis. J Clin Oncol. 2016;34(3):219-226. doi:10.1200/JCO.2015.61.3778. PMID:26503201.</w:t>
      </w:r>
      <w:r>
        <w:rPr>
          <w:b w:val="0"/>
          <w:i w:val="0"/>
          <w:sz w:val="19"/>
        </w:rPr>
        <w:t xml:space="preserve">  </w:t>
      </w:r>
      <w:hyperlink r:id="rId173">
        <w:r>
          <w:rPr>
            <w:color w:val="0563C1"/>
            <w:u w:val="single"/>
            <w:sz w:val="19"/>
          </w:rPr>
          <w:t xml:space="preserve">PubMed</w:t>
        </w:r>
      </w:hyperlink>
    </w:p>
    <w:p>
      <w:pPr>
        <w:spacing w:after="60"/>
      </w:pPr>
      <w:r>
        <w:rPr>
          <w:b/>
          <w:i w:val="0"/>
          <w:sz w:val="19"/>
        </w:rPr>
        <w:t>TOPAZ-1</w:t>
      </w:r>
      <w:r>
        <w:rPr>
          <w:b w:val="0"/>
          <w:i w:val="0"/>
          <w:sz w:val="19"/>
        </w:rPr>
        <w:t xml:space="preserve"> — Oh DY, Ruth He A, Qin S, et al. Durvalumab plus Gemcitabine and Cisplatin in Advanced Biliary Tract Cancer. NEJM Evid. 2022;1(8):EVIDoa2200015. doi:10.1056/EVIDoa2200015. PMID:38319896.</w:t>
      </w:r>
      <w:r>
        <w:rPr>
          <w:b w:val="0"/>
          <w:i w:val="0"/>
          <w:sz w:val="19"/>
        </w:rPr>
        <w:t xml:space="preserve">  </w:t>
      </w:r>
      <w:hyperlink r:id="rId174">
        <w:r>
          <w:rPr>
            <w:color w:val="0563C1"/>
            <w:u w:val="single"/>
            <w:sz w:val="19"/>
          </w:rPr>
          <w:t xml:space="preserve">PubMed</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175">
        <w:r>
          <w:rPr>
            <w:color w:val="0563C1"/>
            <w:u w:val="single"/>
            <w:sz w:val="19"/>
          </w:rPr>
          <w:t xml:space="preserve">PubMed</w:t>
        </w:r>
      </w:hyperlink>
      <w:r>
        <w:rPr>
          <w:b w:val="0"/>
          <w:i w:val="0"/>
          <w:sz w:val="19"/>
        </w:rPr>
        <w:t xml:space="preserve"> · </w:t>
      </w:r>
      <w:hyperlink r:id="rId176">
        <w:r>
          <w:rPr>
            <w:color w:val="0563C1"/>
            <w:u w:val="single"/>
            <w:sz w:val="19"/>
          </w:rPr>
          <w:t xml:space="preserve">Journal</w:t>
        </w:r>
      </w:hyperlink>
      <w:r>
        <w:rPr>
          <w:b w:val="0"/>
          <w:i w:val="0"/>
          <w:sz w:val="19"/>
        </w:rPr>
        <w:t xml:space="preserve"> · </w:t>
      </w:r>
      <w:hyperlink r:id="rId177">
        <w:r>
          <w:rPr>
            <w:color w:val="0563C1"/>
            <w:u w:val="single"/>
            <w:sz w:val="19"/>
          </w:rPr>
          <w:t xml:space="preserve">TMC library</w:t>
        </w:r>
      </w:hyperlink>
    </w:p>
    <w:p>
      <w:pPr>
        <w:spacing w:after="60"/>
      </w:pPr>
      <w:r>
        <w:rPr>
          <w:b/>
          <w:i w:val="0"/>
          <w:sz w:val="19"/>
        </w:rPr>
        <w:t>Very-early iCCA</w:t>
      </w:r>
      <w:r>
        <w:rPr>
          <w:b w:val="0"/>
          <w:i w:val="0"/>
          <w:sz w:val="19"/>
        </w:rPr>
        <w:t xml:space="preserve"> — Liver transplantation for very early iCCA: international retrospective study</w:t>
      </w:r>
      <w:r>
        <w:rPr>
          <w:b w:val="0"/>
          <w:i w:val="0"/>
          <w:sz w:val="19"/>
        </w:rPr>
        <w:t xml:space="preserve">  </w:t>
      </w:r>
      <w:hyperlink r:id="rId164">
        <w:r>
          <w:rPr>
            <w:color w:val="0563C1"/>
            <w:u w:val="single"/>
            <w:sz w:val="19"/>
          </w:rPr>
          <w:t xml:space="preserve">Source</w:t>
        </w:r>
      </w:hyperlink>
    </w:p>
    <w:p>
      <w:pPr>
        <w:spacing w:after="60"/>
      </w:pPr>
      <w:r>
        <w:rPr>
          <w:b/>
          <w:i w:val="0"/>
          <w:sz w:val="19"/>
        </w:rPr>
        <w:t>Wong 2019 · downstaging pilot</w:t>
      </w:r>
      <w:r>
        <w:rPr>
          <w:b w:val="0"/>
          <w:i w:val="0"/>
          <w:sz w:val="19"/>
        </w:rPr>
        <w:t xml:space="preserve"> — Downstaging locally advanced cholangiocarcinoma pre-liver transplantation: a prospective pilot study</w:t>
      </w:r>
      <w:r>
        <w:rPr>
          <w:b w:val="0"/>
          <w:i w:val="0"/>
          <w:sz w:val="19"/>
        </w:rPr>
        <w:t xml:space="preserve">  </w:t>
      </w:r>
      <w:hyperlink r:id="rId178">
        <w:r>
          <w:rPr>
            <w:color w:val="0563C1"/>
            <w:u w:val="single"/>
            <w:sz w:val="19"/>
          </w:rPr>
          <w:t xml:space="preserve">PubMed</w:t>
        </w:r>
      </w:hyperlink>
      <w:r>
        <w:rPr>
          <w:b w:val="0"/>
          <w:i w:val="0"/>
          <w:sz w:val="19"/>
        </w:rPr>
        <w:t xml:space="preserve"> · </w:t>
      </w:r>
      <w:hyperlink r:id="rId179">
        <w:r>
          <w:rPr>
            <w:color w:val="0563C1"/>
            <w:u w:val="single"/>
            <w:sz w:val="19"/>
          </w:rPr>
          <w:t xml:space="preserve">Journal</w:t>
        </w:r>
      </w:hyperlink>
      <w:r>
        <w:rPr>
          <w:b w:val="0"/>
          <w:i w:val="0"/>
          <w:sz w:val="19"/>
        </w:rPr>
        <w:t xml:space="preserve"> · </w:t>
      </w:r>
      <w:hyperlink r:id="rId180">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181">
        <w:r>
          <w:rPr>
            <w:color w:val="0563C1"/>
            <w:u w:val="single"/>
            <w:sz w:val="19"/>
          </w:rPr>
          <w:t xml:space="preserve">PubMed</w:t>
        </w:r>
      </w:hyperlink>
      <w:r>
        <w:rPr>
          <w:b w:val="0"/>
          <w:i w:val="0"/>
          <w:sz w:val="19"/>
        </w:rPr>
        <w:t xml:space="preserve"> · </w:t>
      </w:r>
      <w:hyperlink r:id="rId182">
        <w:r>
          <w:rPr>
            <w:color w:val="0563C1"/>
            <w:u w:val="single"/>
            <w:sz w:val="19"/>
          </w:rPr>
          <w:t xml:space="preserve">Journal</w:t>
        </w:r>
      </w:hyperlink>
      <w:r>
        <w:rPr>
          <w:b w:val="0"/>
          <w:i w:val="0"/>
          <w:sz w:val="19"/>
        </w:rPr>
        <w:t xml:space="preserve"> · </w:t>
      </w:r>
      <w:hyperlink r:id="rId183">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184">
        <w:r>
          <w:rPr>
            <w:color w:val="0563C1"/>
            <w:u w:val="single"/>
            <w:sz w:val="19"/>
          </w:rPr>
          <w:t xml:space="preserve">PubMed</w:t>
        </w:r>
      </w:hyperlink>
      <w:r>
        <w:rPr>
          <w:b w:val="0"/>
          <w:i w:val="0"/>
          <w:sz w:val="19"/>
        </w:rPr>
        <w:t xml:space="preserve"> · </w:t>
      </w:r>
      <w:hyperlink r:id="rId185">
        <w:r>
          <w:rPr>
            <w:color w:val="0563C1"/>
            <w:u w:val="single"/>
            <w:sz w:val="19"/>
          </w:rPr>
          <w:t xml:space="preserve">Journal</w:t>
        </w:r>
      </w:hyperlink>
      <w:r>
        <w:rPr>
          <w:b w:val="0"/>
          <w:i w:val="0"/>
          <w:sz w:val="19"/>
        </w:rPr>
        <w:t xml:space="preserve"> · </w:t>
      </w:r>
      <w:hyperlink r:id="rId186">
        <w:r>
          <w:rPr>
            <w:color w:val="0563C1"/>
            <w:u w:val="single"/>
            <w:sz w:val="19"/>
          </w:rPr>
          <w:t xml:space="preserve">TMC library</w:t>
        </w:r>
      </w:hyperlink>
    </w:p>
    <w:p>
      <w:pPr>
        <w:spacing w:after="60"/>
      </w:pPr>
      <w:r>
        <w:rPr>
          <w:b/>
          <w:i w:val="0"/>
          <w:sz w:val="19"/>
        </w:rPr>
        <w:t>Yabushita 2024 · conversion surgery morbidity</w:t>
      </w:r>
      <w:r>
        <w:rPr>
          <w:b w:val="0"/>
          <w:i w:val="0"/>
          <w:sz w:val="19"/>
        </w:rPr>
        <w:t xml:space="preserve">  </w:t>
      </w:r>
      <w:hyperlink r:id="rId187">
        <w:r>
          <w:rPr>
            <w:color w:val="0563C1"/>
            <w:u w:val="single"/>
            <w:sz w:val="19"/>
          </w:rPr>
          <w:t xml:space="preserve">PubMed</w:t>
        </w:r>
      </w:hyperlink>
      <w:r>
        <w:rPr>
          <w:b w:val="0"/>
          <w:i w:val="0"/>
          <w:sz w:val="19"/>
        </w:rPr>
        <w:t xml:space="preserve"> · </w:t>
      </w:r>
      <w:hyperlink r:id="rId188">
        <w:r>
          <w:rPr>
            <w:color w:val="0563C1"/>
            <w:u w:val="single"/>
            <w:sz w:val="19"/>
          </w:rPr>
          <w:t xml:space="preserve">Journal</w:t>
        </w:r>
      </w:hyperlink>
      <w:r>
        <w:rPr>
          <w:b w:val="0"/>
          <w:i w:val="0"/>
          <w:sz w:val="19"/>
        </w:rPr>
        <w:t xml:space="preserve"> · </w:t>
      </w:r>
      <w:hyperlink r:id="rId189">
        <w:r>
          <w:rPr>
            <w:color w:val="0563C1"/>
            <w:u w:val="single"/>
            <w:sz w:val="19"/>
          </w:rPr>
          <w:t xml:space="preserve">TMC library</w:t>
        </w:r>
      </w:hyperlink>
    </w:p>
    <w:p>
      <w:pPr>
        <w:spacing w:after="60"/>
      </w:pPr>
      <w:r>
        <w:rPr>
          <w:b/>
          <w:i w:val="0"/>
          <w:sz w:val="19"/>
        </w:rPr>
        <w:t>Yang 2026 · SEER M1 iCCA surgery</w:t>
      </w:r>
      <w:r>
        <w:rPr>
          <w:b w:val="0"/>
          <w:i w:val="0"/>
          <w:sz w:val="19"/>
        </w:rPr>
        <w:t xml:space="preserve">  </w:t>
      </w:r>
      <w:hyperlink r:id="rId190">
        <w:r>
          <w:rPr>
            <w:color w:val="0563C1"/>
            <w:u w:val="single"/>
            <w:sz w:val="19"/>
          </w:rPr>
          <w:t xml:space="preserve">PubMed</w:t>
        </w:r>
      </w:hyperlink>
      <w:r>
        <w:rPr>
          <w:b w:val="0"/>
          <w:i w:val="0"/>
          <w:sz w:val="19"/>
        </w:rPr>
        <w:t xml:space="preserve"> · </w:t>
      </w:r>
      <w:hyperlink r:id="rId191">
        <w:r>
          <w:rPr>
            <w:color w:val="0563C1"/>
            <w:u w:val="single"/>
            <w:sz w:val="19"/>
          </w:rPr>
          <w:t xml:space="preserve">Journal</w:t>
        </w:r>
      </w:hyperlink>
      <w:r>
        <w:rPr>
          <w:b w:val="0"/>
          <w:i w:val="0"/>
          <w:sz w:val="19"/>
        </w:rPr>
        <w:t xml:space="preserve"> · </w:t>
      </w:r>
      <w:hyperlink r:id="rId192">
        <w:r>
          <w:rPr>
            <w:color w:val="0563C1"/>
            <w:u w:val="single"/>
            <w:sz w:val="19"/>
          </w:rPr>
          <w:t xml:space="preserve">Free full text</w:t>
        </w:r>
      </w:hyperlink>
      <w:r>
        <w:rPr>
          <w:b w:val="0"/>
          <w:i w:val="0"/>
          <w:sz w:val="19"/>
        </w:rPr>
        <w:t xml:space="preserve"> · </w:t>
      </w:r>
      <w:hyperlink r:id="rId193">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194">
        <w:r>
          <w:rPr>
            <w:color w:val="0563C1"/>
            <w:u w:val="single"/>
            <w:sz w:val="19"/>
          </w:rPr>
          <w:t xml:space="preserve">PubMed</w:t>
        </w:r>
      </w:hyperlink>
      <w:r>
        <w:rPr>
          <w:b w:val="0"/>
          <w:i w:val="0"/>
          <w:sz w:val="19"/>
        </w:rPr>
        <w:t xml:space="preserve"> · </w:t>
      </w:r>
      <w:hyperlink r:id="rId195">
        <w:r>
          <w:rPr>
            <w:color w:val="0563C1"/>
            <w:u w:val="single"/>
            <w:sz w:val="19"/>
          </w:rPr>
          <w:t xml:space="preserve">Journal</w:t>
        </w:r>
      </w:hyperlink>
      <w:r>
        <w:rPr>
          <w:b w:val="0"/>
          <w:i w:val="0"/>
          <w:sz w:val="19"/>
        </w:rPr>
        <w:t xml:space="preserve"> · </w:t>
      </w:r>
      <w:hyperlink r:id="rId196">
        <w:r>
          <w:rPr>
            <w:color w:val="0563C1"/>
            <w:u w:val="single"/>
            <w:sz w:val="19"/>
          </w:rPr>
          <w:t xml:space="preserve">Free full text</w:t>
        </w:r>
      </w:hyperlink>
      <w:r>
        <w:rPr>
          <w:b w:val="0"/>
          <w:i w:val="0"/>
          <w:sz w:val="19"/>
        </w:rPr>
        <w:t xml:space="preserve"> · </w:t>
      </w:r>
      <w:hyperlink r:id="rId197">
        <w:r>
          <w:rPr>
            <w:color w:val="0563C1"/>
            <w:u w:val="single"/>
            <w:sz w:val="19"/>
          </w:rPr>
          <w:t xml:space="preserve">Source</w:t>
        </w:r>
      </w:hyperlink>
      <w:r>
        <w:rPr>
          <w:b w:val="0"/>
          <w:i w:val="0"/>
          <w:sz w:val="19"/>
        </w:rPr>
        <w:t xml:space="preserve"> · </w:t>
      </w:r>
      <w:hyperlink r:id="rId198">
        <w:r>
          <w:rPr>
            <w:color w:val="0563C1"/>
            <w:u w:val="single"/>
            <w:sz w:val="19"/>
          </w:rPr>
          <w:t xml:space="preserve">TMC library</w:t>
        </w:r>
      </w:hyperlink>
    </w:p>
    <w:p>
      <w:pPr>
        <w:spacing w:after="60"/>
      </w:pPr>
      <w:r>
        <w:rPr>
          <w:b/>
          <w:i w:val="0"/>
          <w:sz w:val="19"/>
        </w:rPr>
        <w:t>Zhou 2025 · conversion surgery meta-analysis</w:t>
      </w:r>
      <w:r>
        <w:rPr>
          <w:b w:val="0"/>
          <w:i w:val="0"/>
          <w:sz w:val="19"/>
        </w:rPr>
        <w:t xml:space="preserve">  </w:t>
      </w:r>
      <w:hyperlink r:id="rId199">
        <w:r>
          <w:rPr>
            <w:color w:val="0563C1"/>
            <w:u w:val="single"/>
            <w:sz w:val="19"/>
          </w:rPr>
          <w:t xml:space="preserve">PubMed</w:t>
        </w:r>
      </w:hyperlink>
      <w:r>
        <w:rPr>
          <w:b w:val="0"/>
          <w:i w:val="0"/>
          <w:sz w:val="19"/>
        </w:rPr>
        <w:t xml:space="preserve"> · </w:t>
      </w:r>
      <w:hyperlink r:id="rId200">
        <w:r>
          <w:rPr>
            <w:color w:val="0563C1"/>
            <w:u w:val="single"/>
            <w:sz w:val="19"/>
          </w:rPr>
          <w:t xml:space="preserve">Journal</w:t>
        </w:r>
      </w:hyperlink>
      <w:r>
        <w:rPr>
          <w:b w:val="0"/>
          <w:i w:val="0"/>
          <w:sz w:val="19"/>
        </w:rPr>
        <w:t xml:space="preserve"> · </w:t>
      </w:r>
      <w:hyperlink r:id="rId201">
        <w:r>
          <w:rPr>
            <w:color w:val="0563C1"/>
            <w:u w:val="single"/>
            <w:sz w:val="19"/>
          </w:rPr>
          <w:t xml:space="preserve">Free full text</w:t>
        </w:r>
      </w:hyperlink>
      <w:r>
        <w:rPr>
          <w:b w:val="0"/>
          <w:i w:val="0"/>
          <w:sz w:val="19"/>
        </w:rPr>
        <w:t xml:space="preserve"> · </w:t>
      </w:r>
      <w:hyperlink r:id="rId202">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icca/#question-iCCA-R1" TargetMode="External"/><Relationship Id="rId9" Type="http://schemas.openxmlformats.org/officeDocument/2006/relationships/hyperlink" Target="https://drliuhao.github.io/mh-liver-pathways/icca/#decision-4" TargetMode="External"/><Relationship Id="rId10" Type="http://schemas.openxmlformats.org/officeDocument/2006/relationships/hyperlink" Target="https://drliuhao.github.io/mh-liver-pathways/icca/#decision-5" TargetMode="External"/><Relationship Id="rId11" Type="http://schemas.openxmlformats.org/officeDocument/2006/relationships/hyperlink" Target="https://drliuhao.github.io/mh-liver-pathways/icca/#decision-7" TargetMode="External"/><Relationship Id="rId12" Type="http://schemas.openxmlformats.org/officeDocument/2006/relationships/hyperlink" Target="https://drliuhao.github.io/mh-liver-pathways/icca/#question-iCCA-D1" TargetMode="External"/><Relationship Id="rId13" Type="http://schemas.openxmlformats.org/officeDocument/2006/relationships/hyperlink" Target="https://drliuhao.github.io/mh-liver-pathways/icca/#question-iCCA-D2" TargetMode="External"/><Relationship Id="rId14" Type="http://schemas.openxmlformats.org/officeDocument/2006/relationships/hyperlink" Target="https://drliuhao.github.io/mh-liver-pathways/icca/#decision-8" TargetMode="External"/><Relationship Id="rId15" Type="http://schemas.openxmlformats.org/officeDocument/2006/relationships/hyperlink" Target="https://drliuhao.github.io/mh-liver-pathways/icca/#question-iCCA-D3" TargetMode="External"/><Relationship Id="rId16" Type="http://schemas.openxmlformats.org/officeDocument/2006/relationships/hyperlink" Target="https://drliuhao.github.io/mh-liver-pathways/icca/#decision-2" TargetMode="External"/><Relationship Id="rId17" Type="http://schemas.openxmlformats.org/officeDocument/2006/relationships/hyperlink" Target="https://drliuhao.github.io/mh-liver-pathways/icca/#question-iCCA-D4" TargetMode="External"/><Relationship Id="rId18" Type="http://schemas.openxmlformats.org/officeDocument/2006/relationships/hyperlink" Target="https://drliuhao.github.io/mh-liver-pathways/icca/#decision-10" TargetMode="External"/><Relationship Id="rId19" Type="http://schemas.openxmlformats.org/officeDocument/2006/relationships/hyperlink" Target="https://drliuhao.github.io/mh-liver-pathways/icca/#question-iCCA-D5" TargetMode="External"/><Relationship Id="rId20" Type="http://schemas.openxmlformats.org/officeDocument/2006/relationships/hyperlink" Target="https://drliuhao.github.io/mh-liver-pathways/icca/#decision-3" TargetMode="External"/><Relationship Id="rId21" Type="http://schemas.openxmlformats.org/officeDocument/2006/relationships/hyperlink" Target="https://drliuhao.github.io/mh-liver-pathways/icca/#question-iCCA-D6" TargetMode="External"/><Relationship Id="rId22" Type="http://schemas.openxmlformats.org/officeDocument/2006/relationships/hyperlink" Target="https://drliuhao.github.io/mh-liver-pathways/icca/#question-iCCA-D7" TargetMode="External"/><Relationship Id="rId23" Type="http://schemas.openxmlformats.org/officeDocument/2006/relationships/hyperlink" Target="https://drliuhao.github.io/mh-liver-pathways/icca/#question-iCCA-D8" TargetMode="External"/><Relationship Id="rId24" Type="http://schemas.openxmlformats.org/officeDocument/2006/relationships/hyperlink" Target="https://drliuhao.github.io/mh-liver-pathways/icca/#decision-1" TargetMode="External"/><Relationship Id="rId25" Type="http://schemas.openxmlformats.org/officeDocument/2006/relationships/hyperlink" Target="https://drliuhao.github.io/mh-liver-pathways/icca/#question-iCCA-D9" TargetMode="External"/><Relationship Id="rId26" Type="http://schemas.openxmlformats.org/officeDocument/2006/relationships/hyperlink" Target="https://drliuhao.github.io/mh-liver-pathways/icca/#question-iCCA-D10" TargetMode="External"/><Relationship Id="rId27" Type="http://schemas.openxmlformats.org/officeDocument/2006/relationships/hyperlink" Target="https://drliuhao.github.io/mh-liver-pathways/icca/#question-iCCA-D11" TargetMode="External"/><Relationship Id="rId28" Type="http://schemas.openxmlformats.org/officeDocument/2006/relationships/hyperlink" Target="https://drliuhao.github.io/mh-liver-pathways/icca/#decision-6" TargetMode="External"/><Relationship Id="rId29" Type="http://schemas.openxmlformats.org/officeDocument/2006/relationships/hyperlink" Target="https://drliuhao.github.io/mh-liver-pathways/icca/#decision-9" TargetMode="External"/><Relationship Id="rId30" Type="http://schemas.openxmlformats.org/officeDocument/2006/relationships/hyperlink" Target="https://drliuhao.github.io/mh-liver-pathways/icca/#question-iCCA-D12" TargetMode="External"/><Relationship Id="rId31" Type="http://schemas.openxmlformats.org/officeDocument/2006/relationships/hyperlink" Target="https://drliuhao.github.io/mh-liver-pathways/icca/#question-iCCA-D13" TargetMode="External"/><Relationship Id="rId32" Type="http://schemas.openxmlformats.org/officeDocument/2006/relationships/hyperlink" Target="https://drliuhao.github.io/mh-liver-pathways/icca/#question-iCCA-D14" TargetMode="External"/><Relationship Id="rId33" Type="http://schemas.openxmlformats.org/officeDocument/2006/relationships/hyperlink" Target="https://drliuhao.github.io/mh-liver-pathways/icca/#question-iCCA-D15" TargetMode="External"/><Relationship Id="rId34" Type="http://schemas.openxmlformats.org/officeDocument/2006/relationships/hyperlink" Target="https://drliuhao.github.io/mh-liver-pathways/transplant/icca/#diagnosis" TargetMode="External"/><Relationship Id="rId35" Type="http://schemas.openxmlformats.org/officeDocument/2006/relationships/hyperlink" Target="https://drliuhao.github.io/mh-liver-pathways/transplant/icca/#meeting-histology" TargetMode="External"/><Relationship Id="rId36" Type="http://schemas.openxmlformats.org/officeDocument/2006/relationships/hyperlink" Target="https://drliuhao.github.io/mh-liver-pathways/transplant/icca/#phenotype" TargetMode="External"/><Relationship Id="rId37" Type="http://schemas.openxmlformats.org/officeDocument/2006/relationships/hyperlink" Target="https://drliuhao.github.io/mh-liver-pathways/transplant/icca/#meeting-phenotype" TargetMode="External"/><Relationship Id="rId38" Type="http://schemas.openxmlformats.org/officeDocument/2006/relationships/hyperlink" Target="https://drliuhao.github.io/mh-liver-pathways/transplant/icca/#therapy" TargetMode="External"/><Relationship Id="rId39" Type="http://schemas.openxmlformats.org/officeDocument/2006/relationships/hyperlink" Target="https://drliuhao.github.io/mh-liver-pathways/transplant/icca/#meeting-therapy" TargetMode="External"/><Relationship Id="rId40" Type="http://schemas.openxmlformats.org/officeDocument/2006/relationships/hyperlink" Target="https://drliuhao.github.io/mh-liver-pathways/transplant/icca/#stability" TargetMode="External"/><Relationship Id="rId41" Type="http://schemas.openxmlformats.org/officeDocument/2006/relationships/hyperlink" Target="https://drliuhao.github.io/mh-liver-pathways/transplant/icca/#meeting-stability-clock" TargetMode="External"/><Relationship Id="rId42" Type="http://schemas.openxmlformats.org/officeDocument/2006/relationships/hyperlink" Target="https://drliuhao.github.io/mh-liver-pathways/transplant/icca/#review" TargetMode="External"/><Relationship Id="rId43" Type="http://schemas.openxmlformats.org/officeDocument/2006/relationships/hyperlink" Target="https://drliuhao.github.io/mh-liver-pathways/transplant/icca/#meeting-review-ownership" TargetMode="External"/><Relationship Id="rId44" Type="http://schemas.openxmlformats.org/officeDocument/2006/relationships/hyperlink" Target="https://drliuhao.github.io/mh-liver-pathways/transplant/icca/#follow-up" TargetMode="External"/><Relationship Id="rId45" Type="http://schemas.openxmlformats.org/officeDocument/2006/relationships/hyperlink" Target="https://drliuhao.github.io/mh-liver-pathways/transplant/icca/#meeting-surveillance" TargetMode="External"/><Relationship Id="rId46" Type="http://schemas.openxmlformats.org/officeDocument/2006/relationships/hyperlink" Target="https://drliuhao.github.io/mh-liver-pathways/transplant/icca/#high-risk-icca-b1" TargetMode="External"/><Relationship Id="rId47" Type="http://schemas.openxmlformats.org/officeDocument/2006/relationships/hyperlink" Target="https://drliuhao.github.io/mh-liver-pathways/transplant/icca/#high-risk-icca-b2" TargetMode="External"/><Relationship Id="rId48" Type="http://schemas.openxmlformats.org/officeDocument/2006/relationships/hyperlink" Target="https://drliuhao.github.io/mh-liver-pathways/transplant/icca/#high-risk-icca-b3" TargetMode="External"/><Relationship Id="rId49" Type="http://schemas.openxmlformats.org/officeDocument/2006/relationships/hyperlink" Target="https://drliuhao.github.io/mh-liver-pathways/transplant/icca/#high-risk-icca-b4" TargetMode="External"/><Relationship Id="rId50" Type="http://schemas.openxmlformats.org/officeDocument/2006/relationships/hyperlink" Target="https://drliuhao.github.io/mh-liver-pathways/transplant/icca/#high-risk-alloc-b1" TargetMode="External"/><Relationship Id="rId51" Type="http://schemas.openxmlformats.org/officeDocument/2006/relationships/hyperlink" Target="https://drliuhao.github.io/mh-liver-pathways/transplant/icca/#high-risk-alloc-b2" TargetMode="External"/><Relationship Id="rId52" Type="http://schemas.openxmlformats.org/officeDocument/2006/relationships/hyperlink" Target="https://drliuhao.github.io/mh-liver-pathways/transplant/icca/#high-risk-alloc-b3" TargetMode="External"/><Relationship Id="rId53" Type="http://schemas.openxmlformats.org/officeDocument/2006/relationships/hyperlink" Target="https://drliuhao.github.io/mh-liver-pathways/transplant/icca/#high-risk-alloc-b4" TargetMode="External"/><Relationship Id="rId54" Type="http://schemas.openxmlformats.org/officeDocument/2006/relationships/hyperlink" Target="https://pubmed.ncbi.nlm.nih.gov/36083140/" TargetMode="External"/><Relationship Id="rId55" Type="http://schemas.openxmlformats.org/officeDocument/2006/relationships/hyperlink" Target="https://doi.org/10.1002/hep.32771" TargetMode="External"/><Relationship Id="rId56" Type="http://schemas.openxmlformats.org/officeDocument/2006/relationships/hyperlink" Target="https://pubmed.ncbi.nlm.nih.gov/41405234/" TargetMode="External"/><Relationship Id="rId57" Type="http://schemas.openxmlformats.org/officeDocument/2006/relationships/hyperlink" Target="https://doi.org/10.1097/HEP.0000000000001644" TargetMode="External"/><Relationship Id="rId58" Type="http://schemas.openxmlformats.org/officeDocument/2006/relationships/hyperlink" Target="https://pmc.ncbi.nlm.nih.gov/articles/PMC13070310/pdf/nihms-2158808.pdf" TargetMode="External"/><Relationship Id="rId59" Type="http://schemas.openxmlformats.org/officeDocument/2006/relationships/hyperlink" Target="https://pmc.ncbi.nlm.nih.gov/articles/PMC13070310/" TargetMode="External"/><Relationship Id="rId60" Type="http://schemas.openxmlformats.org/officeDocument/2006/relationships/hyperlink" Target="https://thslc-houston.primo.exlibrisgroup.com/discovery/search?vid=01TEXASHEALTH_HOUSTON%3ATMC_INST&amp;query=any,contains,10.1097%2FHEP.0000000000001644&amp;lang=en" TargetMode="External"/><Relationship Id="rId61" Type="http://schemas.openxmlformats.org/officeDocument/2006/relationships/hyperlink" Target="https://pubmed.ncbi.nlm.nih.gov/22335782/" TargetMode="External"/><Relationship Id="rId62" Type="http://schemas.openxmlformats.org/officeDocument/2006/relationships/hyperlink" Target="https://doi.org/10.1111/j.1600-6143.2011.03972.x" TargetMode="External"/><Relationship Id="rId63" Type="http://schemas.openxmlformats.org/officeDocument/2006/relationships/hyperlink" Target="https://pmc.ncbi.nlm.nih.gov/articles/PMC3732171/pdf/nihms-491154.pdf" TargetMode="External"/><Relationship Id="rId64" Type="http://schemas.openxmlformats.org/officeDocument/2006/relationships/hyperlink" Target="https://pmc.ncbi.nlm.nih.gov/articles/PMC3732171/" TargetMode="External"/><Relationship Id="rId65" Type="http://schemas.openxmlformats.org/officeDocument/2006/relationships/hyperlink" Target="https://thslc-houston.primo.exlibrisgroup.com/discovery/search?vid=01TEXASHEALTH_HOUSTON%3ATMC_INST&amp;query=any,contains,10.1111%2Fj.1600-6143.2011.03972.x&amp;lang=en" TargetMode="External"/><Relationship Id="rId66" Type="http://schemas.openxmlformats.org/officeDocument/2006/relationships/hyperlink" Target="https://pubmed.ncbi.nlm.nih.gov/34347159/" TargetMode="External"/><Relationship Id="rId67" Type="http://schemas.openxmlformats.org/officeDocument/2006/relationships/hyperlink" Target="https://pubmed.ncbi.nlm.nih.gov/38521169/" TargetMode="External"/><Relationship Id="rId68" Type="http://schemas.openxmlformats.org/officeDocument/2006/relationships/hyperlink" Target="https://doi.org/10.1016/j.jhep.2024.03.020" TargetMode="External"/><Relationship Id="rId69" Type="http://schemas.openxmlformats.org/officeDocument/2006/relationships/hyperlink" Target="https://thslc-houston.primo.exlibrisgroup.com/discovery/search?vid=01TEXASHEALTH_HOUSTON%3ATMC_INST&amp;query=any,contains,10.1016%2Fj.jhep.2024.03.020&amp;lang=en" TargetMode="External"/><Relationship Id="rId70" Type="http://schemas.openxmlformats.org/officeDocument/2006/relationships/hyperlink" Target="https://pubmed.ncbi.nlm.nih.gov/36681415/" TargetMode="External"/><Relationship Id="rId71" Type="http://schemas.openxmlformats.org/officeDocument/2006/relationships/hyperlink" Target="https://pubmed.ncbi.nlm.nih.gov/30922733/" TargetMode="External"/><Relationship Id="rId72" Type="http://schemas.openxmlformats.org/officeDocument/2006/relationships/hyperlink" Target="https://pubmed.ncbi.nlm.nih.gov/37770126/" TargetMode="External"/><Relationship Id="rId73" Type="http://schemas.openxmlformats.org/officeDocument/2006/relationships/hyperlink" Target="https://pubmed.ncbi.nlm.nih.gov/42323458/" TargetMode="External"/><Relationship Id="rId74" Type="http://schemas.openxmlformats.org/officeDocument/2006/relationships/hyperlink" Target="https://doi.org/10.1245/s10434-026-19975-6" TargetMode="External"/><Relationship Id="rId75" Type="http://schemas.openxmlformats.org/officeDocument/2006/relationships/hyperlink" Target="https://thslc-houston.primo.exlibrisgroup.com/discovery/search?vid=01TEXASHEALTH_HOUSTON%3ATMC_INST&amp;query=any,contains,10.1245%2Fs10434-026-19975-6&amp;lang=en" TargetMode="External"/><Relationship Id="rId76" Type="http://schemas.openxmlformats.org/officeDocument/2006/relationships/hyperlink" Target="https://pubmed.ncbi.nlm.nih.gov/31670750/" TargetMode="External"/><Relationship Id="rId77" Type="http://schemas.openxmlformats.org/officeDocument/2006/relationships/hyperlink" Target="https://pubmed.ncbi.nlm.nih.gov/33316425/" TargetMode="External"/><Relationship Id="rId78" Type="http://schemas.openxmlformats.org/officeDocument/2006/relationships/hyperlink" Target="https://doi.org/10.1016/j.jamcollsurg.2020.11.017" TargetMode="External"/><Relationship Id="rId79" Type="http://schemas.openxmlformats.org/officeDocument/2006/relationships/hyperlink" Target="https://pmc.ncbi.nlm.nih.gov/articles/PMC8450541/" TargetMode="External"/><Relationship Id="rId80" Type="http://schemas.openxmlformats.org/officeDocument/2006/relationships/hyperlink" Target="https://thslc-houston.primo.exlibrisgroup.com/discovery/search?vid=01TEXASHEALTH_HOUSTON%3ATMC_INST&amp;query=any,contains,10.1016%2Fj.jamcollsurg.2020.11.017&amp;lang=en" TargetMode="External"/><Relationship Id="rId81" Type="http://schemas.openxmlformats.org/officeDocument/2006/relationships/hyperlink" Target="https://pubmed.ncbi.nlm.nih.gov/32090444/" TargetMode="External"/><Relationship Id="rId82" Type="http://schemas.openxmlformats.org/officeDocument/2006/relationships/hyperlink" Target="https://doi.org/10.1002/lt.25737" TargetMode="External"/><Relationship Id="rId83" Type="http://schemas.openxmlformats.org/officeDocument/2006/relationships/hyperlink" Target="https://onlinelibrary.wiley.com/doi/full/10.1002/lt.25737" TargetMode="External"/><Relationship Id="rId84" Type="http://schemas.openxmlformats.org/officeDocument/2006/relationships/hyperlink" Target="https://thslc-houston.primo.exlibrisgroup.com/discovery/search?vid=01TEXASHEALTH_HOUSTON%3ATMC_INST&amp;query=any,contains,10.1002%2Flt.25737&amp;lang=en" TargetMode="External"/><Relationship Id="rId85" Type="http://schemas.openxmlformats.org/officeDocument/2006/relationships/hyperlink" Target="https://pubmed.ncbi.nlm.nih.gov/27647626/" TargetMode="External"/><Relationship Id="rId86" Type="http://schemas.openxmlformats.org/officeDocument/2006/relationships/hyperlink" Target="https://doi.org/10.1111/ajt.14055" TargetMode="External"/><Relationship Id="rId87" Type="http://schemas.openxmlformats.org/officeDocument/2006/relationships/hyperlink" Target="https://pmc.ncbi.nlm.nih.gov/articles/PMC5359081/pdf/nihms818467.pdf" TargetMode="External"/><Relationship Id="rId88" Type="http://schemas.openxmlformats.org/officeDocument/2006/relationships/hyperlink" Target="https://pmc.ncbi.nlm.nih.gov/articles/PMC5359081/" TargetMode="External"/><Relationship Id="rId89" Type="http://schemas.openxmlformats.org/officeDocument/2006/relationships/hyperlink" Target="https://thslc-houston.primo.exlibrisgroup.com/discovery/search?vid=01TEXASHEALTH_HOUSTON%3ATMC_INST&amp;query=any,contains,10.1111%2Fajt.14055&amp;lang=en" TargetMode="External"/><Relationship Id="rId90" Type="http://schemas.openxmlformats.org/officeDocument/2006/relationships/hyperlink" Target="https://pubmed.ncbi.nlm.nih.gov/37084797/" TargetMode="External"/><Relationship Id="rId91" Type="http://schemas.openxmlformats.org/officeDocument/2006/relationships/hyperlink" Target="https://pubmed.ncbi.nlm.nih.gov/42270817/" TargetMode="External"/><Relationship Id="rId92" Type="http://schemas.openxmlformats.org/officeDocument/2006/relationships/hyperlink" Target="https://doi.org/10.1038/s41571-026-01160-z" TargetMode="External"/><Relationship Id="rId93" Type="http://schemas.openxmlformats.org/officeDocument/2006/relationships/hyperlink" Target="https://pmc.ncbi.nlm.nih.gov/articles/PMC13665261/pdf/nihms-2192929.pdf" TargetMode="External"/><Relationship Id="rId94" Type="http://schemas.openxmlformats.org/officeDocument/2006/relationships/hyperlink" Target="https://pmc.ncbi.nlm.nih.gov/articles/PMC13665261/" TargetMode="External"/><Relationship Id="rId95" Type="http://schemas.openxmlformats.org/officeDocument/2006/relationships/hyperlink" Target="https://thslc-houston.primo.exlibrisgroup.com/discovery/search?vid=01TEXASHEALTH_HOUSTON%3ATMC_INST&amp;query=any,contains,10.1038%2Fs41571-026-01160-z&amp;lang=en" TargetMode="External"/><Relationship Id="rId96" Type="http://schemas.openxmlformats.org/officeDocument/2006/relationships/hyperlink" Target="https://pubmed.ncbi.nlm.nih.gov/27777223/" TargetMode="External"/><Relationship Id="rId97" Type="http://schemas.openxmlformats.org/officeDocument/2006/relationships/hyperlink" Target="https://doi.org/10.1136/bmj.i5239" TargetMode="External"/><Relationship Id="rId98" Type="http://schemas.openxmlformats.org/officeDocument/2006/relationships/hyperlink" Target="https://pmc.ncbi.nlm.nih.gov/articles/PMC5076380/" TargetMode="External"/><Relationship Id="rId99" Type="http://schemas.openxmlformats.org/officeDocument/2006/relationships/hyperlink" Target="https://thslc-houston.primo.exlibrisgroup.com/discovery/search?vid=01TEXASHEALTH_HOUSTON%3ATMC_INST&amp;query=any,contains,10.1136%2Fbmj.i5239&amp;lang=en" TargetMode="External"/><Relationship Id="rId100" Type="http://schemas.openxmlformats.org/officeDocument/2006/relationships/hyperlink" Target="https://pubmed.ncbi.nlm.nih.gov/36372281/" TargetMode="External"/><Relationship Id="rId101" Type="http://schemas.openxmlformats.org/officeDocument/2006/relationships/hyperlink" Target="https://pubmed.ncbi.nlm.nih.gov/39864891/" TargetMode="External"/><Relationship Id="rId102" Type="http://schemas.openxmlformats.org/officeDocument/2006/relationships/hyperlink" Target="https://pubmed.ncbi.nlm.nih.gov/24154839/" TargetMode="External"/><Relationship Id="rId103" Type="http://schemas.openxmlformats.org/officeDocument/2006/relationships/hyperlink" Target="https://pubmed.ncbi.nlm.nih.gov/41861992/" TargetMode="External"/><Relationship Id="rId104" Type="http://schemas.openxmlformats.org/officeDocument/2006/relationships/hyperlink" Target="https://doi.org/10.1016/j.jhepr.2026.101830" TargetMode="External"/><Relationship Id="rId105" Type="http://schemas.openxmlformats.org/officeDocument/2006/relationships/hyperlink" Target="https://pmc.ncbi.nlm.nih.gov/articles/PMC13254992/" TargetMode="External"/><Relationship Id="rId106" Type="http://schemas.openxmlformats.org/officeDocument/2006/relationships/hyperlink" Target="https://thslc-houston.primo.exlibrisgroup.com/discovery/search?vid=01TEXASHEALTH_HOUSTON%3ATMC_INST&amp;query=any,contains,10.1016%2Fj.jhepr.2026.101830&amp;lang=en" TargetMode="External"/><Relationship Id="rId107" Type="http://schemas.openxmlformats.org/officeDocument/2006/relationships/hyperlink" Target="https://pubmed.ncbi.nlm.nih.gov/42331230/" TargetMode="External"/><Relationship Id="rId108" Type="http://schemas.openxmlformats.org/officeDocument/2006/relationships/hyperlink" Target="https://pubmed.ncbi.nlm.nih.gov/41264278/" TargetMode="External"/><Relationship Id="rId109" Type="http://schemas.openxmlformats.org/officeDocument/2006/relationships/hyperlink" Target="https://www.ecfr.gov/current/title-45/subtitle-A/subchapter-A/part-46/subpart-A/section-46.111" TargetMode="External"/><Relationship Id="rId110" Type="http://schemas.openxmlformats.org/officeDocument/2006/relationships/hyperlink" Target="https://pubmed.ncbi.nlm.nih.gov/42312290/" TargetMode="External"/><Relationship Id="rId111" Type="http://schemas.openxmlformats.org/officeDocument/2006/relationships/hyperlink" Target="https://pubmed.ncbi.nlm.nih.gov/40014003/" TargetMode="External"/><Relationship Id="rId112" Type="http://schemas.openxmlformats.org/officeDocument/2006/relationships/hyperlink" Target="https://doi.org/10.1097/LVT.0000000000000589" TargetMode="External"/><Relationship Id="rId113" Type="http://schemas.openxmlformats.org/officeDocument/2006/relationships/hyperlink" Target="https://thslc-houston.primo.exlibrisgroup.com/discovery/search?vid=01TEXASHEALTH_HOUSTON%3ATMC_INST&amp;query=any,contains,10.1097%2FLVT.0000000000000589&amp;lang=en" TargetMode="External"/><Relationship Id="rId114" Type="http://schemas.openxmlformats.org/officeDocument/2006/relationships/hyperlink" Target="https://pubmed.ncbi.nlm.nih.gov/42835360/" TargetMode="External"/><Relationship Id="rId115" Type="http://schemas.openxmlformats.org/officeDocument/2006/relationships/hyperlink" Target="https://doi.org/10.1155/joot/2545887" TargetMode="External"/><Relationship Id="rId116" Type="http://schemas.openxmlformats.org/officeDocument/2006/relationships/hyperlink" Target="https://thslc-houston.primo.exlibrisgroup.com/discovery/search?vid=01TEXASHEALTH_HOUSTON%3ATMC_INST&amp;query=any,contains,10.1155%2Fjoot%2F2545887&amp;lang=en" TargetMode="External"/><Relationship Id="rId117" Type="http://schemas.openxmlformats.org/officeDocument/2006/relationships/hyperlink" Target="https://pubmed.ncbi.nlm.nih.gov/37075781/" TargetMode="External"/><Relationship Id="rId118" Type="http://schemas.openxmlformats.org/officeDocument/2006/relationships/hyperlink" Target="https://pubmed.ncbi.nlm.nih.gov/21425151/" TargetMode="External"/><Relationship Id="rId119" Type="http://schemas.openxmlformats.org/officeDocument/2006/relationships/hyperlink" Target="https://pubmed.ncbi.nlm.nih.gov/26695839/" TargetMode="External"/><Relationship Id="rId120" Type="http://schemas.openxmlformats.org/officeDocument/2006/relationships/hyperlink" Target="https://pubmed.ncbi.nlm.nih.gov/40317676/" TargetMode="External"/><Relationship Id="rId121" Type="http://schemas.openxmlformats.org/officeDocument/2006/relationships/hyperlink" Target="https://doi.org/10.1111/hepr.14196" TargetMode="External"/><Relationship Id="rId122" Type="http://schemas.openxmlformats.org/officeDocument/2006/relationships/hyperlink" Target="https://libkey.io/libraries/480/10.1111/hepr.14196" TargetMode="External"/><Relationship Id="rId123" Type="http://schemas.openxmlformats.org/officeDocument/2006/relationships/hyperlink" Target="https://pubmed.ncbi.nlm.nih.gov/35978598/" TargetMode="External"/><Relationship Id="rId124" Type="http://schemas.openxmlformats.org/officeDocument/2006/relationships/hyperlink" Target="https://pubmed.ncbi.nlm.nih.gov/28858392/" TargetMode="External"/><Relationship Id="rId125" Type="http://schemas.openxmlformats.org/officeDocument/2006/relationships/hyperlink" Target="https://doi.org/10.1002/bjs.10641" TargetMode="External"/><Relationship Id="rId126" Type="http://schemas.openxmlformats.org/officeDocument/2006/relationships/hyperlink" Target="https://libkey.io/libraries/480/10.1002/bjs.10641" TargetMode="External"/><Relationship Id="rId127" Type="http://schemas.openxmlformats.org/officeDocument/2006/relationships/hyperlink" Target="https://pubmed.ncbi.nlm.nih.gov/29548617/" TargetMode="External"/><Relationship Id="rId128" Type="http://schemas.openxmlformats.org/officeDocument/2006/relationships/hyperlink" Target="https://doi.org/10.1016/S2468-1253(18)30045-1" TargetMode="External"/><Relationship Id="rId129" Type="http://schemas.openxmlformats.org/officeDocument/2006/relationships/hyperlink" Target="https://thslc-houston.primo.exlibrisgroup.com/discovery/search?vid=01TEXASHEALTH_HOUSTON%3ATMC_INST&amp;query=any,contains,10.1016%2FS2468-1253%2818%2930045-1&amp;lang=en" TargetMode="External"/><Relationship Id="rId130" Type="http://schemas.openxmlformats.org/officeDocument/2006/relationships/hyperlink" Target="https://pubmed.ncbi.nlm.nih.gov/31860935/" TargetMode="External"/><Relationship Id="rId131" Type="http://schemas.openxmlformats.org/officeDocument/2006/relationships/hyperlink" Target="https://doi.org/10.1002/hep.31077" TargetMode="External"/><Relationship Id="rId132" Type="http://schemas.openxmlformats.org/officeDocument/2006/relationships/hyperlink" Target="https://thslc-houston.primo.exlibrisgroup.com/discovery/search?vid=01TEXASHEALTH_HOUSTON%3ATMC_INST&amp;query=any,contains,10.1002%2Fhep.31077&amp;lang=en" TargetMode="External"/><Relationship Id="rId133" Type="http://schemas.openxmlformats.org/officeDocument/2006/relationships/hyperlink" Target="https://pubmed.ncbi.nlm.nih.gov/38261915/" TargetMode="External"/><Relationship Id="rId134" Type="http://schemas.openxmlformats.org/officeDocument/2006/relationships/hyperlink" Target="https://pubmed.ncbi.nlm.nih.gov/41528222/" TargetMode="External"/><Relationship Id="rId135" Type="http://schemas.openxmlformats.org/officeDocument/2006/relationships/hyperlink" Target="https://pubmed.ncbi.nlm.nih.gov/39544321/" TargetMode="External"/><Relationship Id="rId136" Type="http://schemas.openxmlformats.org/officeDocument/2006/relationships/hyperlink" Target="https://doi.org/10.3389/ti.2024.13641" TargetMode="External"/><Relationship Id="rId137" Type="http://schemas.openxmlformats.org/officeDocument/2006/relationships/hyperlink" Target="https://pmc.ncbi.nlm.nih.gov/articles/PMC11560448/" TargetMode="External"/><Relationship Id="rId138" Type="http://schemas.openxmlformats.org/officeDocument/2006/relationships/hyperlink" Target="https://thslc-houston.primo.exlibrisgroup.com/discovery/search?vid=01TEXASHEALTH_HOUSTON%3ATMC_INST&amp;query=any,contains,10.3389%2Fti.2024.13641&amp;lang=en" TargetMode="External"/><Relationship Id="rId139" Type="http://schemas.openxmlformats.org/officeDocument/2006/relationships/hyperlink" Target="https://pubmed.ncbi.nlm.nih.gov/34856069/" TargetMode="External"/><Relationship Id="rId140" Type="http://schemas.openxmlformats.org/officeDocument/2006/relationships/hyperlink" Target="https://doi.org/10.1111/ajt.16906" TargetMode="External"/><Relationship Id="rId141" Type="http://schemas.openxmlformats.org/officeDocument/2006/relationships/hyperlink" Target="https://thslc-houston.primo.exlibrisgroup.com/discovery/search?vid=01TEXASHEALTH_HOUSTON%3ATMC_INST&amp;query=any,contains,10.1111%2Fajt.16906&amp;lang=en" TargetMode="External"/><Relationship Id="rId142" Type="http://schemas.openxmlformats.org/officeDocument/2006/relationships/hyperlink" Target="https://pubmed.ncbi.nlm.nih.gov/39962001/" TargetMode="External"/><Relationship Id="rId143" Type="http://schemas.openxmlformats.org/officeDocument/2006/relationships/hyperlink" Target="https://pubmed.ncbi.nlm.nih.gov/31670746/" TargetMode="External"/><Relationship Id="rId144" Type="http://schemas.openxmlformats.org/officeDocument/2006/relationships/hyperlink" Target="https://pubmed.ncbi.nlm.nih.gov/40075720/" TargetMode="External"/><Relationship Id="rId145" Type="http://schemas.openxmlformats.org/officeDocument/2006/relationships/hyperlink" Target="https://doi.org/10.3390/cancers17050873" TargetMode="External"/><Relationship Id="rId146" Type="http://schemas.openxmlformats.org/officeDocument/2006/relationships/hyperlink" Target="https://pmc.ncbi.nlm.nih.gov/articles/PMC11898483/" TargetMode="External"/><Relationship Id="rId147" Type="http://schemas.openxmlformats.org/officeDocument/2006/relationships/hyperlink" Target="https://libkey.io/libraries/480/10.3390/cancers17050873" TargetMode="External"/><Relationship Id="rId148" Type="http://schemas.openxmlformats.org/officeDocument/2006/relationships/hyperlink" Target="https://www.nccn.org/guidelines/category_1" TargetMode="External"/><Relationship Id="rId149" Type="http://schemas.openxmlformats.org/officeDocument/2006/relationships/hyperlink" Target="https://www.hrsa.gov/sites/default/files/hrsa/optn/adult-meld-exception-transplant-oncology-review-guidance.pdf" TargetMode="External"/><Relationship Id="rId150" Type="http://schemas.openxmlformats.org/officeDocument/2006/relationships/hyperlink" Target="https://www.hrsa.gov/sites/default/files/hrsa/optn/adult-meld-exception-transplant-oncology-review-guidance.pdf#page=7" TargetMode="External"/><Relationship Id="rId151" Type="http://schemas.openxmlformats.org/officeDocument/2006/relationships/hyperlink" Target="https://pubmed.ncbi.nlm.nih.gov/40381735/" TargetMode="External"/><Relationship Id="rId152" Type="http://schemas.openxmlformats.org/officeDocument/2006/relationships/hyperlink" Target="https://doi.org/10.1016/j.jhep.2025.05.003" TargetMode="External"/><Relationship Id="rId153" Type="http://schemas.openxmlformats.org/officeDocument/2006/relationships/hyperlink" Target="https://www.journal-of-hepatology.eu/article/S0168-8278(25)02201-9/fulltext" TargetMode="External"/><Relationship Id="rId154" Type="http://schemas.openxmlformats.org/officeDocument/2006/relationships/hyperlink" Target="https://thslc-houston.primo.exlibrisgroup.com/discovery/search?vid=01TEXASHEALTH_HOUSTON%3ATMC_INST&amp;query=any,contains,10.1016%2Fj.jhep.2025.05.003&amp;lang=en" TargetMode="External"/><Relationship Id="rId155" Type="http://schemas.openxmlformats.org/officeDocument/2006/relationships/hyperlink" Target="https://www.hrsa.gov/optn/professionals/resources/ethical-considerations/ethical-principles-in-the-allocation-of-human-organs" TargetMode="External"/><Relationship Id="rId156" Type="http://schemas.openxmlformats.org/officeDocument/2006/relationships/hyperlink" Target="https://www.hrsa.gov/sites/default/files/hrsa/optn/optn_policies.pdf" TargetMode="External"/><Relationship Id="rId157" Type="http://schemas.openxmlformats.org/officeDocument/2006/relationships/hyperlink" Target="https://pubmed.ncbi.nlm.nih.gov/41082695/" TargetMode="External"/><Relationship Id="rId158" Type="http://schemas.openxmlformats.org/officeDocument/2006/relationships/hyperlink" Target="https://doi.org/10.1200/JCO-25-00923" TargetMode="External"/><Relationship Id="rId159" Type="http://schemas.openxmlformats.org/officeDocument/2006/relationships/hyperlink" Target="https://thslc-houston.primo.exlibrisgroup.com/discovery/search?vid=01TEXASHEALTH_HOUSTON%3ATMC_INST&amp;query=any,contains,10.1200%2FJCO-25-00923&amp;lang=en" TargetMode="External"/><Relationship Id="rId160" Type="http://schemas.openxmlformats.org/officeDocument/2006/relationships/hyperlink" Target="https://pubmed.ncbi.nlm.nih.gov/42524843/" TargetMode="External"/><Relationship Id="rId161" Type="http://schemas.openxmlformats.org/officeDocument/2006/relationships/hyperlink" Target="https://doi.org/10.1002/ijc.70641" TargetMode="External"/><Relationship Id="rId162" Type="http://schemas.openxmlformats.org/officeDocument/2006/relationships/hyperlink" Target="https://libkey.io/libraries/480/10.1002/ijc.70641" TargetMode="External"/><Relationship Id="rId163" Type="http://schemas.openxmlformats.org/officeDocument/2006/relationships/hyperlink" Target="https://pubmed.ncbi.nlm.nih.gov/27481548/" TargetMode="External"/><Relationship Id="rId164" Type="http://schemas.openxmlformats.org/officeDocument/2006/relationships/hyperlink" Target="https://doi.org/10.1002/hep.28744" TargetMode="External"/><Relationship Id="rId165" Type="http://schemas.openxmlformats.org/officeDocument/2006/relationships/hyperlink" Target="https://thslc-houston.primo.exlibrisgroup.com/discovery/search?vid=01TEXASHEALTH_HOUSTON%3ATMC_INST&amp;query=any,contains,10.1002%2Fhep.28744&amp;lang=en" TargetMode="External"/><Relationship Id="rId166" Type="http://schemas.openxmlformats.org/officeDocument/2006/relationships/hyperlink" Target="https://pubmed.ncbi.nlm.nih.gov/41991890/" TargetMode="External"/><Relationship Id="rId167" Type="http://schemas.openxmlformats.org/officeDocument/2006/relationships/hyperlink" Target="https://doi.org/10.1245/s10434-026-19652-8" TargetMode="External"/><Relationship Id="rId168" Type="http://schemas.openxmlformats.org/officeDocument/2006/relationships/hyperlink" Target="https://thslc-houston.primo.exlibrisgroup.com/discovery/search?vid=01TEXASHEALTH_HOUSTON%3ATMC_INST&amp;query=any,contains,10.1245%2Fs10434-026-19652-8&amp;lang=en" TargetMode="External"/><Relationship Id="rId169" Type="http://schemas.openxmlformats.org/officeDocument/2006/relationships/hyperlink" Target="https://pubmed.ncbi.nlm.nih.gov/42810588/" TargetMode="External"/><Relationship Id="rId170" Type="http://schemas.openxmlformats.org/officeDocument/2006/relationships/hyperlink" Target="https://doi.org/10.1016/j.ajt.2026.09.039" TargetMode="External"/><Relationship Id="rId171" Type="http://schemas.openxmlformats.org/officeDocument/2006/relationships/hyperlink" Target="https://thslc-houston.primo.exlibrisgroup.com/discovery/search?vid=01TEXASHEALTH_HOUSTON%3ATMC_INST&amp;query=any,contains,10.1016%2Fj.ajt.2026.09.039&amp;lang=en" TargetMode="External"/><Relationship Id="rId172" Type="http://schemas.openxmlformats.org/officeDocument/2006/relationships/hyperlink" Target="https://pmc.ncbi.nlm.nih.gov/articles/PMC11560448/pdf/ti-37-13641.pdf" TargetMode="External"/><Relationship Id="rId173" Type="http://schemas.openxmlformats.org/officeDocument/2006/relationships/hyperlink" Target="https://pubmed.ncbi.nlm.nih.gov/26503201/" TargetMode="External"/><Relationship Id="rId174" Type="http://schemas.openxmlformats.org/officeDocument/2006/relationships/hyperlink" Target="https://pubmed.ncbi.nlm.nih.gov/38319896/" TargetMode="External"/><Relationship Id="rId175" Type="http://schemas.openxmlformats.org/officeDocument/2006/relationships/hyperlink" Target="https://pubmed.ncbi.nlm.nih.gov/39306468/" TargetMode="External"/><Relationship Id="rId176" Type="http://schemas.openxmlformats.org/officeDocument/2006/relationships/hyperlink" Target="https://doi.org/10.1016/S0140-6736(24)01595-2" TargetMode="External"/><Relationship Id="rId177" Type="http://schemas.openxmlformats.org/officeDocument/2006/relationships/hyperlink" Target="https://thslc-houston.primo.exlibrisgroup.com/discovery/search?vid=01TEXASHEALTH_HOUSTON%3ATMC_INST&amp;query=any,contains,10.1016%2FS0140-6736%2824%2901595-2&amp;lang=en" TargetMode="External"/><Relationship Id="rId178" Type="http://schemas.openxmlformats.org/officeDocument/2006/relationships/hyperlink" Target="https://pubmed.ncbi.nlm.nih.gov/31059945/" TargetMode="External"/><Relationship Id="rId179" Type="http://schemas.openxmlformats.org/officeDocument/2006/relationships/hyperlink" Target="https://doi.org/10.1016/j.jss.2019.04.023" TargetMode="External"/><Relationship Id="rId180" Type="http://schemas.openxmlformats.org/officeDocument/2006/relationships/hyperlink" Target="https://thslc-houston.primo.exlibrisgroup.com/discovery/search?vid=01TEXASHEALTH_HOUSTON%3ATMC_INST&amp;query=any,contains,10.1016%2Fj.jss.2019.04.023&amp;lang=en" TargetMode="External"/><Relationship Id="rId181" Type="http://schemas.openxmlformats.org/officeDocument/2006/relationships/hyperlink" Target="https://pubmed.ncbi.nlm.nih.gov/38015449/" TargetMode="External"/><Relationship Id="rId182" Type="http://schemas.openxmlformats.org/officeDocument/2006/relationships/hyperlink" Target="https://doi.org/10.1097/LVT.0000000000000303" TargetMode="External"/><Relationship Id="rId183" Type="http://schemas.openxmlformats.org/officeDocument/2006/relationships/hyperlink" Target="https://thslc-houston.primo.exlibrisgroup.com/discovery/search?vid=01TEXASHEALTH_HOUSTON%3ATMC_INST&amp;query=any,contains,10.1097%2FLVT.0000000000000303&amp;lang=en" TargetMode="External"/><Relationship Id="rId184" Type="http://schemas.openxmlformats.org/officeDocument/2006/relationships/hyperlink" Target="https://pubmed.ncbi.nlm.nih.gov/32615109/" TargetMode="External"/><Relationship Id="rId185" Type="http://schemas.openxmlformats.org/officeDocument/2006/relationships/hyperlink" Target="https://doi.org/10.1016/S1470-2045(20)30224-2" TargetMode="External"/><Relationship Id="rId186" Type="http://schemas.openxmlformats.org/officeDocument/2006/relationships/hyperlink" Target="https://thslc-houston.primo.exlibrisgroup.com/discovery/search?vid=01TEXASHEALTH_HOUSTON%3ATMC_INST&amp;query=any,contains,10.1016%2FS1470-2045%2820%2930224-2&amp;lang=en" TargetMode="External"/><Relationship Id="rId187" Type="http://schemas.openxmlformats.org/officeDocument/2006/relationships/hyperlink" Target="https://pubmed.ncbi.nlm.nih.gov/38822227/" TargetMode="External"/><Relationship Id="rId188" Type="http://schemas.openxmlformats.org/officeDocument/2006/relationships/hyperlink" Target="https://doi.org/10.1002/jhbp.1437" TargetMode="External"/><Relationship Id="rId189" Type="http://schemas.openxmlformats.org/officeDocument/2006/relationships/hyperlink" Target="https://libkey.io/libraries/480/10.1002/jhbp.1437" TargetMode="External"/><Relationship Id="rId190" Type="http://schemas.openxmlformats.org/officeDocument/2006/relationships/hyperlink" Target="https://pubmed.ncbi.nlm.nih.gov/42169873/" TargetMode="External"/><Relationship Id="rId191" Type="http://schemas.openxmlformats.org/officeDocument/2006/relationships/hyperlink" Target="https://doi.org/10.21037/jgo-2025-aw-859" TargetMode="External"/><Relationship Id="rId192" Type="http://schemas.openxmlformats.org/officeDocument/2006/relationships/hyperlink" Target="https://pmc.ncbi.nlm.nih.gov/articles/PMC13187992/" TargetMode="External"/><Relationship Id="rId193" Type="http://schemas.openxmlformats.org/officeDocument/2006/relationships/hyperlink" Target="https://libkey.io/libraries/480/10.21037/jgo-2025-aw-859" TargetMode="External"/><Relationship Id="rId194" Type="http://schemas.openxmlformats.org/officeDocument/2006/relationships/hyperlink" Target="https://pubmed.ncbi.nlm.nih.gov/40099404/" TargetMode="External"/><Relationship Id="rId195" Type="http://schemas.openxmlformats.org/officeDocument/2006/relationships/hyperlink" Target="https://doi.org/10.1093/bjs/znaf054" TargetMode="External"/><Relationship Id="rId196" Type="http://schemas.openxmlformats.org/officeDocument/2006/relationships/hyperlink" Target="https://pmc.ncbi.nlm.nih.gov/articles/PMC11914714/pdf/znaf054.pdf" TargetMode="External"/><Relationship Id="rId197" Type="http://schemas.openxmlformats.org/officeDocument/2006/relationships/hyperlink" Target="https://pmc.ncbi.nlm.nih.gov/articles/PMC11914714/" TargetMode="External"/><Relationship Id="rId198" Type="http://schemas.openxmlformats.org/officeDocument/2006/relationships/hyperlink" Target="https://thslc-houston.primo.exlibrisgroup.com/discovery/search?vid=01TEXASHEALTH_HOUSTON%3ATMC_INST&amp;query=any,contains,10.1093%2Fbjs%2Fznaf054&amp;lang=en" TargetMode="External"/><Relationship Id="rId199" Type="http://schemas.openxmlformats.org/officeDocument/2006/relationships/hyperlink" Target="https://pubmed.ncbi.nlm.nih.gov/39918658/" TargetMode="External"/><Relationship Id="rId200" Type="http://schemas.openxmlformats.org/officeDocument/2006/relationships/hyperlink" Target="https://doi.org/10.1007/s00423-025-03630-x" TargetMode="External"/><Relationship Id="rId201" Type="http://schemas.openxmlformats.org/officeDocument/2006/relationships/hyperlink" Target="https://pmc.ncbi.nlm.nih.gov/articles/PMC11805778/" TargetMode="External"/><Relationship Id="rId202" Type="http://schemas.openxmlformats.org/officeDocument/2006/relationships/hyperlink" Target="https://libkey.io/libraries/480/10.1007/s00423-025-03630-x"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