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line="252" w:lineRule="auto" w:after="120"/>
      </w:pPr>
      <w:r>
        <w:rPr>
          <w:b w:val="0"/>
          <w:i w:val="0"/>
          <w:sz w:val="44"/>
        </w:rPr>
        <w:t>Neuroendocrine liver metastases — Roadmap: questions for consensus</w:t>
      </w:r>
    </w:p>
    <w:p>
      <w:pPr>
        <w:spacing w:after="80"/>
      </w:pPr>
      <w:r>
        <w:rPr>
          <w:b w:val="0"/>
          <w:i w:val="0"/>
          <w:color w:val="5A6069"/>
          <w:sz w:val="18"/>
        </w:rPr>
        <w:t>UTHealth Houston and Memorial Hermann · HPB oncology · 29 October 2026 · V17 standardized documents</w:t>
      </w:r>
    </w:p>
    <w:p>
      <w:pPr>
        <w:spacing w:after="80"/>
      </w:pPr>
      <w:r>
        <w:rPr>
          <w:b w:val="0"/>
          <w:i w:val="0"/>
        </w:rPr>
        <w:t>Every question in the roadmap that still needs a consensus answer. Each one shows what guidelines, trials and papers say, our proposed selection, and space for the group decision. All proposals are OPEN; nothing in this document is activated or approved.</w:t>
      </w:r>
    </w:p>
    <w:p>
      <w:pPr>
        <w:spacing w:after="80"/>
      </w:pPr>
      <w:r>
        <w:rPr>
          <w:b w:val="0"/>
          <w:i w:val="0"/>
        </w:rPr>
        <w:t>Web page: https://drliuhao.github.io/mh-liver-pathways/nelm/#questions</w:t>
      </w:r>
    </w:p>
    <w:p>
      <w:pPr>
        <w:spacing w:after="160"/>
      </w:pPr>
      <w:r>
        <w:rPr>
          <w:b/>
          <w:i w:val="0"/>
        </w:rPr>
        <w:t xml:space="preserve">Companion files: </w:t>
      </w:r>
      <w:r>
        <w:rPr>
          <w:b w:val="0"/>
          <w:i w:val="0"/>
          <w:sz w:val="20"/>
        </w:rPr>
        <w:t xml:space="preserve">Full content: </w:t>
      </w:r>
      <w:r>
        <w:rPr>
          <w:b w:val="0"/>
          <w:i/>
        </w:rPr>
        <w:t>NELM_1_Roadmap.docx</w:t>
      </w:r>
      <w:r>
        <w:rPr>
          <w:b w:val="0"/>
          <w:i w:val="0"/>
          <w:sz w:val="20"/>
        </w:rPr>
        <w:t xml:space="preserve"> · Decision discussion for all settings: </w:t>
      </w:r>
      <w:r>
        <w:rPr>
          <w:b w:val="0"/>
          <w:i/>
        </w:rPr>
        <w:t>NELM_7_Decision_Discussion.docx</w:t>
      </w:r>
    </w:p>
    <w:p>
      <w:pPr>
        <w:pStyle w:val="Heading1"/>
        <w:keepNext/>
        <w:spacing w:before="280" w:after="80"/>
      </w:pPr>
      <w:r>
        <w:rPr>
          <w:b w:val="0"/>
          <w:i w:val="0"/>
        </w:rPr>
        <w:t>Summary</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1300"/>
        <w:gridCol w:w="3500"/>
        <w:gridCol w:w="3780"/>
        <w:gridCol w:w="1500"/>
      </w:tblGrid>
      <w:tr>
        <w:trPr>
          <w:tblHeader/>
        </w:trPr>
        <w:tc>
          <w:tcPr>
            <w:tcW w:type="dxa" w:w="2520"/>
            <w:tcW w:w="1300" w:type="dxa"/>
            <w:shd w:val="clear" w:color="auto" w:fill="17365D"/>
          </w:tcPr>
          <w:p>
            <w:r>
              <w:rPr>
                <w:b/>
                <w:i w:val="0"/>
                <w:color w:val="FFFFFF"/>
                <w:sz w:val="19"/>
              </w:rPr>
              <w:t>ID</w:t>
            </w:r>
          </w:p>
        </w:tc>
        <w:tc>
          <w:tcPr>
            <w:tcW w:type="dxa" w:w="2520"/>
            <w:tcW w:w="3500" w:type="dxa"/>
            <w:shd w:val="clear" w:color="auto" w:fill="17365D"/>
          </w:tcPr>
          <w:p>
            <w:r>
              <w:rPr>
                <w:b/>
                <w:i w:val="0"/>
                <w:color w:val="FFFFFF"/>
                <w:sz w:val="19"/>
              </w:rPr>
              <w:t>Question</w:t>
            </w:r>
          </w:p>
        </w:tc>
        <w:tc>
          <w:tcPr>
            <w:tcW w:type="dxa" w:w="2520"/>
            <w:tcW w:w="3780" w:type="dxa"/>
            <w:shd w:val="clear" w:color="auto" w:fill="17365D"/>
          </w:tcPr>
          <w:p>
            <w:r>
              <w:rPr>
                <w:b/>
                <w:i w:val="0"/>
                <w:color w:val="FFFFFF"/>
                <w:sz w:val="19"/>
              </w:rPr>
              <w:t>Proposed selection (summary)</w:t>
            </w:r>
          </w:p>
        </w:tc>
        <w:tc>
          <w:tcPr>
            <w:tcW w:type="dxa" w:w="2520"/>
            <w:tcW w:w="1500" w:type="dxa"/>
            <w:shd w:val="clear" w:color="auto" w:fill="17365D"/>
          </w:tcPr>
          <w:p>
            <w:r>
              <w:rPr>
                <w:b/>
                <w:i w:val="0"/>
                <w:color w:val="FFFFFF"/>
                <w:sz w:val="19"/>
              </w:rPr>
              <w:t>Status</w:t>
            </w:r>
          </w:p>
        </w:tc>
      </w:tr>
      <w:tr>
        <w:trPr>
          <w:cantSplit/>
        </w:trPr>
        <w:tc>
          <w:tcPr>
            <w:tcW w:type="dxa" w:w="2520"/>
            <w:tcW w:w="1300" w:type="dxa"/>
            <w:shd w:val="clear" w:color="auto" w:fill="F1F5F8"/>
          </w:tcPr>
          <w:p>
            <w:pPr>
              <w:spacing w:after="0"/>
            </w:pPr>
            <w:r>
              <w:rPr>
                <w:b/>
                <w:i w:val="0"/>
                <w:sz w:val="19"/>
              </w:rPr>
              <w:t>NELM-R1</w:t>
            </w:r>
          </w:p>
        </w:tc>
        <w:tc>
          <w:tcPr>
            <w:tcW w:type="dxa" w:w="2520"/>
            <w:tcW w:w="3500" w:type="dxa"/>
            <w:shd w:val="clear" w:color="auto" w:fill="F1F5F8"/>
          </w:tcPr>
          <w:p>
            <w:pPr>
              <w:spacing w:after="0"/>
            </w:pPr>
            <w:r>
              <w:rPr>
                <w:b w:val="0"/>
                <w:i w:val="0"/>
                <w:sz w:val="19"/>
              </w:rPr>
              <w:t>Does present or previously treated extrahepatic disease preclude liver cytoreduction or resection for well-differentiated NET liver metastases?</w:t>
            </w:r>
          </w:p>
        </w:tc>
        <w:tc>
          <w:tcPr>
            <w:tcW w:type="dxa" w:w="2520"/>
            <w:tcW w:w="3780" w:type="dxa"/>
            <w:shd w:val="clear" w:color="auto" w:fill="F1F5F8"/>
          </w:tcPr>
          <w:p>
            <w:pPr>
              <w:spacing w:after="0"/>
            </w:pPr>
            <w:r>
              <w:rPr>
                <w:b w:val="0"/>
                <w:i w:val="0"/>
                <w:sz w:val="19"/>
              </w:rPr>
              <w:t>Extrahepatic disease does not by itself preclude hepatic cytoreduction or resection of the primary for well-differentiated G1–G2 disease when at least 70% of liver disease can be removed or treated…</w:t>
            </w:r>
          </w:p>
        </w:tc>
        <w:tc>
          <w:tcPr>
            <w:tcW w:type="dxa" w:w="2520"/>
            <w:tcW w:w="1500" w:type="dxa"/>
            <w:shd w:val="clear" w:color="auto" w:fill="F1F5F8"/>
          </w:tcPr>
          <w:p>
            <w:pPr>
              <w:spacing w:after="0"/>
            </w:pPr>
            <w:r>
              <w:rPr>
                <w:b w:val="0"/>
                <w:i w:val="0"/>
                <w:color w:val="5A6069"/>
                <w:sz w:val="18"/>
              </w:rPr>
              <w:t>Proposed · OPEN proposal</w:t>
            </w:r>
          </w:p>
        </w:tc>
      </w:tr>
      <w:tr>
        <w:trPr>
          <w:cantSplit/>
        </w:trPr>
        <w:tc>
          <w:tcPr>
            <w:tcW w:type="dxa" w:w="2520"/>
            <w:tcW w:w="1300" w:type="dxa"/>
            <w:shd w:val="clear" w:color="auto" w:fill="FFFFFF"/>
          </w:tcPr>
          <w:p>
            <w:pPr>
              <w:spacing w:after="0"/>
            </w:pPr>
            <w:r>
              <w:rPr>
                <w:b/>
                <w:i w:val="0"/>
                <w:sz w:val="19"/>
              </w:rPr>
              <w:t>NELM-D1</w:t>
            </w:r>
          </w:p>
        </w:tc>
        <w:tc>
          <w:tcPr>
            <w:tcW w:type="dxa" w:w="2520"/>
            <w:tcW w:w="3500" w:type="dxa"/>
            <w:shd w:val="clear" w:color="auto" w:fill="FFFFFF"/>
          </w:tcPr>
          <w:p>
            <w:pPr>
              <w:spacing w:after="0"/>
            </w:pPr>
            <w:r>
              <w:rPr>
                <w:b w:val="0"/>
                <w:i w:val="0"/>
                <w:sz w:val="19"/>
              </w:rPr>
              <w:t>Which embolisation technique is the programme's default?</w:t>
            </w:r>
          </w:p>
        </w:tc>
        <w:tc>
          <w:tcPr>
            <w:tcW w:type="dxa" w:w="2520"/>
            <w:tcW w:w="3780" w:type="dxa"/>
            <w:shd w:val="clear" w:color="auto" w:fill="FFFFFF"/>
          </w:tcPr>
          <w:p>
            <w:pPr>
              <w:spacing w:after="0"/>
            </w:pPr>
            <w:r>
              <w:rPr>
                <w:b w:val="0"/>
                <w:i w:val="0"/>
                <w:sz w:val="19"/>
              </w:rPr>
              <w:t>No default is set. Bland embolisation and conventional TACE are both Reasonable (grade C), chosen by burden, symptoms, liver reserve and biliary-infection risk and not treated as interchangeable; drug-eluting embolics…</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NELM-D2</w:t>
            </w:r>
          </w:p>
        </w:tc>
        <w:tc>
          <w:tcPr>
            <w:tcW w:type="dxa" w:w="2520"/>
            <w:tcW w:w="3500" w:type="dxa"/>
            <w:shd w:val="clear" w:color="auto" w:fill="F1F5F8"/>
          </w:tcPr>
          <w:p>
            <w:pPr>
              <w:spacing w:after="0"/>
            </w:pPr>
            <w:r>
              <w:rPr>
                <w:b w:val="0"/>
                <w:i w:val="0"/>
                <w:sz w:val="19"/>
              </w:rPr>
              <w:t>Is first-line PRRT offered for receptor-positive grade 2–3 disease, and to whom?</w:t>
            </w:r>
          </w:p>
        </w:tc>
        <w:tc>
          <w:tcPr>
            <w:tcW w:type="dxa" w:w="2520"/>
            <w:tcW w:w="3780" w:type="dxa"/>
            <w:shd w:val="clear" w:color="auto" w:fill="F1F5F8"/>
          </w:tcPr>
          <w:p>
            <w:pPr>
              <w:spacing w:after="0"/>
            </w:pPr>
            <w:r>
              <w:rPr>
                <w:b w:val="0"/>
                <w:i w:val="0"/>
                <w:sz w:val="19"/>
              </w:rPr>
              <w:t>Standard, grade B, for the phenotype NETTER-2 tested: uptake above normal liver in target disease, Ki-67 10–55%, documented renal, marrow and hepatic reserve, and clinically significant burden (a local criterion).…</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NELM-D3</w:t>
            </w:r>
          </w:p>
        </w:tc>
        <w:tc>
          <w:tcPr>
            <w:tcW w:type="dxa" w:w="2520"/>
            <w:tcW w:w="3500" w:type="dxa"/>
            <w:shd w:val="clear" w:color="auto" w:fill="FFFFFF"/>
          </w:tcPr>
          <w:p>
            <w:pPr>
              <w:spacing w:after="0"/>
            </w:pPr>
            <w:r>
              <w:rPr>
                <w:b w:val="0"/>
                <w:i w:val="0"/>
                <w:sz w:val="19"/>
              </w:rPr>
              <w:t>Hepatic burden threshold above which cytoreduction is not attempted.</w:t>
            </w:r>
          </w:p>
        </w:tc>
        <w:tc>
          <w:tcPr>
            <w:tcW w:type="dxa" w:w="2520"/>
            <w:tcW w:w="3780" w:type="dxa"/>
            <w:shd w:val="clear" w:color="auto" w:fill="FFFFFF"/>
          </w:tcPr>
          <w:p>
            <w:pPr>
              <w:spacing w:after="0"/>
            </w:pPr>
            <w:r>
              <w:rPr>
                <w:b w:val="0"/>
                <w:i w:val="0"/>
                <w:sz w:val="19"/>
              </w:rPr>
              <w:t>No percentage is adopted as evidence. Operate only when a named target can be cleared, with the expected residual stated beforehand, in a patient fit for a long operation with…</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NELM-D4</w:t>
            </w:r>
          </w:p>
        </w:tc>
        <w:tc>
          <w:tcPr>
            <w:tcW w:type="dxa" w:w="2520"/>
            <w:tcW w:w="3500" w:type="dxa"/>
            <w:shd w:val="clear" w:color="auto" w:fill="F1F5F8"/>
          </w:tcPr>
          <w:p>
            <w:pPr>
              <w:spacing w:after="0"/>
            </w:pPr>
            <w:r>
              <w:rPr>
                <w:b w:val="0"/>
                <w:i w:val="0"/>
                <w:sz w:val="19"/>
              </w:rPr>
              <w:t>Does the programme offer radioembolisation in this disease at all, and at what point?</w:t>
            </w:r>
          </w:p>
        </w:tc>
        <w:tc>
          <w:tcPr>
            <w:tcW w:type="dxa" w:w="2520"/>
            <w:tcW w:w="3780" w:type="dxa"/>
            <w:shd w:val="clear" w:color="auto" w:fill="F1F5F8"/>
          </w:tcPr>
          <w:p>
            <w:pPr>
              <w:spacing w:after="0"/>
            </w:pPr>
            <w:r>
              <w:rPr>
                <w:b w:val="0"/>
                <w:i w:val="0"/>
                <w:sz w:val="19"/>
              </w:rPr>
              <w:t>Radioembolisation (Y-90 or holmium-166) is Reasonable, grade C and expertise-dependent for selected lobar or segmental liver-dominant disease with a stated rationale, not restricted to last resort; it is avoided in…</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NELM-D5</w:t>
            </w:r>
          </w:p>
        </w:tc>
        <w:tc>
          <w:tcPr>
            <w:tcW w:type="dxa" w:w="2520"/>
            <w:tcW w:w="3500" w:type="dxa"/>
            <w:shd w:val="clear" w:color="auto" w:fill="FFFFFF"/>
          </w:tcPr>
          <w:p>
            <w:pPr>
              <w:spacing w:after="0"/>
            </w:pPr>
            <w:r>
              <w:rPr>
                <w:b w:val="0"/>
                <w:i w:val="0"/>
                <w:sz w:val="19"/>
              </w:rPr>
              <w:t>Does the programme open a NELM transplant protocol?</w:t>
            </w:r>
          </w:p>
        </w:tc>
        <w:tc>
          <w:tcPr>
            <w:tcW w:type="dxa" w:w="2520"/>
            <w:tcW w:w="3780" w:type="dxa"/>
            <w:shd w:val="clear" w:color="auto" w:fill="FFFFFF"/>
          </w:tcPr>
          <w:p>
            <w:pPr>
              <w:spacing w:after="0"/>
            </w:pPr>
            <w:r>
              <w:rPr>
                <w:b w:val="0"/>
                <w:i w:val="0"/>
                <w:sz w:val="19"/>
              </w:rPr>
              <w:t>Transplantation only within a trial or prospective registry under restrictive criteria (Reasonable, grade C), via the nonstandard review-board route at MMaT-3, after comparing resection or cytoreduction at the same board;…</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NELM-D6</w:t>
            </w:r>
          </w:p>
        </w:tc>
        <w:tc>
          <w:tcPr>
            <w:tcW w:type="dxa" w:w="2520"/>
            <w:tcW w:w="3500" w:type="dxa"/>
            <w:shd w:val="clear" w:color="auto" w:fill="F1F5F8"/>
          </w:tcPr>
          <w:p>
            <w:pPr>
              <w:spacing w:after="0"/>
            </w:pPr>
            <w:r>
              <w:rPr>
                <w:b w:val="0"/>
                <w:i w:val="0"/>
                <w:sz w:val="19"/>
              </w:rPr>
              <w:t>Who owns carcinoid-crisis prophylaxis, and how is it verified before each procedure?</w:t>
            </w:r>
          </w:p>
        </w:tc>
        <w:tc>
          <w:tcPr>
            <w:tcW w:type="dxa" w:w="2520"/>
            <w:tcW w:w="3780" w:type="dxa"/>
            <w:shd w:val="clear" w:color="auto" w:fill="F1F5F8"/>
          </w:tcPr>
          <w:p>
            <w:pPr>
              <w:spacing w:after="0"/>
            </w:pPr>
            <w:r>
              <w:rPr>
                <w:b w:val="0"/>
                <w:i w:val="0"/>
                <w:sz w:val="19"/>
              </w:rPr>
              <w:t>Every functional patient has a written, procedure-specific crisis plan with a named owner, rescue octreotide in the room and immediate haemodynamic treatment (Standard, grade D). The board names the prophylaxis…</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NELM-D7</w:t>
            </w:r>
          </w:p>
        </w:tc>
        <w:tc>
          <w:tcPr>
            <w:tcW w:type="dxa" w:w="2520"/>
            <w:tcW w:w="3500" w:type="dxa"/>
            <w:shd w:val="clear" w:color="auto" w:fill="FFFFFF"/>
          </w:tcPr>
          <w:p>
            <w:pPr>
              <w:spacing w:after="0"/>
            </w:pPr>
            <w:r>
              <w:rPr>
                <w:b w:val="0"/>
                <w:i w:val="0"/>
                <w:sz w:val="19"/>
              </w:rPr>
              <w:t>Re-biopsy policy for suspected grade progression or transformation.</w:t>
            </w:r>
          </w:p>
        </w:tc>
        <w:tc>
          <w:tcPr>
            <w:tcW w:type="dxa" w:w="2520"/>
            <w:tcW w:w="3780" w:type="dxa"/>
            <w:shd w:val="clear" w:color="auto" w:fill="FFFFFF"/>
          </w:tcPr>
          <w:p>
            <w:pPr>
              <w:spacing w:after="0"/>
            </w:pPr>
            <w:r>
              <w:rPr>
                <w:b w:val="0"/>
                <w:i w:val="0"/>
                <w:sz w:val="19"/>
              </w:rPr>
              <w:t>Consider re-biopsy (Reasonable, grade C) on unexpected behavioural change or discordant FDG avidity, particularly where the original grading is years old or the disease has changed pace, but not as…</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NELM-D8</w:t>
            </w:r>
          </w:p>
        </w:tc>
        <w:tc>
          <w:tcPr>
            <w:tcW w:type="dxa" w:w="2520"/>
            <w:tcW w:w="3500" w:type="dxa"/>
            <w:shd w:val="clear" w:color="auto" w:fill="F1F5F8"/>
          </w:tcPr>
          <w:p>
            <w:pPr>
              <w:spacing w:after="0"/>
            </w:pPr>
            <w:r>
              <w:rPr>
                <w:b w:val="0"/>
                <w:i w:val="0"/>
                <w:sz w:val="19"/>
              </w:rPr>
              <w:t>Who owns subsequent NCCN and OPTN update checks, and on what cycle?</w:t>
            </w:r>
          </w:p>
        </w:tc>
        <w:tc>
          <w:tcPr>
            <w:tcW w:type="dxa" w:w="2520"/>
            <w:tcW w:w="3780" w:type="dxa"/>
            <w:shd w:val="clear" w:color="auto" w:fill="F1F5F8"/>
          </w:tcPr>
          <w:p>
            <w:pPr>
              <w:spacing w:after="0"/>
            </w:pPr>
            <w:r>
              <w:rPr>
                <w:b w:val="0"/>
                <w:i w:val="0"/>
                <w:sz w:val="19"/>
              </w:rPr>
              <w:t>Source reconciliation is complete in this version (NCCN v1.2026; OPTN Policy 9 checked 1 October 2026). A named owner should verify each later NCCN edition and current OPTN allocation requirements…</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NELM-D9</w:t>
            </w:r>
          </w:p>
        </w:tc>
        <w:tc>
          <w:tcPr>
            <w:tcW w:type="dxa" w:w="2520"/>
            <w:tcW w:w="3500" w:type="dxa"/>
            <w:shd w:val="clear" w:color="auto" w:fill="FFFFFF"/>
          </w:tcPr>
          <w:p>
            <w:pPr>
              <w:spacing w:after="0"/>
            </w:pPr>
            <w:r>
              <w:rPr>
                <w:b w:val="0"/>
                <w:i w:val="0"/>
                <w:sz w:val="19"/>
              </w:rPr>
              <w:t>Is hepatic debulking offered in well-differentiated G3 disease, and under what conditions?</w:t>
            </w:r>
          </w:p>
        </w:tc>
        <w:tc>
          <w:tcPr>
            <w:tcW w:type="dxa" w:w="2520"/>
            <w:tcW w:w="3780" w:type="dxa"/>
            <w:shd w:val="clear" w:color="auto" w:fill="FFFFFF"/>
          </w:tcPr>
          <w:p>
            <w:pPr>
              <w:spacing w:after="0"/>
            </w:pPr>
            <w:r>
              <w:rPr>
                <w:b w:val="0"/>
                <w:i w:val="0"/>
                <w:sz w:val="19"/>
              </w:rPr>
              <w:t>The roadmap states no position on G3 hepatic debulking. It keeps eligibility for a G3 systemic option distinct from eligibility for cytoreduction or transplantation, and alignment area 15 asks whether…</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NELM-D10</w:t>
            </w:r>
          </w:p>
        </w:tc>
        <w:tc>
          <w:tcPr>
            <w:tcW w:type="dxa" w:w="2520"/>
            <w:tcW w:w="3500" w:type="dxa"/>
            <w:shd w:val="clear" w:color="auto" w:fill="F1F5F8"/>
          </w:tcPr>
          <w:p>
            <w:pPr>
              <w:spacing w:after="0"/>
            </w:pPr>
            <w:r>
              <w:rPr>
                <w:b w:val="0"/>
                <w:i w:val="0"/>
                <w:sz w:val="19"/>
              </w:rPr>
              <w:t>Is first-line PRRT offered to a patient who has already had liver-directed therapy?</w:t>
            </w:r>
          </w:p>
        </w:tc>
        <w:tc>
          <w:tcPr>
            <w:tcW w:type="dxa" w:w="2520"/>
            <w:tcW w:w="3780" w:type="dxa"/>
            <w:shd w:val="clear" w:color="auto" w:fill="F1F5F8"/>
          </w:tcPr>
          <w:p>
            <w:pPr>
              <w:spacing w:after="0"/>
            </w:pPr>
            <w:r>
              <w:rPr>
                <w:b w:val="0"/>
                <w:i w:val="0"/>
                <w:sz w:val="19"/>
              </w:rPr>
              <w:t>No explicit answer. Before every PRRT course the roadmap requires uptake above normal liver in target disease and documented renal, marrow and hepatic reserve, and reviews cumulative hepatic-directed exposure before…</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NELM-D11</w:t>
            </w:r>
          </w:p>
        </w:tc>
        <w:tc>
          <w:tcPr>
            <w:tcW w:type="dxa" w:w="2520"/>
            <w:tcW w:w="3500" w:type="dxa"/>
            <w:shd w:val="clear" w:color="auto" w:fill="FFFFFF"/>
          </w:tcPr>
          <w:p>
            <w:pPr>
              <w:spacing w:after="0"/>
            </w:pPr>
            <w:r>
              <w:rPr>
                <w:b w:val="0"/>
                <w:i w:val="0"/>
                <w:sz w:val="19"/>
              </w:rPr>
              <w:t>Does the programme reproduce or restate the NCCN position against drug-eluting embolics, and on what basis?</w:t>
            </w:r>
          </w:p>
        </w:tc>
        <w:tc>
          <w:tcPr>
            <w:tcW w:type="dxa" w:w="2520"/>
            <w:tcW w:w="3780" w:type="dxa"/>
            <w:shd w:val="clear" w:color="auto" w:fill="FFFFFF"/>
          </w:tcPr>
          <w:p>
            <w:pPr>
              <w:spacing w:after="0"/>
            </w:pPr>
            <w:r>
              <w:rPr>
                <w:b w:val="0"/>
                <w:i w:val="0"/>
                <w:sz w:val="19"/>
              </w:rPr>
              <w:t>Keep the avoidance (Avoid, downgraded to grade C) and state its basis: a precautionary institutional choice, justified because the biliary harm is irreversible and two patients died, not a demonstrated…</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NELM-D12</w:t>
            </w:r>
          </w:p>
        </w:tc>
        <w:tc>
          <w:tcPr>
            <w:tcW w:type="dxa" w:w="2520"/>
            <w:tcW w:w="3500" w:type="dxa"/>
            <w:shd w:val="clear" w:color="auto" w:fill="F1F5F8"/>
          </w:tcPr>
          <w:p>
            <w:pPr>
              <w:spacing w:after="0"/>
            </w:pPr>
            <w:r>
              <w:rPr>
                <w:b w:val="0"/>
                <w:i w:val="0"/>
                <w:sz w:val="19"/>
              </w:rPr>
              <w:t>Who corrects the shared liver-directed-therapy matrix entry that attributes outcome figures to RETNET?</w:t>
            </w:r>
          </w:p>
        </w:tc>
        <w:tc>
          <w:tcPr>
            <w:tcW w:type="dxa" w:w="2520"/>
            <w:tcW w:w="3780" w:type="dxa"/>
            <w:shd w:val="clear" w:color="auto" w:fill="F1F5F8"/>
          </w:tcPr>
          <w:p>
            <w:pPr>
              <w:spacing w:after="0"/>
            </w:pPr>
            <w:r>
              <w:rPr>
                <w:b w:val="0"/>
                <w:i w:val="0"/>
                <w:sz w:val="19"/>
              </w:rPr>
              <w:t>No efficacy figure on the NELM page is attributed to RETNET. The shared matrix entry should be corrected at its source and the other pathways checked for the same entry,…</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NELM-D13</w:t>
            </w:r>
          </w:p>
        </w:tc>
        <w:tc>
          <w:tcPr>
            <w:tcW w:type="dxa" w:w="2520"/>
            <w:tcW w:w="3500" w:type="dxa"/>
            <w:shd w:val="clear" w:color="auto" w:fill="FFFFFF"/>
          </w:tcPr>
          <w:p>
            <w:pPr>
              <w:spacing w:after="0"/>
            </w:pPr>
            <w:r>
              <w:rPr>
                <w:b w:val="0"/>
                <w:i w:val="0"/>
                <w:sz w:val="19"/>
              </w:rPr>
              <w:t>Which surveillance interval does the programme adopt for observed low-burden disease, and is observation documented as an equal alternative to an immediate analogue?</w:t>
            </w:r>
          </w:p>
        </w:tc>
        <w:tc>
          <w:tcPr>
            <w:tcW w:type="dxa" w:w="2520"/>
            <w:tcW w:w="3780" w:type="dxa"/>
            <w:shd w:val="clear" w:color="auto" w:fill="FFFFFF"/>
          </w:tcPr>
          <w:p>
            <w:pPr>
              <w:spacing w:after="0"/>
            </w:pPr>
            <w:r>
              <w:rPr>
                <w:b w:val="0"/>
                <w:i w:val="0"/>
                <w:sz w:val="19"/>
              </w:rPr>
              <w:t>Observation is a Reasonable alternative (grade B) for asymptomatic, low-volume, radiologically stable disease: imaging every 3 to 4 months at first, about every 6 months once stable, treating on progression…</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NELM-D14</w:t>
            </w:r>
          </w:p>
        </w:tc>
        <w:tc>
          <w:tcPr>
            <w:tcW w:type="dxa" w:w="2520"/>
            <w:tcW w:w="3500" w:type="dxa"/>
            <w:shd w:val="clear" w:color="auto" w:fill="F1F5F8"/>
          </w:tcPr>
          <w:p>
            <w:pPr>
              <w:spacing w:after="0"/>
            </w:pPr>
            <w:r>
              <w:rPr>
                <w:b w:val="0"/>
                <w:i w:val="0"/>
                <w:sz w:val="19"/>
              </w:rPr>
              <w:t>Who confirms the OPTN imaging-timing wording with the review board before the first NELM filing?</w:t>
            </w:r>
          </w:p>
        </w:tc>
        <w:tc>
          <w:tcPr>
            <w:tcW w:type="dxa" w:w="2520"/>
            <w:tcW w:w="3780" w:type="dxa"/>
            <w:shd w:val="clear" w:color="auto" w:fill="F1F5F8"/>
          </w:tcPr>
          <w:p>
            <w:pPr>
              <w:spacing w:after="0"/>
            </w:pPr>
            <w:r>
              <w:rPr>
                <w:b w:val="0"/>
                <w:i w:val="0"/>
                <w:sz w:val="19"/>
              </w:rPr>
              <w:t>The page reproduces the OPTN wording unchanged rather than rewriting it as within three months, keeps current clinical staging, and confirms the intended timing with the review process before filing.…</w:t>
            </w:r>
          </w:p>
        </w:tc>
        <w:tc>
          <w:tcPr>
            <w:tcW w:type="dxa" w:w="2520"/>
            <w:tcW w:w="1500" w:type="dxa"/>
            <w:shd w:val="clear" w:color="auto" w:fill="F1F5F8"/>
          </w:tcPr>
          <w:p>
            <w:pPr>
              <w:spacing w:after="0"/>
            </w:pPr>
            <w:r>
              <w:rPr>
                <w:b w:val="0"/>
                <w:i w:val="0"/>
                <w:color w:val="5A6069"/>
                <w:sz w:val="18"/>
              </w:rPr>
              <w:t>OPEN — not yet decided</w:t>
            </w:r>
          </w:p>
        </w:tc>
      </w:tr>
    </w:tbl>
    <w:p>
      <w:pPr>
        <w:spacing w:after="40"/>
      </w:pPr>
    </w:p>
    <w:p>
      <w:pPr>
        <w:pStyle w:val="Heading1"/>
        <w:keepNext/>
        <w:spacing w:before="280" w:after="80"/>
      </w:pPr>
      <w:r>
        <w:rPr>
          <w:b w:val="0"/>
          <w:i w:val="0"/>
        </w:rPr>
        <w:t>Questions</w:t>
      </w:r>
    </w:p>
    <w:p>
      <w:pPr>
        <w:pStyle w:val="Heading2"/>
        <w:keepNext/>
        <w:spacing w:before="200" w:after="80"/>
      </w:pPr>
      <w:r>
        <w:rPr>
          <w:b w:val="0"/>
          <w:i w:val="0"/>
        </w:rPr>
        <w:t>NELM-R1 — Liver surgery when extrahepatic disease is present or treated</w:t>
      </w:r>
    </w:p>
    <w:p>
      <w:pPr>
        <w:spacing w:after="80"/>
      </w:pPr>
      <w:r>
        <w:rPr>
          <w:b w:val="0"/>
          <w:i w:val="0"/>
          <w:color w:val="5A6069"/>
          <w:sz w:val="18"/>
        </w:rPr>
        <w:t>Proposed · OPEN proposal · Clinical</w:t>
      </w:r>
    </w:p>
    <w:p>
      <w:pPr>
        <w:spacing w:after="80"/>
      </w:pPr>
      <w:r>
        <w:rPr>
          <w:b/>
          <w:i w:val="0"/>
        </w:rPr>
        <w:t xml:space="preserve">Question: </w:t>
      </w:r>
      <w:r>
        <w:rPr>
          <w:b w:val="0"/>
          <w:i w:val="0"/>
        </w:rPr>
        <w:t>Does present or previously treated extrahepatic disease preclude liver cytoreduction or resection for well-differentiated NET liver metastases?</w:t>
      </w:r>
    </w:p>
    <w:p>
      <w:pPr>
        <w:spacing w:after="120"/>
      </w:pPr>
      <w:r>
        <w:rPr>
          <w:b/>
          <w:i w:val="0"/>
          <w:sz w:val="18"/>
        </w:rPr>
        <w:t xml:space="preserve">Web page: </w:t>
      </w:r>
      <w:hyperlink r:id="rId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NANETS 2017 · small-bowel NET surgery</w:t>
            </w:r>
          </w:p>
          <w:p>
            <w:pPr>
              <w:spacing w:after="0"/>
            </w:pPr>
            <w:r>
              <w:rPr>
                <w:b w:val="0"/>
                <w:i w:val="0"/>
                <w:color w:val="5A6069"/>
                <w:sz w:val="18"/>
              </w:rPr>
              <w:t>Full text read</w:t>
            </w:r>
          </w:p>
        </w:tc>
        <w:tc>
          <w:tcPr>
            <w:tcW w:type="dxa" w:w="3360"/>
            <w:tcW w:w="3900" w:type="dxa"/>
            <w:shd w:val="clear" w:color="auto" w:fill="F1F5F8"/>
          </w:tcPr>
          <w:p>
            <w:pPr>
              <w:spacing w:after="0"/>
            </w:pPr>
            <w:r>
              <w:rPr>
                <w:b w:val="0"/>
                <w:i w:val="0"/>
                <w:sz w:val="19"/>
              </w:rPr>
              <w:t>NANETS small-bowel NET consensus. Recommendation 5d: extrahepatic disease is not an absolute contraindication to cytoreduction; 5c: patients with extrahepatic disease may be eligible for liver debulking when ≥70% debulking is achievable.</w:t>
            </w:r>
          </w:p>
        </w:tc>
        <w:tc>
          <w:tcPr>
            <w:tcW w:type="dxa" w:w="3360"/>
            <w:tcW w:w="4180" w:type="dxa"/>
            <w:shd w:val="clear" w:color="auto" w:fill="F1F5F8"/>
          </w:tcPr>
          <w:p>
            <w:pPr>
              <w:spacing w:after="0"/>
            </w:pPr>
            <w:r>
              <w:rPr>
                <w:b w:val="0"/>
                <w:i w:val="0"/>
                <w:sz w:val="19"/>
              </w:rPr>
              <w:t>Distant nodes resected only in select cases (threatening vital structures, or to achieve no evidence of disease).</w:t>
            </w:r>
          </w:p>
          <w:p>
            <w:pPr>
              <w:spacing w:after="0"/>
            </w:pPr>
            <w:r>
              <w:rPr>
                <w:b w:val="0"/>
                <w:i/>
                <w:sz w:val="19"/>
              </w:rPr>
              <w:t>Limits: Expert consensus.</w:t>
            </w:r>
          </w:p>
          <w:p>
            <w:pPr>
              <w:spacing w:after="0"/>
            </w:pPr>
            <w:r>
              <w:rPr>
                <w:b w:val="0"/>
                <w:i w:val="0"/>
                <w:color w:val="5A6069"/>
                <w:sz w:val="18"/>
              </w:rPr>
              <w:t>Pancreas 2017; Recommendations 3c, 5c, 5d.</w:t>
            </w:r>
          </w:p>
        </w:tc>
      </w:tr>
      <w:tr>
        <w:trPr>
          <w:cantSplit/>
        </w:trPr>
        <w:tc>
          <w:tcPr>
            <w:tcW w:type="dxa" w:w="3360"/>
            <w:tcW w:w="2000" w:type="dxa"/>
            <w:shd w:val="clear" w:color="auto" w:fill="FFFFFF"/>
          </w:tcPr>
          <w:p>
            <w:pPr>
              <w:spacing w:after="0"/>
            </w:pPr>
            <w:r>
              <w:rPr>
                <w:b/>
                <w:i w:val="0"/>
                <w:sz w:val="19"/>
              </w:rPr>
              <w:t>Gudmundsdottir 2023 · cytoreductive hepatectomy</w:t>
            </w:r>
          </w:p>
          <w:p>
            <w:pPr>
              <w:spacing w:after="0"/>
            </w:pPr>
            <w:r>
              <w:rPr>
                <w:b w:val="0"/>
                <w:i w:val="0"/>
                <w:color w:val="5A6069"/>
                <w:sz w:val="18"/>
              </w:rPr>
              <w:t>Full text read</w:t>
            </w:r>
          </w:p>
        </w:tc>
        <w:tc>
          <w:tcPr>
            <w:tcW w:type="dxa" w:w="3360"/>
            <w:tcW w:w="3900" w:type="dxa"/>
            <w:shd w:val="clear" w:color="auto" w:fill="FFFFFF"/>
          </w:tcPr>
          <w:p>
            <w:pPr>
              <w:spacing w:after="0"/>
            </w:pPr>
            <w:r>
              <w:rPr>
                <w:b w:val="0"/>
                <w:i w:val="0"/>
                <w:sz w:val="19"/>
              </w:rPr>
              <w:t>Mayo, 546 cytoreductive hepatectomies. Extrahepatic distant metastases in 16% (peritoneum, bone).</w:t>
            </w:r>
          </w:p>
        </w:tc>
        <w:tc>
          <w:tcPr>
            <w:tcW w:type="dxa" w:w="3360"/>
            <w:tcW w:w="4180" w:type="dxa"/>
            <w:shd w:val="clear" w:color="auto" w:fill="FFFFFF"/>
          </w:tcPr>
          <w:p>
            <w:pPr>
              <w:spacing w:after="0"/>
            </w:pPr>
            <w:r>
              <w:rPr>
                <w:b w:val="0"/>
                <w:i w:val="0"/>
                <w:sz w:val="19"/>
              </w:rPr>
              <w:t>Associated with worse overall survival, not progression-free survival; median survival 122 months overall.</w:t>
            </w:r>
          </w:p>
          <w:p>
            <w:pPr>
              <w:spacing w:after="0"/>
            </w:pPr>
            <w:r>
              <w:rPr>
                <w:b w:val="0"/>
                <w:i/>
                <w:sz w:val="19"/>
              </w:rPr>
              <w:t>Limits: Tables unavailable.</w:t>
            </w:r>
          </w:p>
          <w:p>
            <w:pPr>
              <w:spacing w:after="0"/>
            </w:pPr>
            <w:r>
              <w:rPr>
                <w:b w:val="0"/>
                <w:i w:val="0"/>
                <w:color w:val="5A6069"/>
                <w:sz w:val="18"/>
              </w:rPr>
              <w:t>Ann Surg Oncol 2023; Results.</w:t>
            </w:r>
          </w:p>
        </w:tc>
      </w:tr>
      <w:tr>
        <w:trPr>
          <w:cantSplit/>
        </w:trPr>
        <w:tc>
          <w:tcPr>
            <w:tcW w:type="dxa" w:w="3360"/>
            <w:tcW w:w="2000" w:type="dxa"/>
            <w:shd w:val="clear" w:color="auto" w:fill="F1F5F8"/>
          </w:tcPr>
          <w:p>
            <w:pPr>
              <w:spacing w:after="0"/>
            </w:pPr>
            <w:r>
              <w:rPr>
                <w:b/>
                <w:i w:val="0"/>
                <w:sz w:val="19"/>
              </w:rPr>
              <w:t>Mahuron 2024 · NET liver metastases with EHD</w:t>
            </w:r>
          </w:p>
          <w:p>
            <w:pPr>
              <w:spacing w:after="0"/>
            </w:pPr>
            <w:r>
              <w:rPr>
                <w:b w:val="0"/>
                <w:i w:val="0"/>
                <w:color w:val="5A6069"/>
                <w:sz w:val="18"/>
              </w:rPr>
              <w:t>Full text read</w:t>
            </w:r>
          </w:p>
        </w:tc>
        <w:tc>
          <w:tcPr>
            <w:tcW w:type="dxa" w:w="3360"/>
            <w:tcW w:w="3900" w:type="dxa"/>
            <w:shd w:val="clear" w:color="auto" w:fill="F1F5F8"/>
          </w:tcPr>
          <w:p>
            <w:pPr>
              <w:spacing w:after="0"/>
            </w:pPr>
            <w:r>
              <w:rPr>
                <w:b w:val="0"/>
                <w:i w:val="0"/>
                <w:sz w:val="19"/>
              </w:rPr>
              <w:t>California registry, 327 with extrahepatic disease. Nodes not counted as extrahepatic.</w:t>
            </w:r>
          </w:p>
        </w:tc>
        <w:tc>
          <w:tcPr>
            <w:tcW w:type="dxa" w:w="3360"/>
            <w:tcW w:w="4180" w:type="dxa"/>
            <w:shd w:val="clear" w:color="auto" w:fill="F1F5F8"/>
          </w:tcPr>
          <w:p>
            <w:pPr>
              <w:spacing w:after="0"/>
            </w:pPr>
            <w:r>
              <w:rPr>
                <w:b w:val="0"/>
                <w:i w:val="0"/>
                <w:sz w:val="19"/>
              </w:rPr>
              <w:t>Liver resection (n=23): 5-year survival 78%; non-surgical liver-directed therapy median survival 13 vs 16 months with none (not formally compared; the authors read liver-directed therapy favourably).</w:t>
            </w:r>
          </w:p>
          <w:p>
            <w:pPr>
              <w:spacing w:after="0"/>
            </w:pPr>
            <w:r>
              <w:rPr>
                <w:b w:val="0"/>
                <w:i/>
                <w:sz w:val="19"/>
              </w:rPr>
              <w:t>Limits: Univariate; billing codes.</w:t>
            </w:r>
          </w:p>
          <w:p>
            <w:pPr>
              <w:spacing w:after="0"/>
            </w:pPr>
            <w:r>
              <w:rPr>
                <w:b w:val="0"/>
                <w:i w:val="0"/>
                <w:color w:val="5A6069"/>
                <w:sz w:val="18"/>
              </w:rPr>
              <w:t>J Clin Med 2024; Results.</w:t>
            </w:r>
          </w:p>
        </w:tc>
      </w:tr>
      <w:tr>
        <w:trPr>
          <w:cantSplit/>
        </w:trPr>
        <w:tc>
          <w:tcPr>
            <w:tcW w:type="dxa" w:w="3360"/>
            <w:tcW w:w="2000" w:type="dxa"/>
            <w:shd w:val="clear" w:color="auto" w:fill="FFFFFF"/>
          </w:tcPr>
          <w:p>
            <w:pPr>
              <w:spacing w:after="0"/>
            </w:pPr>
            <w:r>
              <w:rPr>
                <w:b/>
                <w:i w:val="0"/>
                <w:sz w:val="19"/>
              </w:rPr>
              <w:t>Wedin 2025 · bone metastases in SI-NET</w:t>
            </w:r>
          </w:p>
          <w:p>
            <w:pPr>
              <w:spacing w:after="0"/>
            </w:pPr>
            <w:r>
              <w:rPr>
                <w:b w:val="0"/>
                <w:i w:val="0"/>
                <w:color w:val="5A6069"/>
                <w:sz w:val="18"/>
              </w:rPr>
              <w:t>Full text read</w:t>
            </w:r>
          </w:p>
        </w:tc>
        <w:tc>
          <w:tcPr>
            <w:tcW w:type="dxa" w:w="3360"/>
            <w:tcW w:w="3900" w:type="dxa"/>
            <w:shd w:val="clear" w:color="auto" w:fill="FFFFFF"/>
          </w:tcPr>
          <w:p>
            <w:pPr>
              <w:spacing w:after="0"/>
            </w:pPr>
            <w:r>
              <w:rPr>
                <w:b w:val="0"/>
                <w:i w:val="0"/>
                <w:sz w:val="19"/>
              </w:rPr>
              <w:t>Bone metastases in SI-NET. On SSTR-PET.</w:t>
            </w:r>
          </w:p>
        </w:tc>
        <w:tc>
          <w:tcPr>
            <w:tcW w:type="dxa" w:w="3360"/>
            <w:tcW w:w="4180" w:type="dxa"/>
            <w:shd w:val="clear" w:color="auto" w:fill="FFFFFF"/>
          </w:tcPr>
          <w:p>
            <w:pPr>
              <w:spacing w:after="0"/>
            </w:pPr>
            <w:r>
              <w:rPr>
                <w:b w:val="0"/>
                <w:i w:val="0"/>
                <w:sz w:val="19"/>
              </w:rPr>
              <w:t>Any bone metastasis HR 1.94; &gt;5 lesions median survival 18 vs 75 months.</w:t>
            </w:r>
          </w:p>
          <w:p>
            <w:pPr>
              <w:spacing w:after="0"/>
            </w:pPr>
            <w:r>
              <w:rPr>
                <w:b w:val="0"/>
                <w:i/>
                <w:sz w:val="19"/>
              </w:rPr>
              <w:t>Limits: No curative bone treatment.</w:t>
            </w:r>
          </w:p>
          <w:p>
            <w:pPr>
              <w:spacing w:after="0"/>
            </w:pPr>
            <w:r>
              <w:rPr>
                <w:b w:val="0"/>
                <w:i w:val="0"/>
                <w:color w:val="5A6069"/>
                <w:sz w:val="18"/>
              </w:rPr>
              <w:t>J Neuroendocrinol 2025.</w:t>
            </w:r>
          </w:p>
        </w:tc>
      </w:tr>
      <w:tr>
        <w:trPr>
          <w:cantSplit/>
        </w:trPr>
        <w:tc>
          <w:tcPr>
            <w:tcW w:type="dxa" w:w="3360"/>
            <w:tcW w:w="2000" w:type="dxa"/>
            <w:shd w:val="clear" w:color="auto" w:fill="F1F5F8"/>
          </w:tcPr>
          <w:p>
            <w:pPr>
              <w:spacing w:after="0"/>
            </w:pPr>
            <w:r>
              <w:rPr>
                <w:b/>
                <w:i w:val="0"/>
                <w:sz w:val="19"/>
              </w:rPr>
              <w:t>Xiang 2018 · NF-NELM resection</w:t>
            </w:r>
          </w:p>
          <w:p>
            <w:pPr>
              <w:spacing w:after="0"/>
            </w:pPr>
            <w:r>
              <w:rPr>
                <w:b w:val="0"/>
                <w:i w:val="0"/>
                <w:color w:val="5A6069"/>
                <w:sz w:val="18"/>
              </w:rPr>
              <w:t>Abstract only; full text pending</w:t>
            </w:r>
          </w:p>
        </w:tc>
        <w:tc>
          <w:tcPr>
            <w:tcW w:type="dxa" w:w="3360"/>
            <w:tcW w:w="3900" w:type="dxa"/>
            <w:shd w:val="clear" w:color="auto" w:fill="F1F5F8"/>
          </w:tcPr>
          <w:p>
            <w:pPr>
              <w:spacing w:after="0"/>
            </w:pPr>
            <w:r>
              <w:rPr>
                <w:b w:val="0"/>
                <w:i w:val="0"/>
                <w:sz w:val="19"/>
              </w:rPr>
              <w:t>Multi-institutional, 332 NF-NELM. Resection.</w:t>
            </w:r>
          </w:p>
        </w:tc>
        <w:tc>
          <w:tcPr>
            <w:tcW w:type="dxa" w:w="3360"/>
            <w:tcW w:w="4180" w:type="dxa"/>
            <w:shd w:val="clear" w:color="auto" w:fill="F1F5F8"/>
          </w:tcPr>
          <w:p>
            <w:pPr>
              <w:spacing w:after="0"/>
            </w:pPr>
            <w:r>
              <w:rPr>
                <w:b w:val="0"/>
                <w:i w:val="0"/>
                <w:sz w:val="19"/>
              </w:rPr>
              <w:t>Extrahepatic metastasis HR 3.9 for death.</w:t>
            </w:r>
          </w:p>
          <w:p>
            <w:pPr>
              <w:spacing w:after="0"/>
            </w:pPr>
            <w:r>
              <w:rPr>
                <w:b w:val="0"/>
                <w:i/>
                <w:sz w:val="19"/>
              </w:rPr>
              <w:t>Limits: Not split by treated vs untreated.</w:t>
            </w:r>
          </w:p>
          <w:p>
            <w:pPr>
              <w:spacing w:after="0"/>
            </w:pPr>
            <w:r>
              <w:rPr>
                <w:b w:val="0"/>
                <w:i w:val="0"/>
                <w:color w:val="5A6069"/>
                <w:sz w:val="18"/>
              </w:rPr>
              <w:t>Ann Surg Oncol 2018 (abstract; full text pending).</w:t>
            </w:r>
          </w:p>
        </w:tc>
      </w:tr>
      <w:tr>
        <w:trPr>
          <w:cantSplit/>
        </w:trPr>
        <w:tc>
          <w:tcPr>
            <w:tcW w:type="dxa" w:w="3360"/>
            <w:tcW w:w="2000" w:type="dxa"/>
            <w:shd w:val="clear" w:color="auto" w:fill="FFFFFF"/>
          </w:tcPr>
          <w:p>
            <w:pPr>
              <w:spacing w:after="0"/>
            </w:pPr>
            <w:r>
              <w:rPr>
                <w:b/>
                <w:i w:val="0"/>
                <w:sz w:val="19"/>
              </w:rPr>
              <w:t>Spolverato 2017 · recurrence after NELM surgery</w:t>
            </w:r>
          </w:p>
          <w:p>
            <w:pPr>
              <w:spacing w:after="0"/>
            </w:pPr>
            <w:r>
              <w:rPr>
                <w:b w:val="0"/>
                <w:i w:val="0"/>
                <w:color w:val="5A6069"/>
                <w:sz w:val="18"/>
              </w:rPr>
              <w:t>Abstract only; full text pending</w:t>
            </w:r>
          </w:p>
        </w:tc>
        <w:tc>
          <w:tcPr>
            <w:tcW w:type="dxa" w:w="3360"/>
            <w:tcW w:w="3900" w:type="dxa"/>
            <w:shd w:val="clear" w:color="auto" w:fill="FFFFFF"/>
          </w:tcPr>
          <w:p>
            <w:pPr>
              <w:spacing w:after="0"/>
            </w:pPr>
            <w:r>
              <w:rPr>
                <w:b w:val="0"/>
                <w:i w:val="0"/>
                <w:sz w:val="19"/>
              </w:rPr>
              <w:t>International, 322 NELM operations. Recurrence sites.</w:t>
            </w:r>
          </w:p>
        </w:tc>
        <w:tc>
          <w:tcPr>
            <w:tcW w:type="dxa" w:w="3360"/>
            <w:tcW w:w="4180" w:type="dxa"/>
            <w:shd w:val="clear" w:color="auto" w:fill="FFFFFF"/>
          </w:tcPr>
          <w:p>
            <w:pPr>
              <w:spacing w:after="0"/>
            </w:pPr>
            <w:r>
              <w:rPr>
                <w:b w:val="0"/>
                <w:i w:val="0"/>
                <w:sz w:val="19"/>
              </w:rPr>
              <w:t>10-year survival 0% with extrahepatic-only recurrence.</w:t>
            </w:r>
          </w:p>
          <w:p>
            <w:pPr>
              <w:spacing w:after="0"/>
            </w:pPr>
            <w:r>
              <w:rPr>
                <w:b w:val="0"/>
                <w:i/>
                <w:sz w:val="19"/>
              </w:rPr>
              <w:t>Limits: Small subgroup.</w:t>
            </w:r>
          </w:p>
          <w:p>
            <w:pPr>
              <w:spacing w:after="0"/>
            </w:pPr>
            <w:r>
              <w:rPr>
                <w:b w:val="0"/>
                <w:i w:val="0"/>
                <w:color w:val="5A6069"/>
                <w:sz w:val="18"/>
              </w:rPr>
              <w:t>J Surg Oncol 2017 (abstract; full text pending).</w:t>
            </w:r>
          </w:p>
        </w:tc>
      </w:tr>
      <w:tr>
        <w:trPr>
          <w:cantSplit/>
        </w:trPr>
        <w:tc>
          <w:tcPr>
            <w:tcW w:type="dxa" w:w="3360"/>
            <w:tcW w:w="2000" w:type="dxa"/>
            <w:shd w:val="clear" w:color="auto" w:fill="F1F5F8"/>
          </w:tcPr>
          <w:p>
            <w:pPr>
              <w:spacing w:after="0"/>
            </w:pPr>
            <w:r>
              <w:rPr>
                <w:b/>
                <w:i w:val="0"/>
                <w:sz w:val="19"/>
              </w:rPr>
              <w:t>Chan 2018 · cytoreduction with EHD</w:t>
            </w:r>
          </w:p>
          <w:p>
            <w:pPr>
              <w:spacing w:after="0"/>
            </w:pPr>
            <w:r>
              <w:rPr>
                <w:b w:val="0"/>
                <w:i w:val="0"/>
                <w:color w:val="5A6069"/>
                <w:sz w:val="18"/>
              </w:rPr>
              <w:t>Abstract only; full text pending</w:t>
            </w:r>
          </w:p>
        </w:tc>
        <w:tc>
          <w:tcPr>
            <w:tcW w:type="dxa" w:w="3360"/>
            <w:tcW w:w="3900" w:type="dxa"/>
            <w:shd w:val="clear" w:color="auto" w:fill="F1F5F8"/>
          </w:tcPr>
          <w:p>
            <w:pPr>
              <w:spacing w:after="0"/>
            </w:pPr>
            <w:r>
              <w:rPr>
                <w:b w:val="0"/>
                <w:i w:val="0"/>
                <w:sz w:val="19"/>
              </w:rPr>
              <w:t>Single centre, 55 cytoreductions with extrahepatic disease. 87% combined intra- and extrahepatic.</w:t>
            </w:r>
          </w:p>
        </w:tc>
        <w:tc>
          <w:tcPr>
            <w:tcW w:type="dxa" w:w="3360"/>
            <w:tcW w:w="4180" w:type="dxa"/>
            <w:shd w:val="clear" w:color="auto" w:fill="F1F5F8"/>
          </w:tcPr>
          <w:p>
            <w:pPr>
              <w:spacing w:after="0"/>
            </w:pPr>
            <w:r>
              <w:rPr>
                <w:b w:val="0"/>
                <w:i w:val="0"/>
                <w:sz w:val="19"/>
              </w:rPr>
              <w:t>Major morbidity 18%, mortality 3.6%.</w:t>
            </w:r>
          </w:p>
          <w:p>
            <w:pPr>
              <w:spacing w:after="0"/>
            </w:pPr>
            <w:r>
              <w:rPr>
                <w:b w:val="0"/>
                <w:i/>
                <w:sz w:val="19"/>
              </w:rPr>
              <w:t>Limits: No comparator.</w:t>
            </w:r>
          </w:p>
          <w:p>
            <w:pPr>
              <w:spacing w:after="0"/>
            </w:pPr>
            <w:r>
              <w:rPr>
                <w:b w:val="0"/>
                <w:i w:val="0"/>
                <w:color w:val="5A6069"/>
                <w:sz w:val="18"/>
              </w:rPr>
              <w:t>Ann Surg Oncol 2018 (abstract; full text pending).</w:t>
            </w:r>
          </w:p>
        </w:tc>
      </w:tr>
    </w:tbl>
    <w:p>
      <w:pPr>
        <w:spacing w:after="40"/>
      </w:pPr>
    </w:p>
    <w:p>
      <w:pPr>
        <w:pStyle w:val="Heading3"/>
        <w:keepNext/>
        <w:spacing w:before="120" w:after="80"/>
      </w:pPr>
      <w:r>
        <w:rPr>
          <w:b w:val="0"/>
          <w:i w:val="0"/>
        </w:rPr>
        <w:t>Our proposed selection (OPEN)</w:t>
      </w:r>
    </w:p>
    <w:p>
      <w:pPr>
        <w:spacing w:after="80"/>
      </w:pPr>
      <w:r>
        <w:rPr>
          <w:b w:val="0"/>
          <w:i w:val="0"/>
        </w:rPr>
        <w:t>Extrahepatic disease does not by itself preclude hepatic cytoreduction or resection of the primary for well-differentiated G1–G2 disease when at least 70% of liver disease can be removed or treated and accessible extrahepatic disease can be resected at the same time. Frame it as life-prolonging debulking; extrahepatic disease is associated with shorter survival in most, but not all, series (NANETS describes the data as conflicting).</w:t>
      </w:r>
    </w:p>
    <w:p>
      <w:pPr>
        <w:numPr>
          <w:ilvl w:val="0"/>
          <w:numId w:val="5"/>
        </w:numPr>
        <w:spacing w:after="40"/>
      </w:pPr>
      <w:r>
        <w:rPr>
          <w:b w:val="0"/>
          <w:i w:val="0"/>
        </w:rPr>
        <w:t>Proceed when ≥70% debulking is achievable and accessible extrahepatic disease (mesenteric nodes, limited peritoneal deposits) can be removed; resect distant nodes only when this renders the patient free of visible disease.</w:t>
      </w:r>
    </w:p>
    <w:p>
      <w:pPr>
        <w:numPr>
          <w:ilvl w:val="0"/>
          <w:numId w:val="5"/>
        </w:numPr>
        <w:spacing w:after="40"/>
      </w:pPr>
      <w:r>
        <w:rPr>
          <w:b w:val="0"/>
          <w:i w:val="0"/>
        </w:rPr>
        <w:t>Bone metastases are an adverse modifier, not an automatic exclusion; diffuse skeletal, brain or unresectable mesenteric-root disease argue against surgery.</w:t>
      </w:r>
    </w:p>
    <w:p>
      <w:pPr>
        <w:numPr>
          <w:ilvl w:val="0"/>
          <w:numId w:val="5"/>
        </w:numPr>
        <w:spacing w:after="40"/>
      </w:pPr>
      <w:r>
        <w:rPr>
          <w:b w:val="0"/>
          <w:i w:val="0"/>
        </w:rPr>
        <w:t>No observation period is required before cytoreduction.</w:t>
      </w:r>
    </w:p>
    <w:p>
      <w:pPr>
        <w:numPr>
          <w:ilvl w:val="0"/>
          <w:numId w:val="5"/>
        </w:numPr>
        <w:spacing w:after="40"/>
      </w:pPr>
      <w:r>
        <w:rPr>
          <w:b w:val="0"/>
          <w:i w:val="0"/>
        </w:rPr>
        <w:t>Transplant questions go to NET-B4.</w:t>
      </w:r>
    </w:p>
    <w:p>
      <w:pPr>
        <w:spacing w:after="80"/>
      </w:pPr>
      <w:r>
        <w:rPr>
          <w:b/>
          <w:i w:val="0"/>
        </w:rPr>
        <w:t xml:space="preserve">Why: </w:t>
      </w:r>
      <w:r>
        <w:rPr>
          <w:b w:val="0"/>
          <w:i w:val="0"/>
        </w:rPr>
        <w:t>NANETS consensus accepts extrahepatic disease for cytoreduction; cohorts show it shortens survival.</w:t>
      </w:r>
    </w:p>
    <w:p>
      <w:pPr>
        <w:spacing w:after="80"/>
      </w:pPr>
      <w:r>
        <w:rPr>
          <w:b/>
          <w:i w:val="0"/>
        </w:rPr>
        <w:t xml:space="preserve">Against, or uncertain: </w:t>
      </w:r>
      <w:r>
        <w:rPr>
          <w:b w:val="0"/>
          <w:i w:val="0"/>
        </w:rPr>
        <w:t>All evidence is observational and selected.</w:t>
      </w:r>
    </w:p>
    <w:p>
      <w:pPr>
        <w:spacing w:after="80"/>
      </w:pPr>
      <w:r>
        <w:rPr>
          <w:b/>
          <w:i w:val="0"/>
        </w:rPr>
        <w:t xml:space="preserve">Certainty: </w:t>
      </w:r>
      <w:r>
        <w:rPr>
          <w:b w:val="0"/>
          <w:i w:val="0"/>
        </w:rPr>
        <w:t>Low.</w:t>
      </w:r>
    </w:p>
    <w:p>
      <w:pPr>
        <w:spacing w:after="80"/>
      </w:pPr>
      <w:r>
        <w:rPr>
          <w:b/>
          <w:i w:val="0"/>
        </w:rPr>
        <w:t xml:space="preserve">What would change the answer: </w:t>
      </w:r>
      <w:r>
        <w:rPr>
          <w:b w:val="0"/>
          <w:i w:val="0"/>
        </w:rPr>
        <w:t>Comparative data by extrahepatic site.</w:t>
      </w:r>
    </w:p>
    <w:p>
      <w:pPr>
        <w:pStyle w:val="Heading3"/>
        <w:keepNext/>
        <w:spacing w:before="120" w:after="80"/>
      </w:pPr>
      <w:r>
        <w:rPr>
          <w:b w:val="0"/>
          <w:i w:val="0"/>
        </w:rPr>
        <w:t>NELM-R1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NELM-D1 — Which embolisation technique is the programme's default?</w:t>
      </w:r>
    </w:p>
    <w:p>
      <w:pPr>
        <w:spacing w:after="80"/>
      </w:pPr>
      <w:r>
        <w:rPr>
          <w:b w:val="0"/>
          <w:i w:val="0"/>
          <w:color w:val="5A6069"/>
          <w:sz w:val="18"/>
        </w:rPr>
        <w:t>OPEN — not yet decided · Clinical</w:t>
      </w:r>
    </w:p>
    <w:p>
      <w:pPr>
        <w:spacing w:after="80"/>
      </w:pPr>
      <w:r>
        <w:rPr>
          <w:b/>
          <w:i w:val="0"/>
        </w:rPr>
        <w:t xml:space="preserve">Where it is decided: </w:t>
      </w:r>
      <w:hyperlink r:id="rId9">
        <w:r>
          <w:rPr>
            <w:color w:val="0563C1"/>
            <w:u w:val="single"/>
          </w:rPr>
          <w:t xml:space="preserve">7 · Select liver-directed therapy</w:t>
        </w:r>
      </w:hyperlink>
      <w:r>
        <w:rPr>
          <w:b w:val="0"/>
          <w:i w:val="0"/>
        </w:rPr>
        <w:t xml:space="preserve"> · </w:t>
      </w:r>
      <w:hyperlink r:id="rId10">
        <w:r>
          <w:rPr>
            <w:color w:val="0563C1"/>
            <w:u w:val="single"/>
          </w:rPr>
          <w:t xml:space="preserve">3 · High-volume or progressing G1–G2 disease</w:t>
        </w:r>
      </w:hyperlink>
    </w:p>
    <w:p>
      <w:pPr>
        <w:spacing w:after="120"/>
      </w:pPr>
      <w:r>
        <w:rPr>
          <w:b/>
          <w:i w:val="0"/>
          <w:sz w:val="18"/>
        </w:rPr>
        <w:t xml:space="preserve">Web page: </w:t>
      </w:r>
      <w:hyperlink r:id="rId1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NE v1.2026</w:t>
            </w:r>
          </w:p>
        </w:tc>
        <w:tc>
          <w:tcPr>
            <w:tcW w:type="dxa" w:w="3360"/>
            <w:tcW w:w="5480" w:type="dxa"/>
            <w:shd w:val="clear" w:color="auto" w:fill="F1F5F8"/>
          </w:tcPr>
          <w:p>
            <w:pPr>
              <w:spacing w:after="0"/>
            </w:pPr>
            <w:r>
              <w:rPr>
                <w:b w:val="0"/>
                <w:i w:val="0"/>
                <w:sz w:val="19"/>
              </w:rPr>
              <w:t>No completed randomised study compares bland embolisation with conventional TACE, so both are acceptable; drug-eluting embolics are advised against for increased hepatobiliary toxicity in NET.</w:t>
            </w:r>
          </w:p>
        </w:tc>
        <w:tc>
          <w:tcPr>
            <w:tcW w:type="dxa" w:w="3360"/>
            <w:tcW w:w="2400" w:type="dxa"/>
            <w:shd w:val="clear" w:color="auto" w:fill="F1F5F8"/>
          </w:tcPr>
          <w:p>
            <w:pPr>
              <w:spacing w:after="0"/>
            </w:pPr>
            <w:r>
              <w:rPr>
                <w:b w:val="0"/>
                <w:i w:val="0"/>
                <w:color w:val="5A6069"/>
                <w:sz w:val="18"/>
              </w:rPr>
              <w:t>Gate 7 · Reasonable option 'Bland embolisation or conventional TACE' · when; Gate 3 · Reasonable 'Add a liver-directed procedure…' · note</w:t>
            </w:r>
          </w:p>
        </w:tc>
      </w:tr>
      <w:tr>
        <w:trPr>
          <w:cantSplit/>
        </w:trPr>
        <w:tc>
          <w:tcPr>
            <w:tcW w:type="dxa" w:w="3360"/>
            <w:tcW w:w="2200" w:type="dxa"/>
            <w:shd w:val="clear" w:color="auto" w:fill="FFFFFF"/>
          </w:tcPr>
          <w:p>
            <w:pPr>
              <w:spacing w:after="0"/>
            </w:pPr>
            <w:r>
              <w:rPr>
                <w:b/>
                <w:i w:val="0"/>
                <w:sz w:val="19"/>
              </w:rPr>
              <w:t>ENETS 2024 small intestine</w:t>
            </w:r>
          </w:p>
        </w:tc>
        <w:tc>
          <w:tcPr>
            <w:tcW w:type="dxa" w:w="3360"/>
            <w:tcW w:w="5480" w:type="dxa"/>
            <w:shd w:val="clear" w:color="auto" w:fill="FFFFFF"/>
          </w:tcPr>
          <w:p>
            <w:pPr>
              <w:spacing w:after="0"/>
            </w:pPr>
            <w:r>
              <w:rPr>
                <w:b w:val="0"/>
                <w:i w:val="0"/>
                <w:sz w:val="19"/>
              </w:rPr>
              <w:t>Generally prefers bland embolisation in small-intestine NET.</w:t>
            </w:r>
          </w:p>
        </w:tc>
        <w:tc>
          <w:tcPr>
            <w:tcW w:type="dxa" w:w="3360"/>
            <w:tcW w:w="2400" w:type="dxa"/>
            <w:shd w:val="clear" w:color="auto" w:fill="FFFFFF"/>
          </w:tcPr>
          <w:p>
            <w:pPr>
              <w:spacing w:after="0"/>
            </w:pPr>
            <w:r>
              <w:rPr>
                <w:b w:val="0"/>
                <w:i w:val="0"/>
                <w:color w:val="5A6069"/>
                <w:sz w:val="18"/>
              </w:rPr>
              <w:t>Gate 7 · Reasonable option 'Bland embolisation or conventional TACE' · caveat; What we are not sure about #14</w:t>
            </w:r>
          </w:p>
        </w:tc>
      </w:tr>
      <w:tr>
        <w:trPr>
          <w:cantSplit/>
        </w:trPr>
        <w:tc>
          <w:tcPr>
            <w:tcW w:type="dxa" w:w="3360"/>
            <w:tcW w:w="2200" w:type="dxa"/>
            <w:shd w:val="clear" w:color="auto" w:fill="F1F5F8"/>
          </w:tcPr>
          <w:p>
            <w:pPr>
              <w:spacing w:after="0"/>
            </w:pPr>
            <w:r>
              <w:rPr>
                <w:b/>
                <w:i w:val="0"/>
                <w:sz w:val="19"/>
              </w:rPr>
              <w:t>ENETS 2023 functioning panNET</w:t>
            </w:r>
          </w:p>
        </w:tc>
        <w:tc>
          <w:tcPr>
            <w:tcW w:type="dxa" w:w="3360"/>
            <w:tcW w:w="5480" w:type="dxa"/>
            <w:shd w:val="clear" w:color="auto" w:fill="F1F5F8"/>
          </w:tcPr>
          <w:p>
            <w:pPr>
              <w:spacing w:after="0"/>
            </w:pPr>
            <w:r>
              <w:rPr>
                <w:b w:val="0"/>
                <w:i w:val="0"/>
                <w:sz w:val="19"/>
              </w:rPr>
              <w:t>Calls chemoembolisation possibly more effective in functioning pancreatic NET, the opposite lean to ENETS 2024.</w:t>
            </w:r>
          </w:p>
        </w:tc>
        <w:tc>
          <w:tcPr>
            <w:tcW w:type="dxa" w:w="3360"/>
            <w:tcW w:w="2400" w:type="dxa"/>
            <w:shd w:val="clear" w:color="auto" w:fill="F1F5F8"/>
          </w:tcPr>
          <w:p>
            <w:pPr>
              <w:spacing w:after="0"/>
            </w:pPr>
            <w:r>
              <w:rPr>
                <w:b w:val="0"/>
                <w:i w:val="0"/>
                <w:color w:val="5A6069"/>
                <w:sz w:val="18"/>
              </w:rPr>
              <w:t>Gate 7 · Reasonable option 'Bland embolisation or conventional TACE' · caveat; Gate 3 · Reasonable 'Add a liver-directed procedure…' · note</w:t>
            </w:r>
          </w:p>
        </w:tc>
      </w:tr>
      <w:tr>
        <w:trPr>
          <w:cantSplit/>
        </w:trPr>
        <w:tc>
          <w:tcPr>
            <w:tcW w:type="dxa" w:w="3360"/>
            <w:tcW w:w="2200" w:type="dxa"/>
            <w:shd w:val="clear" w:color="auto" w:fill="FFFFFF"/>
          </w:tcPr>
          <w:p>
            <w:pPr>
              <w:spacing w:after="0"/>
            </w:pPr>
            <w:r>
              <w:rPr>
                <w:b/>
                <w:i w:val="0"/>
                <w:sz w:val="19"/>
              </w:rPr>
              <w:t>Gupta embolisation</w:t>
            </w:r>
          </w:p>
        </w:tc>
        <w:tc>
          <w:tcPr>
            <w:tcW w:type="dxa" w:w="3360"/>
            <w:tcW w:w="5480" w:type="dxa"/>
            <w:shd w:val="clear" w:color="auto" w:fill="FFFFFF"/>
          </w:tcPr>
          <w:p>
            <w:pPr>
              <w:spacing w:after="0"/>
            </w:pPr>
            <w:r>
              <w:rPr>
                <w:b w:val="0"/>
                <w:i w:val="0"/>
                <w:sz w:val="19"/>
              </w:rPr>
              <w:t>Retrospective 123-patient series: bland embolisation outperformed chemoembolisation on response in carcinoid (81.0% vs 44.4%) without survival difference; islet-cell results trended the other way. Roadmap critique: the referring physician chose technique, so effects are confounded.</w:t>
            </w:r>
          </w:p>
        </w:tc>
        <w:tc>
          <w:tcPr>
            <w:tcW w:type="dxa" w:w="3360"/>
            <w:tcW w:w="2400" w:type="dxa"/>
            <w:shd w:val="clear" w:color="auto" w:fill="FFFFFF"/>
          </w:tcPr>
          <w:p>
            <w:pPr>
              <w:spacing w:after="0"/>
            </w:pPr>
            <w:r>
              <w:rPr>
                <w:b w:val="0"/>
                <w:i w:val="0"/>
                <w:color w:val="5A6069"/>
                <w:sz w:val="18"/>
              </w:rPr>
              <w:t>Gate 3 · Reasonable 'Add a liver-directed procedure…' · pref and note; Gate 7 · Reasonable option 'Bland embolisation or conventional TACE' · pref; What we are not sure about #14</w:t>
            </w:r>
          </w:p>
        </w:tc>
      </w:tr>
      <w:tr>
        <w:trPr>
          <w:cantSplit/>
        </w:trPr>
        <w:tc>
          <w:tcPr>
            <w:tcW w:type="dxa" w:w="3360"/>
            <w:tcW w:w="2200" w:type="dxa"/>
            <w:shd w:val="clear" w:color="auto" w:fill="F1F5F8"/>
          </w:tcPr>
          <w:p>
            <w:pPr>
              <w:spacing w:after="0"/>
            </w:pPr>
            <w:r>
              <w:rPr>
                <w:b/>
                <w:i w:val="0"/>
                <w:sz w:val="19"/>
              </w:rPr>
              <w:t>RETNET protocol</w:t>
            </w:r>
          </w:p>
        </w:tc>
        <w:tc>
          <w:tcPr>
            <w:tcW w:type="dxa" w:w="3360"/>
            <w:tcW w:w="5480" w:type="dxa"/>
            <w:shd w:val="clear" w:color="auto" w:fill="F1F5F8"/>
          </w:tcPr>
          <w:p>
            <w:pPr>
              <w:spacing w:after="0"/>
            </w:pPr>
            <w:r>
              <w:rPr>
                <w:b w:val="0"/>
                <w:i w:val="0"/>
                <w:sz w:val="19"/>
              </w:rPr>
              <w:t>Protocol of the only prospective three-way comparison, still enrolling; it reports no outcome data. Its drug-eluting-bead arm later closed for severe complications, reported in ENETS 2024 rather than the protocol.</w:t>
            </w:r>
          </w:p>
        </w:tc>
        <w:tc>
          <w:tcPr>
            <w:tcW w:type="dxa" w:w="3360"/>
            <w:tcW w:w="2400" w:type="dxa"/>
            <w:shd w:val="clear" w:color="auto" w:fill="F1F5F8"/>
          </w:tcPr>
          <w:p>
            <w:pPr>
              <w:spacing w:after="0"/>
            </w:pPr>
            <w:r>
              <w:rPr>
                <w:b w:val="0"/>
                <w:i w:val="0"/>
                <w:color w:val="5A6069"/>
                <w:sz w:val="18"/>
              </w:rPr>
              <w:t>What we are not sure about #15; Gate 7 · Avoid 'Avoid drug-eluting embolics in NET.' · note</w:t>
            </w:r>
          </w:p>
        </w:tc>
      </w:tr>
    </w:tbl>
    <w:p>
      <w:pPr>
        <w:spacing w:after="40"/>
      </w:pPr>
    </w:p>
    <w:p>
      <w:pPr>
        <w:spacing w:after="80"/>
      </w:pPr>
      <w:r>
        <w:rPr>
          <w:b/>
          <w:i w:val="0"/>
        </w:rPr>
        <w:t xml:space="preserve">Where sources differ: </w:t>
      </w:r>
      <w:r>
        <w:rPr>
          <w:b w:val="0"/>
          <w:i w:val="0"/>
        </w:rPr>
        <w:t>NCCN accepts both techniques while ENETS 2024 leans to bland embolisation in small-intestine NET and ENETS 2023 to chemoembolisation in functioning pancreatic NET, and the comparative data are either underpowered or confounded by referral.</w:t>
      </w:r>
    </w:p>
    <w:p>
      <w:pPr>
        <w:pStyle w:val="Heading3"/>
        <w:keepNext/>
        <w:spacing w:before="120" w:after="80"/>
      </w:pPr>
      <w:r>
        <w:rPr>
          <w:b w:val="0"/>
          <w:i w:val="0"/>
        </w:rPr>
        <w:t>Our proposed selection (OPEN)</w:t>
      </w:r>
    </w:p>
    <w:p>
      <w:pPr>
        <w:spacing w:after="80"/>
      </w:pPr>
      <w:r>
        <w:rPr>
          <w:b w:val="0"/>
          <w:i w:val="0"/>
        </w:rPr>
        <w:t>No default is set. Bland embolisation and conventional TACE are both Reasonable (grade C), chosen by burden, symptoms, liver reserve and biliary-infection risk and not treated as interchangeable; drug-eluting embolics are avoided. The roadmap calls the default an expertise-and-availability decision, with technique, goal, hepatic progression-free survival and toxicity recorded for every procedure.</w:t>
      </w:r>
    </w:p>
    <w:p>
      <w:pPr>
        <w:spacing w:after="80"/>
      </w:pPr>
      <w:r>
        <w:rPr>
          <w:b/>
          <w:i w:val="0"/>
          <w:color w:val="5A6069"/>
          <w:sz w:val="18"/>
        </w:rPr>
        <w:t xml:space="preserve">Basis in the document: </w:t>
      </w:r>
      <w:r>
        <w:rPr>
          <w:b w:val="0"/>
          <w:i w:val="0"/>
          <w:color w:val="5A6069"/>
          <w:sz w:val="18"/>
        </w:rPr>
        <w:t>Gate 7 · Reasonable option 'Bland embolisation or conventional TACE'; Gate 7 · Avoid 'Avoid drug-eluting embolics in NET.' · pref; Gate 7 · flag note; What we are not sure about #14</w:t>
      </w:r>
    </w:p>
    <w:p>
      <w:pPr>
        <w:spacing w:after="80"/>
      </w:pPr>
      <w:r>
        <w:rPr>
          <w:b/>
          <w:i w:val="0"/>
        </w:rPr>
        <w:t xml:space="preserve">Why: </w:t>
      </w:r>
      <w:r>
        <w:rPr>
          <w:b w:val="0"/>
          <w:i w:val="0"/>
        </w:rPr>
        <w:t>The only prospective three-way comparison is still enrolling and its drug-eluting-bead arm closed for severe complications. One small randomised TAE versus TACE trial (Maire 2012, 26 patients, cited from ENETS rather than read in full) found no significant 2-year progression-free survival difference but was underpowered. The best non-randomised comparison favours bland embolisation on response in carcinoid disease (81.0% versus 44.4%, odds ratio 6.41) with no survival difference, but treatment was chosen by the referring physician; ENETS 2024 prefers bland in small-intestine NET while ENETS 2023 calls chemoembolisation possibly more effective in functioning pancreatic NET. Any choice is expertise and availability.</w:t>
      </w:r>
    </w:p>
    <w:p>
      <w:pPr>
        <w:spacing w:after="80"/>
      </w:pPr>
      <w:r>
        <w:rPr>
          <w:b/>
          <w:i w:val="0"/>
        </w:rPr>
        <w:t xml:space="preserve">What gets audited: </w:t>
      </w:r>
      <w:r>
        <w:rPr>
          <w:b w:val="0"/>
          <w:i w:val="0"/>
        </w:rPr>
        <w:t>Registry: technique, goal, hepatic progression-free survival, toxicity.</w:t>
      </w:r>
    </w:p>
    <w:p>
      <w:pPr>
        <w:pStyle w:val="Heading3"/>
        <w:keepNext/>
        <w:spacing w:before="120" w:after="80"/>
      </w:pPr>
      <w:r>
        <w:rPr>
          <w:b w:val="0"/>
          <w:i w:val="0"/>
        </w:rPr>
        <w:t>NELM-D1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NELM-D2 — Is first-line PRRT offered for receptor-positive grade 2–3 disease, and to whom?</w:t>
      </w:r>
    </w:p>
    <w:p>
      <w:pPr>
        <w:spacing w:after="80"/>
      </w:pPr>
      <w:r>
        <w:rPr>
          <w:b w:val="0"/>
          <w:i w:val="0"/>
          <w:color w:val="5A6069"/>
          <w:sz w:val="18"/>
        </w:rPr>
        <w:t>OPEN — not yet decided · Clinical</w:t>
      </w:r>
    </w:p>
    <w:p>
      <w:pPr>
        <w:spacing w:after="80"/>
      </w:pPr>
      <w:r>
        <w:rPr>
          <w:b/>
          <w:i w:val="0"/>
        </w:rPr>
        <w:t xml:space="preserve">Where it is decided: </w:t>
      </w:r>
      <w:hyperlink r:id="rId12">
        <w:r>
          <w:rPr>
            <w:color w:val="0563C1"/>
            <w:u w:val="single"/>
          </w:rPr>
          <w:t xml:space="preserve">4 · G3 NET versus neuroendocrine carcinoma</w:t>
        </w:r>
      </w:hyperlink>
      <w:r>
        <w:rPr>
          <w:b w:val="0"/>
          <w:i w:val="0"/>
        </w:rPr>
        <w:t xml:space="preserve"> · </w:t>
      </w:r>
      <w:hyperlink r:id="rId13">
        <w:r>
          <w:rPr>
            <w:color w:val="0563C1"/>
            <w:u w:val="single"/>
          </w:rPr>
          <w:t xml:space="preserve">6 · Select systemic therapy</w:t>
        </w:r>
      </w:hyperlink>
    </w:p>
    <w:p>
      <w:pPr>
        <w:spacing w:after="120"/>
      </w:pPr>
      <w:r>
        <w:rPr>
          <w:b/>
          <w:i w:val="0"/>
          <w:sz w:val="18"/>
        </w:rPr>
        <w:t xml:space="preserve">Web page: </w:t>
      </w:r>
      <w:hyperlink r:id="rId14">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NETTER-2</w:t>
            </w:r>
          </w:p>
        </w:tc>
        <w:tc>
          <w:tcPr>
            <w:tcW w:type="dxa" w:w="3360"/>
            <w:tcW w:w="5480" w:type="dxa"/>
            <w:shd w:val="clear" w:color="auto" w:fill="F1F5F8"/>
          </w:tcPr>
          <w:p>
            <w:pPr>
              <w:spacing w:after="0"/>
            </w:pPr>
            <w:r>
              <w:rPr>
                <w:b w:val="0"/>
                <w:i w:val="0"/>
                <w:sz w:val="19"/>
              </w:rPr>
              <w:t>Open-label trial in newly diagnosed SSTR-positive GEP-NET with Ki-67 10–55%: progression-free survival 22.8 vs 8.5 months; overall survival immature with 48% crossover. Roadmap grades it B, not A.</w:t>
            </w:r>
          </w:p>
        </w:tc>
        <w:tc>
          <w:tcPr>
            <w:tcW w:type="dxa" w:w="3360"/>
            <w:tcW w:w="2400" w:type="dxa"/>
            <w:shd w:val="clear" w:color="auto" w:fill="F1F5F8"/>
          </w:tcPr>
          <w:p>
            <w:pPr>
              <w:spacing w:after="0"/>
            </w:pPr>
            <w:r>
              <w:rPr>
                <w:b w:val="0"/>
                <w:i w:val="0"/>
                <w:color w:val="5A6069"/>
                <w:sz w:val="18"/>
              </w:rPr>
              <w:t>Gate 4 · Standard option '177Lu-DOTATATE, well-differentiated G3, receptor-positive' · when; What we are not sure about #7</w:t>
            </w:r>
          </w:p>
        </w:tc>
      </w:tr>
      <w:tr>
        <w:trPr>
          <w:cantSplit/>
        </w:trPr>
        <w:tc>
          <w:tcPr>
            <w:tcW w:type="dxa" w:w="3360"/>
            <w:tcW w:w="2200" w:type="dxa"/>
            <w:shd w:val="clear" w:color="auto" w:fill="FFFFFF"/>
          </w:tcPr>
          <w:p>
            <w:pPr>
              <w:spacing w:after="0"/>
            </w:pPr>
            <w:r>
              <w:rPr>
                <w:b/>
                <w:i w:val="0"/>
                <w:sz w:val="19"/>
              </w:rPr>
              <w:t>Itanet 2024 RLT</w:t>
            </w:r>
          </w:p>
        </w:tc>
        <w:tc>
          <w:tcPr>
            <w:tcW w:type="dxa" w:w="3360"/>
            <w:tcW w:w="5480" w:type="dxa"/>
            <w:shd w:val="clear" w:color="auto" w:fill="FFFFFF"/>
          </w:tcPr>
          <w:p>
            <w:pPr>
              <w:spacing w:after="0"/>
            </w:pPr>
            <w:r>
              <w:rPr>
                <w:b w:val="0"/>
                <w:i w:val="0"/>
                <w:sz w:val="19"/>
              </w:rPr>
              <w:t>Grades the NETTER-2-based first-line recommendation 1b-A, stronger than the roadmap’s B, and prefers PRRT over targeted agents (2b-B) and chemotherapy (3b-A) on cross-trial comparison.</w:t>
            </w:r>
          </w:p>
        </w:tc>
        <w:tc>
          <w:tcPr>
            <w:tcW w:type="dxa" w:w="3360"/>
            <w:tcW w:w="2400" w:type="dxa"/>
            <w:shd w:val="clear" w:color="auto" w:fill="FFFFFF"/>
          </w:tcPr>
          <w:p>
            <w:pPr>
              <w:spacing w:after="0"/>
            </w:pPr>
            <w:r>
              <w:rPr>
                <w:b w:val="0"/>
                <w:i w:val="0"/>
                <w:color w:val="5A6069"/>
                <w:sz w:val="18"/>
              </w:rPr>
              <w:t>Gate 4 · Standard option '177Lu-DOTATATE, well-differentiated G3, receptor-positive' · note (pathway data; not in the Word export); Gate 6 · flag note</w:t>
            </w:r>
          </w:p>
        </w:tc>
      </w:tr>
      <w:tr>
        <w:trPr>
          <w:cantSplit/>
        </w:trPr>
        <w:tc>
          <w:tcPr>
            <w:tcW w:type="dxa" w:w="3360"/>
            <w:tcW w:w="2200" w:type="dxa"/>
            <w:shd w:val="clear" w:color="auto" w:fill="F1F5F8"/>
          </w:tcPr>
          <w:p>
            <w:pPr>
              <w:spacing w:after="0"/>
            </w:pPr>
            <w:r>
              <w:rPr>
                <w:b/>
                <w:i w:val="0"/>
                <w:sz w:val="19"/>
              </w:rPr>
              <w:t>EANM Focus 3</w:t>
            </w:r>
          </w:p>
        </w:tc>
        <w:tc>
          <w:tcPr>
            <w:tcW w:type="dxa" w:w="3360"/>
            <w:tcW w:w="5480" w:type="dxa"/>
            <w:shd w:val="clear" w:color="auto" w:fill="F1F5F8"/>
          </w:tcPr>
          <w:p>
            <w:pPr>
              <w:spacing w:after="0"/>
            </w:pPr>
            <w:r>
              <w:rPr>
                <w:b w:val="0"/>
                <w:i w:val="0"/>
                <w:sz w:val="19"/>
              </w:rPr>
              <w:t>Backed first-line PRRT only for a minority of carefully selected patients (17 of 22 panellists, 77.3%).</w:t>
            </w:r>
          </w:p>
        </w:tc>
        <w:tc>
          <w:tcPr>
            <w:tcW w:type="dxa" w:w="3360"/>
            <w:tcW w:w="2400" w:type="dxa"/>
            <w:shd w:val="clear" w:color="auto" w:fill="F1F5F8"/>
          </w:tcPr>
          <w:p>
            <w:pPr>
              <w:spacing w:after="0"/>
            </w:pPr>
            <w:r>
              <w:rPr>
                <w:b w:val="0"/>
                <w:i w:val="0"/>
                <w:color w:val="5A6069"/>
                <w:sz w:val="18"/>
              </w:rPr>
              <w:t>Gate 4 · Standard option '177Lu-DOTATATE, well-differentiated G3, receptor-positive' · note; What we are not sure about #7</w:t>
            </w:r>
          </w:p>
        </w:tc>
      </w:tr>
      <w:tr>
        <w:trPr>
          <w:cantSplit/>
        </w:trPr>
        <w:tc>
          <w:tcPr>
            <w:tcW w:type="dxa" w:w="3360"/>
            <w:tcW w:w="2200" w:type="dxa"/>
            <w:shd w:val="clear" w:color="auto" w:fill="FFFFFF"/>
          </w:tcPr>
          <w:p>
            <w:pPr>
              <w:spacing w:after="0"/>
            </w:pPr>
            <w:r>
              <w:rPr>
                <w:b/>
                <w:i w:val="0"/>
                <w:sz w:val="19"/>
              </w:rPr>
              <w:t>NCCN NE v1.2026</w:t>
            </w:r>
          </w:p>
        </w:tc>
        <w:tc>
          <w:tcPr>
            <w:tcW w:type="dxa" w:w="3360"/>
            <w:tcW w:w="5480" w:type="dxa"/>
            <w:shd w:val="clear" w:color="auto" w:fill="FFFFFF"/>
          </w:tcPr>
          <w:p>
            <w:pPr>
              <w:spacing w:after="0"/>
            </w:pPr>
            <w:r>
              <w:rPr>
                <w:b w:val="0"/>
                <w:i w:val="0"/>
                <w:sz w:val="19"/>
              </w:rPr>
              <w:t>First-line PRRT can be considered in receptor-positive GEP-NET with Ki-67 10–55%.</w:t>
            </w:r>
          </w:p>
        </w:tc>
        <w:tc>
          <w:tcPr>
            <w:tcW w:type="dxa" w:w="3360"/>
            <w:tcW w:w="2400" w:type="dxa"/>
            <w:shd w:val="clear" w:color="auto" w:fill="FFFFFF"/>
          </w:tcPr>
          <w:p>
            <w:pPr>
              <w:spacing w:after="0"/>
            </w:pPr>
            <w:r>
              <w:rPr>
                <w:b w:val="0"/>
                <w:i w:val="0"/>
                <w:color w:val="5A6069"/>
                <w:sz w:val="18"/>
              </w:rPr>
              <w:t>Quick reference 'Ki-67 thresholds that change the pathway' · row 'Ki-67 10–55%'</w:t>
            </w:r>
          </w:p>
        </w:tc>
      </w:tr>
    </w:tbl>
    <w:p>
      <w:pPr>
        <w:spacing w:after="40"/>
      </w:pPr>
    </w:p>
    <w:p>
      <w:pPr>
        <w:spacing w:after="80"/>
      </w:pPr>
      <w:r>
        <w:rPr>
          <w:b/>
          <w:i w:val="0"/>
        </w:rPr>
        <w:t xml:space="preserve">Where sources differ: </w:t>
      </w:r>
      <w:r>
        <w:rPr>
          <w:b w:val="0"/>
          <w:i w:val="0"/>
        </w:rPr>
        <w:t>Itanet and NCCN support or permit first-line PRRT while EANM confines it to highly selected patients, and the roadmap downgrades to B because NETTER-2 is open-label with immature survival and narrow entry criteria.</w:t>
      </w:r>
    </w:p>
    <w:p>
      <w:pPr>
        <w:pStyle w:val="Heading3"/>
        <w:keepNext/>
        <w:spacing w:before="120" w:after="80"/>
      </w:pPr>
      <w:r>
        <w:rPr>
          <w:b w:val="0"/>
          <w:i w:val="0"/>
        </w:rPr>
        <w:t>Our proposed selection (OPEN)</w:t>
      </w:r>
    </w:p>
    <w:p>
      <w:pPr>
        <w:spacing w:after="80"/>
      </w:pPr>
      <w:r>
        <w:rPr>
          <w:b w:val="0"/>
          <w:i w:val="0"/>
        </w:rPr>
        <w:t>Standard, grade B, for the phenotype NETTER-2 tested: uptake above normal liver in target disease, Ki-67 10–55%, documented renal, marrow and hepatic reserve, and clinically significant burden (a local criterion). Ki-67 above 55%, receptor-negative or FDG-avid disease and prior liver-directed therapy fall outside the evidence; the B downgrade and who qualifies remain open decisions.</w:t>
      </w:r>
    </w:p>
    <w:p>
      <w:pPr>
        <w:spacing w:after="80"/>
      </w:pPr>
      <w:r>
        <w:rPr>
          <w:b/>
          <w:i w:val="0"/>
          <w:color w:val="5A6069"/>
          <w:sz w:val="18"/>
        </w:rPr>
        <w:t xml:space="preserve">Basis in the document: </w:t>
      </w:r>
      <w:r>
        <w:rPr>
          <w:b w:val="0"/>
          <w:i w:val="0"/>
          <w:color w:val="5A6069"/>
          <w:sz w:val="18"/>
        </w:rPr>
        <w:t>Gate 4 · Standard option '177Lu-DOTATATE, well-differentiated G3, receptor-positive' · pref and caveat; Gate 6 · flag note</w:t>
      </w:r>
    </w:p>
    <w:p>
      <w:pPr>
        <w:spacing w:after="80"/>
      </w:pPr>
      <w:r>
        <w:rPr>
          <w:b/>
          <w:i w:val="0"/>
        </w:rPr>
        <w:t xml:space="preserve">Why: </w:t>
      </w:r>
      <w:r>
        <w:rPr>
          <w:b w:val="0"/>
          <w:i w:val="0"/>
        </w:rPr>
        <w:t>One open-label randomised trial with a progression-free survival endpoint; overall survival immature. Depends on radiopharmaceutical availability and payer authorisation.</w:t>
      </w:r>
    </w:p>
    <w:p>
      <w:pPr>
        <w:spacing w:after="80"/>
      </w:pPr>
      <w:r>
        <w:rPr>
          <w:b/>
          <w:i w:val="0"/>
        </w:rPr>
        <w:t xml:space="preserve">What gets audited: </w:t>
      </w:r>
      <w:r>
        <w:rPr>
          <w:b w:val="0"/>
          <w:i w:val="0"/>
        </w:rPr>
        <w:t>Registry: every PRRT course, progression-free survival, hepatic and renal function.</w:t>
      </w:r>
    </w:p>
    <w:p>
      <w:pPr>
        <w:pStyle w:val="Heading3"/>
        <w:keepNext/>
        <w:spacing w:before="120" w:after="80"/>
      </w:pPr>
      <w:r>
        <w:rPr>
          <w:b w:val="0"/>
          <w:i w:val="0"/>
        </w:rPr>
        <w:t>NELM-D2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NELM-D3 — Hepatic burden threshold above which cytoreduction is not attempted.</w:t>
      </w:r>
    </w:p>
    <w:p>
      <w:pPr>
        <w:spacing w:after="80"/>
      </w:pPr>
      <w:r>
        <w:rPr>
          <w:b w:val="0"/>
          <w:i w:val="0"/>
          <w:color w:val="5A6069"/>
          <w:sz w:val="18"/>
        </w:rPr>
        <w:t>OPEN — not yet decided · Clinical</w:t>
      </w:r>
    </w:p>
    <w:p>
      <w:pPr>
        <w:spacing w:after="80"/>
      </w:pPr>
      <w:r>
        <w:rPr>
          <w:b/>
          <w:i w:val="0"/>
        </w:rPr>
        <w:t xml:space="preserve">Where it is decided: </w:t>
      </w:r>
      <w:hyperlink r:id="rId15">
        <w:r>
          <w:rPr>
            <w:color w:val="0563C1"/>
            <w:u w:val="single"/>
          </w:rPr>
          <w:t xml:space="preserve">5 · Assess surgical cytoreduction</w:t>
        </w:r>
      </w:hyperlink>
    </w:p>
    <w:p>
      <w:pPr>
        <w:spacing w:after="120"/>
      </w:pPr>
      <w:r>
        <w:rPr>
          <w:b/>
          <w:i w:val="0"/>
          <w:sz w:val="18"/>
        </w:rPr>
        <w:t xml:space="preserve">Web page: </w:t>
      </w:r>
      <w:hyperlink r:id="rId1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NE v1.2026</w:t>
            </w:r>
          </w:p>
        </w:tc>
        <w:tc>
          <w:tcPr>
            <w:tcW w:type="dxa" w:w="3360"/>
            <w:tcW w:w="5480" w:type="dxa"/>
            <w:shd w:val="clear" w:color="auto" w:fill="F1F5F8"/>
          </w:tcPr>
          <w:p>
            <w:pPr>
              <w:spacing w:after="0"/>
            </w:pPr>
            <w:r>
              <w:rPr>
                <w:b w:val="0"/>
                <w:i w:val="0"/>
                <w:sz w:val="19"/>
              </w:rPr>
              <w:t>Still prints debulking of more than 90% of metastatic disease for symptom relief and progression-free survival; the roadmap notes the 90% figure began as a symptom-relief observation never validated oncologically.</w:t>
            </w:r>
          </w:p>
        </w:tc>
        <w:tc>
          <w:tcPr>
            <w:tcW w:type="dxa" w:w="3360"/>
            <w:tcW w:w="2400" w:type="dxa"/>
            <w:shd w:val="clear" w:color="auto" w:fill="F1F5F8"/>
          </w:tcPr>
          <w:p>
            <w:pPr>
              <w:spacing w:after="0"/>
            </w:pPr>
            <w:r>
              <w:rPr>
                <w:b w:val="0"/>
                <w:i w:val="0"/>
                <w:color w:val="5A6069"/>
                <w:sz w:val="18"/>
              </w:rPr>
              <w:t>Quick reference 'Cytoreduction thresholds, and what supports them' · row 'More than 90% of metastatic disease — NCCN'</w:t>
            </w:r>
          </w:p>
        </w:tc>
      </w:tr>
      <w:tr>
        <w:trPr>
          <w:cantSplit/>
        </w:trPr>
        <w:tc>
          <w:tcPr>
            <w:tcW w:type="dxa" w:w="3360"/>
            <w:tcW w:w="2200" w:type="dxa"/>
            <w:shd w:val="clear" w:color="auto" w:fill="FFFFFF"/>
          </w:tcPr>
          <w:p>
            <w:pPr>
              <w:spacing w:after="0"/>
            </w:pPr>
            <w:r>
              <w:rPr>
                <w:b/>
                <w:i w:val="0"/>
                <w:sz w:val="19"/>
              </w:rPr>
              <w:t>NANETS 2017 surgical</w:t>
            </w:r>
          </w:p>
        </w:tc>
        <w:tc>
          <w:tcPr>
            <w:tcW w:type="dxa" w:w="3360"/>
            <w:tcW w:w="5480" w:type="dxa"/>
            <w:shd w:val="clear" w:color="auto" w:fill="FFFFFF"/>
          </w:tcPr>
          <w:p>
            <w:pPr>
              <w:spacing w:after="0"/>
            </w:pPr>
            <w:r>
              <w:rPr>
                <w:b w:val="0"/>
                <w:i w:val="0"/>
                <w:sz w:val="19"/>
              </w:rPr>
              <w:t>Small-bowel NET: at least 70% of visible liver disease, near consensus with one dissent, resting on two retrospective single-institution series from the centres that championed the lower threshold.</w:t>
            </w:r>
          </w:p>
        </w:tc>
        <w:tc>
          <w:tcPr>
            <w:tcW w:type="dxa" w:w="3360"/>
            <w:tcW w:w="2400" w:type="dxa"/>
            <w:shd w:val="clear" w:color="auto" w:fill="FFFFFF"/>
          </w:tcPr>
          <w:p>
            <w:pPr>
              <w:spacing w:after="0"/>
            </w:pPr>
            <w:r>
              <w:rPr>
                <w:b w:val="0"/>
                <w:i w:val="0"/>
                <w:color w:val="5A6069"/>
                <w:sz w:val="18"/>
              </w:rPr>
              <w:t>Quick reference 'Cytoreduction thresholds…' · row 'At least 70% of visible liver disease — NANETS 2017, small bowel'; What we are not sure about #1</w:t>
            </w:r>
          </w:p>
        </w:tc>
      </w:tr>
      <w:tr>
        <w:trPr>
          <w:cantSplit/>
        </w:trPr>
        <w:tc>
          <w:tcPr>
            <w:tcW w:type="dxa" w:w="3360"/>
            <w:tcW w:w="2200" w:type="dxa"/>
            <w:shd w:val="clear" w:color="auto" w:fill="F1F5F8"/>
          </w:tcPr>
          <w:p>
            <w:pPr>
              <w:spacing w:after="0"/>
            </w:pPr>
            <w:r>
              <w:rPr>
                <w:b/>
                <w:i w:val="0"/>
                <w:sz w:val="19"/>
              </w:rPr>
              <w:t>NANETS 2020 surgical</w:t>
            </w:r>
          </w:p>
        </w:tc>
        <w:tc>
          <w:tcPr>
            <w:tcW w:type="dxa" w:w="3360"/>
            <w:tcW w:w="5480" w:type="dxa"/>
            <w:shd w:val="clear" w:color="auto" w:fill="F1F5F8"/>
          </w:tcPr>
          <w:p>
            <w:pPr>
              <w:spacing w:after="0"/>
            </w:pPr>
            <w:r>
              <w:rPr>
                <w:b w:val="0"/>
                <w:i w:val="0"/>
                <w:sz w:val="19"/>
              </w:rPr>
              <w:t>Pancreatic NET: no consensus; over half favoured an individualised target above 70%, some held only complete clearance helps, and a minority doubted any benefit of cytoreduction is established.</w:t>
            </w:r>
          </w:p>
        </w:tc>
        <w:tc>
          <w:tcPr>
            <w:tcW w:type="dxa" w:w="3360"/>
            <w:tcW w:w="2400" w:type="dxa"/>
            <w:shd w:val="clear" w:color="auto" w:fill="F1F5F8"/>
          </w:tcPr>
          <w:p>
            <w:pPr>
              <w:spacing w:after="0"/>
            </w:pPr>
            <w:r>
              <w:rPr>
                <w:b w:val="0"/>
                <w:i w:val="0"/>
                <w:color w:val="5A6069"/>
                <w:sz w:val="18"/>
              </w:rPr>
              <w:t>Quick reference 'Cytoreduction thresholds…' · row 'More than 70%, individualised — NANETS 2020'</w:t>
            </w:r>
          </w:p>
        </w:tc>
      </w:tr>
      <w:tr>
        <w:trPr>
          <w:cantSplit/>
        </w:trPr>
        <w:tc>
          <w:tcPr>
            <w:tcW w:type="dxa" w:w="3360"/>
            <w:tcW w:w="2200" w:type="dxa"/>
            <w:shd w:val="clear" w:color="auto" w:fill="FFFFFF"/>
          </w:tcPr>
          <w:p>
            <w:pPr>
              <w:spacing w:after="0"/>
            </w:pPr>
            <w:r>
              <w:rPr>
                <w:b/>
                <w:i w:val="0"/>
                <w:sz w:val="19"/>
              </w:rPr>
              <w:t>ENETS 2023 functioning panNET</w:t>
            </w:r>
          </w:p>
        </w:tc>
        <w:tc>
          <w:tcPr>
            <w:tcW w:type="dxa" w:w="3360"/>
            <w:tcW w:w="5480" w:type="dxa"/>
            <w:shd w:val="clear" w:color="auto" w:fill="FFFFFF"/>
          </w:tcPr>
          <w:p>
            <w:pPr>
              <w:spacing w:after="0"/>
            </w:pPr>
            <w:r>
              <w:rPr>
                <w:b w:val="0"/>
                <w:i w:val="0"/>
                <w:sz w:val="19"/>
              </w:rPr>
              <w:t>70–90% or more of visible disease with adequate liver function (2b, grade B), with no guidance on which end of the range applies to whom.</w:t>
            </w:r>
          </w:p>
        </w:tc>
        <w:tc>
          <w:tcPr>
            <w:tcW w:type="dxa" w:w="3360"/>
            <w:tcW w:w="2400" w:type="dxa"/>
            <w:shd w:val="clear" w:color="auto" w:fill="FFFFFF"/>
          </w:tcPr>
          <w:p>
            <w:pPr>
              <w:spacing w:after="0"/>
            </w:pPr>
            <w:r>
              <w:rPr>
                <w:b w:val="0"/>
                <w:i w:val="0"/>
                <w:color w:val="5A6069"/>
                <w:sz w:val="18"/>
              </w:rPr>
              <w:t>Quick reference 'Cytoreduction thresholds…' · row '70–90% or more — ENETS 2023'; Gate 5 · Reasonable 'Operate for meaningful reduction…' · note</w:t>
            </w:r>
          </w:p>
        </w:tc>
      </w:tr>
      <w:tr>
        <w:trPr>
          <w:cantSplit/>
        </w:trPr>
        <w:tc>
          <w:tcPr>
            <w:tcW w:type="dxa" w:w="3360"/>
            <w:tcW w:w="2200" w:type="dxa"/>
            <w:shd w:val="clear" w:color="auto" w:fill="F1F5F8"/>
          </w:tcPr>
          <w:p>
            <w:pPr>
              <w:spacing w:after="0"/>
            </w:pPr>
            <w:r>
              <w:rPr>
                <w:b/>
                <w:i w:val="0"/>
                <w:sz w:val="19"/>
              </w:rPr>
              <w:t>Graff-Baker debulking</w:t>
            </w:r>
          </w:p>
        </w:tc>
        <w:tc>
          <w:tcPr>
            <w:tcW w:type="dxa" w:w="3360"/>
            <w:tcW w:w="5480" w:type="dxa"/>
            <w:shd w:val="clear" w:color="auto" w:fill="F1F5F8"/>
          </w:tcPr>
          <w:p>
            <w:pPr>
              <w:spacing w:after="0"/>
            </w:pPr>
            <w:r>
              <w:rPr>
                <w:b w:val="0"/>
                <w:i w:val="0"/>
                <w:sz w:val="19"/>
              </w:rPr>
              <w:t>The 52-patient series cited for 70% excluded patients in whom 70% looked unachievable, so has no sub-70% arm; extent of debulking did not correlate with liver progression-free or disease-specific survival.</w:t>
            </w:r>
          </w:p>
        </w:tc>
        <w:tc>
          <w:tcPr>
            <w:tcW w:type="dxa" w:w="3360"/>
            <w:tcW w:w="2400" w:type="dxa"/>
            <w:shd w:val="clear" w:color="auto" w:fill="F1F5F8"/>
          </w:tcPr>
          <w:p>
            <w:pPr>
              <w:spacing w:after="0"/>
            </w:pPr>
            <w:r>
              <w:rPr>
                <w:b w:val="0"/>
                <w:i w:val="0"/>
                <w:color w:val="5A6069"/>
                <w:sz w:val="18"/>
              </w:rPr>
              <w:t>Gate 5 · Reasonable 'Operate for meaningful reduction…' · note</w:t>
            </w:r>
          </w:p>
        </w:tc>
      </w:tr>
    </w:tbl>
    <w:p>
      <w:pPr>
        <w:spacing w:after="40"/>
      </w:pPr>
    </w:p>
    <w:p>
      <w:pPr>
        <w:spacing w:after="80"/>
      </w:pPr>
      <w:r>
        <w:rPr>
          <w:b/>
          <w:i w:val="0"/>
        </w:rPr>
        <w:t xml:space="preserve">Where sources differ: </w:t>
      </w:r>
      <w:r>
        <w:rPr>
          <w:b w:val="0"/>
          <w:i w:val="0"/>
        </w:rPr>
        <w:t>Targets run from more than 90% (NCCN) through 70% (NANETS 2017) and 70–90% (ENETS 2023) to none at all (ENETS 2024, ESMO), and no comparative study supports any of them.</w:t>
      </w:r>
    </w:p>
    <w:p>
      <w:pPr>
        <w:pStyle w:val="Heading3"/>
        <w:keepNext/>
        <w:spacing w:before="120" w:after="80"/>
      </w:pPr>
      <w:r>
        <w:rPr>
          <w:b w:val="0"/>
          <w:i w:val="0"/>
        </w:rPr>
        <w:t>Our proposed selection (OPEN)</w:t>
      </w:r>
    </w:p>
    <w:p>
      <w:pPr>
        <w:spacing w:after="80"/>
      </w:pPr>
      <w:r>
        <w:rPr>
          <w:b w:val="0"/>
          <w:i w:val="0"/>
        </w:rPr>
        <w:t>No percentage is adopted as evidence. Operate only when a named target can be cleared, with the expected residual stated beforehand, in a patient fit for a long operation with enough functional parenchyma; avoid diffuse-miliary disease and liver replacement above roughly 50–70%. The open NELM-R1 proposal uses at least 70% achievable debulking when extrahepatic disease is present.</w:t>
      </w:r>
    </w:p>
    <w:p>
      <w:pPr>
        <w:spacing w:after="80"/>
      </w:pPr>
      <w:r>
        <w:rPr>
          <w:b/>
          <w:i w:val="0"/>
          <w:color w:val="5A6069"/>
          <w:sz w:val="18"/>
        </w:rPr>
        <w:t xml:space="preserve">Basis in the document: </w:t>
      </w:r>
      <w:r>
        <w:rPr>
          <w:b w:val="0"/>
          <w:i w:val="0"/>
          <w:color w:val="5A6069"/>
          <w:sz w:val="18"/>
        </w:rPr>
        <w:t>What we are not sure about #1; Gate 5 · Reasonable 'Operate for meaningful reduction…' · caveat; Gate 5 · Avoid 'Do not call debulking complete eradication…'; NELM-R1 · proposed position</w:t>
      </w:r>
    </w:p>
    <w:p>
      <w:pPr>
        <w:spacing w:after="80"/>
      </w:pPr>
      <w:r>
        <w:rPr>
          <w:b/>
          <w:i w:val="0"/>
        </w:rPr>
        <w:t xml:space="preserve">Why: </w:t>
      </w:r>
      <w:r>
        <w:rPr>
          <w:b w:val="0"/>
          <w:i w:val="0"/>
        </w:rPr>
        <w:t>Debulking series are single-arm and selection-driven and no threshold is evidence-derived. The 90% figure was an observation about symptom relief, never validated oncologically; the 70% figure was set by consensus on two retrospective series from the championing centres, and the cohort most cited for it excluded by design every patient in whom 70% was unachievable, so it has no sub-70% arm. NANETS 2020 reached no consensus for pancreatic primaries.</w:t>
      </w:r>
    </w:p>
    <w:p>
      <w:pPr>
        <w:spacing w:after="80"/>
      </w:pPr>
      <w:r>
        <w:rPr>
          <w:b/>
          <w:i w:val="0"/>
        </w:rPr>
        <w:t xml:space="preserve">What gets audited: </w:t>
      </w:r>
      <w:r>
        <w:rPr>
          <w:b w:val="0"/>
          <w:i w:val="0"/>
        </w:rPr>
        <w:t>Registry: burden before and after, residual, liver progression-free survival.</w:t>
      </w:r>
    </w:p>
    <w:p>
      <w:pPr>
        <w:pStyle w:val="Heading3"/>
        <w:keepNext/>
        <w:spacing w:before="120" w:after="80"/>
      </w:pPr>
      <w:r>
        <w:rPr>
          <w:b w:val="0"/>
          <w:i w:val="0"/>
        </w:rPr>
        <w:t>NELM-D3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NELM-D4 — Does the programme offer radioembolisation in this disease at all, and at what point?</w:t>
      </w:r>
    </w:p>
    <w:p>
      <w:pPr>
        <w:spacing w:after="80"/>
      </w:pPr>
      <w:r>
        <w:rPr>
          <w:b w:val="0"/>
          <w:i w:val="0"/>
          <w:color w:val="5A6069"/>
          <w:sz w:val="18"/>
        </w:rPr>
        <w:t>OPEN — not yet decided · Clinical</w:t>
      </w:r>
    </w:p>
    <w:p>
      <w:pPr>
        <w:spacing w:after="80"/>
      </w:pPr>
      <w:r>
        <w:rPr>
          <w:b/>
          <w:i w:val="0"/>
        </w:rPr>
        <w:t xml:space="preserve">Where it is decided: </w:t>
      </w:r>
      <w:hyperlink r:id="rId9">
        <w:r>
          <w:rPr>
            <w:color w:val="0563C1"/>
            <w:u w:val="single"/>
          </w:rPr>
          <w:t xml:space="preserve">7 · Select liver-directed therapy</w:t>
        </w:r>
      </w:hyperlink>
      <w:r>
        <w:rPr>
          <w:b w:val="0"/>
          <w:i w:val="0"/>
        </w:rPr>
        <w:t xml:space="preserve"> · </w:t>
      </w:r>
      <w:hyperlink r:id="rId17">
        <w:r>
          <w:rPr>
            <w:color w:val="0563C1"/>
            <w:u w:val="single"/>
          </w:rPr>
          <w:t xml:space="preserve">2 · Low-volume G1–G2 disease</w:t>
        </w:r>
      </w:hyperlink>
    </w:p>
    <w:p>
      <w:pPr>
        <w:spacing w:after="120"/>
      </w:pPr>
      <w:r>
        <w:rPr>
          <w:b/>
          <w:i w:val="0"/>
          <w:sz w:val="18"/>
        </w:rPr>
        <w:t xml:space="preserve">Web page: </w:t>
      </w:r>
      <w:hyperlink r:id="rId1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NE v1.2026</w:t>
            </w:r>
          </w:p>
        </w:tc>
        <w:tc>
          <w:tcPr>
            <w:tcW w:type="dxa" w:w="3360"/>
            <w:tcW w:w="5480" w:type="dxa"/>
            <w:shd w:val="clear" w:color="auto" w:fill="F1F5F8"/>
          </w:tcPr>
          <w:p>
            <w:pPr>
              <w:spacing w:after="0"/>
            </w:pPr>
            <w:r>
              <w:rPr>
                <w:b w:val="0"/>
                <w:i w:val="0"/>
                <w:sz w:val="19"/>
              </w:rPr>
              <w:t>Permits radioembolisation, especially for lobar or segmental distribution or after Whipple or biliary instrumentation; a mandatory exhaustion-of-all-options rule before Y90 is a local restriction, not NCCN.</w:t>
            </w:r>
          </w:p>
        </w:tc>
        <w:tc>
          <w:tcPr>
            <w:tcW w:type="dxa" w:w="3360"/>
            <w:tcW w:w="2400" w:type="dxa"/>
            <w:shd w:val="clear" w:color="auto" w:fill="F1F5F8"/>
          </w:tcPr>
          <w:p>
            <w:pPr>
              <w:spacing w:after="0"/>
            </w:pPr>
            <w:r>
              <w:rPr>
                <w:b w:val="0"/>
                <w:i w:val="0"/>
                <w:color w:val="5A6069"/>
                <w:sz w:val="18"/>
              </w:rPr>
              <w:t>Gate 7 · Reasonable option 'Radioembolisation — Y-90 or holmium-166' · when; Gate 7 · flag note; What we are not sure about #31</w:t>
            </w:r>
          </w:p>
        </w:tc>
      </w:tr>
      <w:tr>
        <w:trPr>
          <w:cantSplit/>
        </w:trPr>
        <w:tc>
          <w:tcPr>
            <w:tcW w:type="dxa" w:w="3360"/>
            <w:tcW w:w="2200" w:type="dxa"/>
            <w:shd w:val="clear" w:color="auto" w:fill="FFFFFF"/>
          </w:tcPr>
          <w:p>
            <w:pPr>
              <w:spacing w:after="0"/>
            </w:pPr>
            <w:r>
              <w:rPr>
                <w:b/>
                <w:i w:val="0"/>
                <w:sz w:val="19"/>
              </w:rPr>
              <w:t>NANETS 2017 medical</w:t>
            </w:r>
          </w:p>
        </w:tc>
        <w:tc>
          <w:tcPr>
            <w:tcW w:type="dxa" w:w="3360"/>
            <w:tcW w:w="5480" w:type="dxa"/>
            <w:shd w:val="clear" w:color="auto" w:fill="FFFFFF"/>
          </w:tcPr>
          <w:p>
            <w:pPr>
              <w:spacing w:after="0"/>
            </w:pPr>
            <w:r>
              <w:rPr>
                <w:b w:val="0"/>
                <w:i w:val="0"/>
                <w:sz w:val="19"/>
              </w:rPr>
              <w:t>Found no agreement on which embolisation modality to prefer; considered radioembolisation evidence too thin for second line but supported it in later lines for liver-dominant disease.</w:t>
            </w:r>
          </w:p>
        </w:tc>
        <w:tc>
          <w:tcPr>
            <w:tcW w:type="dxa" w:w="3360"/>
            <w:tcW w:w="2400" w:type="dxa"/>
            <w:shd w:val="clear" w:color="auto" w:fill="FFFFFF"/>
          </w:tcPr>
          <w:p>
            <w:pPr>
              <w:spacing w:after="0"/>
            </w:pPr>
            <w:r>
              <w:rPr>
                <w:b w:val="0"/>
                <w:i w:val="0"/>
                <w:color w:val="5A6069"/>
                <w:sz w:val="18"/>
              </w:rPr>
              <w:t>What we are not sure about #31</w:t>
            </w:r>
          </w:p>
        </w:tc>
      </w:tr>
      <w:tr>
        <w:trPr>
          <w:cantSplit/>
        </w:trPr>
        <w:tc>
          <w:tcPr>
            <w:tcW w:type="dxa" w:w="3360"/>
            <w:tcW w:w="2200" w:type="dxa"/>
            <w:shd w:val="clear" w:color="auto" w:fill="F1F5F8"/>
          </w:tcPr>
          <w:p>
            <w:pPr>
              <w:spacing w:after="0"/>
            </w:pPr>
            <w:r>
              <w:rPr>
                <w:b/>
                <w:i w:val="0"/>
                <w:sz w:val="19"/>
              </w:rPr>
              <w:t>Kennedy Y-90</w:t>
            </w:r>
          </w:p>
        </w:tc>
        <w:tc>
          <w:tcPr>
            <w:tcW w:type="dxa" w:w="3360"/>
            <w:tcW w:w="5480" w:type="dxa"/>
            <w:shd w:val="clear" w:color="auto" w:fill="F1F5F8"/>
          </w:tcPr>
          <w:p>
            <w:pPr>
              <w:spacing w:after="0"/>
            </w:pPr>
            <w:r>
              <w:rPr>
                <w:b w:val="0"/>
                <w:i w:val="0"/>
                <w:sz w:val="19"/>
              </w:rPr>
              <w:t>Ten-centre retrospective series of 148 patients reporting 70-month median survival; the roadmap calls this immature, unstandardised for response and not a treatment effect.</w:t>
            </w:r>
          </w:p>
        </w:tc>
        <w:tc>
          <w:tcPr>
            <w:tcW w:type="dxa" w:w="3360"/>
            <w:tcW w:w="2400" w:type="dxa"/>
            <w:shd w:val="clear" w:color="auto" w:fill="F1F5F8"/>
          </w:tcPr>
          <w:p>
            <w:pPr>
              <w:spacing w:after="0"/>
            </w:pPr>
            <w:r>
              <w:rPr>
                <w:b w:val="0"/>
                <w:i w:val="0"/>
                <w:color w:val="5A6069"/>
                <w:sz w:val="18"/>
              </w:rPr>
              <w:t>Gate 7 · Reasonable option 'Radioembolisation — Y-90 or holmium-166' · pref; What we are not sure about #17</w:t>
            </w:r>
          </w:p>
        </w:tc>
      </w:tr>
      <w:tr>
        <w:trPr>
          <w:cantSplit/>
        </w:trPr>
        <w:tc>
          <w:tcPr>
            <w:tcW w:type="dxa" w:w="3360"/>
            <w:tcW w:w="2200" w:type="dxa"/>
            <w:shd w:val="clear" w:color="auto" w:fill="FFFFFF"/>
          </w:tcPr>
          <w:p>
            <w:pPr>
              <w:spacing w:after="0"/>
            </w:pPr>
            <w:r>
              <w:rPr>
                <w:b/>
                <w:i w:val="0"/>
                <w:sz w:val="19"/>
              </w:rPr>
              <w:t>Y-90 late toxicity</w:t>
            </w:r>
          </w:p>
        </w:tc>
        <w:tc>
          <w:tcPr>
            <w:tcW w:type="dxa" w:w="3360"/>
            <w:tcW w:w="5480" w:type="dxa"/>
            <w:shd w:val="clear" w:color="auto" w:fill="FFFFFF"/>
          </w:tcPr>
          <w:p>
            <w:pPr>
              <w:spacing w:after="0"/>
            </w:pPr>
            <w:r>
              <w:rPr>
                <w:b w:val="0"/>
                <w:i w:val="0"/>
                <w:sz w:val="19"/>
              </w:rPr>
              <w:t>Cirrhosis-like morphology or portal-hypertension signs in 15 of 52 (29%) followed beyond a year, more after bilobar treatment; median survival 28.0 months in 93 patients; no radioembolisation-induced liver failure.</w:t>
            </w:r>
          </w:p>
        </w:tc>
        <w:tc>
          <w:tcPr>
            <w:tcW w:type="dxa" w:w="3360"/>
            <w:tcW w:w="2400" w:type="dxa"/>
            <w:shd w:val="clear" w:color="auto" w:fill="FFFFFF"/>
          </w:tcPr>
          <w:p>
            <w:pPr>
              <w:spacing w:after="0"/>
            </w:pPr>
            <w:r>
              <w:rPr>
                <w:b w:val="0"/>
                <w:i w:val="0"/>
                <w:color w:val="5A6069"/>
                <w:sz w:val="18"/>
              </w:rPr>
              <w:t>Gate 2 · Avoid 'Do not offer Y90 radioembolisation without a phenotype-specific rationale.' · caveat; Gate 7 · Reasonable option 'Radioembolisation — Y-90 or holmium-166' · caveat; What we are not sure about #17 and #18</w:t>
            </w:r>
          </w:p>
        </w:tc>
      </w:tr>
      <w:tr>
        <w:trPr>
          <w:cantSplit/>
        </w:trPr>
        <w:tc>
          <w:tcPr>
            <w:tcW w:type="dxa" w:w="3360"/>
            <w:tcW w:w="2200" w:type="dxa"/>
            <w:shd w:val="clear" w:color="auto" w:fill="F1F5F8"/>
          </w:tcPr>
          <w:p>
            <w:pPr>
              <w:spacing w:after="0"/>
            </w:pPr>
            <w:r>
              <w:rPr>
                <w:b/>
                <w:i w:val="0"/>
                <w:sz w:val="19"/>
              </w:rPr>
              <w:t>HEPAR PLuS</w:t>
            </w:r>
          </w:p>
        </w:tc>
        <w:tc>
          <w:tcPr>
            <w:tcW w:type="dxa" w:w="3360"/>
            <w:tcW w:w="5480" w:type="dxa"/>
            <w:shd w:val="clear" w:color="auto" w:fill="F1F5F8"/>
          </w:tcPr>
          <w:p>
            <w:pPr>
              <w:spacing w:after="0"/>
            </w:pPr>
            <w:r>
              <w:rPr>
                <w:b w:val="0"/>
                <w:i w:val="0"/>
                <w:sz w:val="19"/>
              </w:rPr>
              <w:t>Adding holmium SIRT to PRRT gave 2-year hepatic progression-free survival 82% vs 50% in 24 matched pairs, without survival benefit; manufacturer-funded; sequencing safety remains unknown either way.</w:t>
            </w:r>
          </w:p>
        </w:tc>
        <w:tc>
          <w:tcPr>
            <w:tcW w:type="dxa" w:w="3360"/>
            <w:tcW w:w="2400" w:type="dxa"/>
            <w:shd w:val="clear" w:color="auto" w:fill="F1F5F8"/>
          </w:tcPr>
          <w:p>
            <w:pPr>
              <w:spacing w:after="0"/>
            </w:pPr>
            <w:r>
              <w:rPr>
                <w:b w:val="0"/>
                <w:i w:val="0"/>
                <w:color w:val="5A6069"/>
                <w:sz w:val="18"/>
              </w:rPr>
              <w:t>Gate 7 · Reasonable option 'Radioembolisation — Y-90 or holmium-166' · pref; What we are not sure about #19</w:t>
            </w:r>
          </w:p>
        </w:tc>
      </w:tr>
    </w:tbl>
    <w:p>
      <w:pPr>
        <w:spacing w:after="40"/>
      </w:pPr>
    </w:p>
    <w:p>
      <w:pPr>
        <w:spacing w:after="80"/>
      </w:pPr>
      <w:r>
        <w:rPr>
          <w:b/>
          <w:i w:val="0"/>
        </w:rPr>
        <w:t xml:space="preserve">Where sources differ: </w:t>
      </w:r>
      <w:r>
        <w:rPr>
          <w:b w:val="0"/>
          <w:i w:val="0"/>
        </w:rPr>
        <w:t>NCCN allows earlier radioembolisation for specific anatomy and NANETS reached no modality consensus, while the supporting series are retrospective or historically controlled and the late hepatic-injury risk is real but unquantified.</w:t>
      </w:r>
    </w:p>
    <w:p>
      <w:pPr>
        <w:pStyle w:val="Heading3"/>
        <w:keepNext/>
        <w:spacing w:before="120" w:after="80"/>
      </w:pPr>
      <w:r>
        <w:rPr>
          <w:b w:val="0"/>
          <w:i w:val="0"/>
        </w:rPr>
        <w:t>Our proposed selection (OPEN)</w:t>
      </w:r>
    </w:p>
    <w:p>
      <w:pPr>
        <w:spacing w:after="80"/>
      </w:pPr>
      <w:r>
        <w:rPr>
          <w:b w:val="0"/>
          <w:i w:val="0"/>
        </w:rPr>
        <w:t>Radioembolisation (Y-90 or holmium-166) is Reasonable, grade C and expertise-dependent for selected lobar or segmental liver-dominant disease with a stated rationale, not restricted to last resort; it is avoided in low-burden disease with a long horizon, where cumulative hepatic radiation raises the threshold. Whether the programme offers it at all is unresolved.</w:t>
      </w:r>
    </w:p>
    <w:p>
      <w:pPr>
        <w:spacing w:after="80"/>
      </w:pPr>
      <w:r>
        <w:rPr>
          <w:b/>
          <w:i w:val="0"/>
          <w:color w:val="5A6069"/>
          <w:sz w:val="18"/>
        </w:rPr>
        <w:t xml:space="preserve">Basis in the document: </w:t>
      </w:r>
      <w:r>
        <w:rPr>
          <w:b w:val="0"/>
          <w:i w:val="0"/>
          <w:color w:val="5A6069"/>
          <w:sz w:val="18"/>
        </w:rPr>
        <w:t>Gate 7 · Reasonable option 'Radioembolisation — Y-90 or holmium-166'; Gate 2 · Avoid 'Do not offer Y90 radioembolisation without a phenotype-specific rationale.'; Gate 7 · flag note</w:t>
      </w:r>
    </w:p>
    <w:p>
      <w:pPr>
        <w:spacing w:after="80"/>
      </w:pPr>
      <w:r>
        <w:rPr>
          <w:b/>
          <w:i w:val="0"/>
        </w:rPr>
        <w:t xml:space="preserve">Why: </w:t>
      </w:r>
      <w:r>
        <w:rPr>
          <w:b w:val="0"/>
          <w:i w:val="0"/>
        </w:rPr>
        <w:t>Evidence is minimal and the long treatment horizon makes cumulative hepatic radiation injury the dominant consideration.</w:t>
      </w:r>
    </w:p>
    <w:p>
      <w:pPr>
        <w:spacing w:after="80"/>
      </w:pPr>
      <w:r>
        <w:rPr>
          <w:b/>
          <w:i w:val="0"/>
        </w:rPr>
        <w:t xml:space="preserve">What gets audited: </w:t>
      </w:r>
      <w:r>
        <w:rPr>
          <w:b w:val="0"/>
          <w:i w:val="0"/>
        </w:rPr>
        <w:t>Registry required if offered; long-term hepatic follow-up.</w:t>
      </w:r>
    </w:p>
    <w:p>
      <w:pPr>
        <w:pStyle w:val="Heading3"/>
        <w:keepNext/>
        <w:spacing w:before="120" w:after="80"/>
      </w:pPr>
      <w:r>
        <w:rPr>
          <w:b w:val="0"/>
          <w:i w:val="0"/>
        </w:rPr>
        <w:t>NELM-D4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NELM-D5 — Does the programme open a NELM transplant protocol?</w:t>
      </w:r>
    </w:p>
    <w:p>
      <w:pPr>
        <w:spacing w:after="80"/>
      </w:pPr>
      <w:r>
        <w:rPr>
          <w:b w:val="0"/>
          <w:i w:val="0"/>
          <w:color w:val="5A6069"/>
          <w:sz w:val="18"/>
        </w:rPr>
        <w:t>OPEN — not yet decided · Clinical</w:t>
      </w:r>
    </w:p>
    <w:p>
      <w:pPr>
        <w:spacing w:after="80"/>
      </w:pPr>
      <w:r>
        <w:rPr>
          <w:b/>
          <w:i w:val="0"/>
        </w:rPr>
        <w:t xml:space="preserve">Where it is decided: </w:t>
      </w:r>
      <w:hyperlink r:id="rId19">
        <w:r>
          <w:rPr>
            <w:color w:val="0563C1"/>
            <w:u w:val="single"/>
          </w:rPr>
          <w:t xml:space="preserve">9 · Assess transplant eligibility</w:t>
        </w:r>
      </w:hyperlink>
    </w:p>
    <w:p>
      <w:pPr>
        <w:spacing w:after="120"/>
      </w:pPr>
      <w:r>
        <w:rPr>
          <w:b/>
          <w:i w:val="0"/>
          <w:sz w:val="18"/>
        </w:rPr>
        <w:t xml:space="preserve">Web page: </w:t>
      </w:r>
      <w:hyperlink r:id="rId2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Milan-NET transplant</w:t>
            </w:r>
          </w:p>
        </w:tc>
        <w:tc>
          <w:tcPr>
            <w:tcW w:type="dxa" w:w="3360"/>
            <w:tcW w:w="5480" w:type="dxa"/>
            <w:shd w:val="clear" w:color="auto" w:fill="F1F5F8"/>
          </w:tcPr>
          <w:p>
            <w:pPr>
              <w:spacing w:after="0"/>
            </w:pPr>
            <w:r>
              <w:rPr>
                <w:b w:val="0"/>
                <w:i w:val="0"/>
                <w:sz w:val="19"/>
              </w:rPr>
              <w:t>5- and 10-year survival 97.2% and 88.8% with transplant vs 50.9% and 22.4% without. Roadmap critique: non-randomised, younger recipients, self-selected controls; adjusted benefit 6.82 months at 5 years.</w:t>
            </w:r>
          </w:p>
        </w:tc>
        <w:tc>
          <w:tcPr>
            <w:tcW w:type="dxa" w:w="3360"/>
            <w:tcW w:w="2400" w:type="dxa"/>
            <w:shd w:val="clear" w:color="auto" w:fill="F1F5F8"/>
          </w:tcPr>
          <w:p>
            <w:pPr>
              <w:spacing w:after="0"/>
            </w:pPr>
            <w:r>
              <w:rPr>
                <w:b w:val="0"/>
                <w:i w:val="0"/>
                <w:color w:val="5A6069"/>
                <w:sz w:val="18"/>
              </w:rPr>
              <w:t>Gate 9 · Reasonable 'Offer transplantation only within a trial or prospective registry…' · pref and note</w:t>
            </w:r>
          </w:p>
        </w:tc>
      </w:tr>
      <w:tr>
        <w:trPr>
          <w:cantSplit/>
        </w:trPr>
        <w:tc>
          <w:tcPr>
            <w:tcW w:type="dxa" w:w="3360"/>
            <w:tcW w:w="2200" w:type="dxa"/>
            <w:shd w:val="clear" w:color="auto" w:fill="FFFFFF"/>
          </w:tcPr>
          <w:p>
            <w:pPr>
              <w:spacing w:after="0"/>
            </w:pPr>
            <w:r>
              <w:rPr>
                <w:b/>
                <w:i w:val="0"/>
                <w:sz w:val="19"/>
              </w:rPr>
              <w:t>Resection vs transplant</w:t>
            </w:r>
          </w:p>
        </w:tc>
        <w:tc>
          <w:tcPr>
            <w:tcW w:type="dxa" w:w="3360"/>
            <w:tcW w:w="5480" w:type="dxa"/>
            <w:shd w:val="clear" w:color="auto" w:fill="FFFFFF"/>
          </w:tcPr>
          <w:p>
            <w:pPr>
              <w:spacing w:after="0"/>
            </w:pPr>
            <w:r>
              <w:rPr>
                <w:b w:val="0"/>
                <w:i w:val="0"/>
                <w:sz w:val="19"/>
              </w:rPr>
              <w:t>Same unit: 10-year survival 93% after transplant vs 75% after resection, univariate only, with recipients selected by a test of time; nodal status, absent from Milan criteria, predicted post-transplant survival.</w:t>
            </w:r>
          </w:p>
        </w:tc>
        <w:tc>
          <w:tcPr>
            <w:tcW w:type="dxa" w:w="3360"/>
            <w:tcW w:w="2400" w:type="dxa"/>
            <w:shd w:val="clear" w:color="auto" w:fill="FFFFFF"/>
          </w:tcPr>
          <w:p>
            <w:pPr>
              <w:spacing w:after="0"/>
            </w:pPr>
            <w:r>
              <w:rPr>
                <w:b w:val="0"/>
                <w:i w:val="0"/>
                <w:color w:val="5A6069"/>
                <w:sz w:val="18"/>
              </w:rPr>
              <w:t>Gate 9 · Reasonable 'Offer transplantation only…' · pref and note; Gate 9 · Avoid 'Do not take the published series' criteria…' · caveat</w:t>
            </w:r>
          </w:p>
        </w:tc>
      </w:tr>
      <w:tr>
        <w:trPr>
          <w:cantSplit/>
        </w:trPr>
        <w:tc>
          <w:tcPr>
            <w:tcW w:type="dxa" w:w="3360"/>
            <w:tcW w:w="2200" w:type="dxa"/>
            <w:shd w:val="clear" w:color="auto" w:fill="F1F5F8"/>
          </w:tcPr>
          <w:p>
            <w:pPr>
              <w:spacing w:after="0"/>
            </w:pPr>
            <w:r>
              <w:rPr>
                <w:b/>
                <w:i w:val="0"/>
                <w:sz w:val="19"/>
              </w:rPr>
              <w:t>NCCN NE v1.2026</w:t>
            </w:r>
          </w:p>
        </w:tc>
        <w:tc>
          <w:tcPr>
            <w:tcW w:type="dxa" w:w="3360"/>
            <w:tcW w:w="5480" w:type="dxa"/>
            <w:shd w:val="clear" w:color="auto" w:fill="F1F5F8"/>
          </w:tcPr>
          <w:p>
            <w:pPr>
              <w:spacing w:after="0"/>
            </w:pPr>
            <w:r>
              <w:rPr>
                <w:b w:val="0"/>
                <w:i w:val="0"/>
                <w:sz w:val="19"/>
              </w:rPr>
              <w:t>Deems liver transplantation investigational, acknowledging considerable associated risks.</w:t>
            </w:r>
          </w:p>
        </w:tc>
        <w:tc>
          <w:tcPr>
            <w:tcW w:type="dxa" w:w="3360"/>
            <w:tcW w:w="2400" w:type="dxa"/>
            <w:shd w:val="clear" w:color="auto" w:fill="F1F5F8"/>
          </w:tcPr>
          <w:p>
            <w:pPr>
              <w:spacing w:after="0"/>
            </w:pPr>
            <w:r>
              <w:rPr>
                <w:b w:val="0"/>
                <w:i w:val="0"/>
                <w:color w:val="5A6069"/>
                <w:sz w:val="18"/>
              </w:rPr>
              <w:t>Gate 9 · Reasonable 'Offer transplantation only…' · caveat</w:t>
            </w:r>
          </w:p>
        </w:tc>
      </w:tr>
      <w:tr>
        <w:trPr>
          <w:cantSplit/>
        </w:trPr>
        <w:tc>
          <w:tcPr>
            <w:tcW w:type="dxa" w:w="3360"/>
            <w:tcW w:w="2200" w:type="dxa"/>
            <w:shd w:val="clear" w:color="auto" w:fill="FFFFFF"/>
          </w:tcPr>
          <w:p>
            <w:pPr>
              <w:spacing w:after="0"/>
            </w:pPr>
            <w:r>
              <w:rPr>
                <w:b/>
                <w:i w:val="0"/>
                <w:sz w:val="19"/>
              </w:rPr>
              <w:t>ENETS 2024 small intestine</w:t>
            </w:r>
          </w:p>
        </w:tc>
        <w:tc>
          <w:tcPr>
            <w:tcW w:type="dxa" w:w="3360"/>
            <w:tcW w:w="5480" w:type="dxa"/>
            <w:shd w:val="clear" w:color="auto" w:fill="FFFFFF"/>
          </w:tcPr>
          <w:p>
            <w:pPr>
              <w:spacing w:after="0"/>
            </w:pPr>
            <w:r>
              <w:rPr>
                <w:b w:val="0"/>
                <w:i w:val="0"/>
                <w:sz w:val="19"/>
              </w:rPr>
              <w:t>Reduces transplantation to a rare consideration in selected individuals after primary resection leaves liver-only disease.</w:t>
            </w:r>
          </w:p>
        </w:tc>
        <w:tc>
          <w:tcPr>
            <w:tcW w:type="dxa" w:w="3360"/>
            <w:tcW w:w="2400" w:type="dxa"/>
            <w:shd w:val="clear" w:color="auto" w:fill="FFFFFF"/>
          </w:tcPr>
          <w:p>
            <w:pPr>
              <w:spacing w:after="0"/>
            </w:pPr>
            <w:r>
              <w:rPr>
                <w:b w:val="0"/>
                <w:i w:val="0"/>
                <w:color w:val="5A6069"/>
                <w:sz w:val="18"/>
              </w:rPr>
              <w:t>Gate 9 · Reasonable 'Where disease is limited enough to clear, compare resection…' · pref</w:t>
            </w:r>
          </w:p>
        </w:tc>
      </w:tr>
      <w:tr>
        <w:trPr>
          <w:cantSplit/>
        </w:trPr>
        <w:tc>
          <w:tcPr>
            <w:tcW w:type="dxa" w:w="3360"/>
            <w:tcW w:w="2200" w:type="dxa"/>
            <w:shd w:val="clear" w:color="auto" w:fill="F1F5F8"/>
          </w:tcPr>
          <w:p>
            <w:pPr>
              <w:spacing w:after="0"/>
            </w:pPr>
            <w:r>
              <w:rPr>
                <w:b/>
                <w:i w:val="0"/>
                <w:sz w:val="19"/>
              </w:rPr>
              <w:t>OPTN NLRB guidance 2025</w:t>
            </w:r>
          </w:p>
        </w:tc>
        <w:tc>
          <w:tcPr>
            <w:tcW w:type="dxa" w:w="3360"/>
            <w:tcW w:w="5480" w:type="dxa"/>
            <w:shd w:val="clear" w:color="auto" w:fill="F1F5F8"/>
          </w:tcPr>
          <w:p>
            <w:pPr>
              <w:spacing w:after="0"/>
            </w:pPr>
            <w:r>
              <w:rPr>
                <w:b w:val="0"/>
                <w:i w:val="0"/>
                <w:sz w:val="19"/>
              </w:rPr>
              <w:t>NELM is a nonstandard, not standardised, MELD exception; the guidance requires G1/G2 histology with Ki-67 under 20%, a portal-drained GEP primary and six months without recurrence, but states no age limit or hepatic burden cutoff.</w:t>
            </w:r>
          </w:p>
        </w:tc>
        <w:tc>
          <w:tcPr>
            <w:tcW w:type="dxa" w:w="3360"/>
            <w:tcW w:w="2400" w:type="dxa"/>
            <w:shd w:val="clear" w:color="auto" w:fill="F1F5F8"/>
          </w:tcPr>
          <w:p>
            <w:pPr>
              <w:spacing w:after="0"/>
            </w:pPr>
            <w:r>
              <w:rPr>
                <w:b w:val="0"/>
                <w:i w:val="0"/>
                <w:color w:val="5A6069"/>
                <w:sz w:val="18"/>
              </w:rPr>
              <w:t>Quick reference 'Milan-NET transplant criteria' · OPTN column; What we are not sure about #23 and #24</w:t>
            </w:r>
          </w:p>
        </w:tc>
      </w:tr>
    </w:tbl>
    <w:p>
      <w:pPr>
        <w:spacing w:after="40"/>
      </w:pPr>
    </w:p>
    <w:p>
      <w:pPr>
        <w:spacing w:after="80"/>
      </w:pPr>
      <w:r>
        <w:rPr>
          <w:b/>
          <w:i w:val="0"/>
        </w:rPr>
        <w:t xml:space="preserve">Where sources differ: </w:t>
      </w:r>
      <w:r>
        <w:rPr>
          <w:b w:val="0"/>
          <w:i w:val="0"/>
        </w:rPr>
        <w:t>The Milan series reports large survival gains that the roadmap judges largely selection-driven, NCCN calls transplantation investigational and ENETS 2024 a rare consideration, so opening a protocol is an institutional judgement on graft stewardship.</w:t>
      </w:r>
    </w:p>
    <w:p>
      <w:pPr>
        <w:pStyle w:val="Heading3"/>
        <w:keepNext/>
        <w:spacing w:before="120" w:after="80"/>
      </w:pPr>
      <w:r>
        <w:rPr>
          <w:b w:val="0"/>
          <w:i w:val="0"/>
        </w:rPr>
        <w:t>Our proposed selection (OPEN)</w:t>
      </w:r>
    </w:p>
    <w:p>
      <w:pPr>
        <w:spacing w:after="80"/>
      </w:pPr>
      <w:r>
        <w:rPr>
          <w:b w:val="0"/>
          <w:i w:val="0"/>
        </w:rPr>
        <w:t>Transplantation only within a trial or prospective registry under restrictive criteria (Reasonable, grade C), via the nonstandard review-board route at MMaT-3, after comparing resection or cytoreduction at the same board; never for G3 or carcinoma, extrahepatic disease, an unresected primary, no observation period or no registry entry. Whether to open the protocol remains undecided.</w:t>
      </w:r>
    </w:p>
    <w:p>
      <w:pPr>
        <w:spacing w:after="80"/>
      </w:pPr>
      <w:r>
        <w:rPr>
          <w:b/>
          <w:i w:val="0"/>
          <w:color w:val="5A6069"/>
          <w:sz w:val="18"/>
        </w:rPr>
        <w:t xml:space="preserve">Basis in the document: </w:t>
      </w:r>
      <w:r>
        <w:rPr>
          <w:b w:val="0"/>
          <w:i w:val="0"/>
          <w:color w:val="5A6069"/>
          <w:sz w:val="18"/>
        </w:rPr>
        <w:t>Gate 9 · Reasonable 'Offer transplantation only within a trial or prospective registry…'; Gate 9 · Reasonable 'Where disease is limited enough to clear…'; Gate 9 · Avoid 'Do not list G3 disease…' · note</w:t>
      </w:r>
    </w:p>
    <w:p>
      <w:pPr>
        <w:spacing w:after="80"/>
      </w:pPr>
      <w:r>
        <w:rPr>
          <w:b/>
          <w:i w:val="0"/>
        </w:rPr>
        <w:t xml:space="preserve">Why: </w:t>
      </w:r>
      <w:r>
        <w:rPr>
          <w:b w:val="0"/>
          <w:i w:val="0"/>
        </w:rPr>
        <w:t>Non-randomised series: 42 transplanted patients at one centre over 15 years, with recipients 15 years younger, a self-selected comparison arm, a pre-targeted-therapy comparator and 88% marginal grafts; adjustment for measured factors narrowed the benefit to 6.82 months at 5 years and unmeasured selection remains, and 6 of the 9 deaths after transplantation were from transplant sequelae. NCCN still calls transplantation investigational and NELM is a nonstandard exception, not a standardised one. Graft stewardship is an institutional judgement.</w:t>
      </w:r>
    </w:p>
    <w:p>
      <w:pPr>
        <w:spacing w:after="80"/>
      </w:pPr>
      <w:r>
        <w:rPr>
          <w:b/>
          <w:i w:val="0"/>
        </w:rPr>
        <w:t xml:space="preserve">What gets audited: </w:t>
      </w:r>
      <w:r>
        <w:rPr>
          <w:b w:val="0"/>
          <w:i w:val="0"/>
        </w:rPr>
        <w:t>Registry required if opened.</w:t>
      </w:r>
    </w:p>
    <w:p>
      <w:pPr>
        <w:pStyle w:val="Heading3"/>
        <w:keepNext/>
        <w:spacing w:before="120" w:after="80"/>
      </w:pPr>
      <w:r>
        <w:rPr>
          <w:b w:val="0"/>
          <w:i w:val="0"/>
        </w:rPr>
        <w:t>NELM-D5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NELM-D6 — Who owns carcinoid-crisis prophylaxis, and how is it verified before each procedure?</w:t>
      </w:r>
    </w:p>
    <w:p>
      <w:pPr>
        <w:spacing w:after="80"/>
      </w:pPr>
      <w:r>
        <w:rPr>
          <w:b w:val="0"/>
          <w:i w:val="0"/>
          <w:color w:val="5A6069"/>
          <w:sz w:val="18"/>
        </w:rPr>
        <w:t>OPEN — not yet decided · Governance</w:t>
      </w:r>
    </w:p>
    <w:p>
      <w:pPr>
        <w:spacing w:after="80"/>
      </w:pPr>
      <w:r>
        <w:rPr>
          <w:b/>
          <w:i w:val="0"/>
        </w:rPr>
        <w:t xml:space="preserve">Where it is decided: </w:t>
      </w:r>
      <w:hyperlink r:id="rId21">
        <w:r>
          <w:rPr>
            <w:color w:val="0563C1"/>
            <w:u w:val="single"/>
          </w:rPr>
          <w:t xml:space="preserve">8 · Hormone-related symptoms and crisis prevention</w:t>
        </w:r>
      </w:hyperlink>
    </w:p>
    <w:p>
      <w:pPr>
        <w:spacing w:after="120"/>
      </w:pPr>
      <w:r>
        <w:rPr>
          <w:b/>
          <w:i w:val="0"/>
          <w:sz w:val="18"/>
        </w:rPr>
        <w:t xml:space="preserve">Web page: </w:t>
      </w:r>
      <w:hyperlink r:id="rId2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NE v1.2026</w:t>
            </w:r>
          </w:p>
        </w:tc>
        <w:tc>
          <w:tcPr>
            <w:tcW w:type="dxa" w:w="3360"/>
            <w:tcW w:w="5480" w:type="dxa"/>
            <w:shd w:val="clear" w:color="auto" w:fill="F1F5F8"/>
          </w:tcPr>
          <w:p>
            <w:pPr>
              <w:spacing w:after="0"/>
            </w:pPr>
            <w:r>
              <w:rPr>
                <w:b w:val="0"/>
                <w:i w:val="0"/>
                <w:sz w:val="19"/>
              </w:rPr>
              <w:t>Prophylactic octreotide is likely ineffective at preventing intraoperative carcinoid crisis, yet NCCN preserves short-acting octreotide before embolisation for hormonal syndromes.</w:t>
            </w:r>
          </w:p>
        </w:tc>
        <w:tc>
          <w:tcPr>
            <w:tcW w:type="dxa" w:w="3360"/>
            <w:tcW w:w="2400" w:type="dxa"/>
            <w:shd w:val="clear" w:color="auto" w:fill="F1F5F8"/>
          </w:tcPr>
          <w:p>
            <w:pPr>
              <w:spacing w:after="0"/>
            </w:pPr>
            <w:r>
              <w:rPr>
                <w:b w:val="0"/>
                <w:i w:val="0"/>
                <w:color w:val="5A6069"/>
                <w:sz w:val="18"/>
              </w:rPr>
              <w:t>Gate 8 · Avoid 'Do not rely on prophylactic octreotide…' · caveat; Gate 8 · Standard 'Give short-acting octreotide before embolisation…' · note</w:t>
            </w:r>
          </w:p>
        </w:tc>
      </w:tr>
      <w:tr>
        <w:trPr>
          <w:cantSplit/>
        </w:trPr>
        <w:tc>
          <w:tcPr>
            <w:tcW w:type="dxa" w:w="3360"/>
            <w:tcW w:w="2200" w:type="dxa"/>
            <w:shd w:val="clear" w:color="auto" w:fill="FFFFFF"/>
          </w:tcPr>
          <w:p>
            <w:pPr>
              <w:spacing w:after="0"/>
            </w:pPr>
            <w:r>
              <w:rPr>
                <w:b/>
                <w:i w:val="0"/>
                <w:sz w:val="19"/>
              </w:rPr>
              <w:t>NANETS 2017 surgical</w:t>
            </w:r>
          </w:p>
        </w:tc>
        <w:tc>
          <w:tcPr>
            <w:tcW w:type="dxa" w:w="3360"/>
            <w:tcW w:w="5480" w:type="dxa"/>
            <w:shd w:val="clear" w:color="auto" w:fill="FFFFFF"/>
          </w:tcPr>
          <w:p>
            <w:pPr>
              <w:spacing w:after="0"/>
            </w:pPr>
            <w:r>
              <w:rPr>
                <w:b w:val="0"/>
                <w:i w:val="0"/>
                <w:sz w:val="19"/>
              </w:rPr>
              <w:t>Says crisis prevention has not been established while sanctioning an intraoperative octreotide infusion; the roadmap calls this internally conflicted.</w:t>
            </w:r>
          </w:p>
        </w:tc>
        <w:tc>
          <w:tcPr>
            <w:tcW w:type="dxa" w:w="3360"/>
            <w:tcW w:w="2400" w:type="dxa"/>
            <w:shd w:val="clear" w:color="auto" w:fill="FFFFFF"/>
          </w:tcPr>
          <w:p>
            <w:pPr>
              <w:spacing w:after="0"/>
            </w:pPr>
            <w:r>
              <w:rPr>
                <w:b w:val="0"/>
                <w:i w:val="0"/>
                <w:color w:val="5A6069"/>
                <w:sz w:val="18"/>
              </w:rPr>
              <w:t>Gate 8 · Avoid 'Do not rely on prophylactic octreotide…' · caveat and note</w:t>
            </w:r>
          </w:p>
        </w:tc>
      </w:tr>
      <w:tr>
        <w:trPr>
          <w:cantSplit/>
        </w:trPr>
        <w:tc>
          <w:tcPr>
            <w:tcW w:type="dxa" w:w="3360"/>
            <w:tcW w:w="2200" w:type="dxa"/>
            <w:shd w:val="clear" w:color="auto" w:fill="F1F5F8"/>
          </w:tcPr>
          <w:p>
            <w:pPr>
              <w:spacing w:after="0"/>
            </w:pPr>
            <w:r>
              <w:rPr>
                <w:b/>
                <w:i w:val="0"/>
                <w:sz w:val="19"/>
              </w:rPr>
              <w:t>NANETS 2020 surgical</w:t>
            </w:r>
          </w:p>
        </w:tc>
        <w:tc>
          <w:tcPr>
            <w:tcW w:type="dxa" w:w="3360"/>
            <w:tcW w:w="5480" w:type="dxa"/>
            <w:shd w:val="clear" w:color="auto" w:fill="F1F5F8"/>
          </w:tcPr>
          <w:p>
            <w:pPr>
              <w:spacing w:after="0"/>
            </w:pPr>
            <w:r>
              <w:rPr>
                <w:b w:val="0"/>
                <w:i w:val="0"/>
                <w:sz w:val="19"/>
              </w:rPr>
              <w:t>Calls the role of analogues in preventing crisis in pancreatic NET undefined.</w:t>
            </w:r>
          </w:p>
        </w:tc>
        <w:tc>
          <w:tcPr>
            <w:tcW w:type="dxa" w:w="3360"/>
            <w:tcW w:w="2400" w:type="dxa"/>
            <w:shd w:val="clear" w:color="auto" w:fill="F1F5F8"/>
          </w:tcPr>
          <w:p>
            <w:pPr>
              <w:spacing w:after="0"/>
            </w:pPr>
            <w:r>
              <w:rPr>
                <w:b w:val="0"/>
                <w:i w:val="0"/>
                <w:color w:val="5A6069"/>
                <w:sz w:val="18"/>
              </w:rPr>
              <w:t>Gate 8 · Avoid 'Do not rely on prophylactic octreotide…' · caveat</w:t>
            </w:r>
          </w:p>
        </w:tc>
      </w:tr>
      <w:tr>
        <w:trPr>
          <w:cantSplit/>
        </w:trPr>
        <w:tc>
          <w:tcPr>
            <w:tcW w:type="dxa" w:w="3360"/>
            <w:tcW w:w="2200" w:type="dxa"/>
            <w:shd w:val="clear" w:color="auto" w:fill="FFFFFF"/>
          </w:tcPr>
          <w:p>
            <w:pPr>
              <w:spacing w:after="0"/>
            </w:pPr>
            <w:r>
              <w:rPr>
                <w:b/>
                <w:i w:val="0"/>
                <w:sz w:val="19"/>
              </w:rPr>
              <w:t>Carcinoid crisis in PRRT</w:t>
            </w:r>
          </w:p>
        </w:tc>
        <w:tc>
          <w:tcPr>
            <w:tcW w:type="dxa" w:w="3360"/>
            <w:tcW w:w="5480" w:type="dxa"/>
            <w:shd w:val="clear" w:color="auto" w:fill="FFFFFF"/>
          </w:tcPr>
          <w:p>
            <w:pPr>
              <w:spacing w:after="0"/>
            </w:pPr>
            <w:r>
              <w:rPr>
                <w:b w:val="0"/>
                <w:i w:val="0"/>
                <w:sz w:val="19"/>
              </w:rPr>
              <w:t>Narrative review putting crisis at 1–2% after 177Lu-dotatate and warning that octreotide near a dose can block uptake; its own 127 administrations produced no crisis, and it gives no rule for the trade-off.</w:t>
            </w:r>
          </w:p>
        </w:tc>
        <w:tc>
          <w:tcPr>
            <w:tcW w:type="dxa" w:w="3360"/>
            <w:tcW w:w="2400" w:type="dxa"/>
            <w:shd w:val="clear" w:color="auto" w:fill="FFFFFF"/>
          </w:tcPr>
          <w:p>
            <w:pPr>
              <w:spacing w:after="0"/>
            </w:pPr>
            <w:r>
              <w:rPr>
                <w:b w:val="0"/>
                <w:i w:val="0"/>
                <w:color w:val="5A6069"/>
                <w:sz w:val="18"/>
              </w:rPr>
              <w:t>Gate 8 · Standard 'Give short-acting octreotide…' · caveat; Gate 8 · Avoid 'Do not rely on prophylactic octreotide…' · note</w:t>
            </w:r>
          </w:p>
        </w:tc>
      </w:tr>
    </w:tbl>
    <w:p>
      <w:pPr>
        <w:spacing w:after="40"/>
      </w:pPr>
    </w:p>
    <w:p>
      <w:pPr>
        <w:spacing w:after="80"/>
      </w:pPr>
      <w:r>
        <w:rPr>
          <w:b/>
          <w:i w:val="0"/>
        </w:rPr>
        <w:t xml:space="preserve">Where sources differ: </w:t>
      </w:r>
      <w:r>
        <w:rPr>
          <w:b w:val="0"/>
          <w:i w:val="0"/>
        </w:rPr>
        <w:t>Sources agree prophylaxis is unproven but differ on intraoperative octreotide and on incidence (1–2% after PRRT versus 24–30% intraoperative events in surgical series), so the roadmap makes preparedness, not prophylaxis, the safeguard.</w:t>
      </w:r>
    </w:p>
    <w:p>
      <w:pPr>
        <w:pStyle w:val="Heading3"/>
        <w:keepNext/>
        <w:spacing w:before="120" w:after="80"/>
      </w:pPr>
      <w:r>
        <w:rPr>
          <w:b w:val="0"/>
          <w:i w:val="0"/>
        </w:rPr>
        <w:t>Our proposed selection (OPEN)</w:t>
      </w:r>
    </w:p>
    <w:p>
      <w:pPr>
        <w:spacing w:after="80"/>
      </w:pPr>
      <w:r>
        <w:rPr>
          <w:b w:val="0"/>
          <w:i w:val="0"/>
        </w:rPr>
        <w:t>Every functional patient has a written, procedure-specific crisis plan with a named owner, rescue octreotide in the room and immediate haemodynamic treatment (Standard, grade D). The board names the prophylaxis owner separately, prophylaxis is documented before every procedure and audited for adherence, and octreotide near PRRT is decided explicitly with nuclear medicine.</w:t>
      </w:r>
    </w:p>
    <w:p>
      <w:pPr>
        <w:spacing w:after="80"/>
      </w:pPr>
      <w:r>
        <w:rPr>
          <w:b/>
          <w:i w:val="0"/>
          <w:color w:val="5A6069"/>
          <w:sz w:val="18"/>
        </w:rPr>
        <w:t xml:space="preserve">Basis in the document: </w:t>
      </w:r>
      <w:r>
        <w:rPr>
          <w:b w:val="0"/>
          <w:i w:val="0"/>
          <w:color w:val="5A6069"/>
          <w:sz w:val="18"/>
        </w:rPr>
        <w:t>Gate 8 · Standard 'Write a procedure-specific crisis plan…'; Operations · board meeting · Output; Operations · dashboard · Functional disease; Gate 8 · Standard 'Give short-acting octreotide…' · caveat</w:t>
      </w:r>
    </w:p>
    <w:p>
      <w:pPr>
        <w:spacing w:after="80"/>
      </w:pPr>
      <w:r>
        <w:rPr>
          <w:b/>
          <w:i w:val="0"/>
        </w:rPr>
        <w:t xml:space="preserve">Why: </w:t>
      </w:r>
      <w:r>
        <w:rPr>
          <w:b w:val="0"/>
          <w:i w:val="0"/>
        </w:rPr>
        <w:t>Not an evidence question. It is a named safety process that fails when it lives in individual memory.</w:t>
      </w:r>
    </w:p>
    <w:p>
      <w:pPr>
        <w:spacing w:after="80"/>
      </w:pPr>
      <w:r>
        <w:rPr>
          <w:b/>
          <w:i w:val="0"/>
        </w:rPr>
        <w:t xml:space="preserve">What gets audited: </w:t>
      </w:r>
      <w:r>
        <w:rPr>
          <w:b w:val="0"/>
          <w:i w:val="0"/>
        </w:rPr>
        <w:t>Audit: prophylaxis documented before every procedure in functional patients.</w:t>
      </w:r>
    </w:p>
    <w:p>
      <w:pPr>
        <w:pStyle w:val="Heading3"/>
        <w:keepNext/>
        <w:spacing w:before="120" w:after="80"/>
      </w:pPr>
      <w:r>
        <w:rPr>
          <w:b w:val="0"/>
          <w:i w:val="0"/>
        </w:rPr>
        <w:t>NELM-D6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NELM-D7 — Re-biopsy policy for suspected grade progression or transformation.</w:t>
      </w:r>
    </w:p>
    <w:p>
      <w:pPr>
        <w:spacing w:after="80"/>
      </w:pPr>
      <w:r>
        <w:rPr>
          <w:b w:val="0"/>
          <w:i w:val="0"/>
          <w:color w:val="5A6069"/>
          <w:sz w:val="18"/>
        </w:rPr>
        <w:t>OPEN — not yet decided · Clinical</w:t>
      </w:r>
    </w:p>
    <w:p>
      <w:pPr>
        <w:spacing w:after="80"/>
      </w:pPr>
      <w:r>
        <w:rPr>
          <w:b/>
          <w:i w:val="0"/>
        </w:rPr>
        <w:t xml:space="preserve">Where it is decided: </w:t>
      </w:r>
      <w:hyperlink r:id="rId23">
        <w:r>
          <w:rPr>
            <w:color w:val="0563C1"/>
            <w:u w:val="single"/>
          </w:rPr>
          <w:t xml:space="preserve">1 · Confirm differentiation and grade</w:t>
        </w:r>
      </w:hyperlink>
      <w:r>
        <w:rPr>
          <w:b w:val="0"/>
          <w:i w:val="0"/>
        </w:rPr>
        <w:t xml:space="preserve"> · </w:t>
      </w:r>
      <w:hyperlink r:id="rId12">
        <w:r>
          <w:rPr>
            <w:color w:val="0563C1"/>
            <w:u w:val="single"/>
          </w:rPr>
          <w:t xml:space="preserve">4 · G3 NET versus neuroendocrine carcinoma</w:t>
        </w:r>
      </w:hyperlink>
    </w:p>
    <w:p>
      <w:pPr>
        <w:spacing w:after="120"/>
      </w:pPr>
      <w:r>
        <w:rPr>
          <w:b/>
          <w:i w:val="0"/>
          <w:sz w:val="18"/>
        </w:rPr>
        <w:t xml:space="preserve">Web page: </w:t>
      </w:r>
      <w:hyperlink r:id="rId24">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Itanet 2024 RLT</w:t>
            </w:r>
          </w:p>
        </w:tc>
        <w:tc>
          <w:tcPr>
            <w:tcW w:type="dxa" w:w="3360"/>
            <w:tcW w:w="5480" w:type="dxa"/>
            <w:shd w:val="clear" w:color="auto" w:fill="F1F5F8"/>
          </w:tcPr>
          <w:p>
            <w:pPr>
              <w:spacing w:after="0"/>
            </w:pPr>
            <w:r>
              <w:rPr>
                <w:b w:val="0"/>
                <w:i w:val="0"/>
                <w:sz w:val="19"/>
              </w:rPr>
              <w:t>Grades re-evaluation before radioligand therapy when behaviour changes 3a-A, stronger than the roadmap’s ‘consider’.</w:t>
            </w:r>
          </w:p>
        </w:tc>
        <w:tc>
          <w:tcPr>
            <w:tcW w:type="dxa" w:w="3360"/>
            <w:tcW w:w="2400" w:type="dxa"/>
            <w:shd w:val="clear" w:color="auto" w:fill="F1F5F8"/>
          </w:tcPr>
          <w:p>
            <w:pPr>
              <w:spacing w:after="0"/>
            </w:pPr>
            <w:r>
              <w:rPr>
                <w:b w:val="0"/>
                <w:i w:val="0"/>
                <w:color w:val="5A6069"/>
                <w:sz w:val="18"/>
              </w:rPr>
              <w:t>Gate 1 · Reasonable 'Consider re-biopsy on unexpected behavioural change or discordant FDG avidity.' · note</w:t>
            </w:r>
          </w:p>
        </w:tc>
      </w:tr>
    </w:tbl>
    <w:p>
      <w:pPr>
        <w:spacing w:after="40"/>
      </w:pPr>
    </w:p>
    <w:p>
      <w:pPr>
        <w:spacing w:after="80"/>
      </w:pPr>
      <w:r>
        <w:rPr>
          <w:b/>
          <w:i w:val="0"/>
        </w:rPr>
        <w:t xml:space="preserve">Where sources differ: </w:t>
      </w:r>
      <w:r>
        <w:rPr>
          <w:b w:val="0"/>
          <w:i w:val="0"/>
        </w:rPr>
        <w:t>Itanet supports re-evaluation before radioligand therapy on behavioural change, but no study defines the trigger or interval, which is why the roadmap holds re-biopsy at grade C.</w:t>
      </w:r>
    </w:p>
    <w:p>
      <w:pPr>
        <w:pStyle w:val="Heading3"/>
        <w:keepNext/>
        <w:spacing w:before="120" w:after="80"/>
      </w:pPr>
      <w:r>
        <w:rPr>
          <w:b w:val="0"/>
          <w:i w:val="0"/>
        </w:rPr>
        <w:t>Our proposed selection (OPEN)</w:t>
      </w:r>
    </w:p>
    <w:p>
      <w:pPr>
        <w:spacing w:after="80"/>
      </w:pPr>
      <w:r>
        <w:rPr>
          <w:b w:val="0"/>
          <w:i w:val="0"/>
        </w:rPr>
        <w:t>Consider re-biopsy (Reasonable, grade C) on unexpected behavioural change or discordant FDG avidity, particularly where the original grading is years old or the disease has changed pace, but not as a scheduled ritual; grade is reassessed on any metachronously sampled specimen. Whether re-biopsy becomes a required step before PRRT remains open for local ratification.</w:t>
      </w:r>
    </w:p>
    <w:p>
      <w:pPr>
        <w:spacing w:after="80"/>
      </w:pPr>
      <w:r>
        <w:rPr>
          <w:b/>
          <w:i w:val="0"/>
          <w:color w:val="5A6069"/>
          <w:sz w:val="18"/>
        </w:rPr>
        <w:t xml:space="preserve">Basis in the document: </w:t>
      </w:r>
      <w:r>
        <w:rPr>
          <w:b w:val="0"/>
          <w:i w:val="0"/>
          <w:color w:val="5A6069"/>
          <w:sz w:val="18"/>
        </w:rPr>
        <w:t>Gate 1 · Reasonable 'Consider re-biopsy on unexpected behavioural change…' · pref, caveat and note; Gate 1 · Standard 'Get a biopsy with the Ki-67 index…' · pref</w:t>
      </w:r>
    </w:p>
    <w:p>
      <w:pPr>
        <w:spacing w:after="80"/>
      </w:pPr>
      <w:r>
        <w:rPr>
          <w:b/>
          <w:i w:val="0"/>
        </w:rPr>
        <w:t xml:space="preserve">Why: </w:t>
      </w:r>
      <w:r>
        <w:rPr>
          <w:b w:val="0"/>
          <w:i w:val="0"/>
        </w:rPr>
        <w:t>No evidence defines the trigger or interval; behaviour-driven in practice.</w:t>
      </w:r>
    </w:p>
    <w:p>
      <w:pPr>
        <w:spacing w:after="80"/>
      </w:pPr>
      <w:r>
        <w:rPr>
          <w:b/>
          <w:i w:val="0"/>
        </w:rPr>
        <w:t xml:space="preserve">What gets audited: </w:t>
      </w:r>
      <w:r>
        <w:rPr>
          <w:b w:val="0"/>
          <w:i w:val="0"/>
        </w:rPr>
        <w:t>Audit: re-biopsy rate, change in pathway when performed.</w:t>
      </w:r>
    </w:p>
    <w:p>
      <w:pPr>
        <w:pStyle w:val="Heading3"/>
        <w:keepNext/>
        <w:spacing w:before="120" w:after="80"/>
      </w:pPr>
      <w:r>
        <w:rPr>
          <w:b w:val="0"/>
          <w:i w:val="0"/>
        </w:rPr>
        <w:t>NELM-D7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NELM-D8 — Who owns subsequent NCCN and OPTN update checks, and on what cycle?</w:t>
      </w:r>
    </w:p>
    <w:p>
      <w:pPr>
        <w:spacing w:after="80"/>
      </w:pPr>
      <w:r>
        <w:rPr>
          <w:b w:val="0"/>
          <w:i w:val="0"/>
          <w:color w:val="5A6069"/>
          <w:sz w:val="18"/>
        </w:rPr>
        <w:t>OPEN — not yet decided · Governance</w:t>
      </w:r>
    </w:p>
    <w:p>
      <w:pPr>
        <w:spacing w:after="120"/>
      </w:pPr>
      <w:r>
        <w:rPr>
          <w:b/>
          <w:i w:val="0"/>
          <w:sz w:val="18"/>
        </w:rPr>
        <w:t xml:space="preserve">Web page: </w:t>
      </w:r>
      <w:hyperlink r:id="rId2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spacing w:after="80"/>
      </w:pPr>
      <w:r>
        <w:rPr>
          <w:b w:val="0"/>
          <w:i/>
        </w:rPr>
        <w:t>No guideline, trial or paper takes a position on this question; it is a programme decision.</w:t>
      </w:r>
    </w:p>
    <w:p>
      <w:pPr>
        <w:spacing w:after="80"/>
      </w:pPr>
      <w:r>
        <w:rPr>
          <w:b/>
          <w:i w:val="0"/>
        </w:rPr>
        <w:t xml:space="preserve">Where sources differ: </w:t>
      </w:r>
      <w:r>
        <w:rPr>
          <w:b w:val="0"/>
          <w:i w:val="0"/>
        </w:rPr>
        <w:t>No source positions; programme decision.</w:t>
      </w:r>
    </w:p>
    <w:p>
      <w:pPr>
        <w:pStyle w:val="Heading3"/>
        <w:keepNext/>
        <w:spacing w:before="120" w:after="80"/>
      </w:pPr>
      <w:r>
        <w:rPr>
          <w:b w:val="0"/>
          <w:i w:val="0"/>
        </w:rPr>
        <w:t>Our proposed selection (OPEN)</w:t>
      </w:r>
    </w:p>
    <w:p>
      <w:pPr>
        <w:spacing w:after="80"/>
      </w:pPr>
      <w:r>
        <w:rPr>
          <w:b w:val="0"/>
          <w:i w:val="0"/>
        </w:rPr>
        <w:t>Source reconciliation is complete in this version (NCCN v1.2026; OPTN Policy 9 checked 1 October 2026). A named owner should verify each later NCCN edition and current OPTN allocation requirements on an agreed cycle, tracked on the dashboard, and ratify the documented institutional positions; the owner and cycle are not yet named.</w:t>
      </w:r>
    </w:p>
    <w:p>
      <w:pPr>
        <w:spacing w:after="80"/>
      </w:pPr>
      <w:r>
        <w:rPr>
          <w:b/>
          <w:i w:val="0"/>
          <w:color w:val="5A6069"/>
          <w:sz w:val="18"/>
        </w:rPr>
        <w:t xml:space="preserve">Basis in the document: </w:t>
      </w:r>
      <w:r>
        <w:rPr>
          <w:b w:val="0"/>
          <w:i w:val="0"/>
          <w:color w:val="5A6069"/>
          <w:sz w:val="18"/>
        </w:rPr>
        <w:t>Decisions table #8 · why; Operations · dashboard · Source recency; Provenance</w:t>
      </w:r>
    </w:p>
    <w:p>
      <w:pPr>
        <w:spacing w:after="80"/>
      </w:pPr>
      <w:r>
        <w:rPr>
          <w:b/>
          <w:i w:val="0"/>
        </w:rPr>
        <w:t xml:space="preserve">Why: </w:t>
      </w:r>
      <w:r>
        <w:rPr>
          <w:b w:val="0"/>
          <w:i w:val="0"/>
        </w:rPr>
        <w:t>Source reconciliation is complete in this version. An owner is assigned to verify subsequent editions and current allocation requirements, ratify the documented institutional positions, and maintain the update cycle.</w:t>
      </w:r>
    </w:p>
    <w:p>
      <w:pPr>
        <w:spacing w:after="80"/>
      </w:pPr>
      <w:r>
        <w:rPr>
          <w:b/>
          <w:i w:val="0"/>
        </w:rPr>
        <w:t xml:space="preserve">What gets audited: </w:t>
      </w:r>
      <w:r>
        <w:rPr>
          <w:b w:val="0"/>
          <w:i w:val="0"/>
        </w:rPr>
        <w:t>Named owner plus edition and date plus update cycle.</w:t>
      </w:r>
    </w:p>
    <w:p>
      <w:pPr>
        <w:pStyle w:val="Heading3"/>
        <w:keepNext/>
        <w:spacing w:before="120" w:after="80"/>
      </w:pPr>
      <w:r>
        <w:rPr>
          <w:b w:val="0"/>
          <w:i w:val="0"/>
        </w:rPr>
        <w:t>NELM-D8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NELM-D9 — Is hepatic debulking offered in well-differentiated G3 disease, and under what conditions?</w:t>
      </w:r>
    </w:p>
    <w:p>
      <w:pPr>
        <w:spacing w:after="80"/>
      </w:pPr>
      <w:r>
        <w:rPr>
          <w:b w:val="0"/>
          <w:i w:val="0"/>
          <w:color w:val="5A6069"/>
          <w:sz w:val="18"/>
        </w:rPr>
        <w:t>OPEN — not yet decided · Clinical</w:t>
      </w:r>
    </w:p>
    <w:p>
      <w:pPr>
        <w:spacing w:after="80"/>
      </w:pPr>
      <w:r>
        <w:rPr>
          <w:b/>
          <w:i w:val="0"/>
        </w:rPr>
        <w:t xml:space="preserve">Where it is decided: </w:t>
      </w:r>
      <w:hyperlink r:id="rId12">
        <w:r>
          <w:rPr>
            <w:color w:val="0563C1"/>
            <w:u w:val="single"/>
          </w:rPr>
          <w:t xml:space="preserve">4 · G3 NET versus neuroendocrine carcinoma</w:t>
        </w:r>
      </w:hyperlink>
      <w:r>
        <w:rPr>
          <w:b w:val="0"/>
          <w:i w:val="0"/>
        </w:rPr>
        <w:t xml:space="preserve"> · </w:t>
      </w:r>
      <w:hyperlink r:id="rId15">
        <w:r>
          <w:rPr>
            <w:color w:val="0563C1"/>
            <w:u w:val="single"/>
          </w:rPr>
          <w:t xml:space="preserve">5 · Assess surgical cytoreduction</w:t>
        </w:r>
      </w:hyperlink>
    </w:p>
    <w:p>
      <w:pPr>
        <w:spacing w:after="120"/>
      </w:pPr>
      <w:r>
        <w:rPr>
          <w:b/>
          <w:i w:val="0"/>
          <w:sz w:val="18"/>
        </w:rPr>
        <w:t xml:space="preserve">Web page: </w:t>
      </w:r>
      <w:hyperlink r:id="rId2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NANETS 2017 surgical</w:t>
            </w:r>
          </w:p>
        </w:tc>
        <w:tc>
          <w:tcPr>
            <w:tcW w:type="dxa" w:w="3360"/>
            <w:tcW w:w="5480" w:type="dxa"/>
            <w:shd w:val="clear" w:color="auto" w:fill="F1F5F8"/>
          </w:tcPr>
          <w:p>
            <w:pPr>
              <w:spacing w:after="0"/>
            </w:pPr>
            <w:r>
              <w:rPr>
                <w:b w:val="0"/>
                <w:i w:val="0"/>
                <w:sz w:val="19"/>
              </w:rPr>
              <w:t>Refers grade 3 liver metastases for systemic therapy rather than cytoreduction.</w:t>
            </w:r>
          </w:p>
        </w:tc>
        <w:tc>
          <w:tcPr>
            <w:tcW w:type="dxa" w:w="3360"/>
            <w:tcW w:w="2400" w:type="dxa"/>
            <w:shd w:val="clear" w:color="auto" w:fill="F1F5F8"/>
          </w:tcPr>
          <w:p>
            <w:pPr>
              <w:spacing w:after="0"/>
            </w:pPr>
            <w:r>
              <w:rPr>
                <w:b w:val="0"/>
                <w:i w:val="0"/>
                <w:color w:val="5A6069"/>
                <w:sz w:val="18"/>
              </w:rPr>
              <w:t>Gate 4 · flag note; What we are not sure about #34</w:t>
            </w:r>
          </w:p>
        </w:tc>
      </w:tr>
      <w:tr>
        <w:trPr>
          <w:cantSplit/>
        </w:trPr>
        <w:tc>
          <w:tcPr>
            <w:tcW w:type="dxa" w:w="3360"/>
            <w:tcW w:w="2200" w:type="dxa"/>
            <w:shd w:val="clear" w:color="auto" w:fill="FFFFFF"/>
          </w:tcPr>
          <w:p>
            <w:pPr>
              <w:spacing w:after="0"/>
            </w:pPr>
            <w:r>
              <w:rPr>
                <w:b/>
                <w:i w:val="0"/>
                <w:sz w:val="19"/>
              </w:rPr>
              <w:t>NANETS 2020 surgical</w:t>
            </w:r>
          </w:p>
        </w:tc>
        <w:tc>
          <w:tcPr>
            <w:tcW w:type="dxa" w:w="3360"/>
            <w:tcW w:w="5480" w:type="dxa"/>
            <w:shd w:val="clear" w:color="auto" w:fill="FFFFFF"/>
          </w:tcPr>
          <w:p>
            <w:pPr>
              <w:spacing w:after="0"/>
            </w:pPr>
            <w:r>
              <w:rPr>
                <w:b w:val="0"/>
                <w:i w:val="0"/>
                <w:sz w:val="19"/>
              </w:rPr>
              <w:t>Carcinoma should not be resected; localised well-differentiated G3 may be resected within multimodal therapy, with liver cytoreduction often not indicated, while conceding its well-differentiated G3 recommendations are unsupported.</w:t>
            </w:r>
          </w:p>
        </w:tc>
        <w:tc>
          <w:tcPr>
            <w:tcW w:type="dxa" w:w="3360"/>
            <w:tcW w:w="2400" w:type="dxa"/>
            <w:shd w:val="clear" w:color="auto" w:fill="FFFFFF"/>
          </w:tcPr>
          <w:p>
            <w:pPr>
              <w:spacing w:after="0"/>
            </w:pPr>
            <w:r>
              <w:rPr>
                <w:b w:val="0"/>
                <w:i w:val="0"/>
                <w:color w:val="5A6069"/>
                <w:sz w:val="18"/>
              </w:rPr>
              <w:t>Gate 4 · flag note; What we are not sure about #34</w:t>
            </w:r>
          </w:p>
        </w:tc>
      </w:tr>
      <w:tr>
        <w:trPr>
          <w:cantSplit/>
        </w:trPr>
        <w:tc>
          <w:tcPr>
            <w:tcW w:type="dxa" w:w="3360"/>
            <w:tcW w:w="2200" w:type="dxa"/>
            <w:shd w:val="clear" w:color="auto" w:fill="F1F5F8"/>
          </w:tcPr>
          <w:p>
            <w:pPr>
              <w:spacing w:after="0"/>
            </w:pPr>
            <w:r>
              <w:rPr>
                <w:b/>
                <w:i w:val="0"/>
                <w:sz w:val="19"/>
              </w:rPr>
              <w:t>ENETS 2023 NEC</w:t>
            </w:r>
          </w:p>
        </w:tc>
        <w:tc>
          <w:tcPr>
            <w:tcW w:type="dxa" w:w="3360"/>
            <w:tcW w:w="5480" w:type="dxa"/>
            <w:shd w:val="clear" w:color="auto" w:fill="F1F5F8"/>
          </w:tcPr>
          <w:p>
            <w:pPr>
              <w:spacing w:after="0"/>
            </w:pPr>
            <w:r>
              <w:rPr>
                <w:b w:val="0"/>
                <w:i w:val="0"/>
                <w:sz w:val="19"/>
              </w:rPr>
              <w:t>Excludes well-differentiated G3 NET from scope by design; advises against metastasectomy in metastatic digestive carcinoma only at grade 5D.</w:t>
            </w:r>
          </w:p>
        </w:tc>
        <w:tc>
          <w:tcPr>
            <w:tcW w:type="dxa" w:w="3360"/>
            <w:tcW w:w="2400" w:type="dxa"/>
            <w:shd w:val="clear" w:color="auto" w:fill="F1F5F8"/>
          </w:tcPr>
          <w:p>
            <w:pPr>
              <w:spacing w:after="0"/>
            </w:pPr>
            <w:r>
              <w:rPr>
                <w:b w:val="0"/>
                <w:i w:val="0"/>
                <w:color w:val="5A6069"/>
                <w:sz w:val="18"/>
              </w:rPr>
              <w:t>What we are not sure about #34; Gate 4 · Standard 'Poorly differentiated neuroendocrine carcinoma: platinum–etoposide…' · caveat</w:t>
            </w:r>
          </w:p>
        </w:tc>
      </w:tr>
      <w:tr>
        <w:trPr>
          <w:cantSplit/>
        </w:trPr>
        <w:tc>
          <w:tcPr>
            <w:tcW w:type="dxa" w:w="3360"/>
            <w:tcW w:w="2200" w:type="dxa"/>
            <w:shd w:val="clear" w:color="auto" w:fill="FFFFFF"/>
          </w:tcPr>
          <w:p>
            <w:pPr>
              <w:spacing w:after="0"/>
            </w:pPr>
            <w:r>
              <w:rPr>
                <w:b/>
                <w:i w:val="0"/>
                <w:sz w:val="19"/>
              </w:rPr>
              <w:t>ASCO 2023 systemic</w:t>
            </w:r>
          </w:p>
        </w:tc>
        <w:tc>
          <w:tcPr>
            <w:tcW w:type="dxa" w:w="3360"/>
            <w:tcW w:w="5480" w:type="dxa"/>
            <w:shd w:val="clear" w:color="auto" w:fill="FFFFFF"/>
          </w:tcPr>
          <w:p>
            <w:pPr>
              <w:spacing w:after="0"/>
            </w:pPr>
            <w:r>
              <w:rPr>
                <w:b w:val="0"/>
                <w:i w:val="0"/>
                <w:sz w:val="19"/>
              </w:rPr>
              <w:t>Allows the whole G1–G2 menu in G3 disease on informal consensus rated very low quality, and supports no Ki-67 cutoff.</w:t>
            </w:r>
          </w:p>
        </w:tc>
        <w:tc>
          <w:tcPr>
            <w:tcW w:type="dxa" w:w="3360"/>
            <w:tcW w:w="2400" w:type="dxa"/>
            <w:shd w:val="clear" w:color="auto" w:fill="FFFFFF"/>
          </w:tcPr>
          <w:p>
            <w:pPr>
              <w:spacing w:after="0"/>
            </w:pPr>
            <w:r>
              <w:rPr>
                <w:b w:val="0"/>
                <w:i w:val="0"/>
                <w:color w:val="5A6069"/>
                <w:sz w:val="18"/>
              </w:rPr>
              <w:t>What we are not sure about #34</w:t>
            </w:r>
          </w:p>
        </w:tc>
      </w:tr>
      <w:tr>
        <w:trPr>
          <w:cantSplit/>
        </w:trPr>
        <w:tc>
          <w:tcPr>
            <w:tcW w:type="dxa" w:w="3360"/>
            <w:tcW w:w="2200" w:type="dxa"/>
            <w:shd w:val="clear" w:color="auto" w:fill="F1F5F8"/>
          </w:tcPr>
          <w:p>
            <w:pPr>
              <w:spacing w:after="0"/>
            </w:pPr>
            <w:r>
              <w:rPr>
                <w:b/>
                <w:i w:val="0"/>
                <w:sz w:val="19"/>
              </w:rPr>
              <w:t>NETTER-2</w:t>
            </w:r>
          </w:p>
        </w:tc>
        <w:tc>
          <w:tcPr>
            <w:tcW w:type="dxa" w:w="3360"/>
            <w:tcW w:w="5480" w:type="dxa"/>
            <w:shd w:val="clear" w:color="auto" w:fill="F1F5F8"/>
          </w:tcPr>
          <w:p>
            <w:pPr>
              <w:spacing w:after="0"/>
            </w:pPr>
            <w:r>
              <w:rPr>
                <w:b w:val="0"/>
                <w:i w:val="0"/>
                <w:sz w:val="19"/>
              </w:rPr>
              <w:t>Gives this phenotype the strongest randomised systemic evidence on the page, which is why the surgical question will reach the board; it does not address surgery.</w:t>
            </w:r>
          </w:p>
        </w:tc>
        <w:tc>
          <w:tcPr>
            <w:tcW w:type="dxa" w:w="3360"/>
            <w:tcW w:w="2400" w:type="dxa"/>
            <w:shd w:val="clear" w:color="auto" w:fill="F1F5F8"/>
          </w:tcPr>
          <w:p>
            <w:pPr>
              <w:spacing w:after="0"/>
            </w:pPr>
            <w:r>
              <w:rPr>
                <w:b w:val="0"/>
                <w:i w:val="0"/>
                <w:color w:val="5A6069"/>
                <w:sz w:val="18"/>
              </w:rPr>
              <w:t>Decisions table #9 · why; What we are not sure about #34</w:t>
            </w:r>
          </w:p>
        </w:tc>
      </w:tr>
    </w:tbl>
    <w:p>
      <w:pPr>
        <w:spacing w:after="40"/>
      </w:pPr>
    </w:p>
    <w:p>
      <w:pPr>
        <w:spacing w:after="80"/>
      </w:pPr>
      <w:r>
        <w:rPr>
          <w:b/>
          <w:i w:val="0"/>
        </w:rPr>
        <w:t xml:space="preserve">Where sources differ: </w:t>
      </w:r>
      <w:r>
        <w:rPr>
          <w:b w:val="0"/>
          <w:i w:val="0"/>
        </w:rPr>
        <w:t>Both NANETS papers lean against G3 liver cytoreduction but NANETS 2020 calls its own G3 advice unsupported, ENETS 2023 is silent by scope and ASCO permits the G1–G2 menu on very low-quality consensus.</w:t>
      </w:r>
    </w:p>
    <w:p>
      <w:pPr>
        <w:pStyle w:val="Heading3"/>
        <w:keepNext/>
        <w:spacing w:before="120" w:after="80"/>
      </w:pPr>
      <w:r>
        <w:rPr>
          <w:b w:val="0"/>
          <w:i w:val="0"/>
        </w:rPr>
        <w:t>Our proposed selection (OPEN)</w:t>
      </w:r>
    </w:p>
    <w:p>
      <w:pPr>
        <w:spacing w:after="80"/>
      </w:pPr>
      <w:r>
        <w:rPr>
          <w:b w:val="0"/>
          <w:i w:val="0"/>
        </w:rPr>
        <w:t>The roadmap states no position on G3 hepatic debulking. It keeps eligibility for a G3 systemic option distinct from eligibility for cytoreduction or transplantation, and alignment area 15 asks whether G3 debulking should join the Avoid column except for selected limited disease within multimodal therapy.</w:t>
      </w:r>
    </w:p>
    <w:p>
      <w:pPr>
        <w:spacing w:after="80"/>
      </w:pPr>
      <w:r>
        <w:rPr>
          <w:b/>
          <w:i w:val="0"/>
          <w:color w:val="5A6069"/>
          <w:sz w:val="18"/>
        </w:rPr>
        <w:t xml:space="preserve">Basis in the document: </w:t>
      </w:r>
      <w:r>
        <w:rPr>
          <w:b w:val="0"/>
          <w:i w:val="0"/>
          <w:color w:val="5A6069"/>
          <w:sz w:val="18"/>
        </w:rPr>
        <w:t>Gate 4 · flag note; Gate 4 · Avoid 'Do not apply a universal platinum regimen to all G3 NET…'; What we are not sure about #34</w:t>
      </w:r>
    </w:p>
    <w:p>
      <w:pPr>
        <w:spacing w:after="80"/>
      </w:pPr>
      <w:r>
        <w:rPr>
          <w:b/>
          <w:i w:val="0"/>
        </w:rPr>
        <w:t xml:space="preserve">Why: </w:t>
      </w:r>
      <w:r>
        <w:rPr>
          <w:b w:val="0"/>
          <w:i w:val="0"/>
        </w:rPr>
        <w:t>The roadmap is silent and the guidelines conflict. Both NANETS surgical papers advise against cytoreducing G3 liver metastases, NANETS 2020 conceding that its well-differentiated G3 recommendations are unsupported; ENETS 2023 excludes well-differentiated G3 by scope; ASCO permits the G1–G2 menu on very low quality informal consensus. NETTER-2 meanwhile gives this phenotype the strongest randomised systemic evidence on the page, so the surgical question will be asked at board. Alignment area 15.</w:t>
      </w:r>
    </w:p>
    <w:p>
      <w:pPr>
        <w:spacing w:after="80"/>
      </w:pPr>
      <w:r>
        <w:rPr>
          <w:b/>
          <w:i w:val="0"/>
        </w:rPr>
        <w:t xml:space="preserve">What gets audited: </w:t>
      </w:r>
      <w:r>
        <w:rPr>
          <w:b w:val="0"/>
          <w:i w:val="0"/>
        </w:rPr>
        <w:t>Registry: every G3 hepatic operation with differentiation, Ki-67, residual disease and liver progression-free survival.</w:t>
      </w:r>
    </w:p>
    <w:p>
      <w:pPr>
        <w:pStyle w:val="Heading3"/>
        <w:keepNext/>
        <w:spacing w:before="120" w:after="80"/>
      </w:pPr>
      <w:r>
        <w:rPr>
          <w:b w:val="0"/>
          <w:i w:val="0"/>
        </w:rPr>
        <w:t>NELM-D9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NELM-D10 — Is first-line PRRT offered to a patient who has already had liver-directed therapy?</w:t>
      </w:r>
    </w:p>
    <w:p>
      <w:pPr>
        <w:spacing w:after="80"/>
      </w:pPr>
      <w:r>
        <w:rPr>
          <w:b w:val="0"/>
          <w:i w:val="0"/>
          <w:color w:val="5A6069"/>
          <w:sz w:val="18"/>
        </w:rPr>
        <w:t>OPEN — not yet decided · Clinical</w:t>
      </w:r>
    </w:p>
    <w:p>
      <w:pPr>
        <w:spacing w:after="80"/>
      </w:pPr>
      <w:r>
        <w:rPr>
          <w:b/>
          <w:i w:val="0"/>
        </w:rPr>
        <w:t xml:space="preserve">Where it is decided: </w:t>
      </w:r>
      <w:hyperlink r:id="rId13">
        <w:r>
          <w:rPr>
            <w:color w:val="0563C1"/>
            <w:u w:val="single"/>
          </w:rPr>
          <w:t xml:space="preserve">6 · Select systemic therapy</w:t>
        </w:r>
      </w:hyperlink>
      <w:r>
        <w:rPr>
          <w:b w:val="0"/>
          <w:i w:val="0"/>
        </w:rPr>
        <w:t xml:space="preserve"> · </w:t>
      </w:r>
      <w:hyperlink r:id="rId9">
        <w:r>
          <w:rPr>
            <w:color w:val="0563C1"/>
            <w:u w:val="single"/>
          </w:rPr>
          <w:t xml:space="preserve">7 · Select liver-directed therapy</w:t>
        </w:r>
      </w:hyperlink>
    </w:p>
    <w:p>
      <w:pPr>
        <w:spacing w:after="120"/>
      </w:pPr>
      <w:r>
        <w:rPr>
          <w:b/>
          <w:i w:val="0"/>
          <w:sz w:val="18"/>
        </w:rPr>
        <w:t xml:space="preserve">Web page: </w:t>
      </w:r>
      <w:hyperlink r:id="rId2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NETTER-2</w:t>
            </w:r>
          </w:p>
        </w:tc>
        <w:tc>
          <w:tcPr>
            <w:tcW w:type="dxa" w:w="3360"/>
            <w:tcW w:w="5480" w:type="dxa"/>
            <w:shd w:val="clear" w:color="auto" w:fill="F1F5F8"/>
          </w:tcPr>
          <w:p>
            <w:pPr>
              <w:spacing w:after="0"/>
            </w:pPr>
            <w:r>
              <w:rPr>
                <w:b w:val="0"/>
                <w:i w:val="0"/>
                <w:sz w:val="19"/>
              </w:rPr>
              <w:t>Excluded any previous hepatic artery embolisation or radiofrequency ablation and required uptake score 3–4 in every target lesion, so its first-line evidence does not describe this patient.</w:t>
            </w:r>
          </w:p>
        </w:tc>
        <w:tc>
          <w:tcPr>
            <w:tcW w:type="dxa" w:w="3360"/>
            <w:tcW w:w="2400" w:type="dxa"/>
            <w:shd w:val="clear" w:color="auto" w:fill="F1F5F8"/>
          </w:tcPr>
          <w:p>
            <w:pPr>
              <w:spacing w:after="0"/>
            </w:pPr>
            <w:r>
              <w:rPr>
                <w:b w:val="0"/>
                <w:i w:val="0"/>
                <w:color w:val="5A6069"/>
                <w:sz w:val="18"/>
              </w:rPr>
              <w:t>Gate 6 · Standard 'Document somatostatin-receptor uptake…' · note; Gate 4 · Standard option '177Lu-DOTATATE…' · caveat</w:t>
            </w:r>
          </w:p>
        </w:tc>
      </w:tr>
      <w:tr>
        <w:trPr>
          <w:cantSplit/>
        </w:trPr>
        <w:tc>
          <w:tcPr>
            <w:tcW w:type="dxa" w:w="3360"/>
            <w:tcW w:w="2200" w:type="dxa"/>
            <w:shd w:val="clear" w:color="auto" w:fill="FFFFFF"/>
          </w:tcPr>
          <w:p>
            <w:pPr>
              <w:spacing w:after="0"/>
            </w:pPr>
            <w:r>
              <w:rPr>
                <w:b/>
                <w:i w:val="0"/>
                <w:sz w:val="19"/>
              </w:rPr>
              <w:t>NANETS 2017 medical</w:t>
            </w:r>
          </w:p>
        </w:tc>
        <w:tc>
          <w:tcPr>
            <w:tcW w:type="dxa" w:w="3360"/>
            <w:tcW w:w="5480" w:type="dxa"/>
            <w:shd w:val="clear" w:color="auto" w:fill="FFFFFF"/>
          </w:tcPr>
          <w:p>
            <w:pPr>
              <w:spacing w:after="0"/>
            </w:pPr>
            <w:r>
              <w:rPr>
                <w:b w:val="0"/>
                <w:i w:val="0"/>
                <w:sz w:val="19"/>
              </w:rPr>
              <w:t>States that cumulative hepatic radiation from radioembolisation followed by PRRT is unstudied.</w:t>
            </w:r>
          </w:p>
        </w:tc>
        <w:tc>
          <w:tcPr>
            <w:tcW w:type="dxa" w:w="3360"/>
            <w:tcW w:w="2400" w:type="dxa"/>
            <w:shd w:val="clear" w:color="auto" w:fill="FFFFFF"/>
          </w:tcPr>
          <w:p>
            <w:pPr>
              <w:spacing w:after="0"/>
            </w:pPr>
            <w:r>
              <w:rPr>
                <w:b w:val="0"/>
                <w:i w:val="0"/>
                <w:color w:val="5A6069"/>
                <w:sz w:val="18"/>
              </w:rPr>
              <w:t>What we are not sure about #12; Gate 6 · Standard 'Document somatostatin-receptor uptake…' · note</w:t>
            </w:r>
          </w:p>
        </w:tc>
      </w:tr>
      <w:tr>
        <w:trPr>
          <w:cantSplit/>
        </w:trPr>
        <w:tc>
          <w:tcPr>
            <w:tcW w:type="dxa" w:w="3360"/>
            <w:tcW w:w="2200" w:type="dxa"/>
            <w:shd w:val="clear" w:color="auto" w:fill="F1F5F8"/>
          </w:tcPr>
          <w:p>
            <w:pPr>
              <w:spacing w:after="0"/>
            </w:pPr>
            <w:r>
              <w:rPr>
                <w:b/>
                <w:i w:val="0"/>
                <w:sz w:val="19"/>
              </w:rPr>
              <w:t>NANETS/SNMMI PRRT</w:t>
            </w:r>
          </w:p>
        </w:tc>
        <w:tc>
          <w:tcPr>
            <w:tcW w:type="dxa" w:w="3360"/>
            <w:tcW w:w="5480" w:type="dxa"/>
            <w:shd w:val="clear" w:color="auto" w:fill="F1F5F8"/>
          </w:tcPr>
          <w:p>
            <w:pPr>
              <w:spacing w:after="0"/>
            </w:pPr>
            <w:r>
              <w:rPr>
                <w:b w:val="0"/>
                <w:i w:val="0"/>
                <w:sz w:val="19"/>
              </w:rPr>
              <w:t>Prior liver-directed therapy raises concern for PRRT hepatotoxicity.</w:t>
            </w:r>
          </w:p>
        </w:tc>
        <w:tc>
          <w:tcPr>
            <w:tcW w:type="dxa" w:w="3360"/>
            <w:tcW w:w="2400" w:type="dxa"/>
            <w:shd w:val="clear" w:color="auto" w:fill="F1F5F8"/>
          </w:tcPr>
          <w:p>
            <w:pPr>
              <w:spacing w:after="0"/>
            </w:pPr>
            <w:r>
              <w:rPr>
                <w:b w:val="0"/>
                <w:i w:val="0"/>
                <w:color w:val="5A6069"/>
                <w:sz w:val="18"/>
              </w:rPr>
              <w:t>What we are not sure about #12; Decisions table #10 · why</w:t>
            </w:r>
          </w:p>
        </w:tc>
      </w:tr>
      <w:tr>
        <w:trPr>
          <w:cantSplit/>
        </w:trPr>
        <w:tc>
          <w:tcPr>
            <w:tcW w:type="dxa" w:w="3360"/>
            <w:tcW w:w="2200" w:type="dxa"/>
            <w:shd w:val="clear" w:color="auto" w:fill="FFFFFF"/>
          </w:tcPr>
          <w:p>
            <w:pPr>
              <w:spacing w:after="0"/>
            </w:pPr>
            <w:r>
              <w:rPr>
                <w:b/>
                <w:i w:val="0"/>
                <w:sz w:val="19"/>
              </w:rPr>
              <w:t>HEPAR PLuS</w:t>
            </w:r>
          </w:p>
        </w:tc>
        <w:tc>
          <w:tcPr>
            <w:tcW w:type="dxa" w:w="3360"/>
            <w:tcW w:w="5480" w:type="dxa"/>
            <w:shd w:val="clear" w:color="auto" w:fill="FFFFFF"/>
          </w:tcPr>
          <w:p>
            <w:pPr>
              <w:spacing w:after="0"/>
            </w:pPr>
            <w:r>
              <w:rPr>
                <w:b w:val="0"/>
                <w:i w:val="0"/>
                <w:sz w:val="19"/>
              </w:rPr>
              <w:t>Combined PRRT with holmium SIRT in 24 matched pairs; per the roadmap, whether sequencing radioembolisation and PRRT is safe remains unknown in either direction.</w:t>
            </w:r>
          </w:p>
        </w:tc>
        <w:tc>
          <w:tcPr>
            <w:tcW w:type="dxa" w:w="3360"/>
            <w:tcW w:w="2400" w:type="dxa"/>
            <w:shd w:val="clear" w:color="auto" w:fill="FFFFFF"/>
          </w:tcPr>
          <w:p>
            <w:pPr>
              <w:spacing w:after="0"/>
            </w:pPr>
            <w:r>
              <w:rPr>
                <w:b w:val="0"/>
                <w:i w:val="0"/>
                <w:color w:val="5A6069"/>
                <w:sz w:val="18"/>
              </w:rPr>
              <w:t>What we are not sure about #19; Gate 6 · Standard 'Document somatostatin-receptor uptake…' · note</w:t>
            </w:r>
          </w:p>
        </w:tc>
      </w:tr>
    </w:tbl>
    <w:p>
      <w:pPr>
        <w:spacing w:after="40"/>
      </w:pPr>
    </w:p>
    <w:p>
      <w:pPr>
        <w:spacing w:after="80"/>
      </w:pPr>
      <w:r>
        <w:rPr>
          <w:b/>
          <w:i w:val="0"/>
        </w:rPr>
        <w:t xml:space="preserve">Where sources differ: </w:t>
      </w:r>
      <w:r>
        <w:rPr>
          <w:b w:val="0"/>
          <w:i w:val="0"/>
        </w:rPr>
        <w:t>No source has tested first-line PRRT after liver-directed therapy: NETTER-2 excluded such patients and NANETS and NANETS/SNMMI flag cumulative hepatotoxicity as unstudied or concerning.</w:t>
      </w:r>
    </w:p>
    <w:p>
      <w:pPr>
        <w:pStyle w:val="Heading3"/>
        <w:keepNext/>
        <w:spacing w:before="120" w:after="80"/>
      </w:pPr>
      <w:r>
        <w:rPr>
          <w:b w:val="0"/>
          <w:i w:val="0"/>
        </w:rPr>
        <w:t>Our proposed selection (OPEN)</w:t>
      </w:r>
    </w:p>
    <w:p>
      <w:pPr>
        <w:spacing w:after="80"/>
      </w:pPr>
      <w:r>
        <w:rPr>
          <w:b w:val="0"/>
          <w:i w:val="0"/>
        </w:rPr>
        <w:t>No explicit answer. Before every PRRT course the roadmap requires uptake above normal liver in target disease and documented renal, marrow and hepatic reserve, and reviews cumulative hepatic-directed exposure before either PRRT or radioembolisation, recording it in the registry; it notes the first-line evidence does not describe previously treated patients.</w:t>
      </w:r>
    </w:p>
    <w:p>
      <w:pPr>
        <w:spacing w:after="80"/>
      </w:pPr>
      <w:r>
        <w:rPr>
          <w:b/>
          <w:i w:val="0"/>
          <w:color w:val="5A6069"/>
          <w:sz w:val="18"/>
        </w:rPr>
        <w:t xml:space="preserve">Basis in the document: </w:t>
      </w:r>
      <w:r>
        <w:rPr>
          <w:b w:val="0"/>
          <w:i w:val="0"/>
          <w:color w:val="5A6069"/>
          <w:sz w:val="18"/>
        </w:rPr>
        <w:t>Gate 6 · Standard 'Document somatostatin-receptor uptake greater than normal liver…' and note; Operations · dashboard · Radioembolisation; What we are not sure about #12</w:t>
      </w:r>
    </w:p>
    <w:p>
      <w:pPr>
        <w:spacing w:after="80"/>
      </w:pPr>
      <w:r>
        <w:rPr>
          <w:b/>
          <w:i w:val="0"/>
        </w:rPr>
        <w:t xml:space="preserve">Why: </w:t>
      </w:r>
      <w:r>
        <w:rPr>
          <w:b w:val="0"/>
          <w:i w:val="0"/>
        </w:rPr>
        <w:t>NETTER-2 excluded any previous hepatic artery embolisation or radiofrequency ablation, and required uptake score 3 or 4 in every target lesion, so the first-line evidence does not describe this patient at all. NANETS states cumulative hepatic radiation from radioembolisation followed by PRRT is unstudied, and NANETS/SNMMI that prior liver-directed therapy raises concern for PRRT hepatotoxicity.</w:t>
      </w:r>
    </w:p>
    <w:p>
      <w:pPr>
        <w:spacing w:after="80"/>
      </w:pPr>
      <w:r>
        <w:rPr>
          <w:b/>
          <w:i w:val="0"/>
        </w:rPr>
        <w:t xml:space="preserve">What gets audited: </w:t>
      </w:r>
      <w:r>
        <w:rPr>
          <w:b w:val="0"/>
          <w:i w:val="0"/>
        </w:rPr>
        <w:t>Registry: cumulative hepatic-directed exposure before each PRRT course, with hepatic and renal function.</w:t>
      </w:r>
    </w:p>
    <w:p>
      <w:pPr>
        <w:pStyle w:val="Heading3"/>
        <w:keepNext/>
        <w:spacing w:before="120" w:after="80"/>
      </w:pPr>
      <w:r>
        <w:rPr>
          <w:b w:val="0"/>
          <w:i w:val="0"/>
        </w:rPr>
        <w:t>NELM-D10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NELM-D11 — Does the programme reproduce or restate the NCCN position against drug-eluting embolics, and on what basis?</w:t>
      </w:r>
    </w:p>
    <w:p>
      <w:pPr>
        <w:spacing w:after="80"/>
      </w:pPr>
      <w:r>
        <w:rPr>
          <w:b w:val="0"/>
          <w:i w:val="0"/>
          <w:color w:val="5A6069"/>
          <w:sz w:val="18"/>
        </w:rPr>
        <w:t>OPEN — not yet decided · Governance</w:t>
      </w:r>
    </w:p>
    <w:p>
      <w:pPr>
        <w:spacing w:after="80"/>
      </w:pPr>
      <w:r>
        <w:rPr>
          <w:b/>
          <w:i w:val="0"/>
        </w:rPr>
        <w:t xml:space="preserve">Where it is decided: </w:t>
      </w:r>
      <w:hyperlink r:id="rId9">
        <w:r>
          <w:rPr>
            <w:color w:val="0563C1"/>
            <w:u w:val="single"/>
          </w:rPr>
          <w:t xml:space="preserve">7 · Select liver-directed therapy</w:t>
        </w:r>
      </w:hyperlink>
    </w:p>
    <w:p>
      <w:pPr>
        <w:spacing w:after="120"/>
      </w:pPr>
      <w:r>
        <w:rPr>
          <w:b/>
          <w:i w:val="0"/>
          <w:sz w:val="18"/>
        </w:rPr>
        <w:t xml:space="preserve">Web page: </w:t>
      </w:r>
      <w:hyperlink r:id="rId2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NE v1.2026</w:t>
            </w:r>
          </w:p>
        </w:tc>
        <w:tc>
          <w:tcPr>
            <w:tcW w:type="dxa" w:w="3360"/>
            <w:tcW w:w="5480" w:type="dxa"/>
            <w:shd w:val="clear" w:color="auto" w:fill="F1F5F8"/>
          </w:tcPr>
          <w:p>
            <w:pPr>
              <w:spacing w:after="0"/>
            </w:pPr>
            <w:r>
              <w:rPr>
                <w:b w:val="0"/>
                <w:i w:val="0"/>
                <w:sz w:val="19"/>
              </w:rPr>
              <w:t>Advises against drug-eluting embolics in NET because they carry increased hepatobiliary toxicity in this population.</w:t>
            </w:r>
          </w:p>
        </w:tc>
        <w:tc>
          <w:tcPr>
            <w:tcW w:type="dxa" w:w="3360"/>
            <w:tcW w:w="2400" w:type="dxa"/>
            <w:shd w:val="clear" w:color="auto" w:fill="F1F5F8"/>
          </w:tcPr>
          <w:p>
            <w:pPr>
              <w:spacing w:after="0"/>
            </w:pPr>
            <w:r>
              <w:rPr>
                <w:b w:val="0"/>
                <w:i w:val="0"/>
                <w:color w:val="5A6069"/>
                <w:sz w:val="18"/>
              </w:rPr>
              <w:t>Gate 7 · Avoid 'Avoid drug-eluting embolics in NET.' · caveat</w:t>
            </w:r>
          </w:p>
        </w:tc>
      </w:tr>
      <w:tr>
        <w:trPr>
          <w:cantSplit/>
        </w:trPr>
        <w:tc>
          <w:tcPr>
            <w:tcW w:type="dxa" w:w="3360"/>
            <w:tcW w:w="2200" w:type="dxa"/>
            <w:shd w:val="clear" w:color="auto" w:fill="FFFFFF"/>
          </w:tcPr>
          <w:p>
            <w:pPr>
              <w:spacing w:after="0"/>
            </w:pPr>
            <w:r>
              <w:rPr>
                <w:b/>
                <w:i w:val="0"/>
                <w:sz w:val="19"/>
              </w:rPr>
              <w:t>DEB-TACE phase 2</w:t>
            </w:r>
          </w:p>
        </w:tc>
        <w:tc>
          <w:tcPr>
            <w:tcW w:type="dxa" w:w="3360"/>
            <w:tcW w:w="5480" w:type="dxa"/>
            <w:shd w:val="clear" w:color="auto" w:fill="FFFFFF"/>
          </w:tcPr>
          <w:p>
            <w:pPr>
              <w:spacing w:after="0"/>
            </w:pPr>
            <w:r>
              <w:rPr>
                <w:b w:val="0"/>
                <w:i w:val="0"/>
                <w:sz w:val="19"/>
              </w:rPr>
              <w:t>Stopped on its safety endpoint: biloma in 7 of 13 (54%), two deaths. Roadmap critique: interrupted interim analysis, invisible beads with a tactile endpoint, injury in lowest-burden patients, rate out of line with other series.</w:t>
            </w:r>
          </w:p>
        </w:tc>
        <w:tc>
          <w:tcPr>
            <w:tcW w:type="dxa" w:w="3360"/>
            <w:tcW w:w="2400" w:type="dxa"/>
            <w:shd w:val="clear" w:color="auto" w:fill="FFFFFF"/>
          </w:tcPr>
          <w:p>
            <w:pPr>
              <w:spacing w:after="0"/>
            </w:pPr>
            <w:r>
              <w:rPr>
                <w:b w:val="0"/>
                <w:i w:val="0"/>
                <w:color w:val="5A6069"/>
                <w:sz w:val="18"/>
              </w:rPr>
              <w:t>Gate 7 · Avoid 'Avoid drug-eluting embolics in NET.' · caveat and note</w:t>
            </w:r>
          </w:p>
        </w:tc>
      </w:tr>
      <w:tr>
        <w:trPr>
          <w:cantSplit/>
        </w:trPr>
        <w:tc>
          <w:tcPr>
            <w:tcW w:type="dxa" w:w="3360"/>
            <w:tcW w:w="2200" w:type="dxa"/>
            <w:shd w:val="clear" w:color="auto" w:fill="F1F5F8"/>
          </w:tcPr>
          <w:p>
            <w:pPr>
              <w:spacing w:after="0"/>
            </w:pPr>
            <w:r>
              <w:rPr>
                <w:b/>
                <w:i w:val="0"/>
                <w:sz w:val="19"/>
              </w:rPr>
              <w:t>ENETS 2024 small intestine</w:t>
            </w:r>
          </w:p>
        </w:tc>
        <w:tc>
          <w:tcPr>
            <w:tcW w:type="dxa" w:w="3360"/>
            <w:tcW w:w="5480" w:type="dxa"/>
            <w:shd w:val="clear" w:color="auto" w:fill="F1F5F8"/>
          </w:tcPr>
          <w:p>
            <w:pPr>
              <w:spacing w:after="0"/>
            </w:pPr>
            <w:r>
              <w:rPr>
                <w:b w:val="0"/>
                <w:i w:val="0"/>
                <w:sz w:val="19"/>
              </w:rPr>
              <w:t>Reports that RETNET’s drug-eluting-bead arm closed for increased severe complications.</w:t>
            </w:r>
          </w:p>
        </w:tc>
        <w:tc>
          <w:tcPr>
            <w:tcW w:type="dxa" w:w="3360"/>
            <w:tcW w:w="2400" w:type="dxa"/>
            <w:shd w:val="clear" w:color="auto" w:fill="F1F5F8"/>
          </w:tcPr>
          <w:p>
            <w:pPr>
              <w:spacing w:after="0"/>
            </w:pPr>
            <w:r>
              <w:rPr>
                <w:b w:val="0"/>
                <w:i w:val="0"/>
                <w:color w:val="5A6069"/>
                <w:sz w:val="18"/>
              </w:rPr>
              <w:t>Gate 7 · Avoid 'Avoid drug-eluting embolics in NET.' · note</w:t>
            </w:r>
          </w:p>
        </w:tc>
      </w:tr>
      <w:tr>
        <w:trPr>
          <w:cantSplit/>
        </w:trPr>
        <w:tc>
          <w:tcPr>
            <w:tcW w:type="dxa" w:w="3360"/>
            <w:tcW w:w="2200" w:type="dxa"/>
            <w:shd w:val="clear" w:color="auto" w:fill="FFFFFF"/>
          </w:tcPr>
          <w:p>
            <w:pPr>
              <w:spacing w:after="0"/>
            </w:pPr>
            <w:r>
              <w:rPr>
                <w:b/>
                <w:i w:val="0"/>
                <w:sz w:val="19"/>
              </w:rPr>
              <w:t>RETNET protocol</w:t>
            </w:r>
          </w:p>
        </w:tc>
        <w:tc>
          <w:tcPr>
            <w:tcW w:type="dxa" w:w="3360"/>
            <w:tcW w:w="5480" w:type="dxa"/>
            <w:shd w:val="clear" w:color="auto" w:fill="FFFFFF"/>
          </w:tcPr>
          <w:p>
            <w:pPr>
              <w:spacing w:after="0"/>
            </w:pPr>
            <w:r>
              <w:rPr>
                <w:b w:val="0"/>
                <w:i w:val="0"/>
                <w:sz w:val="19"/>
              </w:rPr>
              <w:t>Protocol paper only, with no outcome data; its power calculation assumed drug-eluting and lipiodol chemoembolisation equally safe, which the later arm closure contradicted.</w:t>
            </w:r>
          </w:p>
        </w:tc>
        <w:tc>
          <w:tcPr>
            <w:tcW w:type="dxa" w:w="3360"/>
            <w:tcW w:w="2400" w:type="dxa"/>
            <w:shd w:val="clear" w:color="auto" w:fill="FFFFFF"/>
          </w:tcPr>
          <w:p>
            <w:pPr>
              <w:spacing w:after="0"/>
            </w:pPr>
            <w:r>
              <w:rPr>
                <w:b w:val="0"/>
                <w:i w:val="0"/>
                <w:color w:val="5A6069"/>
                <w:sz w:val="18"/>
              </w:rPr>
              <w:t>What we are not sure about #15</w:t>
            </w:r>
          </w:p>
        </w:tc>
      </w:tr>
    </w:tbl>
    <w:p>
      <w:pPr>
        <w:spacing w:after="40"/>
      </w:pPr>
    </w:p>
    <w:p>
      <w:pPr>
        <w:spacing w:after="80"/>
      </w:pPr>
      <w:r>
        <w:rPr>
          <w:b/>
          <w:i w:val="0"/>
        </w:rPr>
        <w:t xml:space="preserve">Where sources differ: </w:t>
      </w:r>
      <w:r>
        <w:rPr>
          <w:b w:val="0"/>
          <w:i w:val="0"/>
        </w:rPr>
        <w:t>All sources point to avoidance, but the roadmap judges the basis thin, one 13-patient interim analysis plus an arm closure reported only in a guideline, so the position is precautionary rather than a demonstrated class effect.</w:t>
      </w:r>
    </w:p>
    <w:p>
      <w:pPr>
        <w:pStyle w:val="Heading3"/>
        <w:keepNext/>
        <w:spacing w:before="120" w:after="80"/>
      </w:pPr>
      <w:r>
        <w:rPr>
          <w:b w:val="0"/>
          <w:i w:val="0"/>
        </w:rPr>
        <w:t>Our proposed selection (OPEN)</w:t>
      </w:r>
    </w:p>
    <w:p>
      <w:pPr>
        <w:spacing w:after="80"/>
      </w:pPr>
      <w:r>
        <w:rPr>
          <w:b w:val="0"/>
          <w:i w:val="0"/>
        </w:rPr>
        <w:t>Keep the avoidance (Avoid, downgraded to grade C) and state its basis: a precautionary institutional choice, justified because the biliary harm is irreversible and two patients died, not a demonstrated class effect; use bland embolisation or conventional TACE instead. Any drug-eluting embolic use in NET is recorded as an exception with named approval.</w:t>
      </w:r>
    </w:p>
    <w:p>
      <w:pPr>
        <w:spacing w:after="80"/>
      </w:pPr>
      <w:r>
        <w:rPr>
          <w:b/>
          <w:i w:val="0"/>
          <w:color w:val="5A6069"/>
          <w:sz w:val="18"/>
        </w:rPr>
        <w:t xml:space="preserve">Basis in the document: </w:t>
      </w:r>
      <w:r>
        <w:rPr>
          <w:b w:val="0"/>
          <w:i w:val="0"/>
          <w:color w:val="5A6069"/>
          <w:sz w:val="18"/>
        </w:rPr>
        <w:t>Gate 7 · Avoid 'Avoid drug-eluting embolics in NET.' · pref and note; What we are not sure about #16; Decisions table #11 · audit</w:t>
      </w:r>
    </w:p>
    <w:p>
      <w:pPr>
        <w:spacing w:after="80"/>
      </w:pPr>
      <w:r>
        <w:rPr>
          <w:b/>
          <w:i w:val="0"/>
        </w:rPr>
        <w:t xml:space="preserve">Why: </w:t>
      </w:r>
      <w:r>
        <w:rPr>
          <w:b w:val="0"/>
          <w:i w:val="0"/>
        </w:rPr>
        <w:t>The position is kept but it is a precautionary institutional choice, not a demonstrated class effect: a 13-patient interrupted interim analysis in which bilomas fell on the lowest-burden patients, with invisible beads and a tactile endpoint, and a biliary injury rate far out of line with other drug-eluting series. The confirmatory signal is an arm closure in an ongoing trial reported in a guideline. Stating the basis matters because the harm is irreversible and two patients died.</w:t>
      </w:r>
    </w:p>
    <w:p>
      <w:pPr>
        <w:spacing w:after="80"/>
      </w:pPr>
      <w:r>
        <w:rPr>
          <w:b/>
          <w:i w:val="0"/>
        </w:rPr>
        <w:t xml:space="preserve">What gets audited: </w:t>
      </w:r>
      <w:r>
        <w:rPr>
          <w:b w:val="0"/>
          <w:i w:val="0"/>
        </w:rPr>
        <w:t>Audit: any drug-eluting embolic use in NET recorded as an exception with named approval.</w:t>
      </w:r>
    </w:p>
    <w:p>
      <w:pPr>
        <w:pStyle w:val="Heading3"/>
        <w:keepNext/>
        <w:spacing w:before="120" w:after="80"/>
      </w:pPr>
      <w:r>
        <w:rPr>
          <w:b w:val="0"/>
          <w:i w:val="0"/>
        </w:rPr>
        <w:t>NELM-D11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NELM-D12 — Who corrects the shared liver-directed-therapy matrix entry that attributes outcome figures to RETNET?</w:t>
      </w:r>
    </w:p>
    <w:p>
      <w:pPr>
        <w:spacing w:after="80"/>
      </w:pPr>
      <w:r>
        <w:rPr>
          <w:b w:val="0"/>
          <w:i w:val="0"/>
          <w:color w:val="5A6069"/>
          <w:sz w:val="18"/>
        </w:rPr>
        <w:t>OPEN — not yet decided · Governance</w:t>
      </w:r>
    </w:p>
    <w:p>
      <w:pPr>
        <w:spacing w:after="80"/>
      </w:pPr>
      <w:r>
        <w:rPr>
          <w:b/>
          <w:i w:val="0"/>
        </w:rPr>
        <w:t xml:space="preserve">Where it is decided: </w:t>
      </w:r>
      <w:hyperlink r:id="rId9">
        <w:r>
          <w:rPr>
            <w:color w:val="0563C1"/>
            <w:u w:val="single"/>
          </w:rPr>
          <w:t xml:space="preserve">7 · Select liver-directed therapy</w:t>
        </w:r>
      </w:hyperlink>
    </w:p>
    <w:p>
      <w:pPr>
        <w:spacing w:after="120"/>
      </w:pPr>
      <w:r>
        <w:rPr>
          <w:b/>
          <w:i w:val="0"/>
          <w:sz w:val="18"/>
        </w:rPr>
        <w:t xml:space="preserve">Web page: </w:t>
      </w:r>
      <w:hyperlink r:id="rId2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RETNET protocol</w:t>
            </w:r>
          </w:p>
        </w:tc>
        <w:tc>
          <w:tcPr>
            <w:tcW w:type="dxa" w:w="3360"/>
            <w:tcW w:w="5480" w:type="dxa"/>
            <w:shd w:val="clear" w:color="auto" w:fill="F1F5F8"/>
          </w:tcPr>
          <w:p>
            <w:pPr>
              <w:spacing w:after="0"/>
            </w:pPr>
            <w:r>
              <w:rPr>
                <w:b w:val="0"/>
                <w:i w:val="0"/>
                <w:sz w:val="19"/>
              </w:rPr>
              <w:t>The depot paper is the published study protocol and reports no response, progression-free survival or survival data, so any outcome figure attributed to it is unsourced.</w:t>
            </w:r>
          </w:p>
        </w:tc>
        <w:tc>
          <w:tcPr>
            <w:tcW w:type="dxa" w:w="3360"/>
            <w:tcW w:w="2400" w:type="dxa"/>
            <w:shd w:val="clear" w:color="auto" w:fill="F1F5F8"/>
          </w:tcPr>
          <w:p>
            <w:pPr>
              <w:spacing w:after="0"/>
            </w:pPr>
            <w:r>
              <w:rPr>
                <w:b w:val="0"/>
                <w:i w:val="0"/>
                <w:color w:val="5A6069"/>
                <w:sz w:val="18"/>
              </w:rPr>
              <w:t>What we are not sure about #15; Gate 7 · flag note</w:t>
            </w:r>
          </w:p>
        </w:tc>
      </w:tr>
      <w:tr>
        <w:trPr>
          <w:cantSplit/>
        </w:trPr>
        <w:tc>
          <w:tcPr>
            <w:tcW w:type="dxa" w:w="3360"/>
            <w:tcW w:w="2200" w:type="dxa"/>
            <w:shd w:val="clear" w:color="auto" w:fill="FFFFFF"/>
          </w:tcPr>
          <w:p>
            <w:pPr>
              <w:spacing w:after="0"/>
            </w:pPr>
            <w:r>
              <w:rPr>
                <w:b/>
                <w:i w:val="0"/>
                <w:sz w:val="19"/>
              </w:rPr>
              <w:t>ENETS 2024 small intestine</w:t>
            </w:r>
          </w:p>
        </w:tc>
        <w:tc>
          <w:tcPr>
            <w:tcW w:type="dxa" w:w="3360"/>
            <w:tcW w:w="5480" w:type="dxa"/>
            <w:shd w:val="clear" w:color="auto" w:fill="FFFFFF"/>
          </w:tcPr>
          <w:p>
            <w:pPr>
              <w:spacing w:after="0"/>
            </w:pPr>
            <w:r>
              <w:rPr>
                <w:b w:val="0"/>
                <w:i w:val="0"/>
                <w:sz w:val="19"/>
              </w:rPr>
              <w:t>Is where the closure of RETNET’s drug-eluting-bead arm is reported, the trial’s only practice-changing result so far.</w:t>
            </w:r>
          </w:p>
        </w:tc>
        <w:tc>
          <w:tcPr>
            <w:tcW w:type="dxa" w:w="3360"/>
            <w:tcW w:w="2400" w:type="dxa"/>
            <w:shd w:val="clear" w:color="auto" w:fill="FFFFFF"/>
          </w:tcPr>
          <w:p>
            <w:pPr>
              <w:spacing w:after="0"/>
            </w:pPr>
            <w:r>
              <w:rPr>
                <w:b w:val="0"/>
                <w:i w:val="0"/>
                <w:color w:val="5A6069"/>
                <w:sz w:val="18"/>
              </w:rPr>
              <w:t>What we are not sure about #15; Gate 7 · Avoid 'Avoid drug-eluting embolics in NET.' · note</w:t>
            </w:r>
          </w:p>
        </w:tc>
      </w:tr>
    </w:tbl>
    <w:p>
      <w:pPr>
        <w:spacing w:after="40"/>
      </w:pPr>
    </w:p>
    <w:p>
      <w:pPr>
        <w:spacing w:after="80"/>
      </w:pPr>
      <w:r>
        <w:rPr>
          <w:b/>
          <w:i w:val="0"/>
        </w:rPr>
        <w:t xml:space="preserve">Where sources differ: </w:t>
      </w:r>
      <w:r>
        <w:rPr>
          <w:b w:val="0"/>
          <w:i w:val="0"/>
        </w:rPr>
        <w:t>No source disagreement: the shared matrix cites outcome figures the RETNET paper does not contain, and who corrects it is a programme decision.</w:t>
      </w:r>
    </w:p>
    <w:p>
      <w:pPr>
        <w:pStyle w:val="Heading3"/>
        <w:keepNext/>
        <w:spacing w:before="120" w:after="80"/>
      </w:pPr>
      <w:r>
        <w:rPr>
          <w:b w:val="0"/>
          <w:i w:val="0"/>
        </w:rPr>
        <w:t>Our proposed selection (OPEN)</w:t>
      </w:r>
    </w:p>
    <w:p>
      <w:pPr>
        <w:spacing w:after="80"/>
      </w:pPr>
      <w:r>
        <w:rPr>
          <w:b w:val="0"/>
          <w:i w:val="0"/>
        </w:rPr>
        <w:t>No efficacy figure on the NELM page is attributed to RETNET. The shared matrix entry should be corrected at its source and the other pathways checked for the same entry, with a named owner reconciling matrix entries against the depot abstracts each cycle; the owner is not yet named.</w:t>
      </w:r>
    </w:p>
    <w:p>
      <w:pPr>
        <w:spacing w:after="80"/>
      </w:pPr>
      <w:r>
        <w:rPr>
          <w:b/>
          <w:i w:val="0"/>
          <w:color w:val="5A6069"/>
          <w:sz w:val="18"/>
        </w:rPr>
        <w:t xml:space="preserve">Basis in the document: </w:t>
      </w:r>
      <w:r>
        <w:rPr>
          <w:b w:val="0"/>
          <w:i w:val="0"/>
          <w:color w:val="5A6069"/>
          <w:sz w:val="18"/>
        </w:rPr>
        <w:t>Gate 7 · flag note; What we are not sure about #15; Decisions table #12 · why and audit</w:t>
      </w:r>
    </w:p>
    <w:p>
      <w:pPr>
        <w:spacing w:after="80"/>
      </w:pPr>
      <w:r>
        <w:rPr>
          <w:b/>
          <w:i w:val="0"/>
        </w:rPr>
        <w:t xml:space="preserve">Why: </w:t>
      </w:r>
      <w:r>
        <w:rPr>
          <w:b w:val="0"/>
          <w:i w:val="0"/>
        </w:rPr>
        <w:t>The RETNET paper is a published protocol with no outcome data of any kind, so any response, progression-free survival or survival figure attributed to it is unsourced. The matrix is shared across pathways, so the correction has to be made at its source and the other pathways checked for the same entry.</w:t>
      </w:r>
    </w:p>
    <w:p>
      <w:pPr>
        <w:spacing w:after="80"/>
      </w:pPr>
      <w:r>
        <w:rPr>
          <w:b/>
          <w:i w:val="0"/>
        </w:rPr>
        <w:t xml:space="preserve">What gets audited: </w:t>
      </w:r>
      <w:r>
        <w:rPr>
          <w:b w:val="0"/>
          <w:i w:val="0"/>
        </w:rPr>
        <w:t>Source-recency check: matrix entries reconciled against the depot abstracts by a named owner each cycle.</w:t>
      </w:r>
    </w:p>
    <w:p>
      <w:pPr>
        <w:pStyle w:val="Heading3"/>
        <w:keepNext/>
        <w:spacing w:before="120" w:after="80"/>
      </w:pPr>
      <w:r>
        <w:rPr>
          <w:b w:val="0"/>
          <w:i w:val="0"/>
        </w:rPr>
        <w:t>NELM-D12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NELM-D13 — Which surveillance interval does the programme adopt for observed low-burden disease, and is observation documented as an equal alternative to an immediate analogue?</w:t>
      </w:r>
    </w:p>
    <w:p>
      <w:pPr>
        <w:spacing w:after="80"/>
      </w:pPr>
      <w:r>
        <w:rPr>
          <w:b w:val="0"/>
          <w:i w:val="0"/>
          <w:color w:val="5A6069"/>
          <w:sz w:val="18"/>
        </w:rPr>
        <w:t>OPEN — not yet decided · Clinical</w:t>
      </w:r>
    </w:p>
    <w:p>
      <w:pPr>
        <w:spacing w:after="80"/>
      </w:pPr>
      <w:r>
        <w:rPr>
          <w:b/>
          <w:i w:val="0"/>
        </w:rPr>
        <w:t xml:space="preserve">Where it is decided: </w:t>
      </w:r>
      <w:hyperlink r:id="rId17">
        <w:r>
          <w:rPr>
            <w:color w:val="0563C1"/>
            <w:u w:val="single"/>
          </w:rPr>
          <w:t xml:space="preserve">2 · Low-volume G1–G2 disease</w:t>
        </w:r>
      </w:hyperlink>
    </w:p>
    <w:p>
      <w:pPr>
        <w:spacing w:after="120"/>
      </w:pPr>
      <w:r>
        <w:rPr>
          <w:b/>
          <w:i w:val="0"/>
          <w:sz w:val="18"/>
        </w:rPr>
        <w:t xml:space="preserve">Web page: </w:t>
      </w:r>
      <w:hyperlink r:id="rId3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NE v1.2026</w:t>
            </w:r>
          </w:p>
        </w:tc>
        <w:tc>
          <w:tcPr>
            <w:tcW w:type="dxa" w:w="3360"/>
            <w:tcW w:w="5480" w:type="dxa"/>
            <w:shd w:val="clear" w:color="auto" w:fill="F1F5F8"/>
          </w:tcPr>
          <w:p>
            <w:pPr>
              <w:spacing w:after="0"/>
            </w:pPr>
            <w:r>
              <w:rPr>
                <w:b w:val="0"/>
                <w:i w:val="0"/>
                <w:sz w:val="19"/>
              </w:rPr>
              <w:t>Observation with serial imaging is an option at low tumour burden, with imaging every 12 weeks to 12 months.</w:t>
            </w:r>
          </w:p>
        </w:tc>
        <w:tc>
          <w:tcPr>
            <w:tcW w:type="dxa" w:w="3360"/>
            <w:tcW w:w="2400" w:type="dxa"/>
            <w:shd w:val="clear" w:color="auto" w:fill="F1F5F8"/>
          </w:tcPr>
          <w:p>
            <w:pPr>
              <w:spacing w:after="0"/>
            </w:pPr>
            <w:r>
              <w:rPr>
                <w:b w:val="0"/>
                <w:i w:val="0"/>
                <w:color w:val="5A6069"/>
                <w:sz w:val="18"/>
              </w:rPr>
              <w:t>Gate 2 · Reasonable option 'Observation with scheduled imaging' · when and caveat</w:t>
            </w:r>
          </w:p>
        </w:tc>
      </w:tr>
      <w:tr>
        <w:trPr>
          <w:cantSplit/>
        </w:trPr>
        <w:tc>
          <w:tcPr>
            <w:tcW w:type="dxa" w:w="3360"/>
            <w:tcW w:w="2200" w:type="dxa"/>
            <w:shd w:val="clear" w:color="auto" w:fill="FFFFFF"/>
          </w:tcPr>
          <w:p>
            <w:pPr>
              <w:spacing w:after="0"/>
            </w:pPr>
            <w:r>
              <w:rPr>
                <w:b/>
                <w:i w:val="0"/>
                <w:sz w:val="19"/>
              </w:rPr>
              <w:t>ASCO 2023 systemic</w:t>
            </w:r>
          </w:p>
        </w:tc>
        <w:tc>
          <w:tcPr>
            <w:tcW w:type="dxa" w:w="3360"/>
            <w:tcW w:w="5480" w:type="dxa"/>
            <w:shd w:val="clear" w:color="auto" w:fill="FFFFFF"/>
          </w:tcPr>
          <w:p>
            <w:pPr>
              <w:spacing w:after="0"/>
            </w:pPr>
            <w:r>
              <w:rPr>
                <w:b w:val="0"/>
                <w:i w:val="0"/>
                <w:sz w:val="19"/>
              </w:rPr>
              <w:t>Suggests imaging every 3 to 6 months and places the observation evidence strongest at Ki-67 under 10%.</w:t>
            </w:r>
          </w:p>
        </w:tc>
        <w:tc>
          <w:tcPr>
            <w:tcW w:type="dxa" w:w="3360"/>
            <w:tcW w:w="2400" w:type="dxa"/>
            <w:shd w:val="clear" w:color="auto" w:fill="FFFFFF"/>
          </w:tcPr>
          <w:p>
            <w:pPr>
              <w:spacing w:after="0"/>
            </w:pPr>
            <w:r>
              <w:rPr>
                <w:b w:val="0"/>
                <w:i w:val="0"/>
                <w:color w:val="5A6069"/>
                <w:sz w:val="18"/>
              </w:rPr>
              <w:t>Gate 2 · Reasonable option 'Observation with scheduled imaging' · when; What we are not sure about #30</w:t>
            </w:r>
          </w:p>
        </w:tc>
      </w:tr>
      <w:tr>
        <w:trPr>
          <w:cantSplit/>
        </w:trPr>
        <w:tc>
          <w:tcPr>
            <w:tcW w:type="dxa" w:w="3360"/>
            <w:tcW w:w="2200" w:type="dxa"/>
            <w:shd w:val="clear" w:color="auto" w:fill="F1F5F8"/>
          </w:tcPr>
          <w:p>
            <w:pPr>
              <w:spacing w:after="0"/>
            </w:pPr>
            <w:r>
              <w:rPr>
                <w:b/>
                <w:i w:val="0"/>
                <w:sz w:val="19"/>
              </w:rPr>
              <w:t>NANETS 2017 medical</w:t>
            </w:r>
          </w:p>
        </w:tc>
        <w:tc>
          <w:tcPr>
            <w:tcW w:type="dxa" w:w="3360"/>
            <w:tcW w:w="5480" w:type="dxa"/>
            <w:shd w:val="clear" w:color="auto" w:fill="F1F5F8"/>
          </w:tcPr>
          <w:p>
            <w:pPr>
              <w:spacing w:after="0"/>
            </w:pPr>
            <w:r>
              <w:rPr>
                <w:b w:val="0"/>
                <w:i w:val="0"/>
                <w:sz w:val="19"/>
              </w:rPr>
              <w:t>Suggests 3 to 4 months if observing; the midgut panel split about evenly between analogue and observation and accepted either, which the roadmap reads as absent consensus rather than endorsement.</w:t>
            </w:r>
          </w:p>
        </w:tc>
        <w:tc>
          <w:tcPr>
            <w:tcW w:type="dxa" w:w="3360"/>
            <w:tcW w:w="2400" w:type="dxa"/>
            <w:shd w:val="clear" w:color="auto" w:fill="F1F5F8"/>
          </w:tcPr>
          <w:p>
            <w:pPr>
              <w:spacing w:after="0"/>
            </w:pPr>
            <w:r>
              <w:rPr>
                <w:b w:val="0"/>
                <w:i w:val="0"/>
                <w:color w:val="5A6069"/>
                <w:sz w:val="18"/>
              </w:rPr>
              <w:t>What we are not sure about #30; Decisions table #13 · why</w:t>
            </w:r>
          </w:p>
        </w:tc>
      </w:tr>
      <w:tr>
        <w:trPr>
          <w:cantSplit/>
        </w:trPr>
        <w:tc>
          <w:tcPr>
            <w:tcW w:type="dxa" w:w="3360"/>
            <w:tcW w:w="2200" w:type="dxa"/>
            <w:shd w:val="clear" w:color="auto" w:fill="FFFFFF"/>
          </w:tcPr>
          <w:p>
            <w:pPr>
              <w:spacing w:after="0"/>
            </w:pPr>
            <w:r>
              <w:rPr>
                <w:b/>
                <w:i w:val="0"/>
                <w:sz w:val="19"/>
              </w:rPr>
              <w:t>ENETS 2024 small intestine</w:t>
            </w:r>
          </w:p>
        </w:tc>
        <w:tc>
          <w:tcPr>
            <w:tcW w:type="dxa" w:w="3360"/>
            <w:tcW w:w="5480" w:type="dxa"/>
            <w:shd w:val="clear" w:color="auto" w:fill="FFFFFF"/>
          </w:tcPr>
          <w:p>
            <w:pPr>
              <w:spacing w:after="0"/>
            </w:pPr>
            <w:r>
              <w:rPr>
                <w:b w:val="0"/>
                <w:i w:val="0"/>
                <w:sz w:val="19"/>
              </w:rPr>
              <w:t>Limits watch and wait to selected small-intestine NET that are G1, asymptomatic, low-burden and/or stable (B-2b).</w:t>
            </w:r>
          </w:p>
        </w:tc>
        <w:tc>
          <w:tcPr>
            <w:tcW w:type="dxa" w:w="3360"/>
            <w:tcW w:w="2400" w:type="dxa"/>
            <w:shd w:val="clear" w:color="auto" w:fill="FFFFFF"/>
          </w:tcPr>
          <w:p>
            <w:pPr>
              <w:spacing w:after="0"/>
            </w:pPr>
            <w:r>
              <w:rPr>
                <w:b w:val="0"/>
                <w:i w:val="0"/>
                <w:color w:val="5A6069"/>
                <w:sz w:val="18"/>
              </w:rPr>
              <w:t>Gate 2 · Reasonable option 'Observation with scheduled imaging' · when</w:t>
            </w:r>
          </w:p>
        </w:tc>
      </w:tr>
      <w:tr>
        <w:trPr>
          <w:cantSplit/>
        </w:trPr>
        <w:tc>
          <w:tcPr>
            <w:tcW w:type="dxa" w:w="3360"/>
            <w:tcW w:w="2200" w:type="dxa"/>
            <w:shd w:val="clear" w:color="auto" w:fill="F1F5F8"/>
          </w:tcPr>
          <w:p>
            <w:pPr>
              <w:spacing w:after="0"/>
            </w:pPr>
            <w:r>
              <w:rPr>
                <w:b/>
                <w:i w:val="0"/>
                <w:sz w:val="19"/>
              </w:rPr>
              <w:t>ESMO 2020 GEP-NEN</w:t>
            </w:r>
          </w:p>
        </w:tc>
        <w:tc>
          <w:tcPr>
            <w:tcW w:type="dxa" w:w="3360"/>
            <w:tcW w:w="5480" w:type="dxa"/>
            <w:shd w:val="clear" w:color="auto" w:fill="F1F5F8"/>
          </w:tcPr>
          <w:p>
            <w:pPr>
              <w:spacing w:after="0"/>
            </w:pPr>
            <w:r>
              <w:rPr>
                <w:b w:val="0"/>
                <w:i w:val="0"/>
                <w:sz w:val="19"/>
              </w:rPr>
              <w:t>Restricts watch and wait to Ki-67 under 2% with low burden and stable disease [IV, A].</w:t>
            </w:r>
          </w:p>
        </w:tc>
        <w:tc>
          <w:tcPr>
            <w:tcW w:type="dxa" w:w="3360"/>
            <w:tcW w:w="2400" w:type="dxa"/>
            <w:shd w:val="clear" w:color="auto" w:fill="F1F5F8"/>
          </w:tcPr>
          <w:p>
            <w:pPr>
              <w:spacing w:after="0"/>
            </w:pPr>
            <w:r>
              <w:rPr>
                <w:b w:val="0"/>
                <w:i w:val="0"/>
                <w:color w:val="5A6069"/>
                <w:sz w:val="18"/>
              </w:rPr>
              <w:t>Gate 2 · Reasonable option 'Observation with scheduled imaging' · when</w:t>
            </w:r>
          </w:p>
        </w:tc>
      </w:tr>
    </w:tbl>
    <w:p>
      <w:pPr>
        <w:spacing w:after="40"/>
      </w:pPr>
    </w:p>
    <w:p>
      <w:pPr>
        <w:spacing w:after="80"/>
      </w:pPr>
      <w:r>
        <w:rPr>
          <w:b/>
          <w:i w:val="0"/>
        </w:rPr>
        <w:t xml:space="preserve">Where sources differ: </w:t>
      </w:r>
      <w:r>
        <w:rPr>
          <w:b w:val="0"/>
          <w:i w:val="0"/>
        </w:rPr>
        <w:t>No trial compares intervals, and the published intervals (12 weeks–12 months, 3–6 months, 3–4 months) and eligibility limits (selected G1, Ki-67 under 2% or under 10%) disagree, with none derived.</w:t>
      </w:r>
    </w:p>
    <w:p>
      <w:pPr>
        <w:pStyle w:val="Heading3"/>
        <w:keepNext/>
        <w:spacing w:before="120" w:after="80"/>
      </w:pPr>
      <w:r>
        <w:rPr>
          <w:b w:val="0"/>
          <w:i w:val="0"/>
        </w:rPr>
        <w:t>Our proposed selection (OPEN)</w:t>
      </w:r>
    </w:p>
    <w:p>
      <w:pPr>
        <w:spacing w:after="80"/>
      </w:pPr>
      <w:r>
        <w:rPr>
          <w:b w:val="0"/>
          <w:i w:val="0"/>
        </w:rPr>
        <w:t>Observation is a Reasonable alternative (grade B) for asymptomatic, low-volume, radiologically stable disease: imaging every 3 to 4 months at first, about every 6 months once stable, treating on progression or symptoms. The interval is a local choice within the NCCN range; whether observation is a documented equal alternative and grade B fits is alignment area 3.</w:t>
      </w:r>
    </w:p>
    <w:p>
      <w:pPr>
        <w:spacing w:after="80"/>
      </w:pPr>
      <w:r>
        <w:rPr>
          <w:b/>
          <w:i w:val="0"/>
          <w:color w:val="5A6069"/>
          <w:sz w:val="18"/>
        </w:rPr>
        <w:t xml:space="preserve">Basis in the document: </w:t>
      </w:r>
      <w:r>
        <w:rPr>
          <w:b w:val="0"/>
          <w:i w:val="0"/>
          <w:color w:val="5A6069"/>
          <w:sz w:val="18"/>
        </w:rPr>
        <w:t>Gate 2 · Reasonable option 'Observation with scheduled imaging' · pref, caveat and flag note; What we are not sure about #30</w:t>
      </w:r>
    </w:p>
    <w:p>
      <w:pPr>
        <w:spacing w:after="80"/>
      </w:pPr>
      <w:r>
        <w:rPr>
          <w:b/>
          <w:i w:val="0"/>
        </w:rPr>
        <w:t xml:space="preserve">Why: </w:t>
      </w:r>
      <w:r>
        <w:rPr>
          <w:b w:val="0"/>
          <w:i w:val="0"/>
        </w:rPr>
        <w:t>No trial compares intervals. NCCN allows every 12 weeks to 12 months, ASCO suggests 3 to 6 months, NANETS suggests 3 to 4 months while splitting evenly on whether to observe at all, ENETS restricts watch and wait to selected G1 and ESMO to Ki-67 under 2%. The roadmap's 3-to-4-month choice is local, and alignment area 3 asks whether observation is a documented alternative and whether grade B fits it.</w:t>
      </w:r>
    </w:p>
    <w:p>
      <w:pPr>
        <w:spacing w:after="80"/>
      </w:pPr>
      <w:r>
        <w:rPr>
          <w:b/>
          <w:i w:val="0"/>
        </w:rPr>
        <w:t xml:space="preserve">What gets audited: </w:t>
      </w:r>
      <w:r>
        <w:rPr>
          <w:b w:val="0"/>
          <w:i w:val="0"/>
        </w:rPr>
        <w:t>Audit: documented interval and the alternative considered on every observed patient; progression at first scan after a missed interval.</w:t>
      </w:r>
    </w:p>
    <w:p>
      <w:pPr>
        <w:pStyle w:val="Heading3"/>
        <w:keepNext/>
        <w:spacing w:before="120" w:after="80"/>
      </w:pPr>
      <w:r>
        <w:rPr>
          <w:b w:val="0"/>
          <w:i w:val="0"/>
        </w:rPr>
        <w:t>NELM-D13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NELM-D14 — Who confirms the OPTN imaging-timing wording with the review board before the first NELM filing?</w:t>
      </w:r>
    </w:p>
    <w:p>
      <w:pPr>
        <w:spacing w:after="80"/>
      </w:pPr>
      <w:r>
        <w:rPr>
          <w:b w:val="0"/>
          <w:i w:val="0"/>
          <w:color w:val="5A6069"/>
          <w:sz w:val="18"/>
        </w:rPr>
        <w:t>OPEN — not yet decided · Governance</w:t>
      </w:r>
    </w:p>
    <w:p>
      <w:pPr>
        <w:spacing w:after="80"/>
      </w:pPr>
      <w:r>
        <w:rPr>
          <w:b/>
          <w:i w:val="0"/>
        </w:rPr>
        <w:t xml:space="preserve">Where it is decided: </w:t>
      </w:r>
      <w:hyperlink r:id="rId19">
        <w:r>
          <w:rPr>
            <w:color w:val="0563C1"/>
            <w:u w:val="single"/>
          </w:rPr>
          <w:t xml:space="preserve">9 · Assess transplant eligibility</w:t>
        </w:r>
      </w:hyperlink>
    </w:p>
    <w:p>
      <w:pPr>
        <w:spacing w:after="120"/>
      </w:pPr>
      <w:r>
        <w:rPr>
          <w:b/>
          <w:i w:val="0"/>
          <w:sz w:val="18"/>
        </w:rPr>
        <w:t xml:space="preserve">Web page: </w:t>
      </w:r>
      <w:hyperlink r:id="rId3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NLRB guidance 2025</w:t>
            </w:r>
          </w:p>
        </w:tc>
        <w:tc>
          <w:tcPr>
            <w:tcW w:type="dxa" w:w="3360"/>
            <w:tcW w:w="5480" w:type="dxa"/>
            <w:shd w:val="clear" w:color="auto" w:fill="F1F5F8"/>
          </w:tcPr>
          <w:p>
            <w:pPr>
              <w:spacing w:after="0"/>
            </w:pPr>
            <w:r>
              <w:rPr>
                <w:b w:val="0"/>
                <w:i w:val="0"/>
                <w:sz w:val="19"/>
              </w:rPr>
              <w:t>Requires extrahepatic workup, including receptor scintigraphy or Ga-68 imaging or PET, at least 3 months before the initial or extension request; read literally, a floor on the imaging’s age.</w:t>
            </w:r>
          </w:p>
        </w:tc>
        <w:tc>
          <w:tcPr>
            <w:tcW w:type="dxa" w:w="3360"/>
            <w:tcW w:w="2400" w:type="dxa"/>
            <w:shd w:val="clear" w:color="auto" w:fill="F1F5F8"/>
          </w:tcPr>
          <w:p>
            <w:pPr>
              <w:spacing w:after="0"/>
            </w:pPr>
            <w:r>
              <w:rPr>
                <w:b w:val="0"/>
                <w:i w:val="0"/>
                <w:color w:val="5A6069"/>
                <w:sz w:val="18"/>
              </w:rPr>
              <w:t>Gate 9 · Standard 'Maintain the allocation record and assign responsibility for renewals from the start…' · caveat; What we are not sure about #25</w:t>
            </w:r>
          </w:p>
        </w:tc>
      </w:tr>
      <w:tr>
        <w:trPr>
          <w:cantSplit/>
        </w:trPr>
        <w:tc>
          <w:tcPr>
            <w:tcW w:type="dxa" w:w="3360"/>
            <w:tcW w:w="2200" w:type="dxa"/>
            <w:shd w:val="clear" w:color="auto" w:fill="FFFFFF"/>
          </w:tcPr>
          <w:p>
            <w:pPr>
              <w:spacing w:after="0"/>
            </w:pPr>
            <w:r>
              <w:rPr>
                <w:b/>
                <w:i w:val="0"/>
                <w:sz w:val="19"/>
              </w:rPr>
              <w:t>Milan-NET transplant</w:t>
            </w:r>
          </w:p>
        </w:tc>
        <w:tc>
          <w:tcPr>
            <w:tcW w:type="dxa" w:w="3360"/>
            <w:tcW w:w="5480" w:type="dxa"/>
            <w:shd w:val="clear" w:color="auto" w:fill="FFFFFF"/>
          </w:tcPr>
          <w:p>
            <w:pPr>
              <w:spacing w:after="0"/>
            </w:pPr>
            <w:r>
              <w:rPr>
                <w:b w:val="0"/>
                <w:i w:val="0"/>
                <w:sz w:val="19"/>
              </w:rPr>
              <w:t>Requires restaging at six months, by total-body CT or MRI with octreoscan or Ga-68 PET, to show no extrahepatic spread.</w:t>
            </w:r>
          </w:p>
        </w:tc>
        <w:tc>
          <w:tcPr>
            <w:tcW w:type="dxa" w:w="3360"/>
            <w:tcW w:w="2400" w:type="dxa"/>
            <w:shd w:val="clear" w:color="auto" w:fill="FFFFFF"/>
          </w:tcPr>
          <w:p>
            <w:pPr>
              <w:spacing w:after="0"/>
            </w:pPr>
            <w:r>
              <w:rPr>
                <w:b w:val="0"/>
                <w:i w:val="0"/>
                <w:color w:val="5A6069"/>
                <w:sz w:val="18"/>
              </w:rPr>
              <w:t>Quick reference 'Milan-NET transplant criteria' · row 'No extrahepatic spread at six-month restaging…'</w:t>
            </w:r>
          </w:p>
        </w:tc>
      </w:tr>
    </w:tbl>
    <w:p>
      <w:pPr>
        <w:spacing w:after="40"/>
      </w:pPr>
    </w:p>
    <w:p>
      <w:pPr>
        <w:spacing w:after="80"/>
      </w:pPr>
      <w:r>
        <w:rPr>
          <w:b/>
          <w:i w:val="0"/>
        </w:rPr>
        <w:t xml:space="preserve">Where sources differ: </w:t>
      </w:r>
      <w:r>
        <w:rPr>
          <w:b w:val="0"/>
          <w:i w:val="0"/>
        </w:rPr>
        <w:t>Read literally, the OPTN wording sets a minimum age for the imaging, whereas clinicians assume a recency requirement, and the intended meaning has not been confirmed with the review board.</w:t>
      </w:r>
    </w:p>
    <w:p>
      <w:pPr>
        <w:pStyle w:val="Heading3"/>
        <w:keepNext/>
        <w:spacing w:before="120" w:after="80"/>
      </w:pPr>
      <w:r>
        <w:rPr>
          <w:b w:val="0"/>
          <w:i w:val="0"/>
        </w:rPr>
        <w:t>Our proposed selection (OPEN)</w:t>
      </w:r>
    </w:p>
    <w:p>
      <w:pPr>
        <w:spacing w:after="80"/>
      </w:pPr>
      <w:r>
        <w:rPr>
          <w:b w:val="0"/>
          <w:i w:val="0"/>
        </w:rPr>
        <w:t>The page reproduces the OPTN wording unchanged rather than rewriting it as within three months, keeps current clinical staging, and confirms the intended timing with the review process before filing. The allocation record logs imaging and submit dates with named coordinator and physician sign-off; who confirms the wording is not yet named.</w:t>
      </w:r>
    </w:p>
    <w:p>
      <w:pPr>
        <w:spacing w:after="80"/>
      </w:pPr>
      <w:r>
        <w:rPr>
          <w:b/>
          <w:i w:val="0"/>
          <w:color w:val="5A6069"/>
          <w:sz w:val="18"/>
        </w:rPr>
        <w:t xml:space="preserve">Basis in the document: </w:t>
      </w:r>
      <w:r>
        <w:rPr>
          <w:b w:val="0"/>
          <w:i w:val="0"/>
          <w:color w:val="5A6069"/>
          <w:sz w:val="18"/>
        </w:rPr>
        <w:t>Gate 9 · Standard 'Maintain the allocation record and assign responsibility for renewals from the start…' · pref and caveat; What we are not sure about #25; Decisions table #14 · audit</w:t>
      </w:r>
    </w:p>
    <w:p>
      <w:pPr>
        <w:spacing w:after="80"/>
      </w:pPr>
      <w:r>
        <w:rPr>
          <w:b/>
          <w:i w:val="0"/>
        </w:rPr>
        <w:t xml:space="preserve">Why: </w:t>
      </w:r>
      <w:r>
        <w:rPr>
          <w:b w:val="0"/>
          <w:i w:val="0"/>
        </w:rPr>
        <w:t>The guidance requires extrahepatic workup 'at least 3 months prior to initial or extension request (submit date)', which read literally sets a minimum age for the imaging rather than the recency requirement a clinician assumes. The page reproduces the wording unchanged rather than correcting it; somebody has to resolve the intent before a listing depends on it.</w:t>
      </w:r>
    </w:p>
    <w:p>
      <w:pPr>
        <w:spacing w:after="80"/>
      </w:pPr>
      <w:r>
        <w:rPr>
          <w:b/>
          <w:i w:val="0"/>
        </w:rPr>
        <w:t xml:space="preserve">What gets audited: </w:t>
      </w:r>
      <w:r>
        <w:rPr>
          <w:b w:val="0"/>
          <w:i w:val="0"/>
        </w:rPr>
        <w:t>Allocation record: imaging dates against submit dates for every request and extension, with the named coordinator's sign-off.</w:t>
      </w:r>
    </w:p>
    <w:p>
      <w:pPr>
        <w:pStyle w:val="Heading3"/>
        <w:keepNext/>
        <w:spacing w:before="120" w:after="80"/>
      </w:pPr>
      <w:r>
        <w:rPr>
          <w:b w:val="0"/>
          <w:i w:val="0"/>
        </w:rPr>
        <w:t>NELM-D14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Sources</w:t>
      </w:r>
    </w:p>
    <w:p>
      <w:pPr>
        <w:spacing w:after="60"/>
      </w:pPr>
      <w:r>
        <w:rPr>
          <w:b/>
          <w:i w:val="0"/>
          <w:sz w:val="19"/>
        </w:rPr>
        <w:t>ASCO 2023 systemic</w:t>
      </w:r>
      <w:r>
        <w:rPr>
          <w:b w:val="0"/>
          <w:i w:val="0"/>
          <w:sz w:val="19"/>
        </w:rPr>
        <w:t xml:space="preserve"> — Del Rivero J, Perez K, Kennedy EB, et al. Systemic therapy for tumor control in metastatic well-differentiated gastroenteropancreatic neuroendocrine tumors: ASCO guideline. J Clin Oncol. 2023;41(32):5049-5067.</w:t>
      </w:r>
      <w:r>
        <w:rPr>
          <w:b w:val="0"/>
          <w:i w:val="0"/>
          <w:sz w:val="19"/>
        </w:rPr>
        <w:t xml:space="preserve">  </w:t>
      </w:r>
      <w:hyperlink r:id="rId32">
        <w:r>
          <w:rPr>
            <w:color w:val="0563C1"/>
            <w:u w:val="single"/>
            <w:sz w:val="19"/>
          </w:rPr>
          <w:t xml:space="preserve">PubMed</w:t>
        </w:r>
      </w:hyperlink>
    </w:p>
    <w:p>
      <w:pPr>
        <w:spacing w:after="60"/>
      </w:pPr>
      <w:r>
        <w:rPr>
          <w:b/>
          <w:i w:val="0"/>
          <w:sz w:val="19"/>
        </w:rPr>
        <w:t>Carcinoid crisis in PRRT</w:t>
      </w:r>
      <w:r>
        <w:rPr>
          <w:b w:val="0"/>
          <w:i w:val="0"/>
          <w:sz w:val="19"/>
        </w:rPr>
        <w:t xml:space="preserve"> — Sozio SJ, Raynor W, Becker MC, et al. Carcinoid crisis in Lutetium-177-Dotatate therapy of neuroendocrine tumors: an overview of pathophysiology, risk factors, recognition, and treatment. EJNMMI Rep. 2024;8(1):29.</w:t>
      </w:r>
      <w:r>
        <w:rPr>
          <w:b w:val="0"/>
          <w:i w:val="0"/>
          <w:sz w:val="19"/>
        </w:rPr>
        <w:t xml:space="preserve">  </w:t>
      </w:r>
      <w:hyperlink r:id="rId33">
        <w:r>
          <w:rPr>
            <w:color w:val="0563C1"/>
            <w:u w:val="single"/>
            <w:sz w:val="19"/>
          </w:rPr>
          <w:t xml:space="preserve">PubMed</w:t>
        </w:r>
      </w:hyperlink>
    </w:p>
    <w:p>
      <w:pPr>
        <w:spacing w:after="60"/>
      </w:pPr>
      <w:r>
        <w:rPr>
          <w:b/>
          <w:i w:val="0"/>
          <w:sz w:val="19"/>
        </w:rPr>
        <w:t>Chan 2018 · cytoreduction with EHD</w:t>
      </w:r>
      <w:r>
        <w:rPr>
          <w:b w:val="0"/>
          <w:i w:val="0"/>
          <w:sz w:val="19"/>
        </w:rPr>
        <w:t xml:space="preserve">  </w:t>
      </w:r>
      <w:hyperlink r:id="rId34">
        <w:r>
          <w:rPr>
            <w:color w:val="0563C1"/>
            <w:u w:val="single"/>
            <w:sz w:val="19"/>
          </w:rPr>
          <w:t xml:space="preserve">PubMed</w:t>
        </w:r>
      </w:hyperlink>
      <w:r>
        <w:rPr>
          <w:b w:val="0"/>
          <w:i w:val="0"/>
          <w:sz w:val="19"/>
        </w:rPr>
        <w:t xml:space="preserve"> · </w:t>
      </w:r>
      <w:hyperlink r:id="rId35">
        <w:r>
          <w:rPr>
            <w:color w:val="0563C1"/>
            <w:u w:val="single"/>
            <w:sz w:val="19"/>
          </w:rPr>
          <w:t xml:space="preserve">Journal</w:t>
        </w:r>
      </w:hyperlink>
      <w:r>
        <w:rPr>
          <w:b w:val="0"/>
          <w:i w:val="0"/>
          <w:sz w:val="19"/>
        </w:rPr>
        <w:t xml:space="preserve"> · </w:t>
      </w:r>
      <w:hyperlink r:id="rId36">
        <w:r>
          <w:rPr>
            <w:color w:val="0563C1"/>
            <w:u w:val="single"/>
            <w:sz w:val="19"/>
          </w:rPr>
          <w:t xml:space="preserve">TMC library</w:t>
        </w:r>
      </w:hyperlink>
    </w:p>
    <w:p>
      <w:pPr>
        <w:spacing w:after="60"/>
      </w:pPr>
      <w:r>
        <w:rPr>
          <w:b/>
          <w:i w:val="0"/>
          <w:sz w:val="19"/>
        </w:rPr>
        <w:t>DEB-TACE phase 2</w:t>
      </w:r>
      <w:r>
        <w:rPr>
          <w:b w:val="0"/>
          <w:i w:val="0"/>
          <w:sz w:val="19"/>
        </w:rPr>
        <w:t xml:space="preserve"> — Bhagat N, Reyes DK, Lin M, et al. Phase II study of chemoembolization with drug-eluting beads in patients with hepatic neuroendocrine metastases: high incidence of biliary injury. Cardiovasc Intervent Radiol. 2013;36(2):449-59.</w:t>
      </w:r>
      <w:r>
        <w:rPr>
          <w:b w:val="0"/>
          <w:i w:val="0"/>
          <w:sz w:val="19"/>
        </w:rPr>
        <w:t xml:space="preserve">  </w:t>
      </w:r>
      <w:hyperlink r:id="rId37">
        <w:r>
          <w:rPr>
            <w:color w:val="0563C1"/>
            <w:u w:val="single"/>
            <w:sz w:val="19"/>
          </w:rPr>
          <w:t xml:space="preserve">PubMed</w:t>
        </w:r>
      </w:hyperlink>
    </w:p>
    <w:p>
      <w:pPr>
        <w:spacing w:after="60"/>
      </w:pPr>
      <w:r>
        <w:rPr>
          <w:b/>
          <w:i w:val="0"/>
          <w:sz w:val="19"/>
        </w:rPr>
        <w:t>EANM Focus 3</w:t>
      </w:r>
      <w:r>
        <w:rPr>
          <w:b w:val="0"/>
          <w:i w:val="0"/>
          <w:sz w:val="19"/>
        </w:rPr>
        <w:t xml:space="preserve"> — Ambrosini V, Kunikowska J, Baudin E, et al. Consensus on molecular imaging and theranostics in neuroendocrine neoplasms. Eur J Cancer. 2021;146:56-73.</w:t>
      </w:r>
      <w:r>
        <w:rPr>
          <w:b w:val="0"/>
          <w:i w:val="0"/>
          <w:sz w:val="19"/>
        </w:rPr>
        <w:t xml:space="preserve">  </w:t>
      </w:r>
      <w:hyperlink r:id="rId38">
        <w:r>
          <w:rPr>
            <w:color w:val="0563C1"/>
            <w:u w:val="single"/>
            <w:sz w:val="19"/>
          </w:rPr>
          <w:t xml:space="preserve">PubMed</w:t>
        </w:r>
      </w:hyperlink>
    </w:p>
    <w:p>
      <w:pPr>
        <w:spacing w:after="60"/>
      </w:pPr>
      <w:r>
        <w:rPr>
          <w:b/>
          <w:i w:val="0"/>
          <w:sz w:val="19"/>
        </w:rPr>
        <w:t>ENETS 2023 functioning panNET</w:t>
      </w:r>
      <w:r>
        <w:rPr>
          <w:b w:val="0"/>
          <w:i w:val="0"/>
          <w:sz w:val="19"/>
        </w:rPr>
        <w:t xml:space="preserve"> — Hofland J, Falconi M, Christ E, et al. European Neuroendocrine Tumor Society 2023 guidance paper for functioning pancreatic neuroendocrine tumour syndromes. J Neuroendocrinol. 2023;35(8):e13318.</w:t>
      </w:r>
      <w:r>
        <w:rPr>
          <w:b w:val="0"/>
          <w:i w:val="0"/>
          <w:sz w:val="19"/>
        </w:rPr>
        <w:t xml:space="preserve">  </w:t>
      </w:r>
      <w:hyperlink r:id="rId39">
        <w:r>
          <w:rPr>
            <w:color w:val="0563C1"/>
            <w:u w:val="single"/>
            <w:sz w:val="19"/>
          </w:rPr>
          <w:t xml:space="preserve">PubMed</w:t>
        </w:r>
      </w:hyperlink>
    </w:p>
    <w:p>
      <w:pPr>
        <w:spacing w:after="60"/>
      </w:pPr>
      <w:r>
        <w:rPr>
          <w:b/>
          <w:i w:val="0"/>
          <w:sz w:val="19"/>
        </w:rPr>
        <w:t>ENETS 2023 NEC</w:t>
      </w:r>
      <w:r>
        <w:rPr>
          <w:b w:val="0"/>
          <w:i w:val="0"/>
          <w:sz w:val="19"/>
        </w:rPr>
        <w:t xml:space="preserve"> — Sorbye H, Grande E, Pavel M, et al. European Neuroendocrine Tumor Society (ENETS) 2023 guidance paper for digestive neuroendocrine carcinoma. J Neuroendocrinol. 2023;35(3):e13249.</w:t>
      </w:r>
      <w:r>
        <w:rPr>
          <w:b w:val="0"/>
          <w:i w:val="0"/>
          <w:sz w:val="19"/>
        </w:rPr>
        <w:t xml:space="preserve">  </w:t>
      </w:r>
      <w:hyperlink r:id="rId40">
        <w:r>
          <w:rPr>
            <w:color w:val="0563C1"/>
            <w:u w:val="single"/>
            <w:sz w:val="19"/>
          </w:rPr>
          <w:t xml:space="preserve">PubMed</w:t>
        </w:r>
      </w:hyperlink>
    </w:p>
    <w:p>
      <w:pPr>
        <w:spacing w:after="60"/>
      </w:pPr>
      <w:r>
        <w:rPr>
          <w:b/>
          <w:i w:val="0"/>
          <w:sz w:val="19"/>
        </w:rPr>
        <w:t>ENETS 2024 small intestine</w:t>
      </w:r>
      <w:r>
        <w:rPr>
          <w:b w:val="0"/>
          <w:i w:val="0"/>
          <w:sz w:val="19"/>
        </w:rPr>
        <w:t xml:space="preserve"> — Lamarca A, Bartsch DK, Caplin M, et al. European Neuroendocrine Tumor Society (ENETS) 2024 guidance paper for the management of well-differentiated small intestine neuroendocrine tumours. J Neuroendocrinol. 2024;36(9):e13423.</w:t>
      </w:r>
      <w:r>
        <w:rPr>
          <w:b w:val="0"/>
          <w:i w:val="0"/>
          <w:sz w:val="19"/>
        </w:rPr>
        <w:t xml:space="preserve">  </w:t>
      </w:r>
      <w:hyperlink r:id="rId41">
        <w:r>
          <w:rPr>
            <w:color w:val="0563C1"/>
            <w:u w:val="single"/>
            <w:sz w:val="19"/>
          </w:rPr>
          <w:t xml:space="preserve">PubMed</w:t>
        </w:r>
      </w:hyperlink>
    </w:p>
    <w:p>
      <w:pPr>
        <w:spacing w:after="60"/>
      </w:pPr>
      <w:r>
        <w:rPr>
          <w:b/>
          <w:i w:val="0"/>
          <w:sz w:val="19"/>
        </w:rPr>
        <w:t>ESMO 2020 GEP-NEN</w:t>
      </w:r>
      <w:r>
        <w:rPr>
          <w:b w:val="0"/>
          <w:i w:val="0"/>
          <w:sz w:val="19"/>
        </w:rPr>
        <w:t xml:space="preserve"> — Pavel M, Öberg K, Falconi M, et al. Gastroenteropancreatic neuroendocrine neoplasms: ESMO clinical practice guidelines for diagnosis, treatment and follow-up. Ann Oncol. 2020;31(7):844-860.</w:t>
      </w:r>
      <w:r>
        <w:rPr>
          <w:b w:val="0"/>
          <w:i w:val="0"/>
          <w:sz w:val="19"/>
        </w:rPr>
        <w:t xml:space="preserve">  </w:t>
      </w:r>
      <w:hyperlink r:id="rId42">
        <w:r>
          <w:rPr>
            <w:color w:val="0563C1"/>
            <w:u w:val="single"/>
            <w:sz w:val="19"/>
          </w:rPr>
          <w:t xml:space="preserve">PubMed</w:t>
        </w:r>
      </w:hyperlink>
    </w:p>
    <w:p>
      <w:pPr>
        <w:spacing w:after="60"/>
      </w:pPr>
      <w:r>
        <w:rPr>
          <w:b/>
          <w:i w:val="0"/>
          <w:sz w:val="19"/>
        </w:rPr>
        <w:t>Graff-Baker debulking</w:t>
      </w:r>
      <w:r>
        <w:rPr>
          <w:b w:val="0"/>
          <w:i w:val="0"/>
          <w:sz w:val="19"/>
        </w:rPr>
        <w:t xml:space="preserve"> — Graff-Baker AN, Sauer DA, Pommier SJ, et al. Expanded criteria for carcinoid liver debulking: maintaining survival and increasing the number of eligible patients. Surgery. 2014;156(6):1369-76.</w:t>
      </w:r>
      <w:r>
        <w:rPr>
          <w:b w:val="0"/>
          <w:i w:val="0"/>
          <w:sz w:val="19"/>
        </w:rPr>
        <w:t xml:space="preserve">  </w:t>
      </w:r>
      <w:hyperlink r:id="rId43">
        <w:r>
          <w:rPr>
            <w:color w:val="0563C1"/>
            <w:u w:val="single"/>
            <w:sz w:val="19"/>
          </w:rPr>
          <w:t xml:space="preserve">PubMed</w:t>
        </w:r>
      </w:hyperlink>
    </w:p>
    <w:p>
      <w:pPr>
        <w:spacing w:after="60"/>
      </w:pPr>
      <w:r>
        <w:rPr>
          <w:b/>
          <w:i w:val="0"/>
          <w:sz w:val="19"/>
        </w:rPr>
        <w:t>Gudmundsdottir 2023 · cytoreductive hepatectomy</w:t>
      </w:r>
      <w:r>
        <w:rPr>
          <w:b w:val="0"/>
          <w:i w:val="0"/>
          <w:sz w:val="19"/>
        </w:rPr>
        <w:t xml:space="preserve">  </w:t>
      </w:r>
      <w:hyperlink r:id="rId44">
        <w:r>
          <w:rPr>
            <w:color w:val="0563C1"/>
            <w:u w:val="single"/>
            <w:sz w:val="19"/>
          </w:rPr>
          <w:t xml:space="preserve">PubMed</w:t>
        </w:r>
      </w:hyperlink>
      <w:r>
        <w:rPr>
          <w:b w:val="0"/>
          <w:i w:val="0"/>
          <w:sz w:val="19"/>
        </w:rPr>
        <w:t xml:space="preserve"> · </w:t>
      </w:r>
      <w:hyperlink r:id="rId45">
        <w:r>
          <w:rPr>
            <w:color w:val="0563C1"/>
            <w:u w:val="single"/>
            <w:sz w:val="19"/>
          </w:rPr>
          <w:t xml:space="preserve">Journal</w:t>
        </w:r>
      </w:hyperlink>
      <w:r>
        <w:rPr>
          <w:b w:val="0"/>
          <w:i w:val="0"/>
          <w:sz w:val="19"/>
        </w:rPr>
        <w:t xml:space="preserve"> · </w:t>
      </w:r>
      <w:hyperlink r:id="rId46">
        <w:r>
          <w:rPr>
            <w:color w:val="0563C1"/>
            <w:u w:val="single"/>
            <w:sz w:val="19"/>
          </w:rPr>
          <w:t xml:space="preserve">Free full text</w:t>
        </w:r>
      </w:hyperlink>
      <w:r>
        <w:rPr>
          <w:b w:val="0"/>
          <w:i w:val="0"/>
          <w:sz w:val="19"/>
        </w:rPr>
        <w:t xml:space="preserve"> · </w:t>
      </w:r>
      <w:hyperlink r:id="rId47">
        <w:r>
          <w:rPr>
            <w:color w:val="0563C1"/>
            <w:u w:val="single"/>
            <w:sz w:val="19"/>
          </w:rPr>
          <w:t xml:space="preserve">TMC library</w:t>
        </w:r>
      </w:hyperlink>
    </w:p>
    <w:p>
      <w:pPr>
        <w:spacing w:after="60"/>
      </w:pPr>
      <w:r>
        <w:rPr>
          <w:b/>
          <w:i w:val="0"/>
          <w:sz w:val="19"/>
        </w:rPr>
        <w:t>Gupta embolisation</w:t>
      </w:r>
      <w:r>
        <w:rPr>
          <w:b w:val="0"/>
          <w:i w:val="0"/>
          <w:sz w:val="19"/>
        </w:rPr>
        <w:t xml:space="preserve"> — Gupta S, Johnson MM, Murthy R, et al. Hepatic arterial embolization and chemoembolization for the treatment of patients with metastatic neuroendocrine tumors: variables affecting response rates and survival. Cancer. 2005;104(8):1590-602.</w:t>
      </w:r>
      <w:r>
        <w:rPr>
          <w:b w:val="0"/>
          <w:i w:val="0"/>
          <w:sz w:val="19"/>
        </w:rPr>
        <w:t xml:space="preserve">  </w:t>
      </w:r>
      <w:hyperlink r:id="rId48">
        <w:r>
          <w:rPr>
            <w:color w:val="0563C1"/>
            <w:u w:val="single"/>
            <w:sz w:val="19"/>
          </w:rPr>
          <w:t xml:space="preserve">PubMed</w:t>
        </w:r>
      </w:hyperlink>
    </w:p>
    <w:p>
      <w:pPr>
        <w:spacing w:after="60"/>
      </w:pPr>
      <w:r>
        <w:rPr>
          <w:b/>
          <w:i w:val="0"/>
          <w:sz w:val="19"/>
        </w:rPr>
        <w:t>HEPAR PLuS</w:t>
      </w:r>
      <w:r>
        <w:rPr>
          <w:b w:val="0"/>
          <w:i w:val="0"/>
          <w:sz w:val="19"/>
        </w:rPr>
        <w:t xml:space="preserve"> — Veldhuis WB, Walter T, de Vries-Huizing DMV, et al. PRRT plus holmium-166-SIRT (HEPAR PLuS) versus PRRT-only in patients with metastatic neuroendocrine tumors: a propensity-score matched analysis. J Neuroendocrinol. 2025;37(8):e70034.</w:t>
      </w:r>
      <w:r>
        <w:rPr>
          <w:b w:val="0"/>
          <w:i w:val="0"/>
          <w:sz w:val="19"/>
        </w:rPr>
        <w:t xml:space="preserve">  </w:t>
      </w:r>
      <w:hyperlink r:id="rId49">
        <w:r>
          <w:rPr>
            <w:color w:val="0563C1"/>
            <w:u w:val="single"/>
            <w:sz w:val="19"/>
          </w:rPr>
          <w:t xml:space="preserve">PubMed</w:t>
        </w:r>
      </w:hyperlink>
    </w:p>
    <w:p>
      <w:pPr>
        <w:spacing w:after="60"/>
      </w:pPr>
      <w:r>
        <w:rPr>
          <w:b/>
          <w:i w:val="0"/>
          <w:sz w:val="19"/>
        </w:rPr>
        <w:t>Itanet 2024 RLT</w:t>
      </w:r>
      <w:r>
        <w:rPr>
          <w:b w:val="0"/>
          <w:i w:val="0"/>
          <w:sz w:val="19"/>
        </w:rPr>
        <w:t xml:space="preserve"> — Panzuto F, Albertelli M, Davì MV, et al. Radioligand therapy in the therapeutic strategy for patients with gastro-entero-pancreatic neuroendocrine tumors: a consensus statement from Itanet, AIMN, SIE and AIOM. J Endocrinol Invest. 2025;48(1):23-36.</w:t>
      </w:r>
      <w:r>
        <w:rPr>
          <w:b w:val="0"/>
          <w:i w:val="0"/>
          <w:sz w:val="19"/>
        </w:rPr>
        <w:t xml:space="preserve">  </w:t>
      </w:r>
      <w:hyperlink r:id="rId50">
        <w:r>
          <w:rPr>
            <w:color w:val="0563C1"/>
            <w:u w:val="single"/>
            <w:sz w:val="19"/>
          </w:rPr>
          <w:t xml:space="preserve">PubMed</w:t>
        </w:r>
      </w:hyperlink>
    </w:p>
    <w:p>
      <w:pPr>
        <w:spacing w:after="60"/>
      </w:pPr>
      <w:r>
        <w:rPr>
          <w:b/>
          <w:i w:val="0"/>
          <w:sz w:val="19"/>
        </w:rPr>
        <w:t>Kennedy Y-90</w:t>
      </w:r>
      <w:r>
        <w:rPr>
          <w:b w:val="0"/>
          <w:i w:val="0"/>
          <w:sz w:val="19"/>
        </w:rPr>
        <w:t xml:space="preserve"> — Kennedy AS, Dezarn WA, McNeillie P, et al. Radioembolization for unresectable neuroendocrine hepatic metastases using resin 90Y-microspheres: early results in 148 patients. Am J Clin Oncol. 2008;31(3):271-9.</w:t>
      </w:r>
      <w:r>
        <w:rPr>
          <w:b w:val="0"/>
          <w:i w:val="0"/>
          <w:sz w:val="19"/>
        </w:rPr>
        <w:t xml:space="preserve">  </w:t>
      </w:r>
      <w:hyperlink r:id="rId51">
        <w:r>
          <w:rPr>
            <w:color w:val="0563C1"/>
            <w:u w:val="single"/>
            <w:sz w:val="19"/>
          </w:rPr>
          <w:t xml:space="preserve">PubMed</w:t>
        </w:r>
      </w:hyperlink>
    </w:p>
    <w:p>
      <w:pPr>
        <w:spacing w:after="60"/>
      </w:pPr>
      <w:r>
        <w:rPr>
          <w:b/>
          <w:i w:val="0"/>
          <w:sz w:val="19"/>
        </w:rPr>
        <w:t>Mahuron 2024 · NET liver metastases with EHD</w:t>
      </w:r>
      <w:r>
        <w:rPr>
          <w:b w:val="0"/>
          <w:i w:val="0"/>
          <w:sz w:val="19"/>
        </w:rPr>
        <w:t xml:space="preserve">  </w:t>
      </w:r>
      <w:hyperlink r:id="rId52">
        <w:r>
          <w:rPr>
            <w:color w:val="0563C1"/>
            <w:u w:val="single"/>
            <w:sz w:val="19"/>
          </w:rPr>
          <w:t xml:space="preserve">PubMed</w:t>
        </w:r>
      </w:hyperlink>
      <w:r>
        <w:rPr>
          <w:b w:val="0"/>
          <w:i w:val="0"/>
          <w:sz w:val="19"/>
        </w:rPr>
        <w:t xml:space="preserve"> · </w:t>
      </w:r>
      <w:hyperlink r:id="rId53">
        <w:r>
          <w:rPr>
            <w:color w:val="0563C1"/>
            <w:u w:val="single"/>
            <w:sz w:val="19"/>
          </w:rPr>
          <w:t xml:space="preserve">Journal</w:t>
        </w:r>
      </w:hyperlink>
      <w:r>
        <w:rPr>
          <w:b w:val="0"/>
          <w:i w:val="0"/>
          <w:sz w:val="19"/>
        </w:rPr>
        <w:t xml:space="preserve"> · </w:t>
      </w:r>
      <w:hyperlink r:id="rId54">
        <w:r>
          <w:rPr>
            <w:color w:val="0563C1"/>
            <w:u w:val="single"/>
            <w:sz w:val="19"/>
          </w:rPr>
          <w:t xml:space="preserve">Free full text</w:t>
        </w:r>
      </w:hyperlink>
      <w:r>
        <w:rPr>
          <w:b w:val="0"/>
          <w:i w:val="0"/>
          <w:sz w:val="19"/>
        </w:rPr>
        <w:t xml:space="preserve"> · </w:t>
      </w:r>
      <w:hyperlink r:id="rId55">
        <w:r>
          <w:rPr>
            <w:color w:val="0563C1"/>
            <w:u w:val="single"/>
            <w:sz w:val="19"/>
          </w:rPr>
          <w:t xml:space="preserve">TMC library</w:t>
        </w:r>
      </w:hyperlink>
    </w:p>
    <w:p>
      <w:pPr>
        <w:spacing w:after="60"/>
      </w:pPr>
      <w:r>
        <w:rPr>
          <w:b/>
          <w:i w:val="0"/>
          <w:sz w:val="19"/>
        </w:rPr>
        <w:t>Milan-NET transplant</w:t>
      </w:r>
      <w:r>
        <w:rPr>
          <w:b w:val="0"/>
          <w:i w:val="0"/>
          <w:sz w:val="19"/>
        </w:rPr>
        <w:t xml:space="preserve"> — Mazzaferro V, Sposito C, Coppa J, et al. The long-term benefit of liver transplantation for hepatic metastases from neuroendocrine tumors. Am J Transplant. 2016;16(10):2892-2902.</w:t>
      </w:r>
      <w:r>
        <w:rPr>
          <w:b w:val="0"/>
          <w:i w:val="0"/>
          <w:sz w:val="19"/>
        </w:rPr>
        <w:t xml:space="preserve">  </w:t>
      </w:r>
      <w:hyperlink r:id="rId56">
        <w:r>
          <w:rPr>
            <w:color w:val="0563C1"/>
            <w:u w:val="single"/>
            <w:sz w:val="19"/>
          </w:rPr>
          <w:t xml:space="preserve">PubMed</w:t>
        </w:r>
      </w:hyperlink>
    </w:p>
    <w:p>
      <w:pPr>
        <w:spacing w:after="60"/>
      </w:pPr>
      <w:r>
        <w:rPr>
          <w:b/>
          <w:i w:val="0"/>
          <w:sz w:val="19"/>
        </w:rPr>
        <w:t>NANETS 2017 medical</w:t>
      </w:r>
      <w:r>
        <w:rPr>
          <w:b w:val="0"/>
          <w:i w:val="0"/>
          <w:sz w:val="19"/>
        </w:rPr>
        <w:t xml:space="preserve"> — Strosberg JR, Halfdanarson TR, Bellizzi AM, et al. The North American Neuroendocrine Tumor Society consensus guidelines for surveillance and medical management of midgut neuroendocrine tumors. Pancreas. 2017;46(6):707-714.</w:t>
      </w:r>
      <w:r>
        <w:rPr>
          <w:b w:val="0"/>
          <w:i w:val="0"/>
          <w:sz w:val="19"/>
        </w:rPr>
        <w:t xml:space="preserve">  </w:t>
      </w:r>
      <w:hyperlink r:id="rId57">
        <w:r>
          <w:rPr>
            <w:color w:val="0563C1"/>
            <w:u w:val="single"/>
            <w:sz w:val="19"/>
          </w:rPr>
          <w:t xml:space="preserve">PubMed</w:t>
        </w:r>
      </w:hyperlink>
    </w:p>
    <w:p>
      <w:pPr>
        <w:spacing w:after="60"/>
      </w:pPr>
      <w:r>
        <w:rPr>
          <w:b/>
          <w:i w:val="0"/>
          <w:sz w:val="19"/>
        </w:rPr>
        <w:t>NANETS 2017 surgical</w:t>
      </w:r>
      <w:r>
        <w:rPr>
          <w:b w:val="0"/>
          <w:i w:val="0"/>
          <w:sz w:val="19"/>
        </w:rPr>
        <w:t xml:space="preserve"> — Howe JR, Cardona K, Fraker DL, et al. The surgical management of small bowel neuroendocrine tumors: consensus guidelines of the North American Neuroendocrine Tumor Society. Pancreas. 2017;46(6):715-731.</w:t>
      </w:r>
      <w:r>
        <w:rPr>
          <w:b w:val="0"/>
          <w:i w:val="0"/>
          <w:sz w:val="19"/>
        </w:rPr>
        <w:t xml:space="preserve">  </w:t>
      </w:r>
      <w:hyperlink r:id="rId58">
        <w:r>
          <w:rPr>
            <w:color w:val="0563C1"/>
            <w:u w:val="single"/>
            <w:sz w:val="19"/>
          </w:rPr>
          <w:t xml:space="preserve">PubMed</w:t>
        </w:r>
      </w:hyperlink>
    </w:p>
    <w:p>
      <w:pPr>
        <w:spacing w:after="60"/>
      </w:pPr>
      <w:r>
        <w:rPr>
          <w:b/>
          <w:i w:val="0"/>
          <w:sz w:val="19"/>
        </w:rPr>
        <w:t>NANETS 2017 · small-bowel NET surgery</w:t>
      </w:r>
      <w:r>
        <w:rPr>
          <w:b w:val="0"/>
          <w:i w:val="0"/>
          <w:sz w:val="19"/>
        </w:rPr>
        <w:t xml:space="preserve">  </w:t>
      </w:r>
      <w:hyperlink r:id="rId58">
        <w:r>
          <w:rPr>
            <w:color w:val="0563C1"/>
            <w:u w:val="single"/>
            <w:sz w:val="19"/>
          </w:rPr>
          <w:t xml:space="preserve">PubMed</w:t>
        </w:r>
      </w:hyperlink>
      <w:r>
        <w:rPr>
          <w:b w:val="0"/>
          <w:i w:val="0"/>
          <w:sz w:val="19"/>
        </w:rPr>
        <w:t xml:space="preserve"> · </w:t>
      </w:r>
      <w:hyperlink r:id="rId59">
        <w:r>
          <w:rPr>
            <w:color w:val="0563C1"/>
            <w:u w:val="single"/>
            <w:sz w:val="19"/>
          </w:rPr>
          <w:t xml:space="preserve">Journal</w:t>
        </w:r>
      </w:hyperlink>
      <w:r>
        <w:rPr>
          <w:b w:val="0"/>
          <w:i w:val="0"/>
          <w:sz w:val="19"/>
        </w:rPr>
        <w:t xml:space="preserve"> · </w:t>
      </w:r>
      <w:hyperlink r:id="rId60">
        <w:r>
          <w:rPr>
            <w:color w:val="0563C1"/>
            <w:u w:val="single"/>
            <w:sz w:val="19"/>
          </w:rPr>
          <w:t xml:space="preserve">Free full text</w:t>
        </w:r>
      </w:hyperlink>
      <w:r>
        <w:rPr>
          <w:b w:val="0"/>
          <w:i w:val="0"/>
          <w:sz w:val="19"/>
        </w:rPr>
        <w:t xml:space="preserve"> · </w:t>
      </w:r>
      <w:hyperlink r:id="rId61">
        <w:r>
          <w:rPr>
            <w:color w:val="0563C1"/>
            <w:u w:val="single"/>
            <w:sz w:val="19"/>
          </w:rPr>
          <w:t xml:space="preserve">TMC library</w:t>
        </w:r>
      </w:hyperlink>
    </w:p>
    <w:p>
      <w:pPr>
        <w:spacing w:after="60"/>
      </w:pPr>
      <w:r>
        <w:rPr>
          <w:b/>
          <w:i w:val="0"/>
          <w:sz w:val="19"/>
        </w:rPr>
        <w:t>NANETS 2020 surgical</w:t>
      </w:r>
      <w:r>
        <w:rPr>
          <w:b w:val="0"/>
          <w:i w:val="0"/>
          <w:sz w:val="19"/>
        </w:rPr>
        <w:t xml:space="preserve"> — Howe JR, Merchant NB, Conrad C, et al. The North American Neuroendocrine Tumor Society consensus paper on the surgical management of pancreatic neuroendocrine tumors. Pancreas. 2020;49(1):1-33.</w:t>
      </w:r>
      <w:r>
        <w:rPr>
          <w:b w:val="0"/>
          <w:i w:val="0"/>
          <w:sz w:val="19"/>
        </w:rPr>
        <w:t xml:space="preserve">  </w:t>
      </w:r>
      <w:hyperlink r:id="rId62">
        <w:r>
          <w:rPr>
            <w:color w:val="0563C1"/>
            <w:u w:val="single"/>
            <w:sz w:val="19"/>
          </w:rPr>
          <w:t xml:space="preserve">PubMed</w:t>
        </w:r>
      </w:hyperlink>
    </w:p>
    <w:p>
      <w:pPr>
        <w:spacing w:after="60"/>
      </w:pPr>
      <w:r>
        <w:rPr>
          <w:b/>
          <w:i w:val="0"/>
          <w:sz w:val="19"/>
        </w:rPr>
        <w:t>NANETS/SNMMI PRRT</w:t>
      </w:r>
      <w:r>
        <w:rPr>
          <w:b w:val="0"/>
          <w:i w:val="0"/>
          <w:sz w:val="19"/>
        </w:rPr>
        <w:t xml:space="preserve"> — Hope TA, Bodei L, Chan JA, et al. NANETS/SNMMI consensus statement on patient selection and appropriate use of 177Lu-DOTATATE peptide receptor radionuclide therapy. J Nucl Med. 2020;61(2):222-227.</w:t>
      </w:r>
      <w:r>
        <w:rPr>
          <w:b w:val="0"/>
          <w:i w:val="0"/>
          <w:sz w:val="19"/>
        </w:rPr>
        <w:t xml:space="preserve">  </w:t>
      </w:r>
      <w:hyperlink r:id="rId63">
        <w:r>
          <w:rPr>
            <w:color w:val="0563C1"/>
            <w:u w:val="single"/>
            <w:sz w:val="19"/>
          </w:rPr>
          <w:t xml:space="preserve">PubMed</w:t>
        </w:r>
      </w:hyperlink>
    </w:p>
    <w:p>
      <w:pPr>
        <w:spacing w:after="60"/>
      </w:pPr>
      <w:r>
        <w:rPr>
          <w:b/>
          <w:i w:val="0"/>
          <w:sz w:val="19"/>
        </w:rPr>
        <w:t>NCCN NE v1.2026</w:t>
      </w:r>
      <w:r>
        <w:rPr>
          <w:b w:val="0"/>
          <w:i w:val="0"/>
          <w:sz w:val="19"/>
        </w:rPr>
        <w:t xml:space="preserve"> — National Comprehensive Cancer Network. NCCN Clinical Practice Guidelines in Oncology: Neuroendocrine and Adrenal Tumors. Version 1.2026, 21 April 2026. Original PDF p. 72 (imaging), p. 85 (NE-D, surgery and carcinoid crisis), p. 89 (NE-E, pathology), p. 115 (NE-H, embolisation), p. 119 (NE-J, PRRT), p. 178 (discussion, transplantation).</w:t>
      </w:r>
    </w:p>
    <w:p>
      <w:pPr>
        <w:spacing w:after="60"/>
      </w:pPr>
      <w:r>
        <w:rPr>
          <w:b/>
          <w:i w:val="0"/>
          <w:sz w:val="19"/>
        </w:rPr>
        <w:t>NETTER-2</w:t>
      </w:r>
      <w:r>
        <w:rPr>
          <w:b w:val="0"/>
          <w:i w:val="0"/>
          <w:sz w:val="19"/>
        </w:rPr>
        <w:t xml:space="preserve"> — Singh S, Halperin D, Myrehaug S, et al. [177Lu]Lu-DOTA-TATE plus long-acting octreotide versus high-dose long-acting octreotide for the treatment of newly diagnosed, advanced grade 2-3, well-differentiated, gastroenteropancreatic neuroendocrine tumours (NETTER-2): an open-label, randomised, phase 3 study. Lancet. 2024;403(10446):2807-2817.</w:t>
      </w:r>
      <w:r>
        <w:rPr>
          <w:b w:val="0"/>
          <w:i w:val="0"/>
          <w:sz w:val="19"/>
        </w:rPr>
        <w:t xml:space="preserve">  </w:t>
      </w:r>
      <w:hyperlink r:id="rId64">
        <w:r>
          <w:rPr>
            <w:color w:val="0563C1"/>
            <w:u w:val="single"/>
            <w:sz w:val="19"/>
          </w:rPr>
          <w:t xml:space="preserve">PubMed</w:t>
        </w:r>
      </w:hyperlink>
    </w:p>
    <w:p>
      <w:pPr>
        <w:spacing w:after="60"/>
      </w:pPr>
      <w:r>
        <w:rPr>
          <w:b/>
          <w:i w:val="0"/>
          <w:sz w:val="19"/>
        </w:rPr>
        <w:t>OPTN NLRB guidance 2025</w:t>
      </w:r>
      <w:r>
        <w:rPr>
          <w:b w:val="0"/>
          <w:i w:val="0"/>
          <w:sz w:val="19"/>
        </w:rPr>
        <w:t xml:space="preserve"> — Organ Procurement and Transplantation Network, Liver and Intestinal Organ Transplantation Committee. Guidance to Liver Transplant Programs and the National Liver Review Board for: Adult MELD Exceptions for Transplant Oncology. December 2025. Review-board guidance, not OPTN policy; pp. 8–9, submission instructions p. 3.</w:t>
      </w:r>
      <w:r>
        <w:rPr>
          <w:b w:val="0"/>
          <w:i w:val="0"/>
          <w:sz w:val="19"/>
        </w:rPr>
        <w:t xml:space="preserve">  </w:t>
      </w:r>
      <w:hyperlink r:id="rId65">
        <w:r>
          <w:rPr>
            <w:color w:val="0563C1"/>
            <w:u w:val="single"/>
            <w:sz w:val="19"/>
          </w:rPr>
          <w:t xml:space="preserve">Source</w:t>
        </w:r>
      </w:hyperlink>
    </w:p>
    <w:p>
      <w:pPr>
        <w:spacing w:after="60"/>
      </w:pPr>
      <w:r>
        <w:rPr>
          <w:b/>
          <w:i w:val="0"/>
          <w:sz w:val="19"/>
        </w:rPr>
        <w:t>Resection vs transplant</w:t>
      </w:r>
      <w:r>
        <w:rPr>
          <w:b w:val="0"/>
          <w:i w:val="0"/>
          <w:sz w:val="19"/>
        </w:rPr>
        <w:t xml:space="preserve"> — Maspero M, Rossi RE, Sposito C, et al. Long-term outcomes of resection versus transplantation for neuroendocrine liver metastases meeting the Milan criteria. Am J Transplant. 2022;22(11):2598-2607.</w:t>
      </w:r>
      <w:r>
        <w:rPr>
          <w:b w:val="0"/>
          <w:i w:val="0"/>
          <w:sz w:val="19"/>
        </w:rPr>
        <w:t xml:space="preserve">  </w:t>
      </w:r>
      <w:hyperlink r:id="rId66">
        <w:r>
          <w:rPr>
            <w:color w:val="0563C1"/>
            <w:u w:val="single"/>
            <w:sz w:val="19"/>
          </w:rPr>
          <w:t xml:space="preserve">PubMed</w:t>
        </w:r>
      </w:hyperlink>
    </w:p>
    <w:p>
      <w:pPr>
        <w:spacing w:after="60"/>
      </w:pPr>
      <w:r>
        <w:rPr>
          <w:b/>
          <w:i w:val="0"/>
          <w:sz w:val="19"/>
        </w:rPr>
        <w:t>RETNET protocol</w:t>
      </w:r>
      <w:r>
        <w:rPr>
          <w:b w:val="0"/>
          <w:i w:val="0"/>
          <w:sz w:val="19"/>
        </w:rPr>
        <w:t xml:space="preserve"> — Chen JX, Wileyto EP, Soulen MC. Randomized Embolization Trial for NeuroEndocrine Tumor Metastases to the Liver (RETNET): study protocol for a randomized controlled trial. Trials. 2018;19(1):390.</w:t>
      </w:r>
      <w:r>
        <w:rPr>
          <w:b w:val="0"/>
          <w:i w:val="0"/>
          <w:sz w:val="19"/>
        </w:rPr>
        <w:t xml:space="preserve">  </w:t>
      </w:r>
      <w:hyperlink r:id="rId67">
        <w:r>
          <w:rPr>
            <w:color w:val="0563C1"/>
            <w:u w:val="single"/>
            <w:sz w:val="19"/>
          </w:rPr>
          <w:t xml:space="preserve">PubMed</w:t>
        </w:r>
      </w:hyperlink>
    </w:p>
    <w:p>
      <w:pPr>
        <w:spacing w:after="60"/>
      </w:pPr>
      <w:r>
        <w:rPr>
          <w:b/>
          <w:i w:val="0"/>
          <w:sz w:val="19"/>
        </w:rPr>
        <w:t>Spolverato 2017 · recurrence after NELM surgery</w:t>
      </w:r>
      <w:r>
        <w:rPr>
          <w:b w:val="0"/>
          <w:i w:val="0"/>
          <w:sz w:val="19"/>
        </w:rPr>
        <w:t xml:space="preserve">  </w:t>
      </w:r>
      <w:hyperlink r:id="rId68">
        <w:r>
          <w:rPr>
            <w:color w:val="0563C1"/>
            <w:u w:val="single"/>
            <w:sz w:val="19"/>
          </w:rPr>
          <w:t xml:space="preserve">PubMed</w:t>
        </w:r>
      </w:hyperlink>
      <w:r>
        <w:rPr>
          <w:b w:val="0"/>
          <w:i w:val="0"/>
          <w:sz w:val="19"/>
        </w:rPr>
        <w:t xml:space="preserve"> · </w:t>
      </w:r>
      <w:hyperlink r:id="rId69">
        <w:r>
          <w:rPr>
            <w:color w:val="0563C1"/>
            <w:u w:val="single"/>
            <w:sz w:val="19"/>
          </w:rPr>
          <w:t xml:space="preserve">Journal</w:t>
        </w:r>
      </w:hyperlink>
      <w:r>
        <w:rPr>
          <w:b w:val="0"/>
          <w:i w:val="0"/>
          <w:sz w:val="19"/>
        </w:rPr>
        <w:t xml:space="preserve"> · </w:t>
      </w:r>
      <w:hyperlink r:id="rId70">
        <w:r>
          <w:rPr>
            <w:color w:val="0563C1"/>
            <w:u w:val="single"/>
            <w:sz w:val="19"/>
          </w:rPr>
          <w:t xml:space="preserve">TMC library</w:t>
        </w:r>
      </w:hyperlink>
    </w:p>
    <w:p>
      <w:pPr>
        <w:spacing w:after="60"/>
      </w:pPr>
      <w:r>
        <w:rPr>
          <w:b/>
          <w:i w:val="0"/>
          <w:sz w:val="19"/>
        </w:rPr>
        <w:t>Wedin 2025 · bone metastases in SI-NET</w:t>
      </w:r>
      <w:r>
        <w:rPr>
          <w:b w:val="0"/>
          <w:i w:val="0"/>
          <w:sz w:val="19"/>
        </w:rPr>
        <w:t xml:space="preserve">  </w:t>
      </w:r>
      <w:hyperlink r:id="rId71">
        <w:r>
          <w:rPr>
            <w:color w:val="0563C1"/>
            <w:u w:val="single"/>
            <w:sz w:val="19"/>
          </w:rPr>
          <w:t xml:space="preserve">PubMed</w:t>
        </w:r>
      </w:hyperlink>
      <w:r>
        <w:rPr>
          <w:b w:val="0"/>
          <w:i w:val="0"/>
          <w:sz w:val="19"/>
        </w:rPr>
        <w:t xml:space="preserve"> · </w:t>
      </w:r>
      <w:hyperlink r:id="rId72">
        <w:r>
          <w:rPr>
            <w:color w:val="0563C1"/>
            <w:u w:val="single"/>
            <w:sz w:val="19"/>
          </w:rPr>
          <w:t xml:space="preserve">Journal</w:t>
        </w:r>
      </w:hyperlink>
      <w:r>
        <w:rPr>
          <w:b w:val="0"/>
          <w:i w:val="0"/>
          <w:sz w:val="19"/>
        </w:rPr>
        <w:t xml:space="preserve"> · </w:t>
      </w:r>
      <w:hyperlink r:id="rId73">
        <w:r>
          <w:rPr>
            <w:color w:val="0563C1"/>
            <w:u w:val="single"/>
            <w:sz w:val="19"/>
          </w:rPr>
          <w:t xml:space="preserve">Free full text</w:t>
        </w:r>
      </w:hyperlink>
      <w:r>
        <w:rPr>
          <w:b w:val="0"/>
          <w:i w:val="0"/>
          <w:sz w:val="19"/>
        </w:rPr>
        <w:t xml:space="preserve"> · </w:t>
      </w:r>
      <w:hyperlink r:id="rId74">
        <w:r>
          <w:rPr>
            <w:color w:val="0563C1"/>
            <w:u w:val="single"/>
            <w:sz w:val="19"/>
          </w:rPr>
          <w:t xml:space="preserve">TMC library</w:t>
        </w:r>
      </w:hyperlink>
    </w:p>
    <w:p>
      <w:pPr>
        <w:spacing w:after="60"/>
      </w:pPr>
      <w:r>
        <w:rPr>
          <w:b/>
          <w:i w:val="0"/>
          <w:sz w:val="19"/>
        </w:rPr>
        <w:t>Xiang 2018 · NF-NELM resection</w:t>
      </w:r>
      <w:r>
        <w:rPr>
          <w:b w:val="0"/>
          <w:i w:val="0"/>
          <w:sz w:val="19"/>
        </w:rPr>
        <w:t xml:space="preserve">  </w:t>
      </w:r>
      <w:hyperlink r:id="rId75">
        <w:r>
          <w:rPr>
            <w:color w:val="0563C1"/>
            <w:u w:val="single"/>
            <w:sz w:val="19"/>
          </w:rPr>
          <w:t xml:space="preserve">PubMed</w:t>
        </w:r>
      </w:hyperlink>
      <w:r>
        <w:rPr>
          <w:b w:val="0"/>
          <w:i w:val="0"/>
          <w:sz w:val="19"/>
        </w:rPr>
        <w:t xml:space="preserve"> · </w:t>
      </w:r>
      <w:hyperlink r:id="rId76">
        <w:r>
          <w:rPr>
            <w:color w:val="0563C1"/>
            <w:u w:val="single"/>
            <w:sz w:val="19"/>
          </w:rPr>
          <w:t xml:space="preserve">Journal</w:t>
        </w:r>
      </w:hyperlink>
      <w:r>
        <w:rPr>
          <w:b w:val="0"/>
          <w:i w:val="0"/>
          <w:sz w:val="19"/>
        </w:rPr>
        <w:t xml:space="preserve"> · </w:t>
      </w:r>
      <w:hyperlink r:id="rId77">
        <w:r>
          <w:rPr>
            <w:color w:val="0563C1"/>
            <w:u w:val="single"/>
            <w:sz w:val="19"/>
          </w:rPr>
          <w:t xml:space="preserve">TMC library</w:t>
        </w:r>
      </w:hyperlink>
    </w:p>
    <w:p>
      <w:pPr>
        <w:spacing w:after="60"/>
      </w:pPr>
      <w:r>
        <w:rPr>
          <w:b/>
          <w:i w:val="0"/>
          <w:sz w:val="19"/>
        </w:rPr>
        <w:t>Y-90 late toxicity</w:t>
      </w:r>
      <w:r>
        <w:rPr>
          <w:b w:val="0"/>
          <w:i w:val="0"/>
          <w:sz w:val="19"/>
        </w:rPr>
        <w:t xml:space="preserve"> — Tomozawa Y, Jahangiri Y, Pathak P, et al. Long-term toxicity after transarterial radioembolization with yttrium-90 using resin microspheres for neuroendocrine tumor liver metastases. J Vasc Interv Radiol. 2018;29(6):858-865.</w:t>
      </w:r>
      <w:r>
        <w:rPr>
          <w:b w:val="0"/>
          <w:i w:val="0"/>
          <w:sz w:val="19"/>
        </w:rPr>
        <w:t xml:space="preserve">  </w:t>
      </w:r>
      <w:hyperlink r:id="rId78">
        <w:r>
          <w:rPr>
            <w:color w:val="0563C1"/>
            <w:u w:val="single"/>
            <w:sz w:val="19"/>
          </w:rPr>
          <w:t xml:space="preserve">PubMed</w:t>
        </w:r>
      </w:hyperlink>
    </w:p>
    <w:sectPr>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HPB oncology working reference  |  </w:t>
    </w:r>
    <w:r>
      <w:rPr>
        <w:sz w:val="15"/>
        <w:szCs w:val="15"/>
      </w:rPr>
      <w:t xml:space="preserve"/>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abstractNum w:abstractNumId="6">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color w:val="000000"/>
      <w:u w:val="none"/>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 Id="rId6" Type="http://schemas.openxmlformats.org/officeDocument/2006/relationships/hyperlink" Target="https://drliuhao.github.io/mh-liver-pathways/nelm/#question-NELM-R1" TargetMode="External"/><Relationship Id="rId9" Type="http://schemas.openxmlformats.org/officeDocument/2006/relationships/hyperlink" Target="https://drliuhao.github.io/mh-liver-pathways/nelm/#decision-7" TargetMode="External"/><Relationship Id="rId10" Type="http://schemas.openxmlformats.org/officeDocument/2006/relationships/hyperlink" Target="https://drliuhao.github.io/mh-liver-pathways/nelm/#decision-3" TargetMode="External"/><Relationship Id="rId11" Type="http://schemas.openxmlformats.org/officeDocument/2006/relationships/hyperlink" Target="https://drliuhao.github.io/mh-liver-pathways/nelm/#question-NELM-D1" TargetMode="External"/><Relationship Id="rId12" Type="http://schemas.openxmlformats.org/officeDocument/2006/relationships/hyperlink" Target="https://drliuhao.github.io/mh-liver-pathways/nelm/#decision-4" TargetMode="External"/><Relationship Id="rId13" Type="http://schemas.openxmlformats.org/officeDocument/2006/relationships/hyperlink" Target="https://drliuhao.github.io/mh-liver-pathways/nelm/#decision-6" TargetMode="External"/><Relationship Id="rId14" Type="http://schemas.openxmlformats.org/officeDocument/2006/relationships/hyperlink" Target="https://drliuhao.github.io/mh-liver-pathways/nelm/#question-NELM-D2" TargetMode="External"/><Relationship Id="rId15" Type="http://schemas.openxmlformats.org/officeDocument/2006/relationships/hyperlink" Target="https://drliuhao.github.io/mh-liver-pathways/nelm/#decision-5" TargetMode="External"/><Relationship Id="rId16" Type="http://schemas.openxmlformats.org/officeDocument/2006/relationships/hyperlink" Target="https://drliuhao.github.io/mh-liver-pathways/nelm/#question-NELM-D3" TargetMode="External"/><Relationship Id="rId17" Type="http://schemas.openxmlformats.org/officeDocument/2006/relationships/hyperlink" Target="https://drliuhao.github.io/mh-liver-pathways/nelm/#decision-2" TargetMode="External"/><Relationship Id="rId18" Type="http://schemas.openxmlformats.org/officeDocument/2006/relationships/hyperlink" Target="https://drliuhao.github.io/mh-liver-pathways/nelm/#question-NELM-D4" TargetMode="External"/><Relationship Id="rId19" Type="http://schemas.openxmlformats.org/officeDocument/2006/relationships/hyperlink" Target="https://drliuhao.github.io/mh-liver-pathways/nelm/#decision-9" TargetMode="External"/><Relationship Id="rId20" Type="http://schemas.openxmlformats.org/officeDocument/2006/relationships/hyperlink" Target="https://drliuhao.github.io/mh-liver-pathways/nelm/#question-NELM-D5" TargetMode="External"/><Relationship Id="rId21" Type="http://schemas.openxmlformats.org/officeDocument/2006/relationships/hyperlink" Target="https://drliuhao.github.io/mh-liver-pathways/nelm/#decision-8" TargetMode="External"/><Relationship Id="rId22" Type="http://schemas.openxmlformats.org/officeDocument/2006/relationships/hyperlink" Target="https://drliuhao.github.io/mh-liver-pathways/nelm/#question-NELM-D6" TargetMode="External"/><Relationship Id="rId23" Type="http://schemas.openxmlformats.org/officeDocument/2006/relationships/hyperlink" Target="https://drliuhao.github.io/mh-liver-pathways/nelm/#decision-1" TargetMode="External"/><Relationship Id="rId24" Type="http://schemas.openxmlformats.org/officeDocument/2006/relationships/hyperlink" Target="https://drliuhao.github.io/mh-liver-pathways/nelm/#question-NELM-D7" TargetMode="External"/><Relationship Id="rId25" Type="http://schemas.openxmlformats.org/officeDocument/2006/relationships/hyperlink" Target="https://drliuhao.github.io/mh-liver-pathways/nelm/#question-NELM-D8" TargetMode="External"/><Relationship Id="rId26" Type="http://schemas.openxmlformats.org/officeDocument/2006/relationships/hyperlink" Target="https://drliuhao.github.io/mh-liver-pathways/nelm/#question-NELM-D9" TargetMode="External"/><Relationship Id="rId27" Type="http://schemas.openxmlformats.org/officeDocument/2006/relationships/hyperlink" Target="https://drliuhao.github.io/mh-liver-pathways/nelm/#question-NELM-D10" TargetMode="External"/><Relationship Id="rId28" Type="http://schemas.openxmlformats.org/officeDocument/2006/relationships/hyperlink" Target="https://drliuhao.github.io/mh-liver-pathways/nelm/#question-NELM-D11" TargetMode="External"/><Relationship Id="rId29" Type="http://schemas.openxmlformats.org/officeDocument/2006/relationships/hyperlink" Target="https://drliuhao.github.io/mh-liver-pathways/nelm/#question-NELM-D12" TargetMode="External"/><Relationship Id="rId30" Type="http://schemas.openxmlformats.org/officeDocument/2006/relationships/hyperlink" Target="https://drliuhao.github.io/mh-liver-pathways/nelm/#question-NELM-D13" TargetMode="External"/><Relationship Id="rId31" Type="http://schemas.openxmlformats.org/officeDocument/2006/relationships/hyperlink" Target="https://drliuhao.github.io/mh-liver-pathways/nelm/#question-NELM-D14" TargetMode="External"/><Relationship Id="rId32" Type="http://schemas.openxmlformats.org/officeDocument/2006/relationships/hyperlink" Target="https://pubmed.ncbi.nlm.nih.gov/37774329/" TargetMode="External"/><Relationship Id="rId33" Type="http://schemas.openxmlformats.org/officeDocument/2006/relationships/hyperlink" Target="https://pubmed.ncbi.nlm.nih.gov/39266864/" TargetMode="External"/><Relationship Id="rId34" Type="http://schemas.openxmlformats.org/officeDocument/2006/relationships/hyperlink" Target="https://pubmed.ncbi.nlm.nih.gov/29560571/" TargetMode="External"/><Relationship Id="rId35" Type="http://schemas.openxmlformats.org/officeDocument/2006/relationships/hyperlink" Target="https://doi.org/10.1245/s10434-018-6433-6" TargetMode="External"/><Relationship Id="rId36" Type="http://schemas.openxmlformats.org/officeDocument/2006/relationships/hyperlink" Target="https://libkey.io/libraries/480/10.1245/s10434-018-6433-6" TargetMode="External"/><Relationship Id="rId37" Type="http://schemas.openxmlformats.org/officeDocument/2006/relationships/hyperlink" Target="https://pubmed.ncbi.nlm.nih.gov/22722717/" TargetMode="External"/><Relationship Id="rId38" Type="http://schemas.openxmlformats.org/officeDocument/2006/relationships/hyperlink" Target="https://pubmed.ncbi.nlm.nih.gov/33588146/" TargetMode="External"/><Relationship Id="rId39" Type="http://schemas.openxmlformats.org/officeDocument/2006/relationships/hyperlink" Target="https://pubmed.ncbi.nlm.nih.gov/37578384/" TargetMode="External"/><Relationship Id="rId40" Type="http://schemas.openxmlformats.org/officeDocument/2006/relationships/hyperlink" Target="https://pubmed.ncbi.nlm.nih.gov/36924180/" TargetMode="External"/><Relationship Id="rId41" Type="http://schemas.openxmlformats.org/officeDocument/2006/relationships/hyperlink" Target="https://pubmed.ncbi.nlm.nih.gov/38977327/" TargetMode="External"/><Relationship Id="rId42" Type="http://schemas.openxmlformats.org/officeDocument/2006/relationships/hyperlink" Target="https://pubmed.ncbi.nlm.nih.gov/32272208/" TargetMode="External"/><Relationship Id="rId43" Type="http://schemas.openxmlformats.org/officeDocument/2006/relationships/hyperlink" Target="https://pubmed.ncbi.nlm.nih.gov/25456912/" TargetMode="External"/><Relationship Id="rId44" Type="http://schemas.openxmlformats.org/officeDocument/2006/relationships/hyperlink" Target="https://pubmed.ncbi.nlm.nih.gov/37208566/" TargetMode="External"/><Relationship Id="rId45" Type="http://schemas.openxmlformats.org/officeDocument/2006/relationships/hyperlink" Target="https://doi.org/10.1245/s10434-023-13372-z" TargetMode="External"/><Relationship Id="rId46" Type="http://schemas.openxmlformats.org/officeDocument/2006/relationships/hyperlink" Target="https://pmc.ncbi.nlm.nih.gov/articles/PMC10319657/" TargetMode="External"/><Relationship Id="rId47" Type="http://schemas.openxmlformats.org/officeDocument/2006/relationships/hyperlink" Target="https://libkey.io/libraries/480/10.1245/s10434-023-13372-z" TargetMode="External"/><Relationship Id="rId48" Type="http://schemas.openxmlformats.org/officeDocument/2006/relationships/hyperlink" Target="https://pubmed.ncbi.nlm.nih.gov/16134179/" TargetMode="External"/><Relationship Id="rId49" Type="http://schemas.openxmlformats.org/officeDocument/2006/relationships/hyperlink" Target="https://pubmed.ncbi.nlm.nih.gov/40302310/" TargetMode="External"/><Relationship Id="rId50" Type="http://schemas.openxmlformats.org/officeDocument/2006/relationships/hyperlink" Target="https://pubmed.ncbi.nlm.nih.gov/39395114/" TargetMode="External"/><Relationship Id="rId51" Type="http://schemas.openxmlformats.org/officeDocument/2006/relationships/hyperlink" Target="https://pubmed.ncbi.nlm.nih.gov/18525307/" TargetMode="External"/><Relationship Id="rId52" Type="http://schemas.openxmlformats.org/officeDocument/2006/relationships/hyperlink" Target="https://pubmed.ncbi.nlm.nih.gov/39274193/" TargetMode="External"/><Relationship Id="rId53" Type="http://schemas.openxmlformats.org/officeDocument/2006/relationships/hyperlink" Target="https://doi.org/10.3390/jcm13174983" TargetMode="External"/><Relationship Id="rId54" Type="http://schemas.openxmlformats.org/officeDocument/2006/relationships/hyperlink" Target="https://pmc.ncbi.nlm.nih.gov/articles/PMC11395682/" TargetMode="External"/><Relationship Id="rId55" Type="http://schemas.openxmlformats.org/officeDocument/2006/relationships/hyperlink" Target="https://libkey.io/libraries/480/10.3390/jcm13174983" TargetMode="External"/><Relationship Id="rId56" Type="http://schemas.openxmlformats.org/officeDocument/2006/relationships/hyperlink" Target="https://pubmed.ncbi.nlm.nih.gov/27134017/" TargetMode="External"/><Relationship Id="rId57" Type="http://schemas.openxmlformats.org/officeDocument/2006/relationships/hyperlink" Target="https://pubmed.ncbi.nlm.nih.gov/28609356/" TargetMode="External"/><Relationship Id="rId58" Type="http://schemas.openxmlformats.org/officeDocument/2006/relationships/hyperlink" Target="https://pubmed.ncbi.nlm.nih.gov/28609357/" TargetMode="External"/><Relationship Id="rId59" Type="http://schemas.openxmlformats.org/officeDocument/2006/relationships/hyperlink" Target="https://doi.org/10.1097/MPA.0000000000000846" TargetMode="External"/><Relationship Id="rId60" Type="http://schemas.openxmlformats.org/officeDocument/2006/relationships/hyperlink" Target="https://pmc.ncbi.nlm.nih.gov/articles/PMC5502737/" TargetMode="External"/><Relationship Id="rId61" Type="http://schemas.openxmlformats.org/officeDocument/2006/relationships/hyperlink" Target="https://libkey.io/libraries/480/10.1097/MPA.0000000000000846" TargetMode="External"/><Relationship Id="rId62" Type="http://schemas.openxmlformats.org/officeDocument/2006/relationships/hyperlink" Target="https://pubmed.ncbi.nlm.nih.gov/31856076/" TargetMode="External"/><Relationship Id="rId63" Type="http://schemas.openxmlformats.org/officeDocument/2006/relationships/hyperlink" Target="https://pubmed.ncbi.nlm.nih.gov/32015164/" TargetMode="External"/><Relationship Id="rId64" Type="http://schemas.openxmlformats.org/officeDocument/2006/relationships/hyperlink" Target="https://pubmed.ncbi.nlm.nih.gov/38851203/" TargetMode="External"/><Relationship Id="rId65" Type="http://schemas.openxmlformats.org/officeDocument/2006/relationships/hyperlink" Target="https://www.hrsa.gov/sites/default/files/hrsa/optn/adult-meld-exception-transplant-oncology-review-guidance.pdf" TargetMode="External"/><Relationship Id="rId66" Type="http://schemas.openxmlformats.org/officeDocument/2006/relationships/hyperlink" Target="https://pubmed.ncbi.nlm.nih.gov/35869798/" TargetMode="External"/><Relationship Id="rId67" Type="http://schemas.openxmlformats.org/officeDocument/2006/relationships/hyperlink" Target="https://pubmed.ncbi.nlm.nih.gov/30016989/" TargetMode="External"/><Relationship Id="rId68" Type="http://schemas.openxmlformats.org/officeDocument/2006/relationships/hyperlink" Target="https://pubmed.ncbi.nlm.nih.gov/28513896/" TargetMode="External"/><Relationship Id="rId69" Type="http://schemas.openxmlformats.org/officeDocument/2006/relationships/hyperlink" Target="https://doi.org/10.1002/jso.24670" TargetMode="External"/><Relationship Id="rId70" Type="http://schemas.openxmlformats.org/officeDocument/2006/relationships/hyperlink" Target="https://libkey.io/libraries/480/10.1002/jso.24670" TargetMode="External"/><Relationship Id="rId71" Type="http://schemas.openxmlformats.org/officeDocument/2006/relationships/hyperlink" Target="https://pubmed.ncbi.nlm.nih.gov/40778558/" TargetMode="External"/><Relationship Id="rId72" Type="http://schemas.openxmlformats.org/officeDocument/2006/relationships/hyperlink" Target="https://doi.org/10.1111/jne.70073" TargetMode="External"/><Relationship Id="rId73" Type="http://schemas.openxmlformats.org/officeDocument/2006/relationships/hyperlink" Target="https://pmc.ncbi.nlm.nih.gov/articles/PMC12488365/" TargetMode="External"/><Relationship Id="rId74" Type="http://schemas.openxmlformats.org/officeDocument/2006/relationships/hyperlink" Target="https://libkey.io/libraries/480/10.1111/jne.70073" TargetMode="External"/><Relationship Id="rId75" Type="http://schemas.openxmlformats.org/officeDocument/2006/relationships/hyperlink" Target="https://pubmed.ncbi.nlm.nih.gov/30218247/" TargetMode="External"/><Relationship Id="rId76" Type="http://schemas.openxmlformats.org/officeDocument/2006/relationships/hyperlink" Target="https://doi.org/10.1245/s10434-018-6751-8" TargetMode="External"/><Relationship Id="rId77" Type="http://schemas.openxmlformats.org/officeDocument/2006/relationships/hyperlink" Target="https://libkey.io/libraries/480/10.1245/s10434-018-6751-8" TargetMode="External"/><Relationship Id="rId78" Type="http://schemas.openxmlformats.org/officeDocument/2006/relationships/hyperlink" Target="https://pubmed.ncbi.nlm.nih.gov/29724520/"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HCC system roadmap v0.9</dc:title>
  <dc:subject>Hepatocellular 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2026-10-10T04:29:15.270Z</dcterms:created>
  <dcterms:modified xsi:type="dcterms:W3CDTF">2026-10-29T14:21:32Z</dcterms:modified>
</cp:coreProperties>
</file>

<file path=docProps/custom.xml><?xml version="1.0" encoding="utf-8"?>
<Properties xmlns="http://schemas.openxmlformats.org/officeDocument/2006/custom-properties" xmlns:vt="http://schemas.openxmlformats.org/officeDocument/2006/docPropsVTypes"/>
</file>