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Neuroendocrine liver metastases Standard / Guidance-Aligned Transplant Protocol V16</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spacing w:after="120"/>
      </w:pPr>
      <w:r>
        <w:rPr>
          <w:i/>
          <w:sz w:val="18"/>
        </w:rPr>
        <w:t xml:space="preserve">Standardized document set, 29 October 2026: this is the full-content document for the standard pathway. Questions for consensus: NELM_4_Standard_Pathway_Questions.docx. Decision discussion for all settings: NELM_7_Decision_Discussion.docx. Web page: https://drliuhao.github.io/mh-liver-pathways/transplant/nelm/</w:t>
      </w:r>
    </w:p>
    <w:p>
      <w:pPr>
        <w:pStyle w:val="Normal"/>
        <w:widowControl/>
      </w:pPr>
      <w:r>
        <w:t xml:space="preserve">Version 16  |  Revised 2026-10-29 09:21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NET liver metastases are not a standardized diagnosis in OPTN Policy 9.5. The December 2025 guidance supports NLRB consideration for selected unresectable GEP-NET liver metastases after resection of the primary and extrahepatic disease, at least 6 months without recurrence, G1/G2 well-differentiated biology, and negative metastatic workup within 3 months. Recommended score: MMaT-3.</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Extrahepatic solid-organ metastasis is a permanent exclusion from the guidance-supported exception pathway; eradicated nodal disease may be reconsidered only after at least 6 months without recurrence.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PROTOCOL A: STANDARD LIVER TRANSPLANT PROTOCOL FOR NEUROENDOCRINE TUMOR LIVER METASTASES (NETLM)</w:t>
      </w:r>
    </w:p>
    <w:p>
      <w:pPr>
        <w:pStyle w:val="Heading3"/>
        <w:keepNext/>
        <w:widowControl/>
      </w:pPr>
      <w:r>
        <w:t xml:space="preserve">1. Purpose and Scope</w:t>
      </w:r>
    </w:p>
    <w:p>
      <w:pPr>
        <w:pStyle w:val="Normal"/>
        <w:widowControl/>
        <w:numPr>
          <w:ilvl w:val="0"/>
          <w:numId w:val="3"/>
        </w:numPr>
      </w:pPr>
      <w:r>
        <w:t xml:space="preserve">Guideline comparison: selective transplant-centre and NLRB pathways exist for carefully staged well-differentiated NET liver metastases, but the locally reviewed NCCN Neuroendocrine and Adrenal Tumors v1.2026 (21 April 2026) categorizes LT as investigational rather than routine care. This protocol therefore describes a selective, multidisciplinary pathway and must not imply unanimous guideline endorsement. Record the anticipated incremental benefit over available nontransplant therapy and the local governance decision. The investigational wording is a retained discussion statement on MS-34, whose update is marked as in progress; it is not newly revised transplant evidence.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pPr>
      <w:r>
        <w:t xml:space="preserve">This protocol establishes the standard criteria and management pathway for liver transplantation (LT) in patients with unresectable neuroendocrine tumor liver metastases (NETLM) at UTHealth Houston. It is based on the Milan-NET criteria, UNOS/OPTN guidance, and AASLD/AST Practice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Heading3"/>
        <w:keepNext/>
        <w:widowControl/>
      </w:pPr>
      <w:r>
        <w:t xml:space="preserve">2. Patient Selection Criteria (Milan-NET Criteria)</w:t>
      </w:r>
    </w:p>
    <w:p>
      <w:pPr>
        <w:pStyle w:val="Normal"/>
        <w:widowControl/>
      </w:pPr>
      <w:r>
        <w:t xml:space="preserve">All of the following must be met:</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pPr>
      <w:r>
        <w:t xml:space="preserve">A. Tumor Biology</w:t>
      </w:r>
    </w:p>
    <w:p>
      <w:pPr>
        <w:pStyle w:val="Normal"/>
        <w:widowControl/>
        <w:numPr>
          <w:ilvl w:val="0"/>
          <w:numId w:val="3"/>
        </w:numPr>
      </w:pPr>
      <w:r>
        <w:t xml:space="preserve">Well-differentiated G1 or G2 NET, mitotic rate &lt;20 per 10 HPF and Ki-67 index &lt;20%, based on the primary tumor or liver metastasis</w:t>
      </w:r>
    </w:p>
    <w:p>
      <w:pPr>
        <w:pStyle w:val="Normal"/>
        <w:widowControl/>
        <w:numPr>
          <w:ilvl w:val="0"/>
          <w:numId w:val="3"/>
        </w:numPr>
      </w:pPr>
      <w:r>
        <w:t xml:space="preserve">Poorly differentiated neuroendocrine carcinoma and G3 disease are outside the guidance-supported exception pathway</w:t>
      </w:r>
    </w:p>
    <w:p>
      <w:pPr>
        <w:pStyle w:val="Normal"/>
        <w:widowControl/>
      </w:pPr>
      <w:r>
        <w:t xml:space="preserve">B. Primary Tumor</w:t>
      </w:r>
    </w:p>
    <w:p>
      <w:pPr>
        <w:pStyle w:val="Normal"/>
        <w:widowControl/>
        <w:numPr>
          <w:ilvl w:val="0"/>
          <w:numId w:val="3"/>
        </w:numPr>
      </w:pPr>
      <w:r>
        <w:t xml:space="preserve">Gastro-entero-pancreatic primary with portal-system drainage; lower rectal, esophageal, pulmonary, adrenal, and thyroid primaries are excluded by the December 2025 guidance</w:t>
      </w:r>
    </w:p>
    <w:p>
      <w:pPr>
        <w:pStyle w:val="Normal"/>
        <w:widowControl/>
        <w:numPr>
          <w:ilvl w:val="0"/>
          <w:numId w:val="3"/>
        </w:numPr>
      </w:pPr>
      <w:r>
        <w:t xml:space="preserve">Primary malignancy and any extrahepatic disease must be resected with no recurrence for at least 6 months before the MELD exception request; synchronous primary resection is not guidance-concordant</w:t>
      </w:r>
    </w:p>
    <w:p>
      <w:pPr>
        <w:pStyle w:val="Normal"/>
        <w:widowControl/>
      </w:pPr>
      <w:r>
        <w:t xml:space="preserve">C. Disease Burden and Stability</w:t>
      </w:r>
    </w:p>
    <w:p>
      <w:pPr>
        <w:pStyle w:val="Normal"/>
        <w:widowControl/>
        <w:numPr>
          <w:ilvl w:val="0"/>
          <w:numId w:val="3"/>
        </w:numPr>
      </w:pPr>
      <w:r>
        <w:t xml:space="preserve">Proposed local initial-cohort reference: hepatic tumor involvement &lt;50% of total liver volume, measured with a recorded method and uncertainty. Exactly 50% requires explicit OPEN committee adjudication; no national numerical burden requirement is implied.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Evidence provenance: &lt;50% is the Milan-derived preoperative selection reference used in the comparative series, not a validated biological cliff. Exactly 50% and any broader burden policy require an explicit institutional decision and current guidance check. Postoperative occult burden &gt;50% or G3 pathology does not validate knowingly selecting such patients.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Liver metastases must be unresectable after documented expert HPB review of complete clearance with acceptable functional remnant, including parenchyma-sparing, staged and ablation-assisted options. Record distribution and reasons for unresectability. If bilobar disease is retained as an institutional restriction, label it explicitly; do not assert that it is verbatim current NLRB language without checking the controlling document.</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numPr>
          <w:ilvl w:val="0"/>
          <w:numId w:val="3"/>
        </w:numPr>
      </w:pPr>
      <w:r>
        <w:t xml:space="preserve">Grade evidence boundary: use the verified guidance/local gate consistently as Ki-67 &lt;20%; exactly 20%, rounding or discordant differentiation requires expert pathology and allocation adjudication. Upper-G2 evidence is less secure than low-grade Milan-selected outcomes, but no universal Ki-67 &lt;10% exclusion is validated. Record the highest representative confirmed grade, differentiation, mitoses per 2 mm2 and the guidance-required mitotic expression. CLARINET's Ki-67 &lt;10% population and historical NEC survivors do not define LT eligibility.</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numPr>
          <w:ilvl w:val="0"/>
          <w:numId w:val="3"/>
        </w:numPr>
      </w:pPr>
      <w:r>
        <w:t xml:space="preserve">No active extrahepatic disease. A history of resected regional/perihilar nodal disease is not an automatic exemption: require documented complete clearance, the current guidance-specified recurrence-free observation interval and multidisciplinary confirmation. Do not use historical consensus wording to waive current allocation exclusions for extrahepatic solid-organ metastasis.</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Documented stable disease or response to therapy for ≥6 months prior to listing</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pPr>
      <w:r>
        <w:t xml:space="preserve">D. Patient Factors</w:t>
      </w:r>
    </w:p>
    <w:p>
      <w:pPr>
        <w:pStyle w:val="Normal"/>
        <w:widowControl/>
        <w:numPr>
          <w:ilvl w:val="0"/>
          <w:numId w:val="3"/>
        </w:numPr>
      </w:pPr>
      <w:r>
        <w:t xml:space="preserve">Age is a physiological-reserve and incremental-benefit review variable, not a proven absolute biological cutoff. The Milan criteria used in the 2022 comparative series specify age &lt;60 as a relative criterion; do not describe that version as age ≤55. Locally, age ≥60 triggers documented enhanced fitness, competing-risk and benefit assessment. This proposed local review trigger is distinct from OPTN allocation requirements.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Evaluate carcinoid heart disease with echocardiography and specialist cardiology review. Severe or haemodynamically important uncontrolled disease is a HOLD pending cardiac optimization and an acceptable operative-risk plan. Valve intervention should follow cardiac indications and multidisciplinary sequencing; mild/asymptomatic CHD is not by itself a universal mandate for pre-LT valve replacement.</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Standard liver transplant medical and psychosocial evaluation per AASLD/AST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Heading3"/>
        <w:keepNext/>
        <w:widowControl/>
      </w:pPr>
      <w:r>
        <w:t xml:space="preserve">3. Pre-Transplant Workup</w:t>
      </w:r>
    </w:p>
    <w:p>
      <w:pPr>
        <w:pStyle w:val="Normal"/>
        <w:widowControl/>
      </w:pPr>
      <w:r>
        <w:t xml:space="preserve">A. Oncologic Evaluation</w:t>
      </w:r>
    </w:p>
    <w:p>
      <w:pPr>
        <w:pStyle w:val="Normal"/>
        <w:widowControl/>
        <w:numPr>
          <w:ilvl w:val="0"/>
          <w:numId w:val="3"/>
        </w:numPr>
      </w:pPr>
      <w:r>
        <w:t xml:space="preserve">Histopathologic confirmation: biopsy with Ki-67 index, mitotic rate, synaptophysin, chromogranin A, and grading per WHO 2022 classification</w:t>
      </w:r>
    </w:p>
    <w:p>
      <w:pPr>
        <w:pStyle w:val="Normal"/>
        <w:widowControl/>
        <w:numPr>
          <w:ilvl w:val="0"/>
          <w:numId w:val="3"/>
        </w:numPr>
      </w:pPr>
      <w:r>
        <w:t xml:space="preserve">SSTR-PET/CT (⁶⁸Ga-DOTATATE or ⁶⁴Cu-DOTATATE) within 3 months of listing</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Consider FDG-PET/CT when G2/higher grade, rapid progression, discordant lesions or other findings suggest aggressive/SSTR-negative biology; document how the result will affect biopsy or selection. Baseline SSTR imaging plus high-quality anatomic staging remain essential. A blanket FDG-PET within 3 months for every candidate is a proposed local requirement only, not an NCCN recommendation verified in the available source.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Multiphasic CT or MRI of the abdomen/pelvis (arterial and portal venous phases)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Chest CT with or without contrast</w:t>
      </w:r>
    </w:p>
    <w:p>
      <w:pPr>
        <w:pStyle w:val="Normal"/>
        <w:widowControl/>
        <w:numPr>
          <w:ilvl w:val="0"/>
          <w:numId w:val="3"/>
        </w:numPr>
      </w:pPr>
      <w:r>
        <w:t xml:space="preserve">Select biochemical testing by primary site, functional syndrome and interpretability. Obtain urine or plasma 5-HIAA for symptomatic ileal/jejunal/cecal NET and consider it in asymptomatic metastatic midgut disease, with preparation/confounder review. Obtain other hormones when indicated; do not require a uniform chromogranin A/NSE/pancreatic-polypeptide panel. Biomarkers supplement imaging and pathology.</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Echocardiogram to evaluate for carcinoid heart disease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B. Transplant Evaluation</w:t>
      </w:r>
    </w:p>
    <w:p>
      <w:pPr>
        <w:pStyle w:val="Normal"/>
        <w:widowControl/>
        <w:numPr>
          <w:ilvl w:val="0"/>
          <w:numId w:val="3"/>
        </w:numPr>
      </w:pPr>
      <w:r>
        <w:t xml:space="preserve">Standard liver transplant evaluation per institutional protocol and AASLD/AST guidelines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current calculated MELD score calculation</w:t>
      </w:r>
    </w:p>
    <w:p>
      <w:pPr>
        <w:pStyle w:val="Normal"/>
        <w:widowControl/>
        <w:numPr>
          <w:ilvl w:val="0"/>
          <w:numId w:val="3"/>
        </w:numPr>
      </w:pPr>
      <w:r>
        <w:t xml:space="preserve">Obtain cardiopulmonary assessment, including echocardiographic right-heart and valve evaluation with specialist cardiology review. Order right-heart catheterization for a specific hemodynamic indication identified by the transplant/cardiology team; carcinoid syndrome alone is not a universal indication for invasive catheterization.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numPr>
          <w:ilvl w:val="0"/>
          <w:numId w:val="3"/>
        </w:numPr>
      </w:pPr>
      <w:r>
        <w:t xml:space="preserve">Psychosocial evaluation</w:t>
      </w:r>
    </w:p>
    <w:p>
      <w:pPr>
        <w:pStyle w:val="Normal"/>
        <w:widowControl/>
        <w:numPr>
          <w:ilvl w:val="0"/>
          <w:numId w:val="3"/>
        </w:numPr>
      </w:pPr>
      <w:r>
        <w:t xml:space="preserve">Infectious disease screening</w:t>
      </w:r>
    </w:p>
    <w:p>
      <w:pPr>
        <w:pStyle w:val="Heading3"/>
        <w:keepNext/>
        <w:widowControl/>
      </w:pPr>
      <w:r>
        <w:t xml:space="preserve">4. Observation Period and Waitlist Management</w:t>
      </w:r>
    </w:p>
    <w:p>
      <w:pPr>
        <w:pStyle w:val="Normal"/>
        <w:widowControl/>
        <w:numPr>
          <w:ilvl w:val="0"/>
          <w:numId w:val="3"/>
        </w:numPr>
      </w:pPr>
      <w:r>
        <w:t xml:space="preserve">Submit a non-standard NLRB exception request. For candidates meeting the December 2025 guidance criteria, the recommended score is MMaT-3; approval is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2LTFdPC9EaXNwbGF5VGV4dD48cmVjb3JkPjxyZWMtbnVtYmVyPjE8L3JlYy1udW1iZXI+PGZvcmVpZ24ta2V5cz48a2V5IGFwcD0iRU4iIGRiLWlkPSI1YWM5NTk2NS04ZWI5LTVmODMtOGU2Ni03Y2JkNGE1NjAyOWIiIHRpbWVzdGFtcD0iMTc5MzI4MzY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Minimum 6-month observation period with documented stable disease or response prior to activation on the waitlist</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numPr>
          <w:ilvl w:val="0"/>
          <w:numId w:val="3"/>
        </w:numPr>
      </w:pPr>
      <w:r>
        <w:t xml:space="preserve">Imaging surveillance every 3 months during the observation period:</w:t>
      </w:r>
    </w:p>
    <w:p>
      <w:pPr>
        <w:pStyle w:val="Normal"/>
        <w:widowControl/>
        <w:numPr>
          <w:ilvl w:val="0"/>
          <w:numId w:val="3"/>
        </w:numPr>
      </w:pPr>
      <w:r>
        <w:t xml:space="preserve">Multiphasic abdomen/pelvis CT or MRI</w:t>
      </w:r>
    </w:p>
    <w:p>
      <w:pPr>
        <w:pStyle w:val="Normal"/>
        <w:widowControl/>
        <w:numPr>
          <w:ilvl w:val="0"/>
          <w:numId w:val="3"/>
        </w:numPr>
      </w:pPr>
      <w:r>
        <w:t xml:space="preserve">Use FDG-PET/CT when grade, growth, suspected dedifferentiation, SSTR discordance or indeterminate lesions make the result clinically useful. There is no evidence-based universal six- or twelve-month FDG-PET schedule; any local calendar requires explicit agreement.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Repeat SSTR-PET/CT for a new clinical or imaging concern, equivocal conventional staging, relevant treatment planning, or the current allocation submission requirement. Do not impose an automatic six-month PET calendar on every waiting patient. Document the indication and whether conventional staging is adequate.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Somatostatin analog therapy (octreotide LAR 20–30 mg IM or lanreotide 120 mg SC every 4 weeks) should be continued during the waitlist period for functional tumors and may be continued for antiproliferative effect in nonfunctional tumors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Liver-directed therapies (TAE, TACE, TARE, or ablation) may be used as bridging therapy during the waitlist period</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pPr>
      <w:r>
        <w:t xml:space="preserve">Waitlist HOLD, reassessment and delisting:</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p>
    <w:p>
      <w:pPr>
        <w:pStyle w:val="Normal"/>
        <w:widowControl/>
        <w:numPr>
          <w:ilvl w:val="0"/>
          <w:numId w:val="3"/>
        </w:numPr>
      </w:pPr>
      <w:r>
        <w:t xml:space="preserve">Development of extrahepatic solid organ metastases → permanent delisting</w:t>
      </w:r>
    </w:p>
    <w:p>
      <w:pPr>
        <w:pStyle w:val="Normal"/>
        <w:widowControl/>
        <w:numPr>
          <w:ilvl w:val="0"/>
          <w:numId w:val="3"/>
        </w:numPr>
      </w:pPr>
      <w:r>
        <w:t xml:space="preserve">New suspicious lymph-node uptake or imaging findings: HOLD progression to LT and resolve with expert imaging/pathology review, including sampling when indicated. PET uptake alone does not prove nodal metastasis. Confirmed active extrahepatic disease is outside this pathway.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Confirmed hepatic progression requires HOLD and multidisciplinary reassessment of disease control, tumor burden, alternatives and expected transplant benefit. A burden above 50% is outside the proposed local standard initial cohort, not an independently established national delisting rule. Exactly 50% and any expansion require an explicit OPEN committee decision; do not reactivate solely because a numerical burden threshold is met.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2LTJdPC9EaXNwbGF5VGV4dD48cmVjb3JkPjxyZWMtbnVtYmVyPjI8L3JlYy1udW1iZXI+PGZvcmVpZ24ta2V5cz48a2V5IGFwcD0iRU4iIGRiLWlkPSI1YWM5NTk2NS04ZWI5LTVmODMtOGU2Ni03Y2JkNGE1NjAyOWIiIHRpbWVzdGFtcD0iMTc5MzI4MzY4Ni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</w:fldData>
        </w:fldChar>
      </w:r>
      <w:r>
        <w:instrText xml:space="preserve"> ADDIN EN.CITE.DATA </w:instrText>
      </w:r>
      <w:r>
        <w:fldChar w:fldCharType="end"/>
      </w:r>
      <w:r>
        <w:fldChar w:fldCharType="separate"/>
      </w:r>
      <w:r>
        <w:t xml:space="preserve">[V16-2]</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Tumor grade upgrade to G3 or poorly differentiated histology on repeat biopsy</w:t>
      </w:r>
    </w:p>
    <w:p>
      <w:pPr>
        <w:pStyle w:val="Heading3"/>
        <w:keepNext/>
        <w:widowControl/>
      </w:pPr>
      <w:r>
        <w:t xml:space="preserve">5. Surgical Procedure</w:t>
      </w:r>
    </w:p>
    <w:p>
      <w:pPr>
        <w:pStyle w:val="Normal"/>
        <w:widowControl/>
        <w:numPr>
          <w:ilvl w:val="0"/>
          <w:numId w:val="3"/>
        </w:numPr>
      </w:pPr>
      <w:r>
        <w:t xml:space="preserve">Deceased-donor whole-liver transplantation is the default. Living-donor transplantation may be considered in selected candidates after independent donor evaluation and donor-advocate review. The supporting evidence is limited to observational reports; conference-abstract sources are not sufficient support for donor-source selection.</w:t>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numPr>
          <w:ilvl w:val="0"/>
          <w:numId w:val="3"/>
        </w:numPr>
      </w:pPr>
      <w:r>
        <w:t xml:space="preserve">Cholecystectomy of the native liver at the time of hepatectomy</w:t>
      </w:r>
    </w:p>
    <w:p>
      <w:pPr>
        <w:pStyle w:val="Normal"/>
        <w:widowControl/>
        <w:numPr>
          <w:ilvl w:val="0"/>
          <w:numId w:val="3"/>
        </w:numPr>
      </w:pPr>
      <w:r>
        <w:t xml:space="preserve">Intraoperative octreotide infusion should be available for management of carcinoid crisis; prophylactic octreotide is likely ineffective in preventing intraoperative carcinoid crisis, and its use should not delay vasopressor and fluid administration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Explant pathology: complete assessment of tumor burden, grade, margins, and vascular invasion</w:t>
      </w:r>
    </w:p>
    <w:p>
      <w:pPr>
        <w:pStyle w:val="Heading3"/>
        <w:keepNext/>
        <w:widowControl/>
      </w:pPr>
      <w:r>
        <w:t xml:space="preserve">6. Post-Transplant Immunosuppression</w:t>
      </w:r>
    </w:p>
    <w:p>
      <w:pPr>
        <w:pStyle w:val="Normal"/>
        <w:widowControl/>
      </w:pPr>
      <w:r>
        <w:t xml:space="preserve">Induction:</w:t>
      </w:r>
    </w:p>
    <w:p>
      <w:pPr>
        <w:pStyle w:val="Normal"/>
        <w:widowControl/>
        <w:numPr>
          <w:ilvl w:val="0"/>
          <w:numId w:val="3"/>
        </w:numPr>
      </w:pPr>
      <w:r>
        <w:t xml:space="preserve">Methylprednisolone 500 mg IV intraoperatively, taper per institutional protocol</w:t>
      </w:r>
    </w:p>
    <w:p>
      <w:pPr>
        <w:pStyle w:val="Normal"/>
        <w:widowControl/>
        <w:numPr>
          <w:ilvl w:val="0"/>
          <w:numId w:val="3"/>
        </w:numPr>
      </w:pPr>
      <w:r>
        <w:t xml:space="preserve">Induction should follow the current institutional LT protocol. The AASLD/AST guideline supports considering basiliximab to permit delayed CNI initiation in selected patients requiring renal recovery; no NET-specific preferred induction agent is established. Induction choice is not anticancer prophylaxis.</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pPr>
      <w:r>
        <w:t xml:space="preserve">Maintenance (individualized institutional regimen; no NET-specific recurrence-prevention standard):</w:t>
      </w:r>
    </w:p>
    <w:p>
      <w:pPr>
        <w:pStyle w:val="Normal"/>
        <w:widowControl/>
        <w:numPr>
          <w:ilvl w:val="0"/>
          <w:numId w:val="3"/>
        </w:numPr>
      </w:pPr>
      <w:r>
        <w:t xml:space="preserve">Tacrolimus-based maintenance with targets set by the transplant team and transplant pharmacy according to rejection risk, renal function and infection status — not by this document. No NET-specific induction or maintenance regimen has been shown to reduce post-transplant recurrence. Regimens from trials in other tumour types are not transferable and must not be cited as NET-specific evidence.</w:t>
      </w:r>
    </w:p>
    <w:p>
      <w:pPr>
        <w:pStyle w:val="Normal"/>
        <w:widowControl/>
        <w:numPr>
          <w:ilvl w:val="0"/>
          <w:numId w:val="3"/>
        </w:numPr>
      </w:pPr>
      <w:r>
        <w:t xml:space="preserve">Everolimus may be considered after adequate wound healing and vascular stability, not before postoperative day 30 under the US adult-LT label, with timing and targets set by transplant pharmacy and the LT team.</w:t>
      </w:r>
      <w:r>
        <w:t xml:space="preserve"> </w:t>
      </w:r>
      <w:r>
        <w:t xml:space="preserve"> </w:t>
      </w:r>
      <w:r>
        <w:fldChar w:fldCharType="begin"/>
      </w:r>
      <w:r>
        <w:instrText xml:space="preserve"> ADDIN EN.CITE </w:instrText>
      </w:r>
      <w:r>
        <w:fldChar w:fldCharType="begin">
          <w:fldData>PEVuZE5vdGU+PENpdGU+PEF1dGhvcj5BZGFtPC9BdXRob3I+PFllYXI+MjAyNDwvWWVhcj48UmVjTnVtPjE0PC9SZWNOdW0+PERpc3BsYXlUZXh0PltWMTYtMTRdPC9EaXNwbGF5VGV4dD48cmVjb3JkPjxyZWMtbnVtYmVyPjE0PC9yZWMtbnVtYmVyPjxmb3JlaWduLWtleXM+PGtleSBhcHA9IkVOIiBkYi1pZD0iNWFjOTU5NjUtOGViOS01ZjgzLThlNjYtN2NiZDRhNTYwMjliIiB0aW1lc3RhbXA9IjE3OTMyODM2ODYiPjE0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</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Y8L1JlY051bT48RGlzcGxheVRleHQ+W1YxNi0xNl08L0Rpc3BsYXlUZXh0PjxyZWNvcmQ+PHJlYy1udW1iZXI+MTY8L3JlYy1udW1iZXI+PGZvcmVpZ24ta2V5cz48a2V5IGFwcD0iRU4iIGRiLWlkPSI1YWM5NTk2NS04ZWI5LTVmODMtOGU2Ni03Y2JkNGE1NjAyOWIiIHRpbWVzdGFtcD0iMTc5MzI4MzY4NiI+MTY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p>
    <w:p>
      <w:pPr>
        <w:pStyle w:val="Normal"/>
        <w:widowControl/>
        <w:numPr>
          <w:ilvl w:val="0"/>
          <w:numId w:val="3"/>
        </w:numPr>
      </w:pPr>
      <w:r>
        <w:t xml:space="preserve">Tacrolimus, adjunctive mycophenolate, mTOR conversion and steroid taper doses/timing are set by the current institutional LT protocol and transplant pharmacy. No NET-specific recurrence benefit or PRRT-compatible trough target is established. Do not carry TransMet-derived drug targets into this NET protocol as validated NET evidence.</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pPr>
      <w:r>
        <w:t xml:space="preserve">Rationale: mTOR inhibitors can reduce calcineurin-inhibitor exposure and have antitumor activity in other settings, but a NET-specific post-LT recurrence benefit is unproven. Use should not be described as mandatory oncologic prophylaxis.</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Heading3"/>
        <w:keepNext/>
        <w:widowControl/>
      </w:pPr>
      <w:r>
        <w:t xml:space="preserve">7. Post-Transplant Surveillance</w:t>
      </w:r>
    </w:p>
    <w:p>
      <w:pPr>
        <w:pStyle w:val="Normal"/>
        <w:widowControl/>
      </w:pPr>
      <w:r>
        <w:t xml:space="preserve">Oncologic Surveillance:</w:t>
      </w:r>
    </w:p>
    <w:p>
      <w:pPr>
        <w:pStyle w:val="Normal"/>
        <w:widowControl/>
        <w:numPr>
          <w:ilvl w:val="0"/>
          <w:numId w:val="3"/>
        </w:numPr>
      </w:pPr>
      <w:r>
        <w:t xml:space="preserve">Months 1–24: Every 3 months</w:t>
      </w:r>
    </w:p>
    <w:p>
      <w:pPr>
        <w:pStyle w:val="Normal"/>
        <w:widowControl/>
        <w:numPr>
          <w:ilvl w:val="0"/>
          <w:numId w:val="3"/>
        </w:numPr>
      </w:pPr>
      <w:r>
        <w:t xml:space="preserve">H&amp;P with symptom assessment</w:t>
      </w:r>
    </w:p>
    <w:p>
      <w:pPr>
        <w:pStyle w:val="Normal"/>
        <w:widowControl/>
        <w:numPr>
          <w:ilvl w:val="0"/>
          <w:numId w:val="3"/>
        </w:numPr>
      </w:pPr>
      <w:r>
        <w:t xml:space="preserve">Multiphasic abdomen/pelvis CT or MRI</w:t>
      </w:r>
    </w:p>
    <w:p>
      <w:pPr>
        <w:pStyle w:val="Normal"/>
        <w:widowControl/>
        <w:numPr>
          <w:ilvl w:val="0"/>
          <w:numId w:val="3"/>
        </w:numPr>
      </w:pPr>
      <w:r>
        <w:t xml:space="preserve">Chest CT as clinically indicated</w:t>
      </w:r>
    </w:p>
    <w:p>
      <w:pPr>
        <w:pStyle w:val="Normal"/>
        <w:widowControl/>
        <w:numPr>
          <w:ilvl w:val="0"/>
          <w:numId w:val="3"/>
        </w:numPr>
      </w:pPr>
      <w:r>
        <w:t xml:space="preserve">Biochemical markers (chromogranin A, 5-HIAA as indicated)</w:t>
      </w:r>
    </w:p>
    <w:p>
      <w:pPr>
        <w:pStyle w:val="Normal"/>
        <w:widowControl/>
        <w:numPr>
          <w:ilvl w:val="0"/>
          <w:numId w:val="3"/>
        </w:numPr>
      </w:pPr>
      <w:r>
        <w:t xml:space="preserve">Use anatomic CT/MRI-based surveillance with clinical and functional-marker review under an explicitly agreed post-LT schedule. Obtain SSTR-PET/CT when recurrence is suspected, anatomic findings are equivocal or receptor-directed treatment planning requires it; consider selected additional indications through the NET MDT. Routine SSTR-PET at 6 months, 12 months and annually for 5 years is not established by the reviewed NCCN source or by a NET-LT trial. Any intensified local calendar must be labelled as institutional consensus with its rationale.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Use FDG-PET/CT when grade, growth, suspected dedifferentiation, SSTR discordance or indeterminate lesions make the result clinically useful. There is no evidence-based universal six- or twelve-month FDG-PET schedule; any local calendar requires explicit agreement.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p>
    <w:p>
      <w:pPr>
        <w:pStyle w:val="Normal"/>
        <w:widowControl/>
        <w:numPr>
          <w:ilvl w:val="0"/>
          <w:numId w:val="3"/>
        </w:numPr>
      </w:pPr>
      <w:r>
        <w:t xml:space="preserve">Years 3–5: Every 6 months with the same imaging and laboratory panel</w:t>
      </w:r>
    </w:p>
    <w:p>
      <w:pPr>
        <w:pStyle w:val="Normal"/>
        <w:widowControl/>
        <w:numPr>
          <w:ilvl w:val="0"/>
          <w:numId w:val="3"/>
        </w:numPr>
      </w:pPr>
      <w:r>
        <w:t xml:space="preserve">Continue individualized long-term oncologic surveillance beyond year 10 when clinically appropriate; there is no validated safe stopping point. The Milan-selected comparative series documented recurrence as late as 204 months after LT. Imaging modality/frequency should be agreed by NET oncology and transplantation according to disease biology, prior recurrence and competing risks.</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pPr>
      <w:r>
        <w:t xml:space="preserve">Transplant Surveillance:</w:t>
      </w:r>
    </w:p>
    <w:p>
      <w:pPr>
        <w:pStyle w:val="Normal"/>
        <w:widowControl/>
        <w:numPr>
          <w:ilvl w:val="0"/>
          <w:numId w:val="3"/>
        </w:numPr>
      </w:pPr>
      <w:r>
        <w:t xml:space="preserve">Standard post-LT monitoring per institutional protocol (liver function tests, tacrolimus/everolimus levels, renal function, metabolic panel)</w:t>
      </w:r>
    </w:p>
    <w:p>
      <w:pPr>
        <w:pStyle w:val="Normal"/>
        <w:widowControl/>
        <w:numPr>
          <w:ilvl w:val="0"/>
          <w:numId w:val="3"/>
        </w:numPr>
      </w:pPr>
      <w:r>
        <w:t xml:space="preserve">Protocol liver biopsies as clinically indicated</w:t>
      </w:r>
    </w:p>
    <w:p>
      <w:pPr>
        <w:pStyle w:val="Heading3"/>
        <w:keepNext/>
        <w:widowControl/>
      </w:pPr>
      <w:r>
        <w:t xml:space="preserve">8. Management of Post-Transplant Recurrence</w:t>
      </w:r>
    </w:p>
    <w:p>
      <w:pPr>
        <w:pStyle w:val="Normal"/>
        <w:widowControl/>
      </w:pPr>
      <w:r>
        <w:t xml:space="preserve">Post-LT NET recurrence can be late and requires long-term follow-up. In Sposito et al., 32 patients with recurrence and at least 6 months of postrecurrence follow-up had median recurrence latency 82.9 months and 5-/10-year survival from recurrence of 76.3%/45.5%. These estimates describe the whole selected recurrent cohort, not only the late/resectable subgroup, and are not an expected individual outcome or a causal treatment effect. Selection, late-recurrence biology and resectability materially confound the results.</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Multidisciplinary tumor board review for all recurrences</w:t>
      </w:r>
    </w:p>
    <w:p>
      <w:pPr>
        <w:pStyle w:val="Normal"/>
        <w:widowControl/>
        <w:numPr>
          <w:ilvl w:val="0"/>
          <w:numId w:val="3"/>
        </w:numPr>
      </w:pPr>
      <w:r>
        <w:t xml:space="preserve">Consider complete salvage resection for technically resectable, biologically favourable recurrence after multidisciplinary review. In the 32-patient Sposito cohort, surgery versus other treatment was associated with 5-year postrecurrence survival of 90.9% versus 64.5% (P=.062), an unadjusted, non-significant overall comparison. Recurrence within 24 months is a risk marker, not a validated absolute prohibition on salvage.</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numPr>
          <w:ilvl w:val="0"/>
          <w:numId w:val="3"/>
        </w:numPr>
      </w:pPr>
      <w:r>
        <w:t xml:space="preserve">Peptide receptor radionuclide therapy after liver transplantation is INVESTIGATIONAL. It may be considered only for somatostatin-receptor-positive recurrence, case by case, after joint transplant-oncology, nuclear-medicine, hepatology and transplant-pharmacy review, and preferably within a prospective protocol or registry.</w:t>
      </w:r>
    </w:p>
    <w:p>
      <w:pPr>
        <w:pStyle w:val="Normal"/>
        <w:widowControl/>
        <w:numPr>
          <w:ilvl w:val="0"/>
          <w:numId w:val="3"/>
        </w:numPr>
      </w:pPr>
      <w:r>
        <w:t xml:space="preserve">Before investigational PRRT: confirm SSTR-positive disease; document marrow reserve, renal function, prior radionuclide/chemotherapy exposure and allograft status; agree serial monitoring and withholding/stopping rules with nuclear medicine, transplant and pharmacy teams. Consent must include potentially prolonged severe cytopenia, renal toxicity and uncertain graft safety. In the seven-case post-LT series, one patient had persistent platelets &lt;10×10^9/L after one cycle despite supportive treatment; no controlled survival benefit or validated transplant-specific dose/monitoring schedule was established.</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numPr>
          <w:ilvl w:val="0"/>
          <w:numId w:val="3"/>
        </w:numPr>
      </w:pPr>
      <w:r>
        <w:t xml:space="preserve">No immunosuppression regimen or trough target is established for concurrent use with PRRT. Continue the recipient's institutional regimen with individualized adjustment; do not specify a trough window for concurrent use. Response figures from small uncontrolled case series must not be used for counselling or entered as an expected outcome.</w:t>
      </w:r>
    </w:p>
    <w:p>
      <w:pPr>
        <w:pStyle w:val="Normal"/>
        <w:widowControl/>
        <w:numPr>
          <w:ilvl w:val="0"/>
          <w:numId w:val="3"/>
        </w:numPr>
      </w:pPr>
      <w:r>
        <w:t xml:space="preserve">Somatostatin analogs for functional tumors and/or antiproliferative effect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Liver-directed therapies for graft-confined recurrence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numPr>
          <w:ilvl w:val="0"/>
          <w:numId w:val="3"/>
        </w:numPr>
      </w:pPr>
      <w:r>
        <w:t xml:space="preserve">For post-LT recurrence, systemic options require individualized NET-oncology/transplant-pharmacy review of biology, prior therapy, organ function and interactions. Trials such as CABINET demonstrate activity in nontransplant progressive NET but do not establish post-LT safety, efficacy or dosing. Neither cabozantinib nor another drug is a mandatory pre-LT failure requirement.</w:t>
      </w:r>
      <w:r>
        <w:t xml:space="preserve"> </w:t>
      </w:r>
      <w:r>
        <w:t xml:space="preserve"> </w:t>
      </w:r>
      <w:r>
        <w:fldChar w:fldCharType="begin"/>
      </w:r>
      <w:r>
        <w:instrText xml:space="preserve"> ADDIN EN.CITE </w:instrText>
      </w:r>
      <w:r>
        <w:fldChar w:fldCharType="begin">
          <w:fldData>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NDAzOTk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TdHJvc2Jlcmc8L0F1dGhvcj48WWVhcj4yMDIxPC9ZZWFyPjxSZWNOdW0+MjA8L1JlY051bT48RGlzcGxheVRleHQ+W1YxNi0yMF08L0Rpc3BsYXlUZXh0PjxyZWNvcmQ+PHJlYy1udW1iZXI+MjA8L3JlYy1udW1iZXI+PGZvcmVpZ24ta2V5cz48a2V5IGFwcD0iRU4iIGRiLWlkPSI1YWM5NTk2NS04ZWI5LTVmODMtOGU2Ni03Y2JkNGE1NjAyOWIiIHRpbWVzdGFtcD0iMTc5MzI4MzY4NiI+MjA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TY8L1JlY051bT48RGlzcGxheVRleHQ+W1YxNi0xNl08L0Rpc3BsYXlUZXh0PjxyZWNvcmQ+PHJlYy1udW1iZXI+MTY8L3JlYy1udW1iZXI+PGZvcmVpZ24ta2V5cz48a2V5IGFwcD0iRU4iIGRiLWlkPSI1YWM5NTk2NS04ZWI5LTVmODMtOGU2Ni03Y2JkNGE1NjAyOWIiIHRpbWVzdGFtcD0iMTc5MzI4MzY4NiI+MTY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Chan 2025 · CABINET</w:t>
            </w:r>
            <w:r>
              <w:t xml:space="preserve"> </w:t>
            </w:r>
            <w:r>
              <w:t xml:space="preserve"> </w:t>
            </w:r>
            <w:r>
              <w:fldChar w:fldCharType="begin"/>
            </w:r>
            <w:r>
              <w:instrText xml:space="preserve"> ADDIN EN.CITE </w:instrText>
            </w:r>
            <w:r>
              <w:fldChar w:fldCharType="begin">
                <w:fldData>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NDAzOTkxPC91cmw+PC9yZWxhdGVkLXVybHM+PHBkZi11cmxzLz48L3VybHM+PC9yZWNvcmQ+PC9DaXRlPjwvRW5kTm90ZT4=</w:fldData>
              </w:fldChar>
            </w:r>
            <w:r>
              <w:instrText xml:space="preserve"> ADDIN EN.CITE.DATA </w:instrText>
            </w:r>
            <w:r>
              <w:fldChar w:fldCharType="end"/>
            </w:r>
            <w:r>
              <w:fldChar w:fldCharType="separate"/>
            </w:r>
            <w:r>
              <w:t xml:space="preserve">[V16-19]</w:t>
            </w:r>
            <w:r>
              <w:fldChar w:fldCharType="end"/>
            </w:r>
          </w:p>
          <w:p>
            <w:pPr>
              <w:pStyle w:val="Normal"/>
              <w:widowControl/>
              <w:spacing w:before="60" w:after="20"/>
            </w:pPr>
            <w:r>
              <w:t xml:space="preserve">Double-blind phase III trial at 62 US sites, 298 previously treated progressive well-/moderately differentiated advanced NET patients. Two independent randomised cohorts: extrapancreatic n=203 (134 cabozantinib/69 placebo), pancreatic n=95 (64/31). Required prior relevant PRRT/targeted therapy; grades 1–3 and ECOG 0–2 eligible; poorly differentiated NEC excluded. Twenty-four G3 patients overall. This is not a liver-only transplant-eligible population.</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Eligibility/design pp 654–656; PFS and OS pp 657–661; safety/Table 3 pp 661–663; limitations p 663.</w:t>
            </w:r>
          </w:p>
          <w:p>
            <w:pPr>
              <w:pStyle w:val="Normal"/>
              <w:widowControl/>
              <w:spacing w:before="60" w:after="20"/>
            </w:pPr>
            <w:r>
              <w:t xml:space="preserve">Review depth: All 13 pages of complete NEJM main article read, including Methods, Figures 1–2, Tables 1–3,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ITT by randomised cohort despite ten site misallocations (seven pancreatic enrolled as extra-pancreatic, three reverse); sensitivity analyses consistent. Time zero randomisation. Early stopping/unblinding August 2023; PFS median follow-up 10.2 and 13.8 months; OS follow-up 24.2 and 23.1 months. Safety populations 132/67 and 63/31. Extrapancreatic PFS 8.4 versus 3.9 months, HR 0.38 (95% CI 0.25–0.59), P&lt;0.001; pancreatic PFS 13.8 versus 4.4 months, HR 0.23 (0.12–0.42), P&lt;0.001. Confirmed partial response 7/134 (5%) versus 0/69; pancreatic 12/64 (19%) versus 0/31. No complete responses. No OS benefit established: extra-pancreatic median OS 21.9 versus 19.7 months, HR 0.86 (0.56–1.31); pancreatic 40.0 versus 31.1, HR 0.95 (0.45–2.00). Immature OS, crossover and later therapies complicate interpretation. Treatment-related grade ≥3 adverse events 82/132 (62%) versus 18/67 (27%) and 41/63 (65%) versus 7/31 (23%). Dose reduction in 66%/68% cabozantinib arms; average daily dose around 38 mg despite 60 mg starting dose. Four extra-pancreatic cabozantinib recipients had deaths at least possibly treatment-related (gastric haemorrhage, cardiac arrest, two unspecified). Hypertension, fatigue, diarrhoea and thromboembolic events important. No grade 5 event in pancreatic cohort.</w:t>
            </w:r>
          </w:p>
          <w:p>
            <w:pPr>
              <w:pStyle w:val="Normal"/>
              <w:widowControl/>
              <w:spacing w:before="60" w:after="20"/>
            </w:pPr>
            <w:r>
              <w:rPr>
                <w:b/>
              </w:rPr>
              <w:t xml:space="preserve">Do not infer: </w:t>
            </w:r>
            <w:r>
              <w:t xml:space="preserve">High-quality randomised evidence for PFS in this late-line setting, but placebo comparator, early stopping and no proven OS advantage. Small G3 subgroup does not establish LT eligibility, nor does response to cabozantinib validate transplant downstaging. Not a comparison of LT against contemporary multimodal treatment in liver-only selected NET; post-LT safety was not studied. Quality-of-life results preliminary among questionnaire completers; no proven long-term QOL superiority. Supplement access: Supplementary Appendix, trial protocol, disclosure and data-sharing files not supplied in this PDF.</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Ni00XTwvRGlzcGxheVRleHQ+PHJlY29yZD48cmVjLW51bWJlcj40PC9yZWMtbnVtYmVyPjxmb3JlaWduLWtleXM+PGtleSBhcHA9IkVOIiBkYi1pZD0iNWFjOTU5NjUtOGViOS01ZjgzLThlNjYtN2NiZDRhNTYwMjliIiB0aW1lc3RhbXA9IjE3OTMyODM2ODY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[V16-4]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Caplin 2014 · CLARINET</w:t>
            </w:r>
            <w:r>
              <w:t xml:space="preserve"> </w:t>
            </w:r>
            <w:r>
              <w:t xml:space="preserve"> </w:t>
            </w:r>
            <w:r>
              <w:fldChar w:fldCharType="begin"/>
            </w:r>
            <w:r>
              <w:instrText xml:space="preserve"> ADDIN EN.CITE </w:instrText>
            </w:r>
            <w:r>
              <w:fldChar w:fldCharType="begin">
                <w:fldData>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TYxNTg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p>
          <w:p>
            <w:pPr>
              <w:pStyle w:val="Normal"/>
              <w:widowControl/>
              <w:spacing w:before="60" w:after="20"/>
            </w:pPr>
            <w:r>
              <w:t xml:space="preserve">Randomised double-blind phase III multinational trial, 204 patients: lanreotide 120 mg every 28 days n=101 versus placebo n=103 for 96 weeks. Nonfunctioning (controlled gastrinoma allowed), SSTR-positive advanced enteropancreatic NET, well/moderately differentiated with stated Ki-67 &lt;10%; most treatment-naïve (84%) and stable in prior 3–6 months (96%). Thirty-three percent had &gt;25% hepatic tumour volume. Not a refractory, liver-only LT-eligible cohort.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Eligibility pp 225–226; endpoint/time origin p 227; outcomes pp 228–230; toxicity Table 3 p 231; limitations p 232.</w:t>
            </w:r>
          </w:p>
          <w:p>
            <w:pPr>
              <w:pStyle w:val="Normal"/>
              <w:widowControl/>
              <w:spacing w:before="60" w:after="20"/>
            </w:pPr>
            <w:r>
              <w:t xml:space="preserve">Review depth: Complete ten-page NEJM main article read, including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204 ITT and safety. Primary PFS time starts at first injection; OS from randomisation. Thirty-two PFS events (30 progressions, two deaths) versus 60 (58 progressions, two deaths). Median exposure 24 months versus 15 months. Median PFS not reached versus 18.0 months; HR 0.47 (95% CI 0.30–0.73), P&lt;0.001. Kaplan–Meier 24-month PFS 65.1% versus 33.0%. No significant OS or quality-of-life difference demonstrated; follow-up/crossover constrain OS interpretation. Treatment-related diarrhoea 26/101 versus 9/103; cholelithiasis 10/101 versus 3/103; hyperglycaemia 5/101 versus 0. Serious treatment-related adverse events affected three versus one patient; withdrawal for any AE three in each arm. The discrete week-96 treatment-success measure 53/101 versus 26/103 differs from KM 24-month PFS because withdrawals were counted as failures; do not mix these estimates.</w:t>
            </w:r>
          </w:p>
          <w:p>
            <w:pPr>
              <w:pStyle w:val="Normal"/>
              <w:widowControl/>
              <w:spacing w:before="60" w:after="20"/>
            </w:pPr>
            <w:r>
              <w:rPr>
                <w:b/>
              </w:rPr>
              <w:t xml:space="preserve">Do not infer: </w:t>
            </w:r>
            <w:r>
              <w:t xml:space="preserve">Strong PFS evidence for indolent low-grade SSTR-positive disease, not validation for Ki-67 10–20%, rapidly progressive disease or NET transplantation. No direct LT comparator, curative claim, high-burden transplant threshold or mandate to fail SSA before considering LT. Hepatic-volume dichotomy &gt;25% versus ≤25% was a posthoc simplification of predefined strata; no LT-specific 25% decision cutoff follows. Supplement access: Supplementary Appendix and separate protocol/statistical analysis plan not included.</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E8L1JlY051bT48RGlzcGxheVRleHQ+W1YxNi0yMV08L0Rpc3BsYXlUZXh0PjxyZWNvcmQ+PHJlYy1udW1iZXI+MjE8L3JlYy1udW1iZXI+PGZvcmVpZ24ta2V5cz48a2V5IGFwcD0iRU4iIGRiLWlkPSI1YWM5NTk2NS04ZWI5LTVmODMtOGU2Ni03Y2JkNGE1NjAyOWIiIHRpbWVzdGFtcD0iMTc5MzI4MzY4NiI+MjE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[V16-21]</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I8L1JlY051bT48RGlzcGxheVRleHQ+W1YxNi0yMl08L0Rpc3BsYXlUZXh0PjxyZWNvcmQ+PHJlYy1udW1iZXI+MjI8L3JlYy1udW1iZXI+PGZvcmVpZ24ta2V5cz48a2V5IGFwcD0iRU4iIGRiLWlkPSI1YWM5NTk2NS04ZWI5LTVmODMtOGU2Ni03Y2JkNGE1NjAyOWIiIHRpbWVzdGFtcD0iMTc5MzI4MzY4NiI+MjI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[V16-22]</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IzPC9SZWNOdW0+PERpc3BsYXlUZXh0PltWMTYtMjNdPC9EaXNwbGF5VGV4dD48cmVjb3JkPjxyZWMtbnVtYmVyPjIzPC9yZWMtbnVtYmVyPjxmb3JlaWduLWtleXM+PGtleSBhcHA9IkVOIiBkYi1pZD0iNWFjOTU5NjUtOGViOS01ZjgzLThlNjYtN2NiZDRhNTYwMjliIiB0aW1lc3RhbXA9IjE3OTMyODM2ODYiPjIz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[V16-23]</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Le Treut 2013 · ELTR</w:t>
            </w:r>
            <w:r>
              <w:t xml:space="preserve"> </w:t>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p>
          <w:p>
            <w:pPr>
              <w:pStyle w:val="Normal"/>
              <w:widowControl/>
              <w:spacing w:before="60" w:after="20"/>
            </w:pPr>
            <w:r>
              <w:t xml:space="preserve">Retrospective 35-centre/11-country ELTR case collection, 213 LT recipients 1982–2009 (approximately half the European NET transplants in that period). Mixed primary sites including bronchial, unknown and pancreas; 29 primary sites unknown before LT, 17 never found; 22 poorly differentiated cases. Baseline Ki-67 and treatment-response/stability data were too sparse for analysis. Eligibility differs fundamentally from current NLRB selection.</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Methods p 808; primary/burden/indication p 809; perioperative harms p 810; adjusted models p 811; Table 6 p 812; historical selection discussion pp 813–815.</w:t>
            </w:r>
          </w:p>
          <w:p>
            <w:pPr>
              <w:pStyle w:val="Normal"/>
              <w:widowControl/>
              <w:spacing w:before="60" w:after="20"/>
            </w:pPr>
            <w:r>
              <w:t xml:space="preserve">Review depth: Complete nine-page published paper read, including all eight tables, methods, outcome curves,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107 before 2000 and 106 during 2000–2009. Median liver-metastasis diagnosis-to-LT 25 months. Follow-up to December 2010; mean follow-up 56 months. Survival must be labelled by time zero: five-year OS 52% from LT versus 73% from liver-metastasis diagnosis; the latter contains pretransplant survivor selection. Five-year OS/DFS 52%/30%; median OS/DFS 67/24 months. In 2000–2009 subgroup, five-year OS/DFS 59%/39%. Three-month mortality 21/213 (10%). Retransplantation 24/213 (11%), including 16 early; early retransplant deaths 6/16. Thirty-seven (17%) died from early/late transplant complications without recurrence over follow-up. Whole-cohort multivariable adverse associations: major concurrent resection HR 3.1 (95% CI 1.9–5.3), poor differentiation HR 2.7 (1.5–4.7), hepatomegaly HR 2.3 (1.5–3.7). Hepatomegaly was retrospectively explant size ≥125% predicted liver volume, not simply tumour replacement &gt;50%. Post-2000 model: hepatomegaly HR 2.6 (1.3–5.1), P=0.006; age &gt;45 HR 2.0 (0.9–4.3), P=0.073; any concurrent resection HR 1.9 (1.0–3.7), P=0.058. The latter two are not conventionally statistically significant despite abstract language. Univariate five-year OS ≤50% burden 61% (109 patients) versus &gt;50% 42% (91); estimated &gt;80% group 42% (31). These are historical unadjusted outcomes, not a validated safe upper boundary. Node-positive 66 had five-year OS 41% versus 62% in 91 node-negative; location/clearance detail inadequate for a current eligibility rule. Poorly differentiated 22 had five-year OS 27%, not evidence for modern WD-G3. Nine LT indications followed severe TACE complications (four liver failure, five ischaemic cholangitis); historical rescue experience does not justify deliberate treatment injury.</w:t>
            </w:r>
          </w:p>
          <w:p>
            <w:pPr>
              <w:pStyle w:val="Normal"/>
              <w:widowControl/>
              <w:spacing w:before="60" w:after="20"/>
            </w:pPr>
            <w:r>
              <w:rPr>
                <w:b/>
              </w:rPr>
              <w:t xml:space="preserve">Do not infer: </w:t>
            </w:r>
            <w:r>
              <w:t xml:space="preserve">Strong era, centre and recipient selection, no non-LT comparator, incomplete data and extensive overlap with earlier European/French cohorts. No stable-versus-progressive or Ki-67 threshold validation. Historical poorly differentiated NEC should not be conflated with well-differentiated G3. Abstract says 30 minor concurrent resections, whereas Methods/Table 4 show 60 minor and 24 major (84 total). Histological category counts also have transcription discrepancies; prefer internally supported Table 6 whole-cohort categories. The post-2000 age threshold is exploratory, not an absolute age ban; authors explicitly warn against denying LT solely to older patients with hepatomegaly. Supplement access: No separate supplemental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Kjaer 2023 · eligible non-LT panNET</w:t>
            </w:r>
            <w:r>
              <w:t xml:space="preserve"> </w:t>
            </w:r>
            <w:r>
              <w:t xml:space="preserve"> </w:t>
            </w:r>
            <w:r>
              <w:fldChar w:fldCharType="begin"/>
            </w:r>
            <w:r>
              <w:instrText xml:space="preserve"> ADDIN EN.CITE </w:instrText>
            </w:r>
            <w:r>
              <w:fldChar w:fldCharType="begin">
                <w:fldData>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</w:fldData>
              </w:fldChar>
            </w:r>
            <w:r>
              <w:instrText xml:space="preserve"> ADDIN EN.CITE.DATA </w:instrText>
            </w:r>
            <w:r>
              <w:fldChar w:fldCharType="end"/>
            </w:r>
            <w:r>
              <w:fldChar w:fldCharType="separate"/>
            </w:r>
            <w:r>
              <w:t xml:space="preserve">[V16-24]</w:t>
            </w:r>
            <w:r>
              <w:fldChar w:fldCharType="end"/>
            </w:r>
          </w:p>
          <w:p>
            <w:pPr>
              <w:pStyle w:val="Normal"/>
              <w:widowControl/>
              <w:spacing w:before="60" w:after="20"/>
            </w:pPr>
            <w:r>
              <w:t xml:space="preserve">Retrospective Swedish tertiary-centre pan-NET cohort, 519 screened (2000–2021), 41 with resected primary, G1/G2, liver metastases and no extra-abdominal disease included. Sixteen satisfied one or more study-adapted LT definitions: Milan 11, ENETS 8, UNOS 13 (overlapping). These were not literal current allocation criteria: Milan age extended to &lt;65; two patients with suspicious persistent but stable regional nodes were counted UNOS-eligible after three-month follow-up.</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Methods/time zero p 341; modified eligibility definitions p 342; baseline/treatments/outcomes pp 343–344; interpretation/limitations pp 345–346.</w:t>
            </w:r>
          </w:p>
          <w:p>
            <w:pPr>
              <w:pStyle w:val="Normal"/>
              <w:widowControl/>
              <w:spacing w:before="60" w:after="20"/>
            </w:pPr>
            <w:r>
              <w:t xml:space="preserve">Review depth: Complete eight-page published main paper read, including all methods, tables,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Time zero set at eligibility for each LT-criteria group; otherwise after first centre visit, primary resection and liver metastasis presence. Mean follow-up 5.4 years; 23 deaths. No actual LT comparator. Eligibility time zero reduces one form of immortal-time bias but retrospective selection remains. All 41: median OS 9.3 years (95% CI 6.8–11.7); five-year OS 64.7% (48.2–81.2). Milan-adapted n=11 five-year OS 64.9% (32.2–97.6); ENETS n=8 85.7% (59.8–100); UNOS-adapted n=13 55.4% (26.0–84.8). Treatment was multimodal, not medical therapy alone: five hepatic resections, 15 ablations, six embolizations, systemic therapy in 40 and later-line PRRT. No standardised toxicity or quality-of-life comparison reported. Most patients had small maximum lesions (overall median 1.5 cm); eligibility/low-burden biology differs from refractory high-burden transplant candidates.</w:t>
            </w:r>
          </w:p>
          <w:p>
            <w:pPr>
              <w:pStyle w:val="Normal"/>
              <w:widowControl/>
              <w:spacing w:before="60" w:after="20"/>
            </w:pPr>
            <w:r>
              <w:rPr>
                <w:b/>
              </w:rPr>
              <w:t xml:space="preserve">Do not infer: </w:t>
            </w:r>
            <w:r>
              <w:t xml:space="preserve">Very small overlapping subgroups, broad CIs, nonrandom historical comparisons; cannot conclude non-LT superiority or that LT is ineffective. Study-adapted UNOS/Milan rules and old ENETS 2012 definitions should not be relabelled as current guidance. A stable suspicious node is not proof of cleared extrahepatic disease. Some percentages/table entries are internally inconsistent; use counts and survival estimates rather than erroneous derived percentages. Source authors' strong anti-LT conclusion exceeds what this uncontrolled non-LT series can establish. Supplement access: No supplementary file cited.</w:t>
            </w:r>
          </w:p>
        </w:tc>
      </w:tr>
      <w:tr>
        <w:trPr/>
        <w:tc>
          <w:tcPr>
            <w:tcW w:w="3400" w:type="dxa"/>
            <w:tcMar>
              <w:top w:w="90" w:type="dxa"/>
              <w:left w:w="90" w:type="dxa"/>
              <w:bottom w:w="90" w:type="dxa"/>
              <w:right w:w="90" w:type="dxa"/>
            </w:tcMar>
          </w:tcPr>
          <w:p>
            <w:pPr>
              <w:pStyle w:val="Normal"/>
              <w:widowControl/>
              <w:spacing w:before="60" w:after="20"/>
            </w:pPr>
            <w:r>
              <w:rPr>
                <w:b/>
              </w:rPr>
              <w:t xml:space="preserve">Maspero 2022 · Milan long-term</w:t>
            </w:r>
            <w:r>
              <w:t xml:space="preserve"> </w:t>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p>
          <w:p>
            <w:pPr>
              <w:pStyle w:val="Normal"/>
              <w:widowControl/>
              <w:spacing w:before="60" w:after="20"/>
            </w:pPr>
            <w:r>
              <w:t xml:space="preserve">Single-centre retrospective analysis of consecutive prospective surgical series 1984–2019: 53 LT and 96 LR; 48 LT/56 LR met Milan criteria on preoperative staging. Criteria: portal-drained resected primary, G1/G2, &lt;50% burden, no extrahepatic disease, ≥6-month stability, age &lt;60 relative. Required ≥6 months postoperative follow-up. Resection versus LT chosen for technical feasibility; estimated &gt;3% perioperative mortality for complex regenerative resection was this centre's definition, not a validated universal threshold.</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Methods/Milan definitions p 2599; outcomes p 2600; nodal analysis p 2601; Tables 2–3 p 2602; limitations pp 2605–2606.</w:t>
            </w:r>
          </w:p>
          <w:p>
            <w:pPr>
              <w:pStyle w:val="Normal"/>
              <w:widowControl/>
              <w:spacing w:before="60" w:after="20"/>
            </w:pPr>
            <w:r>
              <w:t xml:space="preserve">Review depth: Complete ten-page main paper read. All numerical results were taken from the labelled text/tables rather than estimating plotted curves.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OS/DFS from surgery, not listing or primary diagnosis. Median follow-up 158 months LT and 126 LR. Time primary resection-to-liver surgery 38.5 versus 6.5 months, introducing major test-of-time selection. Five-/ten-year OS 95.5%/93% LT versus 90%/75% LR; ten-year DFS 52% versus 18%. LT-associated univariate HR for OS 0.35 (0.16–0.78), not an adjusted causal effect. Recurrence 25/48 LT versus 42/56 LR; median time to recurrence among recurrence cases 78 versus 24 months, not median DFS for the entire group. LT recurrence range 13–204 months demonstrates very late risk. LT recurrence more often multisite (12/25 versus 5/42), nodal/bone; LR mostly involved liver (37/42 versus 2/25). Postrecurrence five-year survival 72% versus 69%. Nine deaths after LT: three NET-related and six other causes (three new solid cancers, sepsis, lymphoproliferative disease, cardiovascular event). Perioperative risk cannot be assessed reliably from a cohort requiring six-month follow-up. Despite preoperative Milan selection, postoperative Table 2 includes seven &gt;50% burden, two G3 and 16 hilar node-positive LT recipients. This is pathological upstaging/occult findings, not prospective validation of knowingly transplanting these categories. Hilar node positivity was associated with worse OS in a univariate LT analysis, HR 5.7 (1.3–24), P=0.004. DFS HR 2.6 (1.1–5.9) is printed with P=0.22, an internal inconsistency; do not silently correct to 0.022.</w:t>
            </w:r>
          </w:p>
          <w:p>
            <w:pPr>
              <w:pStyle w:val="Normal"/>
              <w:widowControl/>
              <w:spacing w:before="60" w:after="20"/>
            </w:pPr>
            <w:r>
              <w:rPr>
                <w:b/>
              </w:rPr>
              <w:t xml:space="preserve">Do not infer: </w:t>
            </w:r>
            <w:r>
              <w:t xml:space="preserve">Historical single-centre nonrandom selection, no ITT or wait-list dropout data, imbalanced ages/burden/timing; overlap with Milan 2016 and later multicentre series. At least six-month postoperative follow-up criterion risks under-representing early harms. Univariate analyses cannot establish independent risk-adjusted benefit. Only four excluded high-burden cases and one excluded G3 at preoperative selection; failure to find associations in tiny posthoc groups does not validate expanded eligibility. No LT patient &gt;60 was added in the age-expanded comparison (LT remained 48, LR increased to 89), so this is not direct evidence for LT above 60. Supplement access: No separate supplemental file cited; figures and all tables included.</w:t>
            </w:r>
          </w:p>
        </w:tc>
      </w:tr>
      <w:tr>
        <w:trPr/>
        <w:tc>
          <w:tcPr>
            <w:tcW w:w="3400" w:type="dxa"/>
            <w:tcMar>
              <w:top w:w="90" w:type="dxa"/>
              <w:left w:w="90" w:type="dxa"/>
              <w:bottom w:w="90" w:type="dxa"/>
              <w:right w:w="90" w:type="dxa"/>
            </w:tcMar>
          </w:tcPr>
          <w:p>
            <w:pPr>
              <w:pStyle w:val="Normal"/>
              <w:widowControl/>
              <w:spacing w:before="60" w:after="20"/>
            </w:pPr>
            <w:r>
              <w:rPr>
                <w:b/>
              </w:rPr>
              <w:t xml:space="preserve">Eshmuminov 2023 · LT versus resection</w:t>
            </w:r>
            <w:r>
              <w:t xml:space="preserve"> </w:t>
            </w:r>
            <w:r>
              <w:t xml:space="preserve"> </w:t>
            </w:r>
            <w:r>
              <w:fldChar w:fldCharType="begin"/>
            </w:r>
            <w:r>
              <w:instrText xml:space="preserve"> ADDIN EN.CITE </w:instrText>
            </w:r>
            <w:r>
              <w:fldChar w:fldCharType="begin">
                <w:fldData>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p>
          <w:p>
            <w:pPr>
              <w:pStyle w:val="Normal"/>
              <w:widowControl/>
              <w:spacing w:before="60" w:after="20"/>
            </w:pPr>
            <w:r>
              <w:t xml:space="preserve">Retrospective 15-centre study 1988–2021, 455 surgically treated patients (225 LT, 230 LR). Centre-specific selection varied. Propensity matching on age, grade and primary location yielded 96 LT and 96 R0-resected LR patients, with persistent marked lesion-number imbalance. Prior systemic treatment details were unavailable. Twenty-seven percent of LT patients lacked grade; only 10 overall LT recipients had G3, without modern WD-G3 versus NEC discrimination.</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Methods e1064; unmatched outcomes/Table 1 e1065; grading e1066; matched Results/Table 4 e1067 and Figure 3 e1068; limitations e1069.</w:t>
            </w:r>
          </w:p>
          <w:p>
            <w:pPr>
              <w:pStyle w:val="Normal"/>
              <w:widowControl/>
              <w:spacing w:before="60" w:after="20"/>
            </w:pPr>
            <w:r>
              <w:t xml:space="preserve">Review depth: All nine pages of the complete published main paper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OS/PFS start at operation, not diagnosis, eligibility or treatment assignment; median follow-up 97 months overall, 93 LT and 102 LR. No all-screened or wait-list comparison. Matched analysis n=192. Use main Results/Figure 3, not contradictory abstract: matched five-year OS 75% LT versus 68.3% LR; median OS 205 versus 120 months; HR 0.56 (95% CI 0.35–0.90), P=0.015. Matched five-year PFS 64.2% versus 14.2%; median 107 versus 18 months; HR 0.25 (0.16–0.39). Matched outside-Milan comparison HR 0.64 (0.31–1.33), P=0.24: uncertain benefit, not proof of no benefit. Matched within-Milan HR 0.18 (0.06–0.52). Among LT recipients, G2 versus G1 adjusted OS HR 2.52 (1.15–5.52); five-year OS 70.0% versus 92.9%. Median-derived Ki-67 split 5% is exploratory, not a validated new exclusion threshold. 90-day mortality 13/225 (5.8%) LT versus 3/230 (1.3%) LR overall; matched 7/96 (7.3%) versus 2/96 (2.1%).</w:t>
            </w:r>
          </w:p>
          <w:p>
            <w:pPr>
              <w:pStyle w:val="Normal"/>
              <w:widowControl/>
              <w:spacing w:before="60" w:after="20"/>
            </w:pPr>
            <w:r>
              <w:rPr>
                <w:b/>
              </w:rPr>
              <w:t xml:space="preserve">Do not infer: </w:t>
            </w:r>
            <w:r>
              <w:t xml:space="preserve">Abstract's matched five-year OS 73% versus 52.8%, median 197 versus 119 and HR 0.59 differ from the labelled main Results/Figure 3. Do not blend them. Retrospective selection, substantial missing grade/stage, broad historical era, residual confounding and surgery-time origin; cannot infer causal superiority over resection or modern nonoperative therapy for an individual. Main tables contain other transcription inconsistencies (e.g. grade count/percent, primary-site labels); use internally concordant main outcomes and state reporting limitations. Milan-centre patients overlap other Milan reports. G3 subset insufficient to support expansion. Post-LT mTOR discussion is extrapolative, not a comparative NET regimen trial. Supplement access: Supplementary Material 1, http://links.lww.com/SLA/E183, not included in this download.</w:t>
            </w:r>
          </w:p>
        </w:tc>
      </w:tr>
      <w:tr>
        <w:trPr/>
        <w:tc>
          <w:tcPr>
            <w:tcW w:w="3400" w:type="dxa"/>
            <w:tcMar>
              <w:top w:w="90" w:type="dxa"/>
              <w:left w:w="90" w:type="dxa"/>
              <w:bottom w:w="90" w:type="dxa"/>
              <w:right w:w="90" w:type="dxa"/>
            </w:tcMar>
          </w:tcPr>
          <w:p>
            <w:pPr>
              <w:pStyle w:val="Normal"/>
              <w:widowControl/>
              <w:spacing w:before="60" w:after="20"/>
            </w:pPr>
            <w:r>
              <w:rPr>
                <w:b/>
              </w:rPr>
              <w:t xml:space="preserve">Strosberg 2021 · NETTER-1 final OS</w:t>
            </w:r>
            <w:r>
              <w:t xml:space="preserve"> </w:t>
            </w:r>
            <w:r>
              <w:t xml:space="preserve"> </w:t>
            </w:r>
            <w:r>
              <w:fldChar w:fldCharType="begin"/>
            </w:r>
            <w:r>
              <w:instrText xml:space="preserve"> ADDIN EN.CITE </w:instrText>
            </w:r>
            <w:r>
              <w:fldChar w:fldCharType="begin">
                <w:fldData>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</w:fldData>
              </w:fldChar>
            </w:r>
            <w:r>
              <w:instrText xml:space="preserve"> ADDIN EN.CITE.DATA </w:instrText>
            </w:r>
            <w:r>
              <w:fldChar w:fldCharType="end"/>
            </w:r>
            <w:r>
              <w:fldChar w:fldCharType="separate"/>
            </w:r>
            <w:r>
              <w:t xml:space="preserve">[V16-20]</w:t>
            </w:r>
            <w:r>
              <w:fldChar w:fldCharType="end"/>
            </w:r>
          </w:p>
          <w:p>
            <w:pPr>
              <w:pStyle w:val="Normal"/>
              <w:widowControl/>
              <w:spacing w:before="60" w:after="20"/>
            </w:pPr>
            <w:r>
              <w:t xml:space="preserve">Open-label phase III trial, 231 randomised (117 Lu-177 DOTATATE plus octreotide/114 high-dose octreotide), 41 sites. Progressive advanced/inoperable SSTR-positive well-differentiated midgut NET, Ki-67 ≤20%, Karnofsky ≥60, progression on fixed-dose octreotide. No prior PRRT; marrow/renal/hepatic eligibility restrictions. Not a liver-only transplant population and not G3/NEC.</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Eligibility pp 1754–1755; statistical methods/time zero pp 1755–1756; trial flow p 1756; OS/crossover p 1757; RMST and safety p 1759; limitations pp 1760–1761.</w:t>
            </w:r>
          </w:p>
          <w:p>
            <w:pPr>
              <w:pStyle w:val="Normal"/>
              <w:widowControl/>
              <w:spacing w:before="60" w:after="20"/>
            </w:pPr>
            <w:r>
              <w:t xml:space="preserve">Review depth: Complete 12-page corrected main article read; first page explicitly states corrected version appeared 31 January 2022.</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360 assessed, 231 randomised; separate dosimetry 22 not randomised. ITT OS from randomisation. Safety 223: 111 Lu-177, 112 control because one misallocated patient received control. Median follow-up 76.3/76.5 months; final analysis January 2021 at five years after final enrolment, 142 rather than planned 158 deaths. Final OS 48.0 versus 36.3 months; HR 0.84 (95% CI 0.60–1.17), P=0.30. Five-year OS 37.1% versus 35.4%. OS superiority not established; the observed 11.7-month median difference is not proven treatment-attributable life extension. Control crossover to any PRRT 41/114 (36%); model-adjusted HR 0.73 (0.40–1.34) remains uncertain. Proportional-hazards assumption failed (P=0.03); five-year RMST difference 5.1 months (95% CI −0.5 to 10.7). Prior PFS benefit was maintained as context: regulatory baseline reanalysis HR 0.18 (0.11–0.29), versus original publication HR 0.21; these are reanalyses of the same early cutoff, not independent studies. Two of 111 developed MDS, one treatment-related death. No AML reported. Grade ≥3 nephrotoxicity regardless of causality six of 111 versus four of 112; late renal comparison has small surviving evaluable groups. Long-term adverse-event collection was asymmetric: treatment-related serious/special-interest AEs principally collected in Lu-177 group, not all AEs in both arms. Do not infer equal comprehensive late toxicity.</w:t>
            </w:r>
          </w:p>
          <w:p>
            <w:pPr>
              <w:pStyle w:val="Normal"/>
              <w:widowControl/>
              <w:spacing w:before="60" w:after="20"/>
            </w:pPr>
            <w:r>
              <w:rPr>
                <w:b/>
              </w:rPr>
              <w:t xml:space="preserve">Do not infer: </w:t>
            </w:r>
            <w:r>
              <w:t xml:space="preserve">Crossover, subsequent treatments, 20% missing due to withdrawal/loss and nonproportional hazards complicate OS inference. Failure to show OS superiority is not proof of no clinical benefit: PFS/QOL findings from earlier reports support treatment in the studied setting. No evidence about LT eligibility after PRRT response, post-LT PRRT safety or liver-only cure; these require separate evidence. Supplement access: Separate online appendix and earlier trial protocol not included; corrected main article is complete.</w:t>
            </w:r>
          </w:p>
        </w:tc>
      </w:tr>
      <w:tr>
        <w:trPr/>
        <w:tc>
          <w:tcPr>
            <w:tcW w:w="3400" w:type="dxa"/>
            <w:tcMar>
              <w:top w:w="90" w:type="dxa"/>
              <w:left w:w="90" w:type="dxa"/>
              <w:bottom w:w="90" w:type="dxa"/>
              <w:right w:w="90" w:type="dxa"/>
            </w:tcMar>
          </w:tcPr>
          <w:p>
            <w:pPr>
              <w:pStyle w:val="Normal"/>
              <w:widowControl/>
              <w:spacing w:before="60" w:after="20"/>
            </w:pPr>
            <w:r>
              <w:rPr>
                <w:b/>
              </w:rPr>
              <w:t xml:space="preserve">Chen 2026 · PRRT after LT</w:t>
            </w:r>
            <w:r>
              <w:t xml:space="preserve"> </w:t>
            </w:r>
            <w:r>
              <w:t xml:space="preserve"> </w:t>
            </w:r>
            <w:r>
              <w:fldChar w:fldCharType="begin"/>
            </w:r>
            <w:r>
              <w:instrText xml:space="preserve"> ADDIN EN.CITE </w:instrText>
            </w:r>
            <w:r>
              <w:fldChar w:fldCharType="begin">
                <w:fldData>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p>
          <w:p>
            <w:pPr>
              <w:pStyle w:val="Normal"/>
              <w:widowControl/>
              <w:spacing w:before="60" w:after="20"/>
            </w:pPr>
            <w:r>
              <w:t xml:space="preserve">Single-centre retrospective series. Of 859 liver transplants (November 2019–November 2024), 27 were for GEP-NET; all had &gt;50% hepatic tumour burden. The centre permitted resection of the primary during LT or within three months afterward, so its stated NET-Milan label is not Milan-concordant. Seven patients with post-LT recurrence received PRRT April 2023–June 2025: three pancreatic and four rectal primaries, all actual Ki-67 values 4–15% (G2), age 30–57, tumour replacement 55–95% (median 80%). Rectal level was not specified.</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pp 1–6; printed pp 526–531. Methods pp 527–528; Tables 1–2 pp 528–529; toxicity and limitations pp 529–530.</w:t>
            </w:r>
          </w:p>
          <w:p>
            <w:pPr>
              <w:pStyle w:val="Normal"/>
              <w:widowControl/>
              <w:spacing w:before="60" w:after="20"/>
            </w:pPr>
            <w:r>
              <w:t xml:space="preserve">Review depth: Complete six-page main article read, including all tables, methods, results,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27 NET recipients: 15 recurrences by December 2025 and three deaths. The PRRT subset comprised seven selected patients; recurrence 3–9 months after LT and PRRT 6–42 months after LT. Response was assessed three months after completing PRRT; no cohort median follow-up, OS or PFS was reported. Seven PRRT recipients: one partial response, five stable disease, one progression; this is not an efficacy estimate suitable for counselling or comparison. All seven had nodal and bone disease, sometimes also graft, brain or renal involvement. One to four cycles, total 175–709 mCi. Two grade III, four grade II and one grade I myelosuppression were reported. One patient had persistent platelets &lt;10 ×10^9/L after a single 175 mCi cycle despite supportive treatment and never resumed PRRT; the severe platelet count and reported grade III label are discordant. Four patients had low-grade proteinuria. No acute rejection or severe hepatic/renal toxicity was observed in this selected, incompletely timed short follow-up; absence of observed events does not establish safety.</w:t>
            </w:r>
          </w:p>
          <w:p>
            <w:pPr>
              <w:pStyle w:val="Normal"/>
              <w:widowControl/>
              <w:spacing w:before="60" w:after="20"/>
            </w:pPr>
            <w:r>
              <w:rPr>
                <w:b/>
              </w:rPr>
              <w:t xml:space="preserve">Do not infer: </w:t>
            </w:r>
            <w:r>
              <w:t xml:space="preserve">Very small, uncontrolled, survivor-selected salvage series; no comparative OS, PFS or quality-of-life data. Extremely high pre-LT burden and primary surgery around/after LT preclude inference to guideline-concordant candidates. Table 1 is wrongly captioned as three aGVHD patients and donors despite presenting seven NET cases. Several citations do not support the linked PRRT/mTOR or toxicity claims. The stated rituximab induction should not be copied into an institutional regimen without independent verification. The platelet toxicity grading is internally discordant; do not relabel it definitively without individual data. Supplement access: No separate supplementary file was cited or supplied.</w:t>
            </w:r>
          </w:p>
        </w:tc>
      </w:tr>
      <w:tr>
        <w:trPr/>
        <w:tc>
          <w:tcPr>
            <w:tcW w:w="3400" w:type="dxa"/>
            <w:tcMar>
              <w:top w:w="90" w:type="dxa"/>
              <w:left w:w="90" w:type="dxa"/>
              <w:bottom w:w="90" w:type="dxa"/>
              <w:right w:w="90" w:type="dxa"/>
            </w:tcMar>
          </w:tcPr>
          <w:p>
            <w:pPr>
              <w:pStyle w:val="Normal"/>
              <w:widowControl/>
              <w:spacing w:before="60" w:after="20"/>
            </w:pPr>
            <w:r>
              <w:rPr>
                <w:b/>
              </w:rPr>
              <w:t xml:space="preserve">Frilling 2014</w:t>
            </w:r>
            <w:r>
              <w:t xml:space="preserve"> </w:t>
            </w:r>
            <w:r>
              <w:t xml:space="preserve"> </w:t>
            </w:r>
            <w:r>
              <w:fldChar w:fldCharType="begin"/>
            </w:r>
            <w:r>
              <w:instrText xml:space="preserve"> ADDIN EN.CITE </w:instrText>
            </w:r>
            <w:r>
              <w:fldChar w:fldCharType="begin">
                <w:fldData>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</w:fldData>
              </w:fldChar>
            </w:r>
            <w:r>
              <w:instrText xml:space="preserve"> ADDIN EN.CITE.DATA </w:instrText>
            </w:r>
            <w:r>
              <w:fldChar w:fldCharType="end"/>
            </w:r>
            <w:r>
              <w:fldChar w:fldCharType="separate"/>
            </w:r>
            <w:r>
              <w:t xml:space="preserve">[V16-12]</w:t>
            </w:r>
            <w:r>
              <w:fldChar w:fldCharType="end"/>
            </w:r>
          </w:p>
          <w:p>
            <w:pPr>
              <w:pStyle w:val="Normal"/>
              <w:widowControl/>
              <w:spacing w:before="60" w:after="20"/>
            </w:pPr>
            <w:r>
              <w:t xml:space="preserve">2012 London multidisciplinary consensus with systematic searches through October 2012, published 2014; not a new LT cohort.</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PDF pp 1–3 recommendations; pp 5–7 diagnosis/resection; p 8 (printed e15) LT section; pp 10–11 research priorities/search limitations.</w:t>
            </w:r>
          </w:p>
          <w:p>
            <w:pPr>
              <w:pStyle w:val="Normal"/>
              <w:widowControl/>
              <w:spacing w:before="60" w:after="20"/>
            </w:pPr>
            <w:r>
              <w:t xml:space="preserve">Review depth: Complete 14-page main consensus review read, including panels, figures, methods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LT recommendations rest on low-quality observational evidence. The paper explicitly says proposed NET selection criteria were not prospectively validated; downstaging had not been assessed.; Historical LT section lists poor differentiation, non-portal primary, extrahepatic disease except perihilar nodes, and severe carcinoid heart disease among exclusions. The wording varies between panel and narrative and must not overrule modern NLRB node clearance and observation requirements.; Carcinoid cardiac contraindication refers to severe disease, not every echocardiographic abnormality. It does not establish mandatory valve replacement for all CHD.; Molecular/anatomic staging and representative pathology are useful principles, but therapeutic discussion predates CLARINET, NETTER-1, CABINET and modern WD G3/NEC differentiation.</w:t>
            </w:r>
          </w:p>
          <w:p>
            <w:pPr>
              <w:pStyle w:val="Normal"/>
              <w:widowControl/>
              <w:spacing w:before="60" w:after="20"/>
            </w:pPr>
            <w:r>
              <w:rPr>
                <w:b/>
              </w:rPr>
              <w:t xml:space="preserve">Do not infer: </w:t>
            </w:r>
            <w:r>
              <w:t xml:space="preserve">Consensus/low-certainty evidence; older grading, imaging and systemic-treatment context. No new comparative LT outcomes.; Absence of unresectable extrahepatic disease in older wording is not permission for known active nodes in a current standard pathway.; Generic liver-resection FLR language is not a validated LT benefit criterion.</w:t>
            </w:r>
          </w:p>
        </w:tc>
      </w:tr>
      <w:tr>
        <w:trPr/>
        <w:tc>
          <w:tcPr>
            <w:tcW w:w="3400" w:type="dxa"/>
            <w:tcMar>
              <w:top w:w="90" w:type="dxa"/>
              <w:left w:w="90" w:type="dxa"/>
              <w:bottom w:w="90" w:type="dxa"/>
              <w:right w:w="90" w:type="dxa"/>
            </w:tcMar>
          </w:tcPr>
          <w:p>
            <w:pPr>
              <w:pStyle w:val="Normal"/>
              <w:widowControl/>
              <w:spacing w:before="60" w:after="20"/>
            </w:pPr>
            <w:r>
              <w:rPr>
                <w:b/>
              </w:rPr>
              <w:t xml:space="preserve">Gorji 2024</w:t>
            </w:r>
            <w:r>
              <w:t xml:space="preserve"> </w:t>
            </w:r>
            <w:r>
              <w:t xml:space="preserve"> </w:t>
            </w:r>
            <w:r>
              <w:fldChar w:fldCharType="begin"/>
            </w:r>
            <w:r>
              <w:instrText xml:space="preserve"> ADDIN EN.CITE </w:instrText>
            </w:r>
            <w:r>
              <w:fldChar w:fldCharType="begin">
                <w:fldData>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</w:fldData>
              </w:fldChar>
            </w:r>
            <w:r>
              <w:instrText xml:space="preserve"> ADDIN EN.CITE.DATA </w:instrText>
            </w:r>
            <w:r>
              <w:fldChar w:fldCharType="end"/>
            </w:r>
            <w:r>
              <w:fldChar w:fldCharType="separate"/>
            </w:r>
            <w:r>
              <w:t xml:space="preserve">[V16-5]</w:t>
            </w:r>
            <w:r>
              <w:fldChar w:fldCharType="end"/>
            </w:r>
          </w:p>
          <w:p>
            <w:pPr>
              <w:pStyle w:val="Normal"/>
              <w:widowControl/>
              <w:spacing w:before="60" w:after="20"/>
            </w:pPr>
            <w:r>
              <w:t xml:space="preserve">Narrative review; no new patient cohort or meta-analysis.</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pp 213–216 Tables 2–3, Figure 2, CRLM/NET and allocation sections; references pp 217–218.</w:t>
            </w:r>
          </w:p>
          <w:p>
            <w:pPr>
              <w:pStyle w:val="Normal"/>
              <w:widowControl/>
              <w:spacing w:before="60" w:after="20"/>
            </w:pPr>
            <w:r>
              <w:t xml:space="preserve">Review depth: Complete eight-page narrative review read, including tables, figures/captions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Useful historical synthesis, not a substitute for current allocation guidance or primary trial denominators.; Table 2 p 213 distinguishes Milan NET age &lt;60 (relative), &lt;50% burden and &gt;6-month stability from other guidance; Figure 2 p 215 imports older risk flags (Ki-67 &gt;10%, observation &lt;12 months), which are not proven universal gates.; CRLM p 214 uses IHPBA BRAF V600E and historical CEA/PET language; these are not interchangeable with current NLRB all-BRAF and CEA rules.</w:t>
            </w:r>
          </w:p>
          <w:p>
            <w:pPr>
              <w:pStyle w:val="Normal"/>
              <w:widowControl/>
              <w:spacing w:before="60" w:after="20"/>
            </w:pPr>
            <w:r>
              <w:rPr>
                <w:b/>
              </w:rPr>
              <w:t xml:space="preserve">Do not infer: </w:t>
            </w:r>
            <w:r>
              <w:t xml:space="preserve">The paper says no iCCA/CRLM MELD exceptions and uses older allocation sources: outdated for 2026.; NET ELTR sentence p 216 reverses pre-/post-2000 five-year OS (46% versus 59%); primary ELTR shows better post-2000 outcome.; SECA-II DFS labels p 215 use 1/3/5 years although the primary paper reports 1/2/3 years for 53/44/35%.; Do not count review citations as independent outcome data or adopt Figure 2 Ki-67/observation cutoffs over current evidence.</w:t>
            </w:r>
          </w:p>
        </w:tc>
      </w:tr>
      <w:tr>
        <w:trPr/>
        <w:tc>
          <w:tcPr>
            <w:tcW w:w="3400" w:type="dxa"/>
            <w:tcMar>
              <w:top w:w="90" w:type="dxa"/>
              <w:left w:w="90" w:type="dxa"/>
              <w:bottom w:w="90" w:type="dxa"/>
              <w:right w:w="90" w:type="dxa"/>
            </w:tcMar>
          </w:tcPr>
          <w:p>
            <w:pPr>
              <w:pStyle w:val="Normal"/>
              <w:widowControl/>
              <w:spacing w:before="60" w:after="20"/>
            </w:pPr>
            <w:r>
              <w:rPr>
                <w:b/>
              </w:rPr>
              <w:t xml:space="preserve">NCCN Neuroendocrine and Adrenal Tumors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Ni0zXTwvRGlzcGxheVRleHQ+PHJlY29yZD48cmVjLW51bWJlcj4zPC9yZWMtbnVtYmVyPjxmb3JlaWduLWtleXM+PGtleSBhcHA9IkVOIiBkYi1pZD0iNWFjOTU5NjUtOGViOS01ZjgzLThlNjYtN2NiZDRhNTYwMjliIiB0aW1lc3RhbXA9IjE3OTMyODM2ODY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</w:fldData>
              </w:fldChar>
            </w:r>
            <w:r>
              <w:instrText xml:space="preserve"> ADDIN EN.CITE.DATA </w:instrText>
            </w:r>
            <w:r>
              <w:fldChar w:fldCharType="end"/>
            </w:r>
            <w:r>
              <w:fldChar w:fldCharType="separate"/>
            </w:r>
            <w:r>
              <w:t xml:space="preserve">[V16-3]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MS-34, PDF 178; NET-8 PDF 26; PanNET-11 PDF 43; MS-12 PDF 156; NE-B2 PDF 73; NE-B1 PDF 72; MS-13 PDF 157; NE-B2 PDF 73; NE-D2 PDF 85; NE-K2 PDF 123; MS-13 PDF 157; NE-D2 PDF 85; NE-K1 PDF 122; change log PDF 11 and 16; NET-9 PDF 27; update log PDF 5; MS-12/13 PDF 156–157</w:t>
            </w:r>
          </w:p>
          <w:p>
            <w:pPr>
              <w:pStyle w:val="Normal"/>
              <w:widowControl/>
              <w:spacing w:before="60" w:after="20"/>
            </w:pPr>
            <w:r>
              <w:t xml:space="preserve">Review depth: Relevant entire sections read in local complete PDF. Cover and LT page visually inspected. Not a whole-237-page review; no claim this is the latest edition available anywhere.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retains the discussion position categorizing LT for liver-limited well-differentiated G1/G2 GI/pancreatic NET metastases as investigational and not routine care. Visual inspection shows a watermark indicating that discussion updating is in progress. Identify this as a retained discussion statement, not newly revised 2026 transplant evidence. Keep it explicit beside selective NLRB exception eligibility and centre selection criteria; allocation eligibility is not unanimous clinical endorsement. Routine SSTR-based or FDG PET is not recommended for postresection surveillance. Long-term anatomic surveillance is supported, but these are non-LT schedules and do not establish a validated post-LT calendar. Use multiphasic anatomic imaging alongside SSTR PET to detect receptor-negative as well as receptor-positive disease; FDG PET remains selective for G2/higher or concerning biology. The 2026 page adds consistency of modality/contrast for follow-up and modified Krenning scoring. A high-uptake lesion score does not eliminate discordant SSTR-negative lesions. Cardiac evaluation includes valves and right-heart function with specialist review. Prehepatic-surgery valve replacement language concerns significant CHD, while hormone-control guidance indicates replacement for symptomatic disease. This does not require valve replacement for every mild/asymptomatic CHD abnormality. The 2026 revision states that prophylactic octreotide is probably ineffective for preventing intraoperative crisis and that its administration should not delay vasopressor/fluid treatment. NE-K1 also allows selective prophylactic use while questioning routine use, so do not recast this as an absolute prohibition. For ileal/jejunal/cecal NETs, obtain 5-HIAA in symptomatic patients and consider it in asymptomatic metastatic disease. This is more specific than symptom-only testing, but still does not validate a universal broad marker panel or biochemical clearance as a transplant gate.</w:t>
            </w:r>
          </w:p>
          <w:p>
            <w:pPr>
              <w:pStyle w:val="Normal"/>
              <w:widowControl/>
              <w:spacing w:before="60" w:after="20"/>
            </w:pPr>
            <w:r>
              <w:rPr>
                <w:b/>
              </w:rPr>
              <w:t xml:space="preserve">Do not infer: </w:t>
            </w:r>
            <w:r>
              <w:t xml:space="preserve">Targeted relevant-section review, not a whole-guideline audit. Version verified from the PDF; no claim that no newer portal version exists. NET discussion retains an update-in-progress notice.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fldChar w:fldCharType="begin"/>
            </w:r>
            <w:r>
              <w:instrText xml:space="preserve"> ADDIN EN.CITE </w:instrText>
            </w:r>
            <w:r>
              <w:fldChar w:fldCharType="begin">
                <w:fldData>PEVuZE5vdGU+PENpdGU+PEF1dGhvcj5UZTwvQXV0aG9yPjxZZWFyPjIwMjU8L1llYXI+PFJlY051bT4xMzwvUmVjTnVtPjxEaXNwbGF5VGV4dD5bVjE2LTEzXTwvRGlzcGxheVRleHQ+PHJlY29yZD48cmVjLW51bWJlcj4xMzwvcmVjLW51bWJlcj48Zm9yZWlnbi1rZXlzPjxrZXkgYXBwPSJFTiIgZGItaWQ9IjVhYzk1OTY1LThlYjktNWY4My04ZTY2LTdjYmQ0YTU2MDI5YiIgdGltZXN0YW1wPSIxNzkzMjgzNjg2Ij4xMz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[V16-13]</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Kasai 2024</w:t>
            </w:r>
            <w:r>
              <w:t xml:space="preserve"> </w:t>
            </w:r>
            <w:r>
              <w:t xml:space="preserve"> </w:t>
            </w:r>
            <w:r>
              <w:fldChar w:fldCharType="begin"/>
            </w:r>
            <w:r>
              <w:instrText xml:space="preserve"> ADDIN EN.CITE </w:instrText>
            </w:r>
            <w:r>
              <w:fldChar w:fldCharType="begin">
                <w:fldData>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p>
          <w:p>
            <w:pPr>
              <w:pStyle w:val="Normal"/>
              <w:widowControl/>
              <w:spacing w:before="60" w:after="20"/>
            </w:pPr>
            <w:r>
              <w:t xml:space="preserve">Narrative review with descriptive JLTS LDLT registry data; 16 NET recipients, 14 transplanted in/before 2007, none after 2012.</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Registry pp 2–4 and Table 2 p 4; selection pp 5–6; immunosuppression/recurrence p 7.</w:t>
            </w:r>
          </w:p>
          <w:p>
            <w:pPr>
              <w:pStyle w:val="Normal"/>
              <w:widowControl/>
              <w:spacing w:before="60" w:after="20"/>
            </w:pPr>
            <w:r>
              <w:t xml:space="preserve">Review depth: Complete nine-page review plus original 16-patient Japanese registry summary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Registry median age 30.5; 12 pancreatic, three rectal, one gastric primary; four of 16 died within 90 days; median OS 58.4 months, five-year OS 50%. Causes of intermediate/late deaths are hypothesized because detailed recurrence/course data were unavailable.; Uses historical 2007 Milan age ≤55 and burden ≤50%; contemporary comparative studies use different labelled versions. The review recognizes age as relative, not an absolute cutoff.; Primary-versus-metastatic grade discordance supports representative rebiopsy when clinically discordant, not mandatory biopsy of every lesion.; p 7 explicitly states no study has established everolimus recurrence-prevention after NET LT and distinguishes oncologic dose from transplant dose.</w:t>
            </w:r>
          </w:p>
          <w:p>
            <w:pPr>
              <w:pStyle w:val="Normal"/>
              <w:widowControl/>
              <w:spacing w:before="60" w:after="20"/>
            </w:pPr>
            <w:r>
              <w:rPr>
                <w:b/>
              </w:rPr>
              <w:t xml:space="preserve">Do not infer: </w:t>
            </w:r>
            <w:r>
              <w:t xml:space="preserve">Historical Japanese series does not prove current LDLT safety or superiority; do not use four early deaths as a present-day expected rate.; Proposed bridging algorithm and 'plan LT while controlled by PRRT' are expert suggestions, not randomized LT timing evidence.; Review-wide claimed improvement in modern Japanese outcomes is anticipated, not observed in the 16 cases.; Known active extrahepatic disease and G3 remain different from occult upstaging in retrospective comparator studies.</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2021</w:t>
            </w:r>
            <w:r>
              <w:t xml:space="preserve"> </w:t>
            </w:r>
            <w:r>
              <w:t xml:space="preserve"> </w:t>
            </w:r>
            <w:r>
              <w:fldChar w:fldCharType="begin"/>
            </w:r>
            <w:r>
              <w:instrText xml:space="preserve"> ADDIN EN.CITE </w:instrText>
            </w:r>
            <w:r>
              <w:fldChar w:fldCharType="begin">
                <w:fldData>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</w:fldData>
              </w:fldChar>
            </w:r>
            <w:r>
              <w:instrText xml:space="preserve"> ADDIN EN.CITE.DATA </w:instrText>
            </w:r>
            <w:r>
              <w:fldChar w:fldCharType="end"/>
            </w:r>
            <w:r>
              <w:fldChar w:fldCharType="separate"/>
            </w:r>
            <w:r>
              <w:t xml:space="preserve">[V16-18]</w:t>
            </w:r>
            <w:r>
              <w:fldChar w:fldCharType="end"/>
            </w:r>
          </w:p>
          <w:p>
            <w:pPr>
              <w:pStyle w:val="Normal"/>
              <w:widowControl/>
              <w:spacing w:before="60" w:after="20"/>
            </w:pPr>
            <w:r>
              <w:t xml:space="preserve">Single-centre retrospective analysis of post-LT NET recurrence among prospectively followed recipients: 53 total LT recipients, 32 recurrent cases meeting ≥6 months of postrecurrence follow-up, 2004–2018.</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pp 3–14 main text; Tables 1–3 pp 19–22; Figures 1–3 pp 23–25, especially Fig 3D P=.062. Published pp 2579–2586.</w:t>
            </w:r>
          </w:p>
          <w:p>
            <w:pPr>
              <w:pStyle w:val="Normal"/>
              <w:widowControl/>
              <w:spacing w:before="60" w:after="20"/>
            </w:pPr>
            <w:r>
              <w:t xml:space="preserve">Review depth: Complete 25-page accepted manuscript read, including all main text, tables, figure legends, references and visual inspection of Figures 1–3 on PDF pages 23–25.</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Twenty-five of 32 were within Milan criteria at listing. Primary sites were intestinal 20, pancreatic 11, unknown one. All received deceased-donor grafts; 21/32 had positive hilar nodes at LT, which does not establish acceptability of known active nodes before selection.; Median time to recurrence was 82.9 months. Overall survival here starts at RECURRENCE, not LT: median 81 months, five-/ten-year OS 76.3%/45.5%, with median postrecurrence follow-up 73.7 months.; Fourteen underwent surgery; complete resection at initial salvage in 13. Surgery versus other therapy five-year OS 90.9% versus 64.5%, P=.062; the overall comparison did not reach statistical significance.; The seven early-recurrence cases (within 24 months) had five-year postrecurrence OS 0% versus 89.5% in 25 later recurrences; this very small nonrandomized subgroup is prognostic, not a validated 24-month prohibition on salvage.; At last follow-up four were disease-free, 17 alive with disease and 11 deceased (seven NET-related, four other causes). Rising proliferation across primary, LT and recurrence biopsies supports reassessing heterogeneous biology.; All were switched to an mTOR inhibitor upon recurrence. No non-switch comparator exists to establish antitumour benefit. Two received PRRT; this is descriptive post-LT experience, not controlled safety/efficacy evidence.</w:t>
            </w:r>
          </w:p>
          <w:p>
            <w:pPr>
              <w:pStyle w:val="Normal"/>
              <w:widowControl/>
              <w:spacing w:before="60" w:after="20"/>
            </w:pPr>
            <w:r>
              <w:rPr>
                <w:b/>
              </w:rPr>
              <w:t xml:space="preserve">Do not infer: </w:t>
            </w:r>
            <w:r>
              <w:t xml:space="preserve">Selection requires survival/follow-up for at least six months after recurrence, potentially underrepresenting very early deaths; only 32 recurrent patients and no adjusted causal comparison.; Treatment selection, late-recurrence biology and resectability confound surgical comparisons. Overlap with other Milan reports means outcomes are not independent replication.; Abstract and body have slightly different recurrence-time IQRs. The abstract's 59.4% nodal figure combines abdominal and thoracic single-site nodal recurrences; do not label all 19 as abdominal.; The &lt; versus ≤24-month boundary differs between text/table; use 'within 24 months' descriptively without creating a precise validated gate.; Study protocol's three-month observation before salvage surgery and systematic NET lymphadenectomy are centre practices, not mandatory CRLM or universal NET standards.</w:t>
            </w:r>
          </w:p>
        </w:tc>
      </w:tr>
      <w:tr>
        <w:trPr/>
        <w:tc>
          <w:tcPr>
            <w:tcW w:w="3400" w:type="dxa"/>
            <w:tcMar>
              <w:top w:w="90" w:type="dxa"/>
              <w:left w:w="90" w:type="dxa"/>
              <w:bottom w:w="90" w:type="dxa"/>
              <w:right w:w="90" w:type="dxa"/>
            </w:tcMar>
          </w:tcPr>
          <w:p>
            <w:pPr>
              <w:pStyle w:val="Normal"/>
              <w:widowControl/>
              <w:spacing w:before="60" w:after="20"/>
            </w:pPr>
            <w:r>
              <w:rPr>
                <w:b/>
              </w:rPr>
              <w:t xml:space="preserve">Nashan 2018</w:t>
            </w:r>
            <w:r>
              <w:t xml:space="preserve"> </w:t>
            </w:r>
            <w:r>
              <w:t xml:space="preserve"> </w:t>
            </w:r>
            <w:r>
              <w:fldChar w:fldCharType="begin"/>
            </w:r>
            <w:r>
              <w:instrText xml:space="preserve"> ADDIN EN.CITE </w:instrText>
            </w:r>
            <w:r>
              <w:fldChar w:fldCharType="begin">
                <w:fldData>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</w:fldData>
              </w:fldChar>
            </w:r>
            <w:r>
              <w:instrText xml:space="preserve"> ADDIN EN.CITE.DATA </w:instrText>
            </w:r>
            <w:r>
              <w:fldChar w:fldCharType="end"/>
            </w:r>
            <w:r>
              <w:fldChar w:fldCharType="separate"/>
            </w:r>
            <w:r>
              <w:t xml:space="preserve">[V16-15]</w:t>
            </w:r>
            <w:r>
              <w:fldChar w:fldCharType="end"/>
            </w:r>
          </w:p>
          <w:p>
            <w:pPr>
              <w:pStyle w:val="Normal"/>
              <w:widowControl/>
              <w:spacing w:before="60" w:after="20"/>
            </w:pPr>
            <w:r>
              <w:t xml:space="preserve">2018 narrative review of general LT mTOR immunosuppression; not a NET/CRLM antirecurrence trial.</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ppS20–S22 H2304/table; pS23 SiLVER; ppS24–S25 safety and conclusions.</w:t>
            </w:r>
          </w:p>
          <w:p>
            <w:pPr>
              <w:pStyle w:val="Normal"/>
              <w:widowControl/>
              <w:spacing w:before="60" w:after="20"/>
            </w:pPr>
            <w:r>
              <w:t xml:space="preserve">Review depth: Complete eight-page review read, including trial table, safety sections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H2304 randomized 719 general LT recipients; everolimus plus reduced tacrolimus from day 30 improved estimated renal function versus standard tacrolimus. Review reports 80.9 versus 70.3 mL/min/1.73m2 at one year and discontinuation 25.7% versus 14.1%.; CNI-elimination arm was stopped for more acute rejection; combination/minimization and complete withdrawal are not interchangeable.; Review describes SiLVER HCC primary endpoint as negative: RFS 70.2% versus 64.5%, HR .84 (95% CI .62–1.15), P=.280.; Proteinuria, cytopenias, stomatitis, edema, dyslipidemia, wound and vascular concerns require individualized monitoring. Renal advantage is not proof of NET/CRLM recurrence prevention.</w:t>
            </w:r>
          </w:p>
          <w:p>
            <w:pPr>
              <w:pStyle w:val="Normal"/>
              <w:widowControl/>
              <w:spacing w:before="60" w:after="20"/>
            </w:pPr>
            <w:r>
              <w:rPr>
                <w:b/>
              </w:rPr>
              <w:t xml:space="preserve">Do not infer: </w:t>
            </w:r>
            <w:r>
              <w:t xml:space="preserve">No NET/CRLM-specific recurrence or PRRT-concurrent regimen validation.; Several cited results were conference abstracts; no new independent trial data.; Old regulatory/timing summaries require current institutional pharmacy standards; do not use the review to prescribe an automatic trough target.</w:t>
            </w:r>
          </w:p>
        </w:tc>
      </w:tr>
    </w:tbl>
    <w:p>
      <w:pPr>
        <w:pStyle w:val="Normal"/>
        <w:widowControl/>
      </w:pPr>
      <w:hyperlink r:id="rId61">
        <w:r>
          <w:rPr>
            <w:color w:val="77230C"/>
            <w:sz w:val="20"/>
            <w:u w:val="single"/>
          </w:rPr>
          <w:t>Separate evidence/alignment meeting record — OPEN boundary decisions</w:t>
        </w:r>
      </w:hyperlink>
    </w:p>
    <w:p>
      <w:pPr>
        <w:pStyle w:val="Normal"/>
        <w:widowControl/>
      </w:pPr>
      <w:r>
        <w:t xml:space="preserve">Evidence review record: </w:t>
      </w:r>
      <w:hyperlink r:id="rId62">
        <w:r>
          <w:rPr>
            <w:color w:val="77230C"/>
            <w:sz w:val="20"/>
            <w:u w:val="single"/>
          </w:rPr>
          <w:t>Five analyst comments and reconciliation</w:t>
        </w:r>
      </w:hyperlink>
      <w:r>
        <w:t xml:space="preserve">  |  </w:t>
      </w:r>
      <w:hyperlink r:id="rId63">
        <w:r>
          <w:rPr>
            <w:color w:val="77230C"/>
            <w:sz w:val="20"/>
            <w:u w:val="single"/>
          </w:rPr>
          <w:t>Prospective outcomes dataset</w:t>
        </w:r>
      </w:hyperlink>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Standard-route clarification. The standardized pathway requires no extrahepatic disease. This section states how previously treated, responded extrahepatic disease is handled, and records the program position proposed for review.</w:t>
      </w:r>
    </w:p>
    <w:p>
      <w:pPr>
        <w:pStyle w:val="Heading2"/>
        <w:widowControl/>
        <w:keepNext/>
      </w:pPr>
      <w:bookmarkStart w:id="16010" w:name="NET_B4"/>
      <w:r>
        <w:t xml:space="preserve">NET-B4 — Previously treated extrahepatic disease</w:t>
      </w:r>
      <w:bookmarkEnd w:id="16010"/>
    </w:p>
    <w:p>
      <w:pPr>
        <w:pStyle w:val="Normal"/>
        <w:widowControl/>
        <w:spacing w:after="120"/>
      </w:pPr>
      <w:r>
        <w:t xml:space="preserve">Status: Resected regional nodes only, after clearance. OPEN proposal for multidisciplinary review; not activated.</w:t>
      </w:r>
    </w:p>
    <w:p>
      <w:pPr>
        <w:pStyle w:val="Normal"/>
        <w:widowControl/>
        <w:spacing w:after="120"/>
      </w:pPr>
      <w:r>
        <w:t xml:space="preserve">Question: Which previously treated extrahepatic NET sites may enter the transplant route: resected regional nodes only, or also distant nodes and a solitary treated bone lesion as ENETS 2026 suggests?</w:t>
      </w:r>
    </w:p>
    <w:p>
      <w:pPr>
        <w:pStyle w:val="Normal"/>
        <w:widowControl/>
        <w:spacing w:after="120"/>
      </w:pPr>
      <w:r>
        <w:t xml:space="preserve">Proposed position (OPEN): Previously resected regional nodal disease is already within Milan-NET when the primary and all extrahepatic deposits were removed in a separate curative operation and restaging at least 6 months later shows no disease. Previously resected distant nodes need individual review. Previous lung, bone or other solid-organ metastasis stays closed, including after complete treatment; ENETS 2026 would accept a solitary locally treated bone lesion as expert opinion, recorded as a disagreement.</w:t>
      </w:r>
    </w:p>
    <w:p>
      <w:pPr>
        <w:pStyle w:val="Heading3"/>
        <w:widowControl/>
        <w:keepNext/>
      </w:pPr>
      <w:r>
        <w:t xml:space="preserve">Proposed rules</w:t>
      </w:r>
    </w:p>
    <w:p>
      <w:pPr>
        <w:pStyle w:val="Normal"/>
        <w:widowControl/>
        <w:spacing w:after="120"/>
        <w:numPr>
          <w:ilvl w:val="0"/>
          <w:numId w:val="4"/>
        </w:numPr>
      </w:pPr>
      <w:r>
        <w:t xml:space="preserve">Regional (mesenteric, peripancreatic) nodes resected with the primary in a separate operation: eligible after ≥6 months without recurrence and negative SSTR-PET with CT/MRI within 3 months of transplant consideration.</w:t>
      </w:r>
    </w:p>
    <w:p>
      <w:pPr>
        <w:pStyle w:val="Normal"/>
        <w:widowControl/>
        <w:spacing w:after="120"/>
        <w:numPr>
          <w:ilvl w:val="0"/>
          <w:numId w:val="4"/>
        </w:numPr>
      </w:pPr>
      <w:r>
        <w:t xml:space="preserve">Distant nodes previously resected, or nodal disease cleared only by PRRT, ablation or radiotherapy: individual review only, with SSTR-PET-negative status for ≥6 months.</w:t>
      </w:r>
    </w:p>
    <w:p>
      <w:pPr>
        <w:pStyle w:val="Normal"/>
        <w:widowControl/>
        <w:spacing w:after="120"/>
        <w:numPr>
          <w:ilvl w:val="0"/>
          <w:numId w:val="4"/>
        </w:numPr>
      </w:pPr>
      <w:r>
        <w:t xml:space="preserve">Lung, bone (including a solitary treated lesion), peritoneal or other organ metastasis: closed. Spinal or brain metastases and unresectable mesenteric root disease: closed in every framework.</w:t>
      </w:r>
    </w:p>
    <w:p>
      <w:pPr>
        <w:pStyle w:val="Normal"/>
        <w:widowControl/>
        <w:spacing w:after="120"/>
        <w:numPr>
          <w:ilvl w:val="0"/>
          <w:numId w:val="4"/>
        </w:numPr>
      </w:pPr>
      <w:r>
        <w:t xml:space="preserve">Stage the primary and any major organ resection before transplantation, not at it. Plan hilar lymphadenectomy; counsel that nodal involvement on final pathology is associated with worse survival.</w:t>
      </w:r>
    </w:p>
    <w:p>
      <w:pPr>
        <w:pStyle w:val="Normal"/>
        <w:widowControl/>
        <w:spacing w:after="120"/>
      </w:pPr>
      <w:r>
        <w:t xml:space="preserve">Why: Milan-NET itself requires all extrahepatic deposits removed before transplant consideration, and 81% of the Milan recipients had resected node-positive primaries. No series in this evidence set reports outcomes after previously treated distant disease; the registry series did not record pre-transplant extrahepatic status. Bone metastases are independently adverse and rarely cleared.</w:t>
      </w:r>
    </w:p>
    <w:p>
      <w:pPr>
        <w:pStyle w:val="Heading3"/>
        <w:widowControl/>
        <w:keepNext/>
      </w:pPr>
      <w:r>
        <w:t xml:space="preserve">Evidence</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Source</w:t>
            </w:r>
          </w:p>
        </w:tc>
        <w:tc>
          <w:tcPr>
            <w:tcW w:w="3582"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3743"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Mazzaferro 2016 · Milan-NET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Milan prospective cohort, 88 eligible (42 transplanted). Milan-NET: primary removed “with all extrahepatic deposits in a separate curative resection prior to transplant consideration”; restaging 6 months after removal.</w:t>
            </w:r>
          </w:p>
        </w:tc>
        <w:tc>
          <w:tcPr>
            <w:tcW w:w="3743" w:type="dxa"/>
            <w:vAlign w:val="top"/>
            <w:shd w:fill="F1F5F8"/>
          </w:tcPr>
          <w:p>
            <w:pPr>
              <w:pStyle w:val="Normal"/>
              <w:widowControl/>
              <w:spacing w:after="55" w:line="240" w:lineRule="auto"/>
              <w:keepNext w:val="0"/>
              <w:keepLines/>
            </w:pPr>
            <w:r>
              <w:rPr>
                <w:sz w:val="21"/>
                <w:szCs w:val="21"/>
              </w:rPr>
              <w:t xml:space="preserve">Results: 81% of recipients had node-positive primaries and 57% hilar node-positive; 5- and 10-year survival 97.2% and 88.8%.</w:t>
            </w:r>
          </w:p>
          <w:p>
            <w:pPr>
              <w:pStyle w:val="Normal"/>
              <w:widowControl/>
              <w:spacing w:after="55" w:line="240" w:lineRule="auto"/>
              <w:keepNext w:val="0"/>
              <w:keepLines/>
            </w:pPr>
            <w:r>
              <w:rPr>
                <w:sz w:val="21"/>
                <w:szCs w:val="21"/>
              </w:rPr>
              <w:t xml:space="preserve">Limits: Non-randomized; no outcome split by nodal status.</w:t>
            </w:r>
          </w:p>
          <w:p>
            <w:pPr>
              <w:pStyle w:val="Normal"/>
              <w:widowControl/>
              <w:spacing w:after="55" w:line="240" w:lineRule="auto"/>
              <w:keepNext w:val="0"/>
              <w:keepLines/>
            </w:pPr>
            <w:r>
              <w:rPr>
                <w:sz w:val="21"/>
                <w:szCs w:val="21"/>
              </w:rPr>
              <w:t xml:space="preserve">Am J Transplant 2016; Tables 1–3.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</w:fldData>
              </w:fldChar>
            </w:r>
            <w:r>
              <w:instrText xml:space="preserve"> ADDIN EN.CITE.DATA </w:instrText>
            </w:r>
            <w:r>
              <w:fldChar w:fldCharType="end"/>
            </w:r>
            <w:r>
              <w:fldChar w:fldCharType="separate"/>
            </w:r>
            <w:r>
              <w:t xml:space="preserve">[V16-25]</w:t>
            </w:r>
            <w:r>
              <w:fldChar w:fldCharType="end"/>
            </w:r>
            <w:r>
              <w:br/>
            </w:r>
            <w:hyperlink r:id="rId112">
              <w:r>
                <w:rPr>
                  <w:color w:val="0563C1"/>
                  <w:u w:val="single"/>
                </w:rPr>
                <w:t>Source</w:t>
              </w:r>
            </w:hyperlink>
            <w:r>
              <w:t xml:space="preserve"> · </w:t>
            </w:r>
            <w:hyperlink r:id="rId113">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Maspero 2022 · LT vs resection, Milan</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Milan, 48 transplants vs 56 resections. Exclusion of extrahepatic disease; hilar lymphadenectomy at transplant.</w:t>
            </w:r>
          </w:p>
        </w:tc>
        <w:tc>
          <w:tcPr>
            <w:tcW w:w="3743" w:type="dxa"/>
            <w:vAlign w:val="top"/>
            <w:shd w:fill="FFFFFF"/>
          </w:tcPr>
          <w:p>
            <w:pPr>
              <w:pStyle w:val="Normal"/>
              <w:widowControl/>
              <w:spacing w:after="55" w:line="240" w:lineRule="auto"/>
              <w:keepNext w:val="0"/>
              <w:keepLines/>
            </w:pPr>
            <w:r>
              <w:rPr>
                <w:sz w:val="21"/>
                <w:szCs w:val="21"/>
              </w:rPr>
              <w:t xml:space="preserve">Results: Nodal involvement on final pathology: survival HR 5.7 (1.3–24), univariate; after transplantation, first recurrences most often involved distant nodes (16 of 25, 64%) and bone (9 of 25, 36%).</w:t>
            </w:r>
          </w:p>
          <w:p>
            <w:pPr>
              <w:pStyle w:val="Normal"/>
              <w:widowControl/>
              <w:spacing w:after="55" w:line="240" w:lineRule="auto"/>
              <w:keepNext w:val="0"/>
              <w:keepLines/>
            </w:pPr>
            <w:r>
              <w:rPr>
                <w:sz w:val="21"/>
                <w:szCs w:val="21"/>
              </w:rPr>
              <w:t xml:space="preserve">Limits: Univariate only.</w:t>
            </w:r>
          </w:p>
          <w:p>
            <w:pPr>
              <w:pStyle w:val="Normal"/>
              <w:widowControl/>
              <w:spacing w:after="55" w:line="240" w:lineRule="auto"/>
              <w:keepNext w:val="0"/>
              <w:keepLines/>
            </w:pPr>
            <w:r>
              <w:rPr>
                <w:sz w:val="21"/>
                <w:szCs w:val="21"/>
              </w:rPr>
              <w:t xml:space="preserve">Am J Transplant 2022; Tables 2–3.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</w:fldData>
              </w:fldChar>
            </w:r>
            <w:r>
              <w:instrText xml:space="preserve"> ADDIN EN.CITE.DATA </w:instrText>
            </w:r>
            <w:r>
              <w:fldChar w:fldCharType="end"/>
            </w:r>
            <w:r>
              <w:fldChar w:fldCharType="separate"/>
            </w:r>
            <w:r>
              <w:t xml:space="preserve">[V16-9]</w:t>
            </w:r>
            <w:r>
              <w:fldChar w:fldCharType="end"/>
            </w:r>
            <w:r>
              <w:br/>
            </w:r>
            <w:hyperlink r:id="rId114">
              <w:r>
                <w:rPr>
                  <w:color w:val="0563C1"/>
                  <w:u w:val="single"/>
                </w:rPr>
                <w:t>Source</w:t>
              </w:r>
            </w:hyperlink>
            <w:r>
              <w:t xml:space="preserve"> · </w:t>
            </w:r>
            <w:hyperlink r:id="rId115">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ENETS 2026 position statement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ENETS 2026 position statement. Replace “no extrahepatic disease” with “no macroscopic, non-targetable” disease; examples: isolated resectable nodes or a solitary bone lesion amenable to local treatment.</w:t>
            </w:r>
          </w:p>
        </w:tc>
        <w:tc>
          <w:tcPr>
            <w:tcW w:w="3743" w:type="dxa"/>
            <w:vAlign w:val="top"/>
            <w:shd w:fill="F1F5F8"/>
          </w:tcPr>
          <w:p>
            <w:pPr>
              <w:pStyle w:val="Normal"/>
              <w:widowControl/>
              <w:spacing w:after="55" w:line="240" w:lineRule="auto"/>
              <w:keepNext w:val="0"/>
              <w:keepLines/>
            </w:pPr>
            <w:r>
              <w:rPr>
                <w:sz w:val="21"/>
                <w:szCs w:val="21"/>
              </w:rPr>
              <w:t xml:space="preserve">Results: Excludes unresectable mesenteric nodes, spinal and brain metastases; sets no interval after extrahepatic treatment.</w:t>
            </w:r>
          </w:p>
          <w:p>
            <w:pPr>
              <w:pStyle w:val="Normal"/>
              <w:widowControl/>
              <w:spacing w:after="55" w:line="240" w:lineRule="auto"/>
              <w:keepNext w:val="0"/>
              <w:keepLines/>
            </w:pPr>
            <w:r>
              <w:rPr>
                <w:sz w:val="21"/>
                <w:szCs w:val="21"/>
              </w:rPr>
              <w:t xml:space="preserve">Limits: Expert opinion; not outcome-validated.</w:t>
            </w:r>
          </w:p>
          <w:p>
            <w:pPr>
              <w:pStyle w:val="Normal"/>
              <w:widowControl/>
              <w:spacing w:after="55" w:line="240" w:lineRule="auto"/>
              <w:keepNext w:val="0"/>
              <w:keepLines/>
            </w:pPr>
            <w:r>
              <w:rPr>
                <w:sz w:val="21"/>
                <w:szCs w:val="21"/>
              </w:rPr>
              <w:t xml:space="preserve">J Neuroendocrinol 2026; Sections 4 and 7.</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</w:fldData>
              </w:fldChar>
            </w:r>
            <w:r>
              <w:instrText xml:space="preserve"> ADDIN EN.CITE.DATA </w:instrText>
            </w:r>
            <w:r>
              <w:fldChar w:fldCharType="end"/>
            </w:r>
            <w:r>
              <w:fldChar w:fldCharType="separate"/>
            </w:r>
            <w:r>
              <w:t xml:space="preserve">[V16-8]</w:t>
            </w:r>
            <w:r>
              <w:fldChar w:fldCharType="end"/>
            </w:r>
            <w:r>
              <w:br/>
            </w:r>
            <w:hyperlink r:id="rId116">
              <w:r>
                <w:rPr>
                  <w:color w:val="0563C1"/>
                  <w:u w:val="single"/>
                </w:rPr>
                <w:t>Source</w:t>
              </w:r>
            </w:hyperlink>
            <w:r>
              <w:t xml:space="preserve"> · </w:t>
            </w:r>
            <w:hyperlink r:id="rId11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Two Swedish centres, 138 with bone metastases. Bone metastases on SSTR-PET; rarely biopsied; never curatively treated.</w:t>
            </w:r>
          </w:p>
        </w:tc>
        <w:tc>
          <w:tcPr>
            <w:tcW w:w="3743" w:type="dxa"/>
            <w:vAlign w:val="top"/>
            <w:shd w:fill="FFFFFF"/>
          </w:tcPr>
          <w:p>
            <w:pPr>
              <w:pStyle w:val="Normal"/>
              <w:widowControl/>
              <w:spacing w:after="55" w:line="240" w:lineRule="auto"/>
              <w:keepNext w:val="0"/>
              <w:keepLines/>
            </w:pPr>
            <w:r>
              <w:rPr>
                <w:sz w:val="21"/>
                <w:szCs w:val="21"/>
              </w:rPr>
              <w:t xml:space="preserve">Results: Any bone metastasis HR 1.94; 21% with ≤5 lesions progressed to &gt;5.</w:t>
            </w:r>
          </w:p>
          <w:p>
            <w:pPr>
              <w:pStyle w:val="Normal"/>
              <w:widowControl/>
              <w:spacing w:after="55" w:line="240" w:lineRule="auto"/>
              <w:keepNext w:val="0"/>
              <w:keepLines/>
            </w:pPr>
            <w:r>
              <w:rPr>
                <w:sz w:val="21"/>
                <w:szCs w:val="21"/>
              </w:rPr>
              <w:t xml:space="preserve">Limits: Small-intestine NET only.</w:t>
            </w:r>
          </w:p>
          <w:p>
            <w:pPr>
              <w:pStyle w:val="Normal"/>
              <w:widowControl/>
              <w:spacing w:after="55" w:line="240" w:lineRule="auto"/>
              <w:keepNext w:val="0"/>
              <w:keepLines/>
            </w:pPr>
            <w:r>
              <w:rPr>
                <w:sz w:val="21"/>
                <w:szCs w:val="21"/>
              </w:rPr>
              <w:t xml:space="preserve">J Neuroendocrinol 2025; Results, Table 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xMTEvam5lLjcwMDczPC91cmw+PC9yZWxhdGVkLXVybHM+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118">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Le Treut 2013 · ELTR NET</w:t>
            </w:r>
          </w:p>
          <w:p>
            <w:pPr>
              <w:pStyle w:val="Normal"/>
              <w:widowControl/>
              <w:spacing w:after="55" w:line="240" w:lineRule="auto"/>
              <w:keepNext w:val="0"/>
              <w:keepLines/>
            </w:pPr>
            <w:r>
              <w:rPr>
                <w:sz w:val="21"/>
                <w:szCs w:val="21"/>
              </w:rPr>
              <w:t xml:space="preserve">Full text read.</w:t>
            </w:r>
          </w:p>
        </w:tc>
        <w:tc>
          <w:tcPr>
            <w:tcW w:w="3582" w:type="dxa"/>
            <w:vAlign w:val="top"/>
            <w:shd w:fill="F1F5F8"/>
          </w:tcPr>
          <w:p>
            <w:pPr>
              <w:pStyle w:val="Normal"/>
              <w:widowControl/>
              <w:spacing w:after="55" w:line="240" w:lineRule="auto"/>
              <w:keepNext w:val="0"/>
              <w:keepLines/>
            </w:pPr>
            <w:r>
              <w:rPr>
                <w:sz w:val="21"/>
                <w:szCs w:val="21"/>
              </w:rPr>
              <w:t xml:space="preserve">European registry, 213 transplants. Concurrent surgery at transplant (84 patients) included extended lymphadenectomy (38), primary resection (29), organ resections and peritonectomy.</w:t>
            </w:r>
          </w:p>
        </w:tc>
        <w:tc>
          <w:tcPr>
            <w:tcW w:w="3743" w:type="dxa"/>
            <w:vAlign w:val="top"/>
            <w:shd w:fill="F1F5F8"/>
          </w:tcPr>
          <w:p>
            <w:pPr>
              <w:pStyle w:val="Normal"/>
              <w:widowControl/>
              <w:spacing w:after="55" w:line="240" w:lineRule="auto"/>
              <w:keepNext w:val="0"/>
              <w:keepLines/>
            </w:pPr>
            <w:r>
              <w:rPr>
                <w:sz w:val="21"/>
                <w:szCs w:val="21"/>
              </w:rPr>
              <w:t xml:space="preserve">Results: Major concurrent resection HR 3.1 (all eras); after 2000, any concurrent resection HR 1.9 (p=0.058).</w:t>
            </w:r>
          </w:p>
          <w:p>
            <w:pPr>
              <w:pStyle w:val="Normal"/>
              <w:widowControl/>
              <w:spacing w:after="55" w:line="240" w:lineRule="auto"/>
              <w:keepNext w:val="0"/>
              <w:keepLines/>
            </w:pPr>
            <w:r>
              <w:rPr>
                <w:sz w:val="21"/>
                <w:szCs w:val="21"/>
              </w:rPr>
              <w:t xml:space="preserve">Limits: Pre-transplant extrahepatic status not recorded.</w:t>
            </w:r>
          </w:p>
          <w:p>
            <w:pPr>
              <w:pStyle w:val="Normal"/>
              <w:widowControl/>
              <w:spacing w:after="55" w:line="240" w:lineRule="auto"/>
              <w:keepNext w:val="0"/>
              <w:keepLines/>
            </w:pPr>
            <w:r>
              <w:rPr>
                <w:sz w:val="21"/>
                <w:szCs w:val="21"/>
              </w:rPr>
              <w:t xml:space="preserve">Ann Surg 2013; Tables 4–6.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</w:fldData>
              </w:fldChar>
            </w:r>
            <w:r>
              <w:instrText xml:space="preserve"> ADDIN EN.CITE.DATA </w:instrText>
            </w:r>
            <w:r>
              <w:fldChar w:fldCharType="end"/>
            </w:r>
            <w:r>
              <w:fldChar w:fldCharType="separate"/>
            </w:r>
            <w:r>
              <w:t xml:space="preserve">[V16-10]</w:t>
            </w:r>
            <w:r>
              <w:fldChar w:fldCharType="end"/>
            </w:r>
            <w:r>
              <w:br/>
            </w:r>
            <w:hyperlink r:id="rId119">
              <w:r>
                <w:rPr>
                  <w:color w:val="0563C1"/>
                  <w:u w:val="single"/>
                </w:rPr>
                <w:t>Source</w:t>
              </w:r>
            </w:hyperlink>
            <w:r>
              <w:t xml:space="preserve"> · </w:t>
            </w:r>
            <w:hyperlink r:id="rId120">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Sher 2015 · US multicentre NET LT</w:t>
            </w:r>
          </w:p>
          <w:p>
            <w:pPr>
              <w:pStyle w:val="Normal"/>
              <w:widowControl/>
              <w:spacing w:after="55" w:line="240" w:lineRule="auto"/>
              <w:keepNext w:val="0"/>
              <w:keepLines/>
            </w:pPr>
            <w:r>
              <w:rPr>
                <w:sz w:val="21"/>
                <w:szCs w:val="21"/>
              </w:rPr>
              <w:t xml:space="preserve">Full text read.</w:t>
            </w:r>
          </w:p>
        </w:tc>
        <w:tc>
          <w:tcPr>
            <w:tcW w:w="3582" w:type="dxa"/>
            <w:vAlign w:val="top"/>
            <w:shd w:fill="FFFFFF"/>
          </w:tcPr>
          <w:p>
            <w:pPr>
              <w:pStyle w:val="Normal"/>
              <w:widowControl/>
              <w:spacing w:after="55" w:line="240" w:lineRule="auto"/>
              <w:keepNext w:val="0"/>
              <w:keepLines/>
            </w:pPr>
            <w:r>
              <w:rPr>
                <w:sz w:val="21"/>
                <w:szCs w:val="21"/>
              </w:rPr>
              <w:t xml:space="preserve">28 centres (mostly US, also Canadian and European), 85 transplants. “Extent of resection” = concurrent primary or multivisceral surgery, not metastasis clearance.</w:t>
            </w:r>
          </w:p>
        </w:tc>
        <w:tc>
          <w:tcPr>
            <w:tcW w:w="3743" w:type="dxa"/>
            <w:vAlign w:val="top"/>
            <w:shd w:fill="FFFFFF"/>
          </w:tcPr>
          <w:p>
            <w:pPr>
              <w:pStyle w:val="Normal"/>
              <w:widowControl/>
              <w:spacing w:after="55" w:line="240" w:lineRule="auto"/>
              <w:keepNext w:val="0"/>
              <w:keepLines/>
            </w:pPr>
            <w:r>
              <w:rPr>
                <w:sz w:val="21"/>
                <w:szCs w:val="21"/>
              </w:rPr>
              <w:t xml:space="preserve">Results: Extensive concurrent surgery associated with worse survival (p=0.015).</w:t>
            </w:r>
          </w:p>
          <w:p>
            <w:pPr>
              <w:pStyle w:val="Normal"/>
              <w:widowControl/>
              <w:spacing w:after="55" w:line="240" w:lineRule="auto"/>
              <w:keepNext w:val="0"/>
              <w:keepLines/>
            </w:pPr>
            <w:r>
              <w:rPr>
                <w:sz w:val="21"/>
                <w:szCs w:val="21"/>
              </w:rPr>
              <w:t xml:space="preserve">Limits: No extrahepatic-disease variable.</w:t>
            </w:r>
          </w:p>
          <w:p>
            <w:pPr>
              <w:pStyle w:val="Normal"/>
              <w:widowControl/>
              <w:spacing w:after="55" w:line="240" w:lineRule="auto"/>
              <w:keepNext w:val="0"/>
              <w:keepLines/>
            </w:pPr>
            <w:r>
              <w:rPr>
                <w:sz w:val="21"/>
                <w:szCs w:val="21"/>
              </w:rPr>
              <w:t xml:space="preserve">J Surg Oncol 2015; Methods.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DAyL2pzby4yMzk3MzwvdXJsPjwvcmVsYXRlZC11cmxzPjwvdXJscz48L3JlY29yZD48L0NpdGU+PC9FbmROb3RlPg==</w:fldData>
              </w:fldChar>
            </w:r>
            <w:r>
              <w:instrText xml:space="preserve"> ADDIN EN.CITE.DATA </w:instrText>
            </w:r>
            <w:r>
              <w:fldChar w:fldCharType="end"/>
            </w:r>
            <w:r>
              <w:fldChar w:fldCharType="separate"/>
            </w:r>
            <w:r>
              <w:t xml:space="preserve">[V16-27]</w:t>
            </w:r>
            <w:r>
              <w:fldChar w:fldCharType="end"/>
            </w:r>
            <w:r>
              <w:br/>
            </w:r>
            <w:hyperlink r:id="rId121">
              <w:r>
                <w:rPr>
                  <w:color w:val="0563C1"/>
                  <w:u w:val="single"/>
                </w:rPr>
                <w:t>Source</w:t>
              </w:r>
            </w:hyperlink>
            <w:r>
              <w:t xml:space="preserve"> · </w:t>
            </w:r>
            <w:r>
              <w:t xml:space="preserve">full PDF pending</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Frilling 2010 · 68Ga-DOTATOC PET before LT</w:t>
            </w:r>
          </w:p>
          <w:p>
            <w:pPr>
              <w:pStyle w:val="Normal"/>
              <w:widowControl/>
              <w:spacing w:after="55" w:line="240" w:lineRule="auto"/>
              <w:keepNext w:val="0"/>
              <w:keepLines/>
            </w:pPr>
            <w:r>
              <w:rPr>
                <w:sz w:val="21"/>
                <w:szCs w:val="21"/>
              </w:rPr>
              <w:t xml:space="preserve">Abstract only; full text pending.</w:t>
            </w:r>
          </w:p>
        </w:tc>
        <w:tc>
          <w:tcPr>
            <w:tcW w:w="3582" w:type="dxa"/>
            <w:vAlign w:val="top"/>
            <w:shd w:fill="F1F5F8"/>
          </w:tcPr>
          <w:p>
            <w:pPr>
              <w:pStyle w:val="Normal"/>
              <w:widowControl/>
              <w:spacing w:after="55" w:line="240" w:lineRule="auto"/>
              <w:keepNext w:val="0"/>
              <w:keepLines/>
            </w:pPr>
            <w:r>
              <w:rPr>
                <w:sz w:val="21"/>
                <w:szCs w:val="21"/>
              </w:rPr>
              <w:t xml:space="preserve">68Ga-DOTATOC PET before transplantation. Transplant candidates.</w:t>
            </w:r>
          </w:p>
        </w:tc>
        <w:tc>
          <w:tcPr>
            <w:tcW w:w="3743" w:type="dxa"/>
            <w:vAlign w:val="top"/>
            <w:shd w:fill="F1F5F8"/>
          </w:tcPr>
          <w:p>
            <w:pPr>
              <w:pStyle w:val="Normal"/>
              <w:widowControl/>
              <w:spacing w:after="55" w:line="240" w:lineRule="auto"/>
              <w:keepNext w:val="0"/>
              <w:keepLines/>
            </w:pPr>
            <w:r>
              <w:rPr>
                <w:sz w:val="21"/>
                <w:szCs w:val="21"/>
              </w:rPr>
              <w:t xml:space="preserve">Results: PET removed 7 of 15 candidates.</w:t>
            </w:r>
          </w:p>
          <w:p>
            <w:pPr>
              <w:pStyle w:val="Normal"/>
              <w:widowControl/>
              <w:spacing w:after="55" w:line="240" w:lineRule="auto"/>
              <w:keepNext w:val="0"/>
              <w:keepLines/>
            </w:pPr>
            <w:r>
              <w:rPr>
                <w:sz w:val="21"/>
                <w:szCs w:val="21"/>
              </w:rPr>
              <w:t xml:space="preserve">Limits: Small.</w:t>
            </w:r>
          </w:p>
          <w:p>
            <w:pPr>
              <w:pStyle w:val="Normal"/>
              <w:widowControl/>
              <w:spacing w:after="55" w:line="240" w:lineRule="auto"/>
              <w:keepNext w:val="0"/>
              <w:keepLines/>
            </w:pPr>
            <w:r>
              <w:rPr>
                <w:sz w:val="21"/>
                <w:szCs w:val="21"/>
              </w:rPr>
              <w:t xml:space="preserve">Ann Surg 2010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</w:fldData>
              </w:fldChar>
            </w:r>
            <w:r>
              <w:instrText xml:space="preserve"> ADDIN EN.CITE.DATA </w:instrText>
            </w:r>
            <w:r>
              <w:fldChar w:fldCharType="end"/>
            </w:r>
            <w:r>
              <w:fldChar w:fldCharType="separate"/>
            </w:r>
            <w:r>
              <w:t xml:space="preserve">[V16-28]</w:t>
            </w:r>
            <w:r>
              <w:fldChar w:fldCharType="end"/>
            </w:r>
            <w:r>
              <w:br/>
            </w:r>
            <w:hyperlink r:id="rId12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ENETS 2026 and some series suggest limited bone disease may not worsen survival; the bone exclusion is a conservative local choice.</w:t>
      </w:r>
    </w:p>
    <w:p>
      <w:pPr>
        <w:pStyle w:val="Normal"/>
        <w:widowControl/>
        <w:spacing w:after="120"/>
      </w:pPr>
      <w:r>
        <w:t xml:space="preserve">Certainty: Low for resected regional nodes after a recurrence-free interval; very low for distant nodes, PRRT-only clearance and solid-organ metastases.</w:t>
      </w:r>
    </w:p>
    <w:p>
      <w:pPr>
        <w:pStyle w:val="Normal"/>
        <w:widowControl/>
        <w:spacing w:after="120"/>
      </w:pPr>
      <w:r>
        <w:t xml:space="preserve">What would change the answer: Transplant outcomes in recipients with previously treated distant or bone disease.</w:t>
      </w:r>
    </w:p>
    <w:p>
      <w:pPr>
        <w:pStyle w:val="Normal"/>
        <w:widowControl/>
        <w:spacing w:after="120"/>
      </w:pPr>
      <w:r>
        <w:t xml:space="preserve">Meeting question NET-B4, with blank decision fields, is in the corresponding meeting record and the V16 decision worksheet.</w:t>
      </w:r>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 or occult postoperative high-risk NET features could be mistaken for validated pre-LT expansion criteria. </w:t>
      </w:r>
      <w:r>
        <w:rPr>
          <w:b/>
        </w:rPr>
        <w:t xml:space="preserve">Correction and reason: </w:t>
      </w:r>
      <w:r>
        <w:t xml:space="preserve">Distinguished preoperative selection from explant upstaging, removed overstated age evidence and added late recurrence and post-LT PRRT hematologic toxicity.</w:t>
      </w:r>
    </w:p>
    <w:p>
      <w:pPr>
        <w:pStyle w:val="Normal"/>
        <w:keepNext/>
        <w:widowControl/>
        <w:keepLines/>
      </w:pPr>
      <w:r>
        <w:rPr>
          <w:b/>
        </w:rPr>
        <w:t xml:space="preserve">Problem: </w:t>
      </w:r>
      <w:r>
        <w:t xml:space="preserve">Nodal, burden and grading exceptions could be read as established expansion criteria. </w:t>
      </w:r>
      <w:r>
        <w:rPr>
          <w:b/>
        </w:rPr>
        <w:t xml:space="preserve">Correction and reason: </w:t>
      </w:r>
      <w:r>
        <w:t xml:space="preserve">Separated prospective eligibility from occult explant findings, preserved extrahepatic clearance requirements and kept broader cutoffs OPEN.</w:t>
      </w:r>
    </w:p>
    <w:p>
      <w:pPr>
        <w:pStyle w:val="Normal"/>
        <w:keepNext/>
        <w:widowControl/>
        <w:keepLines/>
      </w:pPr>
      <w:r>
        <w:rPr>
          <w:b/>
        </w:rPr>
        <w:t xml:space="preserve">Problem: </w:t>
      </w:r>
      <w:r>
        <w:t xml:space="preserve">Routine PET calendars, blanket FDG/biomarker testing and valve replacement were overprescriptive. </w:t>
      </w:r>
      <w:r>
        <w:rPr>
          <w:b/>
        </w:rPr>
        <w:t xml:space="preserve">Correction and reason: </w:t>
      </w:r>
      <w:r>
        <w:t xml:space="preserve">Used indication-specific imaging and functional testing, significant/symptomatic cardiac assessment, and an explicitly agreed post-LT surveillance plan.</w:t>
      </w:r>
    </w:p>
    <w:p>
      <w:pPr>
        <w:pStyle w:val="Normal"/>
        <w:keepNext/>
        <w:widowControl/>
        <w:keepLines/>
      </w:pPr>
      <w:r>
        <w:rPr>
          <w:b/>
        </w:rPr>
        <w:t xml:space="preserve">Problem: </w:t>
      </w:r>
      <w:r>
        <w:t xml:space="preserve">Postrecurrence survival and immunosuppression claims overstated benefit. </w:t>
      </w:r>
      <w:r>
        <w:rPr>
          <w:b/>
        </w:rPr>
        <w:t xml:space="preserve">Correction and reason: </w:t>
      </w:r>
      <w:r>
        <w:t xml:space="preserve">Corrected the 32-patient survival denominator and non-significant surgical comparison; removed unsupported NET-specific drug targets and anticancer prophylaxis claims.</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Organ Procurement and Transplantation Network. OPTN Policies: liver allocation and living donation. HRSA/OPTN. 2026. </w:t>
      </w:r>
      <w:hyperlink r:id="rId123">
        <w:r>
          <w:rPr>
            <w:color w:val="0563C1"/>
            <w:u w:val="single"/>
          </w:rPr>
          <w:t>Source</w:t>
        </w:r>
      </w:hyperlink>
      <w:r>
        <w:t xml:space="preserve"> | </w:t>
      </w:r>
      <w:hyperlink r:id="rId124">
        <w:r>
          <w:rPr>
            <w:color w:val="0563C1"/>
            <w:u w:val="single"/>
          </w:rPr>
          <w:t>Full-text access</w:t>
        </w:r>
      </w:hyperlink>
    </w:p>
    <w:p>
      <w:pPr>
        <w:pStyle w:val="Normal"/>
        <w:widowControl/>
        <w:spacing w:after="120"/>
      </w:pPr>
      <w:r>
        <w:t xml:space="preserve"/>
      </w:r>
      <w:r>
        <w:t xml:space="preserve">[V16-2] Organ Procurement and Transplantation Network. Adult MELD Exceptions for Transplant Oncology. HRSA/OPTN. 2025. </w:t>
      </w:r>
      <w:hyperlink r:id="rId125">
        <w:r>
          <w:rPr>
            <w:color w:val="0563C1"/>
            <w:u w:val="single"/>
          </w:rPr>
          <w:t>Source</w:t>
        </w:r>
      </w:hyperlink>
      <w:r>
        <w:t xml:space="preserve"> | </w:t>
      </w:r>
      <w:hyperlink r:id="rId126">
        <w:r>
          <w:rPr>
            <w:color w:val="0563C1"/>
            <w:u w:val="single"/>
          </w:rPr>
          <w:t>Full-text access</w:t>
        </w:r>
      </w:hyperlink>
    </w:p>
    <w:p>
      <w:pPr>
        <w:pStyle w:val="Normal"/>
        <w:widowControl/>
        <w:spacing w:after="120"/>
      </w:pPr>
      <w:r>
        <w:t xml:space="preserve"/>
      </w:r>
      <w:r>
        <w:t xml:space="preserve">[V16-3] National Comprehensive Cancer Network. NCCN Clinical Practice Guidelines in Oncology: Neuroendocrine and Adrenal Tumors, Version 1.2026 (21 April 2026). . 2026. </w:t>
      </w:r>
      <w:hyperlink r:id="rId127">
        <w:r>
          <w:rPr>
            <w:color w:val="0563C1"/>
            <w:u w:val="single"/>
          </w:rPr>
          <w:t>Source</w:t>
        </w:r>
      </w:hyperlink>
      <w:r>
        <w:t xml:space="preserve"> | </w:t>
      </w:r>
      <w:hyperlink r:id="rId128">
        <w:r>
          <w:rPr>
            <w:color w:val="0563C1"/>
            <w:u w:val="single"/>
          </w:rPr>
          <w:t>Full-text access</w:t>
        </w:r>
      </w:hyperlink>
    </w:p>
    <w:p>
      <w:pPr>
        <w:pStyle w:val="Normal"/>
        <w:widowControl/>
        <w:spacing w:after="120"/>
      </w:pPr>
      <w:r>
        <w:t xml:space="preserve"/>
      </w:r>
      <w:r>
        <w:t xml:space="preserve">[V16-4] Dove, Lorna; Chadha, Ryan M.; Lai, Jennifer C.; et al. AASLD AST Practice Guideline on adult liver transplantation: Candidate evaluation. Hepatology. 2026; 83(6):1609-1645. </w:t>
      </w:r>
      <w:hyperlink r:id="rId129">
        <w:r>
          <w:rPr>
            <w:color w:val="0563C1"/>
            <w:u w:val="single"/>
          </w:rPr>
          <w:t>Source</w:t>
        </w:r>
      </w:hyperlink>
      <w:r>
        <w:t xml:space="preserve"> | </w:t>
      </w:r>
      <w:hyperlink r:id="rId130">
        <w:r>
          <w:rPr>
            <w:color w:val="0563C1"/>
            <w:u w:val="single"/>
          </w:rPr>
          <w:t>Full-text access</w:t>
        </w:r>
      </w:hyperlink>
    </w:p>
    <w:p>
      <w:pPr>
        <w:pStyle w:val="Normal"/>
        <w:widowControl/>
        <w:spacing w:after="120"/>
      </w:pPr>
      <w:r>
        <w:t xml:space="preserve"/>
      </w:r>
      <w:r>
        <w:t xml:space="preserve">[V16-5] Gorji, Leva; Brown, Zachary J.; Limkemann, Ashley; et al. Liver Transplant as a Treatment of Primary and Secondary Liver Neoplasms. JAMA Surgery. 2024; 159(2):211. </w:t>
      </w:r>
      <w:hyperlink r:id="rId131">
        <w:r>
          <w:rPr>
            <w:color w:val="0563C1"/>
            <w:u w:val="single"/>
          </w:rPr>
          <w:t>Source</w:t>
        </w:r>
      </w:hyperlink>
      <w:r>
        <w:t xml:space="preserve"> | </w:t>
      </w:r>
      <w:hyperlink r:id="rId132">
        <w:r>
          <w:rPr>
            <w:color w:val="0563C1"/>
            <w:u w:val="single"/>
          </w:rPr>
          <w:t>Full-text access</w:t>
        </w:r>
      </w:hyperlink>
    </w:p>
    <w:p>
      <w:pPr>
        <w:pStyle w:val="Normal"/>
        <w:widowControl/>
        <w:spacing w:after="120"/>
      </w:pPr>
      <w:r>
        <w:t xml:space="preserve"/>
      </w:r>
      <w:r>
        <w:t xml:space="preserve">[V16-6] Kasai, Yosuke; Ito, Takashi; Masui, Toshihiko; et al. Liver transplantation for gastroenteropancreatic neuroendocrine liver metastasis: optimal patient selection and perioperative management in the era of multimodal treatments. Journal of Gastroenterology. 2024; 60(1):1-9. </w:t>
      </w:r>
      <w:hyperlink r:id="rId133">
        <w:r>
          <w:rPr>
            <w:color w:val="0563C1"/>
            <w:u w:val="single"/>
          </w:rPr>
          <w:t>Source</w:t>
        </w:r>
      </w:hyperlink>
      <w:r>
        <w:t xml:space="preserve"> | </w:t>
      </w:r>
      <w:hyperlink r:id="rId134">
        <w:r>
          <w:rPr>
            <w:color w:val="0563C1"/>
            <w:u w:val="single"/>
          </w:rPr>
          <w:t>Full-text access</w:t>
        </w:r>
      </w:hyperlink>
    </w:p>
    <w:p>
      <w:pPr>
        <w:pStyle w:val="Normal"/>
        <w:widowControl/>
        <w:spacing w:after="120"/>
      </w:pPr>
      <w:r>
        <w:t xml:space="preserve"/>
      </w:r>
      <w:r>
        <w:t xml:space="preserve">[V16-7] Eshmuminov, Dilmurodjon; Studer, Debora J.; Lopez Lopez, Victor; et al. Controversy Over Liver Transplantation or Resection for Neuroendocrine Liver Metastasis: Tumor Biology Cuts the Deal. Annals of Surgery. 2023; 277(5):e1063-e1071. </w:t>
      </w:r>
      <w:hyperlink r:id="rId135">
        <w:r>
          <w:rPr>
            <w:color w:val="0563C1"/>
            <w:u w:val="single"/>
          </w:rPr>
          <w:t>Source</w:t>
        </w:r>
      </w:hyperlink>
      <w:r>
        <w:t xml:space="preserve"> | </w:t>
      </w:r>
      <w:hyperlink r:id="rId136">
        <w:r>
          <w:rPr>
            <w:color w:val="0563C1"/>
            <w:u w:val="single"/>
          </w:rPr>
          <w:t>Full-text access</w:t>
        </w:r>
      </w:hyperlink>
    </w:p>
    <w:p>
      <w:pPr>
        <w:pStyle w:val="Normal"/>
        <w:widowControl/>
        <w:spacing w:after="120"/>
      </w:pPr>
      <w:r>
        <w:t xml:space="preserve"/>
      </w:r>
      <w:r>
        <w:t xml:space="preserve">[V16-8] Stålberg, Peter; McNamara, Mairéad G; Grozinsky-Glasberg, Simona; et al. Controversies in NEN: An ENETS position statement on the role of liver transplantation (LT) in patients with advanced small-intestinal and pancreatic NETs. Journal of neuroendocrinology. 2026; 38(10):e70250. </w:t>
      </w:r>
      <w:hyperlink r:id="rId137">
        <w:r>
          <w:rPr>
            <w:color w:val="0563C1"/>
            <w:u w:val="single"/>
          </w:rPr>
          <w:t>Source</w:t>
        </w:r>
      </w:hyperlink>
      <w:r>
        <w:t xml:space="preserve"> | </w:t>
      </w:r>
      <w:hyperlink r:id="rId138">
        <w:r>
          <w:rPr>
            <w:color w:val="0563C1"/>
            <w:u w:val="single"/>
          </w:rPr>
          <w:t>Full-text access</w:t>
        </w:r>
      </w:hyperlink>
    </w:p>
    <w:p>
      <w:pPr>
        <w:pStyle w:val="Normal"/>
        <w:widowControl/>
        <w:spacing w:after="120"/>
      </w:pPr>
      <w:r>
        <w:t xml:space="preserve"/>
      </w:r>
      <w:r>
        <w:t xml:space="preserve">[V16-9] Maspero, Marianna; Rossi, Roberta Elisa; Sposito, Carlo; et al. Long-term outcomes of resection versus transplantation for neuroendocrine liver metastases meeting the Milan criteria. American Journal of Transplantation. 2022; 22(11):2598-2607. </w:t>
      </w:r>
      <w:hyperlink r:id="rId139">
        <w:r>
          <w:rPr>
            <w:color w:val="0563C1"/>
            <w:u w:val="single"/>
          </w:rPr>
          <w:t>Source</w:t>
        </w:r>
      </w:hyperlink>
      <w:r>
        <w:t xml:space="preserve"> | </w:t>
      </w:r>
      <w:hyperlink r:id="rId140">
        <w:r>
          <w:rPr>
            <w:color w:val="0563C1"/>
            <w:u w:val="single"/>
          </w:rPr>
          <w:t>Full-text access</w:t>
        </w:r>
      </w:hyperlink>
    </w:p>
    <w:p>
      <w:pPr>
        <w:pStyle w:val="Normal"/>
        <w:widowControl/>
        <w:spacing w:after="120"/>
      </w:pPr>
      <w:r>
        <w:t xml:space="preserve"/>
      </w:r>
      <w:r>
        <w:t xml:space="preserve">[V16-10] Le Treut, Yves Patrice; Grégoire, Emilie; Klempnauer, Jürgen; et al. Liver Transplantation for Neuroendocrine Tumors in Europe—Results and Trends in Patient Selection. Annals of Surgery. 2013; 257(5):807-815. </w:t>
      </w:r>
      <w:hyperlink r:id="rId141">
        <w:r>
          <w:rPr>
            <w:color w:val="0563C1"/>
            <w:u w:val="single"/>
          </w:rPr>
          <w:t>Source</w:t>
        </w:r>
      </w:hyperlink>
      <w:r>
        <w:t xml:space="preserve"> | </w:t>
      </w:r>
      <w:hyperlink r:id="rId142">
        <w:r>
          <w:rPr>
            <w:color w:val="0563C1"/>
            <w:u w:val="single"/>
          </w:rPr>
          <w:t>Full-text access</w:t>
        </w:r>
      </w:hyperlink>
    </w:p>
    <w:p>
      <w:pPr>
        <w:pStyle w:val="Normal"/>
        <w:widowControl/>
        <w:spacing w:after="120"/>
      </w:pPr>
      <w:r>
        <w:t xml:space="preserve"/>
      </w:r>
      <w:r>
        <w:t xml:space="preserve">[V16-11] Caplin ME; Pavel M; Ćwikła JB; et al. Lanreotide in metastatic enteropancreatic neuroendocrine tumors.. The New England journal of medicine. 2014; 371(3):224-33. </w:t>
      </w:r>
      <w:hyperlink r:id="rId143">
        <w:r>
          <w:rPr>
            <w:color w:val="0563C1"/>
            <w:u w:val="single"/>
          </w:rPr>
          <w:t>Source</w:t>
        </w:r>
      </w:hyperlink>
      <w:r>
        <w:t xml:space="preserve"> | </w:t>
      </w:r>
      <w:hyperlink r:id="rId144">
        <w:r>
          <w:rPr>
            <w:color w:val="0563C1"/>
            <w:u w:val="single"/>
          </w:rPr>
          <w:t>Full-text access</w:t>
        </w:r>
      </w:hyperlink>
    </w:p>
    <w:p>
      <w:pPr>
        <w:pStyle w:val="Normal"/>
        <w:widowControl/>
        <w:spacing w:after="120"/>
      </w:pPr>
      <w:r>
        <w:t xml:space="preserve"/>
      </w:r>
      <w:r>
        <w:t xml:space="preserve">[V16-12] Frilling, Andrea; Modlin, Irvin M; Kidd, Mark; et al. Recommendations for management of patients with neuroendocrine liver metastases. The Lancet Oncology. 2014; 15(1):e8-e21. </w:t>
      </w:r>
      <w:hyperlink r:id="rId145">
        <w:r>
          <w:rPr>
            <w:color w:val="0563C1"/>
            <w:u w:val="single"/>
          </w:rPr>
          <w:t>Source</w:t>
        </w:r>
      </w:hyperlink>
      <w:r>
        <w:t xml:space="preserve"> | </w:t>
      </w:r>
      <w:hyperlink r:id="rId146">
        <w:r>
          <w:rPr>
            <w:color w:val="0563C1"/>
            <w:u w:val="single"/>
          </w:rPr>
          <w:t>Full-text access</w:t>
        </w:r>
      </w:hyperlink>
    </w:p>
    <w:p>
      <w:pPr>
        <w:pStyle w:val="Normal"/>
        <w:widowControl/>
        <w:spacing w:after="120"/>
      </w:pPr>
      <w:r>
        <w:t xml:space="preserve"/>
      </w:r>
      <w:r>
        <w:t xml:space="preserve">[V16-13] Te, Helen S.; Agopian, Vatche G.; Demetris, Anthony J.; et al. AASLD AST Practice Guideline on adult liver transplantation: Diagnosis and management of graft-related complications. Liver Transplantation. 2025; 32(3):444-490. </w:t>
      </w:r>
      <w:hyperlink r:id="rId147">
        <w:r>
          <w:rPr>
            <w:color w:val="0563C1"/>
            <w:u w:val="single"/>
          </w:rPr>
          <w:t>Source</w:t>
        </w:r>
      </w:hyperlink>
      <w:r>
        <w:t xml:space="preserve"> | </w:t>
      </w:r>
      <w:hyperlink r:id="rId148">
        <w:r>
          <w:rPr>
            <w:color w:val="0563C1"/>
            <w:u w:val="single"/>
          </w:rPr>
          <w:t>Full-text access</w:t>
        </w:r>
      </w:hyperlink>
    </w:p>
    <w:p>
      <w:pPr>
        <w:pStyle w:val="Normal"/>
        <w:widowControl/>
        <w:spacing w:after="120"/>
      </w:pPr>
      <w:r>
        <w:t xml:space="preserve"/>
      </w:r>
      <w:r>
        <w:t xml:space="preserve">[V16-14]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149">
        <w:r>
          <w:rPr>
            <w:color w:val="0563C1"/>
            <w:u w:val="single"/>
          </w:rPr>
          <w:t>Source</w:t>
        </w:r>
      </w:hyperlink>
      <w:r>
        <w:t xml:space="preserve"> | </w:t>
      </w:r>
      <w:hyperlink r:id="rId150">
        <w:r>
          <w:rPr>
            <w:color w:val="0563C1"/>
            <w:u w:val="single"/>
          </w:rPr>
          <w:t>Full-text access</w:t>
        </w:r>
      </w:hyperlink>
    </w:p>
    <w:p>
      <w:pPr>
        <w:pStyle w:val="Normal"/>
        <w:widowControl/>
        <w:spacing w:after="120"/>
      </w:pPr>
      <w:r>
        <w:t xml:space="preserve"/>
      </w:r>
      <w:r>
        <w:t xml:space="preserve">[V16-15] Nashan, Björn. mTOR Inhibition and Clinical Transplantation. Transplantation. 2018; 102(2S):S19-S26. </w:t>
      </w:r>
      <w:hyperlink r:id="rId151">
        <w:r>
          <w:rPr>
            <w:color w:val="0563C1"/>
            <w:u w:val="single"/>
          </w:rPr>
          <w:t>Source</w:t>
        </w:r>
      </w:hyperlink>
      <w:r>
        <w:t xml:space="preserve"> | </w:t>
      </w:r>
      <w:hyperlink r:id="rId152">
        <w:r>
          <w:rPr>
            <w:color w:val="0563C1"/>
            <w:u w:val="single"/>
          </w:rPr>
          <w:t>Full-text access</w:t>
        </w:r>
      </w:hyperlink>
    </w:p>
    <w:p>
      <w:pPr>
        <w:pStyle w:val="Normal"/>
        <w:widowControl/>
        <w:spacing w:after="120"/>
      </w:pPr>
      <w:r>
        <w:t xml:space="preserve"/>
      </w:r>
      <w:r>
        <w:t xml:space="preserve">[V16-16] Novartis Pharmaceuticals Corporation. Zortress (everolimus) US prescribing information, updated 16 September 2026. DailyMed. 2026. </w:t>
      </w:r>
      <w:hyperlink r:id="rId153">
        <w:r>
          <w:rPr>
            <w:color w:val="0563C1"/>
            <w:u w:val="single"/>
          </w:rPr>
          <w:t>Source</w:t>
        </w:r>
      </w:hyperlink>
      <w:r>
        <w:t xml:space="preserve"> | </w:t>
      </w:r>
      <w:hyperlink r:id="rId154">
        <w:r>
          <w:rPr>
            <w:color w:val="0563C1"/>
            <w:u w:val="single"/>
          </w:rPr>
          <w:t>Full-text access</w:t>
        </w:r>
      </w:hyperlink>
    </w:p>
    <w:p>
      <w:pPr>
        <w:pStyle w:val="Normal"/>
        <w:widowControl/>
        <w:spacing w:after="120"/>
      </w:pPr>
      <w:r>
        <w:t xml:space="preserve"/>
      </w:r>
      <w:r>
        <w:t xml:space="preserve">[V16-17] Chen, Chiyi; Zheng, Qiming; Zhang, Li; et al. Peptide Receptor Radionuclide Therapy for Recurrent Neuroendocrine Tumor Liver Metastases After Liver transplantation: A Case Series. Transplantation proceedings. 2026; 58(3):526-531. </w:t>
      </w:r>
      <w:hyperlink r:id="rId155">
        <w:r>
          <w:rPr>
            <w:color w:val="0563C1"/>
            <w:u w:val="single"/>
          </w:rPr>
          <w:t>Source</w:t>
        </w:r>
      </w:hyperlink>
      <w:r>
        <w:t xml:space="preserve"> | </w:t>
      </w:r>
      <w:hyperlink r:id="rId156">
        <w:r>
          <w:rPr>
            <w:color w:val="0563C1"/>
            <w:u w:val="single"/>
          </w:rPr>
          <w:t>Full-text access</w:t>
        </w:r>
      </w:hyperlink>
    </w:p>
    <w:p>
      <w:pPr>
        <w:pStyle w:val="Normal"/>
        <w:widowControl/>
        <w:spacing w:after="120"/>
      </w:pPr>
      <w:r>
        <w:t xml:space="preserve"/>
      </w:r>
      <w:r>
        <w:t xml:space="preserve">[V16-18] Sposito, Carlo; Rossi, Roberta Elisa; Monteleone, Michela; et al. Postrecurrence Survival After Liver Transplantation for Liver Metastases From Neuroendocrine Tumors. Transplantation. 2021; 105(12):2579-2586. </w:t>
      </w:r>
      <w:hyperlink r:id="rId157">
        <w:r>
          <w:rPr>
            <w:color w:val="0563C1"/>
            <w:u w:val="single"/>
          </w:rPr>
          <w:t>Source</w:t>
        </w:r>
      </w:hyperlink>
      <w:r>
        <w:t xml:space="preserve"> | </w:t>
      </w:r>
      <w:hyperlink r:id="rId158">
        <w:r>
          <w:rPr>
            <w:color w:val="0563C1"/>
            <w:u w:val="single"/>
          </w:rPr>
          <w:t>Full-text access</w:t>
        </w:r>
      </w:hyperlink>
    </w:p>
    <w:p>
      <w:pPr>
        <w:pStyle w:val="Normal"/>
        <w:widowControl/>
        <w:spacing w:after="120"/>
      </w:pPr>
      <w:r>
        <w:t xml:space="preserve"/>
      </w:r>
      <w:r>
        <w:t xml:space="preserve">[V16-19] Chan JA; Geyer S; Zemla T; et al. Phase 3 Trial of Cabozantinib to Treat Advanced Neuroendocrine Tumors.. The New England journal of medicine. 2025; 392(7):653-665. </w:t>
      </w:r>
      <w:hyperlink r:id="rId159">
        <w:r>
          <w:rPr>
            <w:color w:val="0563C1"/>
            <w:u w:val="single"/>
          </w:rPr>
          <w:t>Source</w:t>
        </w:r>
      </w:hyperlink>
      <w:r>
        <w:t xml:space="preserve"> | </w:t>
      </w:r>
      <w:hyperlink r:id="rId160">
        <w:r>
          <w:rPr>
            <w:color w:val="0563C1"/>
            <w:u w:val="single"/>
          </w:rPr>
          <w:t>Full-text access</w:t>
        </w:r>
      </w:hyperlink>
    </w:p>
    <w:p>
      <w:pPr>
        <w:pStyle w:val="Normal"/>
        <w:widowControl/>
        <w:spacing w:after="120"/>
      </w:pPr>
      <w:r>
        <w:t xml:space="preserve"/>
      </w:r>
      <w:r>
        <w:t xml:space="preserve">[V16-20] Strosberg, Jonathan R; Caplin, Martyn E; Kunz, Pamela L; et al. 177Lu-Dotatate plus long-acting octreotide versus high‑dose long-acting octreotide in patients with midgut neuroendocrine tumours (NETTER-1): final overall survival and long-term safety results from an open-label, randomised, controlled, phase 3 trial. The Lancet Oncology. 2021; 22(12):1752-1763. </w:t>
      </w:r>
      <w:hyperlink r:id="rId161">
        <w:r>
          <w:rPr>
            <w:color w:val="0563C1"/>
            <w:u w:val="single"/>
          </w:rPr>
          <w:t>Source</w:t>
        </w:r>
      </w:hyperlink>
      <w:r>
        <w:t xml:space="preserve"> | </w:t>
      </w:r>
      <w:hyperlink r:id="rId162">
        <w:r>
          <w:rPr>
            <w:color w:val="0563C1"/>
            <w:u w:val="single"/>
          </w:rPr>
          <w:t>Full-text access</w:t>
        </w:r>
      </w:hyperlink>
    </w:p>
    <w:p>
      <w:pPr>
        <w:pStyle w:val="Normal"/>
        <w:widowControl/>
        <w:spacing w:after="120"/>
      </w:pPr>
      <w:r>
        <w:t xml:space="preserve"/>
      </w:r>
      <w:r>
        <w:t xml:space="preserve">[V16-21] Abecassis, M.M.; Fisher, R.A.; Olthoff, K.M.; et al. Complications of Living Donor Hepatic Lobectomy—A Comprehensive Report. American Journal of Transplantation. 2012; 12(5):1208-1217. </w:t>
      </w:r>
      <w:hyperlink r:id="rId163">
        <w:r>
          <w:rPr>
            <w:color w:val="0563C1"/>
            <w:u w:val="single"/>
          </w:rPr>
          <w:t>Source</w:t>
        </w:r>
      </w:hyperlink>
      <w:r>
        <w:t xml:space="preserve"> | </w:t>
      </w:r>
      <w:hyperlink r:id="rId164">
        <w:r>
          <w:rPr>
            <w:color w:val="0563C1"/>
            <w:u w:val="single"/>
          </w:rPr>
          <w:t>Full-text access</w:t>
        </w:r>
      </w:hyperlink>
    </w:p>
    <w:p>
      <w:pPr>
        <w:pStyle w:val="Normal"/>
        <w:widowControl/>
        <w:spacing w:after="120"/>
      </w:pPr>
      <w:r>
        <w:t xml:space="preserve"/>
      </w:r>
      <w:r>
        <w:t xml:space="preserve">[V16-22] DiMartini, A.; Dew, M.A.; Liu, Q.; et al. Social and Financial Outcomes of Living Liver Donation: A Prospective Investigation Within the Adult-to-Adult Living Donor Liver Transplantation Cohort Study 2 (A2ALL-2). American Journal of Transplantation. 2017; 17(4):1081-1096. </w:t>
      </w:r>
      <w:hyperlink r:id="rId165">
        <w:r>
          <w:rPr>
            <w:color w:val="0563C1"/>
            <w:u w:val="single"/>
          </w:rPr>
          <w:t>Source</w:t>
        </w:r>
      </w:hyperlink>
      <w:r>
        <w:t xml:space="preserve"> | </w:t>
      </w:r>
      <w:hyperlink r:id="rId166">
        <w:r>
          <w:rPr>
            <w:color w:val="0563C1"/>
            <w:u w:val="single"/>
          </w:rPr>
          <w:t>Full-text access</w:t>
        </w:r>
      </w:hyperlink>
    </w:p>
    <w:p>
      <w:pPr>
        <w:pStyle w:val="Normal"/>
        <w:widowControl/>
        <w:spacing w:after="120"/>
      </w:pPr>
      <w:r>
        <w:t xml:space="preserve"/>
      </w:r>
      <w:r>
        <w:t xml:space="preserve">[V16-23] Xiao, Jieling; Zeng, Rebecca Wenling; Lim, Wen Hui; et al. The incidence of adverse outcome in donors after living donor liver transplantation: A meta-analysis of 60,829 donors. Liver Transplantation. 2024; 30(5):493-504. </w:t>
      </w:r>
      <w:hyperlink r:id="rId167">
        <w:r>
          <w:rPr>
            <w:color w:val="0563C1"/>
            <w:u w:val="single"/>
          </w:rPr>
          <w:t>Source</w:t>
        </w:r>
      </w:hyperlink>
      <w:r>
        <w:t xml:space="preserve"> | </w:t>
      </w:r>
      <w:hyperlink r:id="rId168">
        <w:r>
          <w:rPr>
            <w:color w:val="0563C1"/>
            <w:u w:val="single"/>
          </w:rPr>
          <w:t>Full-text access</w:t>
        </w:r>
      </w:hyperlink>
    </w:p>
    <w:p>
      <w:pPr>
        <w:pStyle w:val="Normal"/>
        <w:widowControl/>
        <w:spacing w:after="120"/>
      </w:pPr>
      <w:r>
        <w:t xml:space="preserve"/>
      </w:r>
      <w:r>
        <w:t xml:space="preserve">[V16-24] Kjaer, Josefine; Smith, Sara; Hellman, Per; et al. Overall Survival in Patients with Stage IV Pan-NET Eligible for Liver Transplantation. World Journal of Surgery. 2023. </w:t>
      </w:r>
      <w:hyperlink r:id="rId169">
        <w:r>
          <w:rPr>
            <w:color w:val="0563C1"/>
            <w:u w:val="single"/>
          </w:rPr>
          <w:t>Source</w:t>
        </w:r>
      </w:hyperlink>
      <w:r>
        <w:t xml:space="preserve"> | </w:t>
      </w:r>
      <w:hyperlink r:id="rId170">
        <w:r>
          <w:rPr>
            <w:color w:val="0563C1"/>
            <w:u w:val="single"/>
          </w:rPr>
          <w:t>Full-text access</w:t>
        </w:r>
      </w:hyperlink>
    </w:p>
    <w:p>
      <w:pPr>
        <w:pStyle w:val="Normal"/>
        <w:widowControl/>
        <w:spacing w:after="120"/>
      </w:pPr>
      <w:r>
        <w:t xml:space="preserve"/>
      </w:r>
      <w:r>
        <w:t xml:space="preserve">[V16-25] Mazzaferro, V; Sposito, C; Coppa, J; et al. The Long-Term Benefit of Liver Transplantation for Hepatic Metastases From Neuroendocrine Tumors. American journal of transplantation : official journal of the American Society of Transplantation and the American Society of Transplant Surgeons. 2016; 16(10):2892-2902. </w:t>
      </w:r>
      <w:hyperlink r:id="rId171">
        <w:r>
          <w:rPr>
            <w:color w:val="0563C1"/>
            <w:u w:val="single"/>
          </w:rPr>
          <w:t>Source</w:t>
        </w:r>
      </w:hyperlink>
      <w:r>
        <w:t xml:space="preserve"> | </w:t>
      </w:r>
      <w:hyperlink r:id="rId172">
        <w:r>
          <w:rPr>
            <w:color w:val="0563C1"/>
            <w:u w:val="single"/>
          </w:rPr>
          <w:t>Full-text access</w:t>
        </w:r>
      </w:hyperlink>
    </w:p>
    <w:p>
      <w:pPr>
        <w:pStyle w:val="Normal"/>
        <w:widowControl/>
        <w:spacing w:after="120"/>
      </w:pPr>
      <w:r>
        <w:t xml:space="preserve"/>
      </w:r>
      <w:r>
        <w:t xml:space="preserve">[V16-26] Wedin, Maria; Janson, Eva Tiensuu; Wallin, Göran; et al. Impact on symptoms and survival of bone metastases in patients with small-intestinal neuroendocrine tumours. Journal of neuroendocrinology. 2025; 37(10):e70073. </w:t>
      </w:r>
      <w:hyperlink r:id="rId173">
        <w:r>
          <w:rPr>
            <w:color w:val="0563C1"/>
            <w:u w:val="single"/>
          </w:rPr>
          <w:t>Source</w:t>
        </w:r>
      </w:hyperlink>
      <w:r>
        <w:t xml:space="preserve"> | Local PDF not available in this update</w:t>
      </w:r>
    </w:p>
    <w:p>
      <w:pPr>
        <w:pStyle w:val="Normal"/>
        <w:widowControl/>
        <w:spacing w:after="120"/>
      </w:pPr>
      <w:r>
        <w:t xml:space="preserve"/>
      </w:r>
      <w:r>
        <w:t xml:space="preserve">[V16-27] Sher, Linda S; Levi, David M; Wecsler, Julie S; et al. Liver transplantation for metastatic neuroendocrine tumors: Outcomes and prognostic variables. Journal of surgical oncology. 2015; 112(2):125-32. </w:t>
      </w:r>
      <w:hyperlink r:id="rId174">
        <w:r>
          <w:rPr>
            <w:color w:val="0563C1"/>
            <w:u w:val="single"/>
          </w:rPr>
          <w:t>Source</w:t>
        </w:r>
      </w:hyperlink>
      <w:r>
        <w:t xml:space="preserve"> | Local PDF not available in this update</w:t>
      </w:r>
    </w:p>
    <w:p>
      <w:pPr>
        <w:pStyle w:val="Normal"/>
        <w:widowControl/>
        <w:spacing w:after="120"/>
      </w:pPr>
      <w:r>
        <w:t xml:space="preserve"/>
      </w:r>
      <w:r>
        <w:t xml:space="preserve">[V16-28] Frilling. The impact of 68Ga-DOTATOC positron emission tomography/computed tomography on the multimodal management of patients with neuroendocrine tumors. Annals of surgery. 2010. </w:t>
      </w:r>
      <w:hyperlink r:id="rId175">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NET-B4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6 cited study lines rest on full-text reading (complete main text; relevant complete sections of long guidelines) and 1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wdsufqyxf2rxmes6dj" Type="http://schemas.openxmlformats.org/officeDocument/2006/relationships/hyperlink" Target="https://doi.org/10.1097/HEP.0000000000001644" TargetMode="External"/><Relationship Id="rIdtcfr3obbkkcbhxhuzpwy-" Type="http://schemas.openxmlformats.org/officeDocument/2006/relationships/hyperlink" Target="https://jamanetwork.com/journals/jamasurgery/fullarticle/10.1001/jamasurg.2023.6083?utm_source=openevidence&amp;utm_medium=referral" TargetMode="External"/><Relationship Id="rIdeznrhtsq7h54sptqk9n88" Type="http://schemas.openxmlformats.org/officeDocument/2006/relationships/hyperlink" Target="https://pubmed.ncbi.nlm.nih.gov/39547997" TargetMode="External"/><Relationship Id="rIdrqftlgqc6gh4johdfomxs" Type="http://schemas.openxmlformats.org/officeDocument/2006/relationships/hyperlink" Target="https://pubmed.ncbi.nlm.nih.gov/35975918" TargetMode="External"/><Relationship Id="rIdsexfqrynmopwsnzwcaeby" Type="http://schemas.openxmlformats.org/officeDocument/2006/relationships/hyperlink" Target="https://pubmed.ncbi.nlm.nih.gov/24384494" TargetMode="External"/><Relationship Id="rIdqqjatj-j_qy8ssb2ncq4x" Type="http://schemas.openxmlformats.org/officeDocument/2006/relationships/hyperlink" Target="https://www.nccn.org/professionals/physician_gls/pdf/neuroendocrine.pdf#page=85" TargetMode="External"/><Relationship Id="rIdwnn-irhqxyamozrph8ip0" Type="http://schemas.openxmlformats.org/officeDocument/2006/relationships/hyperlink" Target="https://meetings.asco.org/abstracts-presentations/265146" TargetMode="External"/><Relationship Id="rIdpeghdabylkcldl_men63k" Type="http://schemas.openxmlformats.org/officeDocument/2006/relationships/hyperlink" Target="https://pubmed.ncbi.nlm.nih.gov/32520679" TargetMode="External"/><Relationship Id="rIduotsek3z0zjbexxxhz4ed" Type="http://schemas.openxmlformats.org/officeDocument/2006/relationships/hyperlink" Target="https://pubmed.ncbi.nlm.nih.gov/39306468" TargetMode="External"/><Relationship Id="rId6ich49yccmu90slafwzqn" Type="http://schemas.openxmlformats.org/officeDocument/2006/relationships/hyperlink" Target="https://pubmed.ncbi.nlm.nih.gov/28230639" TargetMode="External"/><Relationship Id="rIdmk6hdw8gnueekylov--lw" Type="http://schemas.openxmlformats.org/officeDocument/2006/relationships/hyperlink" Target="https://doi.org/10.1097/LVT.0000000000000715" TargetMode="External"/><Relationship Id="rId_j0ycn_h3oziqsj3ofsz8" Type="http://schemas.openxmlformats.org/officeDocument/2006/relationships/hyperlink" Target="https://pubmed.ncbi.nlm.nih.gov/33908381" TargetMode="External"/><Relationship Id="rIdyrr_m5zb_ygx24k-h0q47" Type="http://schemas.openxmlformats.org/officeDocument/2006/relationships/hyperlink" Target="https://pubmed.ncbi.nlm.nih.gov/41760506" TargetMode="External"/><Relationship Id="rIdjetizatnpmv9j7si54kpj" Type="http://schemas.openxmlformats.org/officeDocument/2006/relationships/hyperlink" Target="https://pubmed.ncbi.nlm.nih.gov/37208101" TargetMode="External"/><Relationship Id="rIdw1jzn_g1vtqsmv9yqhjte" Type="http://schemas.openxmlformats.org/officeDocument/2006/relationships/hyperlink" Target="https://pubmed.ncbi.nlm.nih.gov/42234009" TargetMode="External"/><Relationship Id="rIdvicdzinwhbffzc-amx4ne" Type="http://schemas.openxmlformats.org/officeDocument/2006/relationships/hyperlink" Target="https://pubmed.ncbi.nlm.nih.gov/32213292" TargetMode="External"/><Relationship Id="rId22" Type="http://schemas.openxmlformats.org/officeDocument/2006/relationships/fontTable" Target="fontTable.xml"/><Relationship Id="rId23" Type="http://schemas.openxmlformats.org/officeDocument/2006/relationships/hyperlink" Target="https://doi.org/10.1056/NEJMoa2403991"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97/HEP.0000000000001644"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56/NEJMoa1316158"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111/j.1600-6143.2011.03972.x"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111/ajt.14055"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97/LVT.0000000000000303"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97/SLA.0b013e31828ee17c"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07/s00268-022-06736-1"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111/ajt.17156"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doi.org/10.1097/SLA.0000000000005663" TargetMode="External"/><Relationship Id="rId42" Type="http://schemas.openxmlformats.org/officeDocument/2006/relationships/hyperlink" Target="https://drliuhao.github.io/mh-liver-pathways/evidence-libraries/" TargetMode="External"/><Relationship Id="rId43" Type="http://schemas.openxmlformats.org/officeDocument/2006/relationships/hyperlink" Target="https://doi.org/10.1016/S1470-2045(21)00572-6" TargetMode="External"/><Relationship Id="rId44" Type="http://schemas.openxmlformats.org/officeDocument/2006/relationships/hyperlink" Target="https://drliuhao.github.io/mh-liver-pathways/evidence-libraries/" TargetMode="External"/><Relationship Id="rId45" Type="http://schemas.openxmlformats.org/officeDocument/2006/relationships/hyperlink" Target="https://doi.org/10.1016/j.transproceed.2026.02.019" TargetMode="External"/><Relationship Id="rId46" Type="http://schemas.openxmlformats.org/officeDocument/2006/relationships/hyperlink" Target="https://drliuhao.github.io/mh-liver-pathways/evidence-libraries/" TargetMode="External"/><Relationship Id="rId47" Type="http://schemas.openxmlformats.org/officeDocument/2006/relationships/hyperlink" Target="https://pubmed.ncbi.nlm.nih.gov/24384494" TargetMode="External"/><Relationship Id="rId48" Type="http://schemas.openxmlformats.org/officeDocument/2006/relationships/hyperlink" Target="https://drliuhao.github.io/mh-liver-pathways/evidence-libraries/" TargetMode="External"/><Relationship Id="rId49" Type="http://schemas.openxmlformats.org/officeDocument/2006/relationships/hyperlink" Target="https://jamanetwork.com/journals/jamasurgery/fullarticle/10.1001/jamasurg.2023.6083?utm_source=openevidence&amp;utm_medium=referral" TargetMode="External"/><Relationship Id="rId50" Type="http://schemas.openxmlformats.org/officeDocument/2006/relationships/hyperlink" Target="https://drliuhao.github.io/mh-liver-pathways/evidence-libraries/" TargetMode="External"/><Relationship Id="rId51" Type="http://schemas.openxmlformats.org/officeDocument/2006/relationships/hyperlink" Target="https://www.nccn.org/professionals/physician_gls/pdf/neuroendocrine.pdf#page=85" TargetMode="External"/><Relationship Id="rId52" Type="http://schemas.openxmlformats.org/officeDocument/2006/relationships/hyperlink" Target="https://drliuhao.github.io/mh-liver-pathways/evidence-libraries/" TargetMode="External"/><Relationship Id="rId53" Type="http://schemas.openxmlformats.org/officeDocument/2006/relationships/hyperlink" Target="https://doi.org/10.1097/lvt.0000000000000715" TargetMode="External"/><Relationship Id="rId54" Type="http://schemas.openxmlformats.org/officeDocument/2006/relationships/hyperlink" Target="https://drliuhao.github.io/mh-liver-pathways/evidence-libraries/" TargetMode="External"/><Relationship Id="rId55" Type="http://schemas.openxmlformats.org/officeDocument/2006/relationships/hyperlink" Target="https://pubmed.ncbi.nlm.nih.gov/39547997" TargetMode="External"/><Relationship Id="rId56" Type="http://schemas.openxmlformats.org/officeDocument/2006/relationships/hyperlink" Target="https://drliuhao.github.io/mh-liver-pathways/evidence-libraries/" TargetMode="External"/><Relationship Id="rId57" Type="http://schemas.openxmlformats.org/officeDocument/2006/relationships/hyperlink" Target="https://pubmed.ncbi.nlm.nih.gov/33908381" TargetMode="External"/><Relationship Id="rId58" Type="http://schemas.openxmlformats.org/officeDocument/2006/relationships/hyperlink" Target="https://drliuhao.github.io/mh-liver-pathways/evidence-libraries/" TargetMode="External"/><Relationship Id="rId59" Type="http://schemas.openxmlformats.org/officeDocument/2006/relationships/hyperlink" Target="https://pubmed.ncbi.nlm.nih.gov/28230639" TargetMode="External"/><Relationship Id="rId60" Type="http://schemas.openxmlformats.org/officeDocument/2006/relationships/hyperlink" Target="https://drliuhao.github.io/mh-liver-pathways/evidence-libraries/"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rliuhao.github.io/mh-liver-pathways/evidence-libraries/"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www.hrsa.gov/sites/default/files/hrsa/optn/optn_policies.pdf"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www.hrsa.gov/sites/default/files/hrsa/optn/adult-meld-exception-transplant-oncology-review-guidance.pdf"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www.nccn.org/professionals/physician_gls/pdf/neuroendocrine.pdf#page=85"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97/HEP.0000000000001644"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jamanetwork.com/journals/jamasurgery/fullarticle/10.1001/jamasurg.2023.6083?utm_source=openevidence&amp;utm_medium=referral"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pubmed.ncbi.nlm.nih.gov/39547997"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doi.org/10.1097/SLA.0000000000005663" TargetMode="External"/><Relationship Id="rId77" Type="http://schemas.openxmlformats.org/officeDocument/2006/relationships/hyperlink" Target="https://drliuhao.github.io/mh-liver-pathways/evidence-libraries/" TargetMode="External"/><Relationship Id="rId78" Type="http://schemas.openxmlformats.org/officeDocument/2006/relationships/hyperlink" Target="https://doi.org/10.1111/jne.70250" TargetMode="External"/><Relationship Id="rId79" Type="http://schemas.openxmlformats.org/officeDocument/2006/relationships/hyperlink" Target="https://drliuhao.github.io/mh-liver-pathways/evidence-libraries/" TargetMode="External"/><Relationship Id="rId80" Type="http://schemas.openxmlformats.org/officeDocument/2006/relationships/hyperlink" Target="https://doi.org/10.1111/ajt.17156" TargetMode="External"/><Relationship Id="rId81" Type="http://schemas.openxmlformats.org/officeDocument/2006/relationships/hyperlink" Target="https://drliuhao.github.io/mh-liver-pathways/evidence-libraries/" TargetMode="External"/><Relationship Id="rId82" Type="http://schemas.openxmlformats.org/officeDocument/2006/relationships/hyperlink" Target="https://doi.org/10.1097/SLA.0b013e31828ee17c"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056/NEJMoa1316158"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pubmed.ncbi.nlm.nih.gov/24384494" TargetMode="External"/><Relationship Id="rId87" Type="http://schemas.openxmlformats.org/officeDocument/2006/relationships/hyperlink" Target="https://drliuhao.github.io/mh-liver-pathways/evidence-libraries/" TargetMode="External"/><Relationship Id="rId88" Type="http://schemas.openxmlformats.org/officeDocument/2006/relationships/hyperlink" Target="https://doi.org/10.1097/lvt.0000000000000715" TargetMode="External"/><Relationship Id="rId89" Type="http://schemas.openxmlformats.org/officeDocument/2006/relationships/hyperlink" Target="https://drliuhao.github.io/mh-liver-pathways/evidence-libraries/" TargetMode="External"/><Relationship Id="rId90" Type="http://schemas.openxmlformats.org/officeDocument/2006/relationships/hyperlink" Target="https://doi.org/10.1016/S0140-6736(24)01595-2" TargetMode="External"/><Relationship Id="rId91" Type="http://schemas.openxmlformats.org/officeDocument/2006/relationships/hyperlink" Target="https://drliuhao.github.io/mh-liver-pathways/evidence-libraries/" TargetMode="External"/><Relationship Id="rId92" Type="http://schemas.openxmlformats.org/officeDocument/2006/relationships/hyperlink" Target="https://pubmed.ncbi.nlm.nih.gov/28230639" TargetMode="External"/><Relationship Id="rId93" Type="http://schemas.openxmlformats.org/officeDocument/2006/relationships/hyperlink" Target="https://drliuhao.github.io/mh-liver-pathways/evidence-libraries/" TargetMode="External"/><Relationship Id="rId94" Type="http://schemas.openxmlformats.org/officeDocument/2006/relationships/hyperlink" Target="https://dailymed.nlm.nih.gov/dailymed/drugInfo.cfm?setid=e082a024-7850-400b-a5c2-2a140612562a" TargetMode="External"/><Relationship Id="rId95" Type="http://schemas.openxmlformats.org/officeDocument/2006/relationships/hyperlink" Target="https://drliuhao.github.io/mh-liver-pathways/evidence-libraries/" TargetMode="External"/><Relationship Id="rId96" Type="http://schemas.openxmlformats.org/officeDocument/2006/relationships/hyperlink" Target="https://doi.org/10.1016/j.transproceed.2026.02.01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pubmed.ncbi.nlm.nih.gov/33908381"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56/NEJMoa2403991"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16/S1470-2045(21)00572-6"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111/j.1600-6143.2011.03972.x"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111/ajt.14055"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97/LVT.000000000000030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07/s00268-022-06736-1"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111/ajt.13831"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111/ajt.17156"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111/jne.70250"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doi.org/10.1111/jne.70073" TargetMode="External"/><Relationship Id="rId119" Type="http://schemas.openxmlformats.org/officeDocument/2006/relationships/hyperlink" Target="https://doi.org/10.1097/SLA.0b013e31828ee17c"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02/jso.23973" TargetMode="External"/><Relationship Id="rId122" Type="http://schemas.openxmlformats.org/officeDocument/2006/relationships/hyperlink" Target="https://doi.org/10.1097/SLA.0b013e3181fd37e8" TargetMode="External"/><Relationship Id="rId123" Type="http://schemas.openxmlformats.org/officeDocument/2006/relationships/hyperlink" Target="https://www.hrsa.gov/sites/default/files/hrsa/optn/optn_policies.pdf" TargetMode="External"/><Relationship Id="rId124" Type="http://schemas.openxmlformats.org/officeDocument/2006/relationships/hyperlink" Target="https://drliuhao.github.io/mh-liver-pathways/evidence-libraries/" TargetMode="External"/><Relationship Id="rId125" Type="http://schemas.openxmlformats.org/officeDocument/2006/relationships/hyperlink" Target="https://www.hrsa.gov/sites/default/files/hrsa/optn/adult-meld-exception-transplant-oncology-review-guidance.pdf" TargetMode="External"/><Relationship Id="rId126" Type="http://schemas.openxmlformats.org/officeDocument/2006/relationships/hyperlink" Target="https://drliuhao.github.io/mh-liver-pathways/evidence-libraries/" TargetMode="External"/><Relationship Id="rId127" Type="http://schemas.openxmlformats.org/officeDocument/2006/relationships/hyperlink" Target="https://www.nccn.org/professionals/physician_gls/pdf/neuroendocrine.pdf#page=85" TargetMode="External"/><Relationship Id="rId128" Type="http://schemas.openxmlformats.org/officeDocument/2006/relationships/hyperlink" Target="https://drliuhao.github.io/mh-liver-pathways/evidence-libraries/" TargetMode="External"/><Relationship Id="rId129" Type="http://schemas.openxmlformats.org/officeDocument/2006/relationships/hyperlink" Target="https://doi.org/10.1097/HEP.0000000000001644"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jamanetwork.com/journals/jamasurgery/fullarticle/10.1001/jamasurg.2023.6083?utm_source=openevidence&amp;utm_medium=referral" TargetMode="External"/><Relationship Id="rId132" Type="http://schemas.openxmlformats.org/officeDocument/2006/relationships/hyperlink" Target="https://drliuhao.github.io/mh-liver-pathways/evidence-libraries/" TargetMode="External"/><Relationship Id="rId133" Type="http://schemas.openxmlformats.org/officeDocument/2006/relationships/hyperlink" Target="https://pubmed.ncbi.nlm.nih.gov/39547997" TargetMode="External"/><Relationship Id="rId134" Type="http://schemas.openxmlformats.org/officeDocument/2006/relationships/hyperlink" Target="https://drliuhao.github.io/mh-liver-pathways/evidence-libraries/" TargetMode="External"/><Relationship Id="rId135" Type="http://schemas.openxmlformats.org/officeDocument/2006/relationships/hyperlink" Target="https://doi.org/10.1097/SLA.0000000000005663" TargetMode="External"/><Relationship Id="rId136" Type="http://schemas.openxmlformats.org/officeDocument/2006/relationships/hyperlink" Target="https://drliuhao.github.io/mh-liver-pathways/evidence-libraries/" TargetMode="External"/><Relationship Id="rId137" Type="http://schemas.openxmlformats.org/officeDocument/2006/relationships/hyperlink" Target="https://doi.org/10.1111/jne.70250" TargetMode="External"/><Relationship Id="rId138" Type="http://schemas.openxmlformats.org/officeDocument/2006/relationships/hyperlink" Target="https://drliuhao.github.io/mh-liver-pathways/evidence-libraries/" TargetMode="External"/><Relationship Id="rId139" Type="http://schemas.openxmlformats.org/officeDocument/2006/relationships/hyperlink" Target="https://doi.org/10.1111/ajt.17156" TargetMode="External"/><Relationship Id="rId140" Type="http://schemas.openxmlformats.org/officeDocument/2006/relationships/hyperlink" Target="https://drliuhao.github.io/mh-liver-pathways/evidence-libraries/" TargetMode="External"/><Relationship Id="rId141" Type="http://schemas.openxmlformats.org/officeDocument/2006/relationships/hyperlink" Target="https://doi.org/10.1097/SLA.0b013e31828ee17c" TargetMode="External"/><Relationship Id="rId142" Type="http://schemas.openxmlformats.org/officeDocument/2006/relationships/hyperlink" Target="https://drliuhao.github.io/mh-liver-pathways/evidence-libraries/" TargetMode="External"/><Relationship Id="rId143" Type="http://schemas.openxmlformats.org/officeDocument/2006/relationships/hyperlink" Target="https://doi.org/10.1056/NEJMoa1316158" TargetMode="External"/><Relationship Id="rId144" Type="http://schemas.openxmlformats.org/officeDocument/2006/relationships/hyperlink" Target="https://drliuhao.github.io/mh-liver-pathways/evidence-libraries/" TargetMode="External"/><Relationship Id="rId145" Type="http://schemas.openxmlformats.org/officeDocument/2006/relationships/hyperlink" Target="https://pubmed.ncbi.nlm.nih.gov/24384494" TargetMode="External"/><Relationship Id="rId146" Type="http://schemas.openxmlformats.org/officeDocument/2006/relationships/hyperlink" Target="https://drliuhao.github.io/mh-liver-pathways/evidence-libraries/" TargetMode="External"/><Relationship Id="rId147" Type="http://schemas.openxmlformats.org/officeDocument/2006/relationships/hyperlink" Target="https://doi.org/10.1097/lvt.0000000000000715" TargetMode="External"/><Relationship Id="rId148" Type="http://schemas.openxmlformats.org/officeDocument/2006/relationships/hyperlink" Target="https://drliuhao.github.io/mh-liver-pathways/evidence-libraries/" TargetMode="External"/><Relationship Id="rId149" Type="http://schemas.openxmlformats.org/officeDocument/2006/relationships/hyperlink" Target="https://doi.org/10.1016/S0140-6736(24)01595-2" TargetMode="External"/><Relationship Id="rId150" Type="http://schemas.openxmlformats.org/officeDocument/2006/relationships/hyperlink" Target="https://drliuhao.github.io/mh-liver-pathways/evidence-libraries/" TargetMode="External"/><Relationship Id="rId151" Type="http://schemas.openxmlformats.org/officeDocument/2006/relationships/hyperlink" Target="https://pubmed.ncbi.nlm.nih.gov/28230639" TargetMode="External"/><Relationship Id="rId152" Type="http://schemas.openxmlformats.org/officeDocument/2006/relationships/hyperlink" Target="https://drliuhao.github.io/mh-liver-pathways/evidence-libraries/" TargetMode="External"/><Relationship Id="rId153" Type="http://schemas.openxmlformats.org/officeDocument/2006/relationships/hyperlink" Target="https://dailymed.nlm.nih.gov/dailymed/drugInfo.cfm?setid=e082a024-7850-400b-a5c2-2a140612562a" TargetMode="External"/><Relationship Id="rId154" Type="http://schemas.openxmlformats.org/officeDocument/2006/relationships/hyperlink" Target="https://drliuhao.github.io/mh-liver-pathways/evidence-libraries/" TargetMode="External"/><Relationship Id="rId155" Type="http://schemas.openxmlformats.org/officeDocument/2006/relationships/hyperlink" Target="https://doi.org/10.1016/j.transproceed.2026.02.019" TargetMode="External"/><Relationship Id="rId156" Type="http://schemas.openxmlformats.org/officeDocument/2006/relationships/hyperlink" Target="https://drliuhao.github.io/mh-liver-pathways/evidence-libraries/" TargetMode="External"/><Relationship Id="rId157" Type="http://schemas.openxmlformats.org/officeDocument/2006/relationships/hyperlink" Target="https://pubmed.ncbi.nlm.nih.gov/33908381" TargetMode="External"/><Relationship Id="rId158" Type="http://schemas.openxmlformats.org/officeDocument/2006/relationships/hyperlink" Target="https://drliuhao.github.io/mh-liver-pathways/evidence-libraries/" TargetMode="External"/><Relationship Id="rId159" Type="http://schemas.openxmlformats.org/officeDocument/2006/relationships/hyperlink" Target="https://doi.org/10.1056/NEJMoa2403991" TargetMode="External"/><Relationship Id="rId160" Type="http://schemas.openxmlformats.org/officeDocument/2006/relationships/hyperlink" Target="https://drliuhao.github.io/mh-liver-pathways/evidence-libraries/" TargetMode="External"/><Relationship Id="rId161" Type="http://schemas.openxmlformats.org/officeDocument/2006/relationships/hyperlink" Target="https://doi.org/10.1016/S1470-2045(21)00572-6" TargetMode="External"/><Relationship Id="rId162" Type="http://schemas.openxmlformats.org/officeDocument/2006/relationships/hyperlink" Target="https://drliuhao.github.io/mh-liver-pathways/evidence-libraries/" TargetMode="External"/><Relationship Id="rId163" Type="http://schemas.openxmlformats.org/officeDocument/2006/relationships/hyperlink" Target="https://doi.org/10.1111/j.1600-6143.2011.03972.x" TargetMode="External"/><Relationship Id="rId164" Type="http://schemas.openxmlformats.org/officeDocument/2006/relationships/hyperlink" Target="https://drliuhao.github.io/mh-liver-pathways/evidence-libraries/" TargetMode="External"/><Relationship Id="rId165" Type="http://schemas.openxmlformats.org/officeDocument/2006/relationships/hyperlink" Target="https://doi.org/10.1111/ajt.14055" TargetMode="External"/><Relationship Id="rId166" Type="http://schemas.openxmlformats.org/officeDocument/2006/relationships/hyperlink" Target="https://drliuhao.github.io/mh-liver-pathways/evidence-libraries/" TargetMode="External"/><Relationship Id="rId167" Type="http://schemas.openxmlformats.org/officeDocument/2006/relationships/hyperlink" Target="https://doi.org/10.1097/LVT.0000000000000303" TargetMode="External"/><Relationship Id="rId168" Type="http://schemas.openxmlformats.org/officeDocument/2006/relationships/hyperlink" Target="https://drliuhao.github.io/mh-liver-pathways/evidence-libraries/" TargetMode="External"/><Relationship Id="rId169" Type="http://schemas.openxmlformats.org/officeDocument/2006/relationships/hyperlink" Target="https://doi.org/10.1007/s00268-022-06736-1" TargetMode="External"/><Relationship Id="rId170" Type="http://schemas.openxmlformats.org/officeDocument/2006/relationships/hyperlink" Target="https://drliuhao.github.io/mh-liver-pathways/evidence-libraries/" TargetMode="External"/><Relationship Id="rId171" Type="http://schemas.openxmlformats.org/officeDocument/2006/relationships/hyperlink" Target="https://doi.org/10.1111/ajt.13831" TargetMode="External"/><Relationship Id="rId172" Type="http://schemas.openxmlformats.org/officeDocument/2006/relationships/hyperlink" Target="https://drliuhao.github.io/mh-liver-pathways/evidence-libraries/" TargetMode="External"/><Relationship Id="rId173" Type="http://schemas.openxmlformats.org/officeDocument/2006/relationships/hyperlink" Target="https://doi.org/10.1111/jne.70073" TargetMode="External"/><Relationship Id="rId174" Type="http://schemas.openxmlformats.org/officeDocument/2006/relationships/hyperlink" Target="https://doi.org/10.1002/jso.23973" TargetMode="External"/><Relationship Id="rId175" Type="http://schemas.openxmlformats.org/officeDocument/2006/relationships/hyperlink" Target="https://doi.org/10.1097/SLA.0b013e3181fd37e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2026-07-15T23:24:18.551Z</dcterms:created>
  <dcterms:modified xsi:type="dcterms:W3CDTF">2026-10-29T14:21:26Z</dcterms:modified>
  <dc:title>UTHealth Houston / Memorial Hermann — Neuroendocrine liver metastases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