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Neuroendocrine Liver Metastases V16</w:t>
      </w:r>
    </w:p>
    <w:p>
      <w:pPr>
        <w:pStyle w:val="Normal"/>
        <w:widowControl/>
      </w:pPr>
      <w:r>
        <w:t xml:space="preserve">Determine whether LT offers meaningful additional benefit over contemporary NET treatment, then distinguish national exception guidance from local prognostic selection and true experimental expansion. Indolent disease with excellent expected non-LT survival must not be transplanted merely to produce favorable recipient survival.</w:t>
      </w:r>
    </w:p>
    <w:p>
      <w:pPr>
        <w:spacing w:after="120"/>
      </w:pPr>
      <w:r>
        <w:rPr>
          <w:i/>
          <w:sz w:val="18"/>
        </w:rPr>
        <w:t xml:space="preserve">Standardized document set, 29 October 2026: this is the full-content document for the high-risk pathway. Questions for consensus: NELM_6_High_Risk_Pathway_Questions.docx. Decision discussion for all settings: NELM_7_Decision_Discussion.docx. Web page: https://drliuhao.github.io/mh-liver-pathways/transplant/nelm/#high-risk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evidence basis</w:t>
      </w:r>
    </w:p>
    <w:p>
      <w:pPr>
        <w:pStyle w:val="Normal"/>
        <w:widowControl/>
      </w:pPr>
      <w:r>
        <w:t xml:space="preserve">The Milan-NET comparison included 42 recipients and 46 nontransplanted patients, with substantial age and treatment differences. Five-/ten-year OS was 97.2%/88.8% versus 50.9%/22.4%. It was nonrandomized and predates many current treatment strategies; it does not determine benefit versus contemporary PRRT, targeted therapy or liver-directed care.</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pPr>
      <w:r>
        <w:t xml:space="preserve">The Spanish historical series included 91 recipients, 41 transplanted before 2007. Table 5 reported five-year OS 71.0% within Milan versus 58.7% outside Milan, with an OS difference; the nonsignificant DFS comparison did not show equivalence. There were 52 recurrences, nine 90-day deaths and nine reported retransplant events: two primary nonfunction, six hepatic-artery thrombosis and one late rejection. These are historical recipient data, not modern center-specific risks or a non-LT comparison.</w:t>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Heading3"/>
        <w:keepNext/>
        <w:widowControl/>
      </w:pPr>
      <w:bookmarkStart w:id="1" w:name="NET_B1"/>
      <w:r>
        <w:t xml:space="preserve">NET-B1 — Which patients gain enough over modern non-LT treatment?</w:t>
      </w:r>
      <w:bookmarkEnd w:id="1"/>
    </w:p>
    <w:p>
      <w:pPr>
        <w:pStyle w:val="Heading3"/>
        <w:keepNext/>
        <w:widowControl/>
      </w:pPr>
      <w:r>
        <w:t xml:space="preserve">Question and comparison</w:t>
      </w:r>
    </w:p>
    <w:p>
      <w:pPr>
        <w:pStyle w:val="Normal"/>
        <w:widowControl/>
        <w:spacing w:before="60" w:after="20"/>
      </w:pPr>
      <w:r>
        <w:t xml:space="preserve">Among technically eligible liver-dominant GEP-NET patients, who is likely to gain enough from LT compared with feasible contemporary non-LT care, rather than simply survive well after LT?</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Single-centre retrospective analysis of consecutive prospective surgical series 1984–2019: 53 LT and 96 LR; 48 LT/56 LR met Milan criteria on preoperative staging. Criteria: portal-drained resected primary, G1/G2, &lt;50% burden, no extrahepatic disease, ≥6-month stability, age &lt;60 relative. Required ≥6 months postoperative follow-up. Resection versus LT chosen for technical feasibility; estimated &gt;3% perioperative mortality for complex regenerative resection was this centre's definition, not a validated universal threshold.</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Methods/Milan definitions p 2599; outcomes p 2600; nodal analysis p 2601; Tables 2–3 p 2602; limitations pp 2605–2606.</w:t>
            </w:r>
          </w:p>
          <w:p>
            <w:pPr>
              <w:pStyle w:val="Normal"/>
              <w:widowControl/>
              <w:spacing w:before="60" w:after="20"/>
            </w:pPr>
            <w:r>
              <w:t xml:space="preserve">Review depth: Complete ten-page main paper read. All numerical results were taken from the labelled text/tables rather than estimating plotted curves.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surgery, not listing or primary diagnosis. Median follow-up 158 months LT and 126 LR. Time primary resection-to-liver surgery 38.5 versus 6.5 months, introducing major test-of-time selection. Five-/ten-year OS 95.5%/93% LT versus 90%/75% LR; ten-year DFS 52% versus 18%. LT-associated univariate HR for OS 0.35 (0.16–0.78), not an adjusted causal effect. Recurrence 25/48 LT versus 42/56 LR; median time to recurrence among recurrence cases 78 versus 24 months, not median DFS for the entire group. LT recurrence range 13–204 months demonstrates very late risk. LT recurrence more often multisite (12/25 versus 5/42), nodal/bone; LR mostly involved liver (37/42 versus 2/25). Postrecurrence five-year survival 72% versus 69%. Nine deaths after LT: three NET-related and six other causes (three new solid cancers, sepsis, lymphoproliferative disease, cardiovascular event). Perioperative risk cannot be assessed reliably from a cohort requiring six-month follow-up. Despite preoperative Milan selection, postoperative Table 2 includes seven &gt;50% burden, two G3 and 16 hilar node-positive LT recipients. This is pathological upstaging/occult findings, not prospective validation of knowingly transplanting these categories. Hilar node positivity was associated with worse OS in a univariate LT analysis, HR 5.7 (1.3–24), P=0.004. DFS HR 2.6 (1.1–5.9) is printed with P=0.22, an internal inconsistency; do not silently correct to 0.022.</w:t>
            </w:r>
          </w:p>
          <w:p>
            <w:pPr>
              <w:pStyle w:val="Normal"/>
              <w:widowControl/>
              <w:spacing w:before="60" w:after="20"/>
            </w:pPr>
            <w:r>
              <w:rPr>
                <w:b/>
              </w:rPr>
              <w:t xml:space="preserve">Do not infer: </w:t>
            </w:r>
            <w:r>
              <w:t xml:space="preserve">Historical single-centre nonrandom selection, no ITT or wait-list dropout data, imbalanced ages/burden/timing; overlap with Milan 2016 and later multicentre series. At least six-month postoperative follow-up criterion risks under-representing early harms. Univariate analyses cannot establish independent risk-adjusted benefit. Only four excluded high-burden cases and one excluded G3 at preoperative selection; failure to find associations in tiny posthoc groups does not validate expanded eligibility. No LT patient &gt;60 was added in the age-expanded comparison (LT remained 48, LR increased to 89), so this is not direct evidence for LT above 60. Supplement access: No separate supplemental file cited; figures and all tables included.</w:t>
            </w:r>
          </w:p>
        </w:tc>
      </w:tr>
      <w:tr>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Retrospective Swedish tertiary-centre pan-NET cohort, 519 screened (2000–2021), 41 with resected primary, G1/G2, liver metastases and no extra-abdominal disease included. Sixteen satisfied one or more study-adapted LT definitions: Milan 11, ENETS 8, UNOS 13 (overlapping). These were not literal current allocation criteria: Milan age extended to &lt;65; two patients with suspicious persistent but stable regional nodes were counted UNOS-eligible after three-month follow-up.</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Methods/time zero p 341; modified eligibility definitions p 342; baseline/treatments/outcomes pp 343–344; interpretation/limitations pp 345–346.</w:t>
            </w:r>
          </w:p>
          <w:p>
            <w:pPr>
              <w:pStyle w:val="Normal"/>
              <w:widowControl/>
              <w:spacing w:before="60" w:after="20"/>
            </w:pPr>
            <w:r>
              <w:t xml:space="preserve">Review depth: Complete eight-page published main paper read, including all methods,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set at eligibility for each LT-criteria group; otherwise after first centre visit, primary resection and liver metastasis presence. Mean follow-up 5.4 years; 23 deaths. No actual LT comparator. Eligibility time zero reduces one form of immortal-time bias but retrospective selection remains. All 41: median OS 9.3 years (95% CI 6.8–11.7); five-year OS 64.7% (48.2–81.2). Milan-adapted n=11 five-year OS 64.9% (32.2–97.6); ENETS n=8 85.7% (59.8–100); UNOS-adapted n=13 55.4% (26.0–84.8). Treatment was multimodal, not medical therapy alone: five hepatic resections, 15 ablations, six embolizations, systemic therapy in 40 and later-line PRRT. No standardised toxicity or quality-of-life comparison reported. Most patients had small maximum lesions (overall median 1.5 cm); eligibility/low-burden biology differs from refractory high-burden transplant candidates.</w:t>
            </w:r>
          </w:p>
          <w:p>
            <w:pPr>
              <w:pStyle w:val="Normal"/>
              <w:widowControl/>
              <w:spacing w:before="60" w:after="20"/>
            </w:pPr>
            <w:r>
              <w:rPr>
                <w:b/>
              </w:rPr>
              <w:t xml:space="preserve">Do not infer: </w:t>
            </w:r>
            <w:r>
              <w:t xml:space="preserve">Very small overlapping subgroups, broad CIs, nonrandom historical comparisons; cannot conclude non-LT superiority or that LT is ineffective. Study-adapted UNOS/Milan rules and old ENETS 2012 definitions should not be relabelled as current guidance. A stable suspicious node is not proof of cleared extrahepatic disease. Some percentages/table entries are internally inconsistent; use counts and survival estimates rather than erroneous derived percentages. Source authors' strong anti-LT conclusion exceeds what this uncontrolled non-LT series can establish. Supplement access: No supplementary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Chan 2025 · CABINET</w:t>
            </w:r>
            <w:r>
              <w:t xml:space="preserve"> </w:t>
            </w:r>
            <w:r>
              <w:t xml:space="preserve"> </w:t>
            </w:r>
            <w:r>
              <w:fldChar w:fldCharType="begin"/>
            </w:r>
            <w:r>
              <w:instrText xml:space="preserve"> ADDIN EN.CITE </w:instrText>
            </w:r>
            <w:r>
              <w:fldChar w:fldCharType="begin">
                <w:fldData>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43PC9udW1iZXI+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0MDM5OTE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Double-blind phase III trial at 62 US sites, 298 previously treated progressive well-/moderately differentiated advanced NET patients. Two independent randomised cohorts: extrapancreatic n=203 (134 cabozantinib/69 placebo), pancreatic n=95 (64/31). Required prior relevant PRRT/targeted therapy; grades 1–3 and ECOG 0–2 eligible; poorly differentiated NEC excluded. Twenty-four G3 patients overall. This is not a liver-only transplant-eligible population.</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Eligibility/design pp 654–656; PFS and OS pp 657–661; safety/Table 3 pp 661–663; limitations p 663.</w:t>
            </w:r>
          </w:p>
          <w:p>
            <w:pPr>
              <w:pStyle w:val="Normal"/>
              <w:widowControl/>
              <w:spacing w:before="60" w:after="20"/>
            </w:pPr>
            <w:r>
              <w:t xml:space="preserve">Review depth: All 13 pages of complete NEJM main article read, including Methods, Figures 1–2, Tables 1–3,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ITT by randomised cohort despite ten site misallocations (seven pancreatic enrolled as extra-pancreatic, three reverse); sensitivity analyses consistent. Time zero randomisation. Early stopping/unblinding August 2023; PFS median follow-up 10.2 and 13.8 months; OS follow-up 24.2 and 23.1 months. Safety populations 132/67 and 63/31. Extrapancreatic PFS 8.4 versus 3.9 months, HR 0.38 (95% CI 0.25–0.59), P&lt;0.001; pancreatic PFS 13.8 versus 4.4 months, HR 0.23 (0.12–0.42), P&lt;0.001. Confirmed partial response 7/134 (5%) versus 0/69; pancreatic 12/64 (19%) versus 0/31. No complete responses. No OS benefit established: extra-pancreatic median OS 21.9 versus 19.7 months, HR 0.86 (0.56–1.31); pancreatic 40.0 versus 31.1, HR 0.95 (0.45–2.00). Immature OS, crossover and later therapies complicate interpretation. Treatment-related grade ≥3 adverse events 82/132 (62%) versus 18/67 (27%) and 41/63 (65%) versus 7/31 (23%). Dose reduction in 66%/68% cabozantinib arms; average daily dose around 38 mg despite 60 mg starting dose. Four extra-pancreatic cabozantinib recipients had deaths at least possibly treatment-related (gastric haemorrhage, cardiac arrest, two unspecified). Hypertension, fatigue, diarrhoea and thromboembolic events important. No grade 5 event in pancreatic cohort.</w:t>
            </w:r>
          </w:p>
          <w:p>
            <w:pPr>
              <w:pStyle w:val="Normal"/>
              <w:widowControl/>
              <w:spacing w:before="60" w:after="20"/>
            </w:pPr>
            <w:r>
              <w:rPr>
                <w:b/>
              </w:rPr>
              <w:t xml:space="preserve">Do not infer: </w:t>
            </w:r>
            <w:r>
              <w:t xml:space="preserve">High-quality randomised evidence for PFS in this late-line setting, but placebo comparator, early stopping and no proven OS advantage. Small G3 subgroup does not establish LT eligibility, nor does response to cabozantinib validate transplant downstaging. Not a comparison of LT against contemporary multimodal treatment in liver-only selected NET; post-LT safety was not studied. Quality-of-life results preliminary among questionnaire completers; no proven long-term QOL superiority. Supplement access: Supplementary Appendix, trial protocol, disclosure and data-sharing files not supplied in this PDF.</w:t>
            </w:r>
          </w:p>
        </w:tc>
      </w:tr>
      <w:tr>
        <w:trPr/>
        <w:tc>
          <w:tcPr>
            <w:tcW w:w="3400" w:type="dxa"/>
            <w:tcMar>
              <w:top w:w="90" w:type="dxa"/>
              <w:left w:w="90" w:type="dxa"/>
              <w:bottom w:w="90" w:type="dxa"/>
              <w:right w:w="90" w:type="dxa"/>
            </w:tcMar>
          </w:tcPr>
          <w:p>
            <w:pPr>
              <w:pStyle w:val="Normal"/>
              <w:widowControl/>
              <w:spacing w:before="60" w:after="20"/>
            </w:pPr>
            <w:r>
              <w:rPr>
                <w:b/>
              </w:rPr>
              <w:t xml:space="preserve">Caplin 2014 · CLARINET</w:t>
            </w:r>
            <w:r>
              <w:t xml:space="preserve"> </w:t>
            </w:r>
            <w:r>
              <w:t xml:space="preserve"> </w:t>
            </w:r>
            <w:r>
              <w:fldChar w:fldCharType="begin"/>
            </w:r>
            <w:r>
              <w:instrText xml:space="preserve"> ADDIN EN.CITE </w:instrText>
            </w:r>
            <w:r>
              <w:fldChar w:fldCharType="begin">
                <w:fldData>PEVuZE5vdGU+PENpdGU+PEF1dGhvcj5DYXBsaW4gTUU8L0F1dGhvcj48WWVhcj4yMDE0PC9ZZWFyPjxSZWNOdW0+MTA8L1JlY051bT48RGlzcGxheVRleHQ+W1YxNi0xMF08L0Rpc3BsYXlUZXh0PjxyZWNvcmQ+PHJlYy1udW1iZXI+MTA8L3JlYy1udW1iZXI+PGZvcmVpZ24ta2V5cz48a2V5IGFwcD0iRU4iIGRiLWlkPSJiNzIyMzA3Mi0zMWI3LTU0NDAtYWNkOS02ZGRiM2MyMzZjOWQiIHRpbWVzdGFtcD0iMTc5MzI4MzY4NiI+MTA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Randomised double-blind phase III multinational trial, 204 patients: lanreotide 120 mg every 28 days n=101 versus placebo n=103 for 96 weeks. Nonfunctioning (controlled gastrinoma allowed), SSTR-positive advanced enteropancreatic NET, well/moderately differentiated with stated Ki-67 &lt;10%; most treatment-naïve (84%) and stable in prior 3–6 months (96%). Thirty-three percent had &gt;25% hepatic tumour volume. Not a refractory, liver-only LT-eligible cohort.</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Eligibility pp 225–226; endpoint/time origin p 227; outcomes pp 228–230; toxicity Table 3 p 231; limitations p 232.</w:t>
            </w:r>
          </w:p>
          <w:p>
            <w:pPr>
              <w:pStyle w:val="Normal"/>
              <w:widowControl/>
              <w:spacing w:before="60" w:after="20"/>
            </w:pPr>
            <w:r>
              <w:t xml:space="preserve">Review depth: Complete ten-page NEJM main article read, including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204 ITT and safety. Primary PFS time starts at first injection; OS from randomisation. Thirty-two PFS events (30 progressions, two deaths) versus 60 (58 progressions, two deaths). Median exposure 24 months versus 15 months. Median PFS not reached versus 18.0 months; HR 0.47 (95% CI 0.30–0.73), P&lt;0.001. Kaplan–Meier 24-month PFS 65.1% versus 33.0%. No significant OS or quality-of-life difference demonstrated; follow-up/crossover constrain OS interpretation. Treatment-related diarrhoea 26/101 versus 9/103; cholelithiasis 10/101 versus 3/103; hyperglycaemia 5/101 versus 0. Serious treatment-related adverse events affected three versus one patient; withdrawal for any AE three in each arm. The discrete week-96 treatment-success measure 53/101 versus 26/103 differs from KM 24-month PFS because withdrawals were counted as failures; do not mix these estimates.</w:t>
            </w:r>
          </w:p>
          <w:p>
            <w:pPr>
              <w:pStyle w:val="Normal"/>
              <w:widowControl/>
              <w:spacing w:before="60" w:after="20"/>
            </w:pPr>
            <w:r>
              <w:rPr>
                <w:b/>
              </w:rPr>
              <w:t xml:space="preserve">Do not infer: </w:t>
            </w:r>
            <w:r>
              <w:t xml:space="preserve">Strong PFS evidence for indolent low-grade SSTR-positive disease, not validation for Ki-67 10–20%, rapidly progressive disease or NET transplantation. No direct LT comparator, curative claim, high-burden transplant threshold or mandate to fail SSA before considering LT. Hepatic-volume dichotomy &gt;25% versus ≤25% was a posthoc simplification of predefined strata; no LT-specific 25% decision cutoff follows. Supplement access: Supplementary Appendix and separate protocol/statistical analysis plan not included.</w:t>
            </w:r>
          </w:p>
        </w:tc>
      </w:tr>
      <w:tr>
        <w:trPr/>
        <w:tc>
          <w:tcPr>
            <w:tcW w:w="3400" w:type="dxa"/>
            <w:tcMar>
              <w:top w:w="90" w:type="dxa"/>
              <w:left w:w="90" w:type="dxa"/>
              <w:bottom w:w="90" w:type="dxa"/>
              <w:right w:w="90" w:type="dxa"/>
            </w:tcMar>
          </w:tcPr>
          <w:p>
            <w:pPr>
              <w:pStyle w:val="Normal"/>
              <w:widowControl/>
              <w:spacing w:before="60" w:after="20"/>
            </w:pPr>
            <w:r>
              <w:rPr>
                <w:b/>
              </w:rPr>
              <w:t xml:space="preserve">Strosberg 2021 · NETTER-1 final OS</w:t>
            </w:r>
            <w:r>
              <w:t xml:space="preserve"> </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1YxNi0xMV08L0Rpc3BsYXlUZXh0PjxyZWNvcmQ+PHJlYy1udW1iZXI+MTE8L3JlYy1udW1iZXI+PGZvcmVpZ24ta2V5cz48a2V5IGFwcD0iRU4iIGRiLWlkPSJiNzIyMzA3Mi0zMWI3LTU0NDAtYWNkOS02ZGRiM2MyMzZjOWQiIHRpbWVzdGFtcD0iMTc5MzI4MzY4NiI+MTE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Open-label phase III trial, 231 randomised (117 Lu-177 DOTATATE plus octreotide/114 high-dose octreotide), 41 sites. Progressive advanced/inoperable SSTR-positive well-differentiated midgut NET, Ki-67 ≤20%, Karnofsky ≥60, progression on fixed-dose octreotide. No prior PRRT; marrow/renal/hepatic eligibility restrictions. Not a liver-only transplant population and not G3/NEC.</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Eligibility pp 1754–1755; statistical methods/time zero pp 1755–1756; trial flow p 1756; OS/crossover p 1757; RMST and safety p 1759; limitations pp 1760–1761.</w:t>
            </w:r>
          </w:p>
          <w:p>
            <w:pPr>
              <w:pStyle w:val="Normal"/>
              <w:widowControl/>
              <w:spacing w:before="60" w:after="20"/>
            </w:pPr>
            <w:r>
              <w:t xml:space="preserve">Review depth: Complete 12-page corrected main article read; first page explicitly states corrected version appeared 31 January 2022.</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360 assessed, 231 randomised; separate dosimetry 22 not randomised. ITT OS from randomisation. Safety 223: 111 Lu-177, 112 control because one misallocated patient received control. Median follow-up 76.3/76.5 months; final analysis January 2021 at five years after final enrolment, 142 rather than planned 158 deaths. Final OS 48.0 versus 36.3 months; HR 0.84 (95% CI 0.60–1.17), P=0.30. Five-year OS 37.1% versus 35.4%. OS superiority not established; the observed 11.7-month median difference is not proven treatment-attributable life extension. Control crossover to any PRRT 41/114 (36%); model-adjusted HR 0.73 (0.40–1.34) remains uncertain. Proportional-hazards assumption failed (P=0.03); five-year RMST difference 5.1 months (95% CI −0.5 to 10.7). Prior PFS benefit was maintained as context: regulatory baseline reanalysis HR 0.18 (0.11–0.29), versus original publication HR 0.21; these are reanalyses of the same early cutoff, not independent studies. Two of 111 developed MDS, one treatment-related death. No AML reported. Grade ≥3 nephrotoxicity regardless of causality six of 111 versus four of 112; late renal comparison has small surviving evaluable groups. Long-term adverse-event collection was asymmetric: treatment-related serious/special-interest AEs principally collected in Lu-177 group, not all AEs in both arms. Do not infer equal comprehensive late toxicity.</w:t>
            </w:r>
          </w:p>
          <w:p>
            <w:pPr>
              <w:pStyle w:val="Normal"/>
              <w:widowControl/>
              <w:spacing w:before="60" w:after="20"/>
            </w:pPr>
            <w:r>
              <w:rPr>
                <w:b/>
              </w:rPr>
              <w:t xml:space="preserve">Do not infer: </w:t>
            </w:r>
            <w:r>
              <w:t xml:space="preserve">Crossover, subsequent treatments, 20% missing due to withdrawal/loss and nonproportional hazards complicate OS inference. Failure to show OS superiority is not proof of no clinical benefit: PFS/QOL findings from earlier reports support treatment in the studied setting. No evidence about LT eligibility after PRRT response, post-LT PRRT safety or liver-only cure; these require separate evidence. Supplement access: Separate online appendix and earlier trial protocol not included; corrected main article is complete.</w:t>
            </w:r>
          </w:p>
        </w:tc>
      </w:tr>
      <w:tr>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r>
        <w:trPr/>
        <w:tc>
          <w:tcPr>
            <w:tcW w:w="3400" w:type="dxa"/>
            <w:tcMar>
              <w:top w:w="90" w:type="dxa"/>
              <w:left w:w="90" w:type="dxa"/>
              <w:bottom w:w="90" w:type="dxa"/>
              <w:right w:w="90" w:type="dxa"/>
            </w:tcMar>
          </w:tcPr>
          <w:p>
            <w:pPr>
              <w:pStyle w:val="Normal"/>
              <w:widowControl/>
              <w:spacing w:before="60" w:after="20"/>
            </w:pPr>
            <w:r>
              <w:rPr>
                <w:b/>
              </w:rPr>
              <w:t xml:space="preserve">NCCN Neuroendocrine and Adrenal Tumors v1.2026</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yPC9SZWNOdW0+PERpc3BsYXlUZXh0PltWMTYtMTJdPC9EaXNwbGF5VGV4dD48cmVjb3JkPjxyZWMtbnVtYmVyPjEyPC9yZWMtbnVtYmVyPjxmb3JlaWduLWtleXM+PGtleSBhcHA9IkVOIiBkYi1pZD0iYjcyMjMwNzItMzFiNy01NDQwLWFjZDktNmRkYjNjMjM2YzlkIiB0aW1lc3RhbXA9IjE3OTMyODM2ODYiPjEy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MS-34, PDF 178; NET-8 PDF 26; PanNET-11 PDF 43; MS-12 PDF 156; NE-B2 PDF 73; NE-B1 PDF 72; MS-13 PDF 157; NE-B2 PDF 73; NE-D2 PDF 85; NE-K2 PDF 123; MS-13 PDF 157; NE-D2 PDF 85; NE-K1 PDF 122; change log PDF 11 and 16; NET-9 PDF 27; update log PDF 5; MS-12/13 PDF 156–157</w:t>
            </w:r>
          </w:p>
          <w:p>
            <w:pPr>
              <w:pStyle w:val="Normal"/>
              <w:widowControl/>
              <w:spacing w:before="60" w:after="20"/>
            </w:pPr>
            <w:r>
              <w:t xml:space="preserve">Review depth: Relevant entire sections read in local complete PDF. Cover and LT page visually inspected. Not a whole-237-page review; no claim this is the latest edition available anywhere.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retains the discussion position categorizing LT for liver-limited well-differentiated G1/G2 GI/pancreatic NET metastases as investigational and not routine care. Visual inspection shows a watermark indicating that discussion updating is in progress. Identify this as a retained discussion statement, not newly revised 2026 transplant evidence. Keep it explicit beside selective NLRB exception eligibility and centre selection criteria; allocation eligibility is not unanimous clinical endorsement. Routine SSTR-based or FDG PET is not recommended for postresection surveillance. Long-term anatomic surveillance is supported, but these are non-LT schedules and do not establish a validated post-LT calendar. Use multiphasic anatomic imaging alongside SSTR PET to detect receptor-negative as well as receptor-positive disease; FDG PET remains selective for G2/higher or concerning biology. The 2026 page adds consistency of modality/contrast for follow-up and modified Krenning scoring. A high-uptake lesion score does not eliminate discordant SSTR-negative lesions. Cardiac evaluation includes valves and right-heart function with specialist review. Prehepatic-surgery valve replacement language concerns significant CHD, while hormone-control guidance indicates replacement for symptomatic disease. This does not require valve replacement for every mild/asymptomatic CHD abnormality. The 2026 revision states that prophylactic octreotide is probably ineffective for preventing intraoperative crisis and that its administration should not delay vasopressor/fluid treatment. NE-K1 also allows selective prophylactic use while questioning routine use, so do not recast this as an absolute prohibition. For ileal/jejunal/cecal NETs, obtain 5-HIAA in symptomatic patients and consider it in asymptomatic metastatic disease. This is more specific than symptom-only testing, but still does not validate a universal broad marker panel or biochemical clearance as a transplant gate.</w:t>
            </w:r>
          </w:p>
          <w:p>
            <w:pPr>
              <w:pStyle w:val="Normal"/>
              <w:widowControl/>
              <w:spacing w:before="60" w:after="20"/>
            </w:pPr>
            <w:r>
              <w:rPr>
                <w:b/>
              </w:rPr>
              <w:t xml:space="preserve">Do not infer: </w:t>
            </w:r>
            <w:r>
              <w:t xml:space="preserve">Targeted relevant-section review, not a whole-guideline audit. Version verified from the PDF; no claim that no newer portal version exists. NET discussion retains an update-in-progress notice.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Kasai 2024</w:t>
            </w:r>
            <w:r>
              <w:t xml:space="preserve"> </w:t>
            </w:r>
            <w:r>
              <w:t xml:space="preserve"> </w:t>
            </w:r>
            <w:r>
              <w:fldChar w:fldCharType="begin"/>
            </w:r>
            <w:r>
              <w:instrText xml:space="preserve"> ADDIN EN.CITE </w:instrText>
            </w:r>
            <w:r>
              <w:fldChar w:fldCharType="begin">
                <w:fldData>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Narrative review with descriptive JLTS LDLT registry data; 16 NET recipients, 14 transplanted in/before 2007, none after 2012.</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Registry pp 2–4 and Table 2 p 4; selection pp 5–6; immunosuppression/recurrence p 7.</w:t>
            </w:r>
          </w:p>
          <w:p>
            <w:pPr>
              <w:pStyle w:val="Normal"/>
              <w:widowControl/>
              <w:spacing w:before="60" w:after="20"/>
            </w:pPr>
            <w:r>
              <w:t xml:space="preserve">Review depth: Complete nine-page review plus original 16-patient Japanese registry summary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Registry median age 30.5; 12 pancreatic, three rectal, one gastric primary; four of 16 died within 90 days; median OS 58.4 months, five-year OS 50%. Causes of intermediate/late deaths are hypothesized because detailed recurrence/course data were unavailable.; Uses historical 2007 Milan age ≤55 and burden ≤50%; contemporary comparative studies use different labelled versions. The review recognizes age as relative, not an absolute cutoff.; Primary-versus-metastatic grade discordance supports representative rebiopsy when clinically discordant, not mandatory biopsy of every lesion.; p 7 explicitly states no study has established everolimus recurrence-prevention after NET LT and distinguishes oncologic dose from transplant dose.</w:t>
            </w:r>
          </w:p>
          <w:p>
            <w:pPr>
              <w:pStyle w:val="Normal"/>
              <w:widowControl/>
              <w:spacing w:before="60" w:after="20"/>
            </w:pPr>
            <w:r>
              <w:rPr>
                <w:b/>
              </w:rPr>
              <w:t xml:space="preserve">Do not infer: </w:t>
            </w:r>
            <w:r>
              <w:t xml:space="preserve">Historical Japanese series does not prove current LDLT safety or superiority; do not use four early deaths as a present-day expected rate.; Proposed bridging algorithm and 'plan LT while controlled by PRRT' are expert suggestions, not randomized LT timing evidence.; Review-wide claimed improvement in modern Japanese outcomes is anticipated, not observed in the 16 cases.; Known active extrahepatic disease and G3 remain different from occult upstaging in retrospective comparator studies.</w:t>
            </w:r>
          </w:p>
        </w:tc>
      </w:tr>
    </w:tbl>
    <w:p>
      <w:pPr>
        <w:pStyle w:val="Heading3"/>
        <w:keepNext/>
        <w:widowControl/>
      </w:pPr>
      <w:r>
        <w:t xml:space="preserve">Synthesis and evidence that challenges the proposal</w:t>
      </w:r>
    </w:p>
    <w:p>
      <w:pPr>
        <w:pStyle w:val="Normal"/>
        <w:widowControl/>
        <w:spacing w:before="60" w:after="20"/>
      </w:pPr>
      <w:r>
        <w:t xml:space="preserve">Selected NET recipients can have excellent long-term survival, but incremental benefit over accessible non-LT care remains confounded. The multicentre matched main-body result is five-year OS 75% versus 68.3%, not its conflicting abstract figures; matched 90-day mortality was seven of 96 versus two of 96. Maspero's 48-versus-56 surgical comparison shows long-term separation but major age, timing, treatment-selection and six-month follow-up biases. Kjaer is a small selected multimodal non-LT cohort using adapted criteria, not a contemporary randomized medical comparator. CLARINET, CABINET and NETTER-1 establish specific non-LT treatment effects in different populations; their PFS gains must not be treated as equivalent LT survival estimates. CABINET carries frequent high-grade toxicity; NETTER-1's final OS difference was not statistically established. Eligibility and predicted post-LT survival alone do not demonstrate benefit. Guideline discordance: the verified NCCN Neuroendocrine and Adrenal Tumors v1.2026 retains the discussion designation of LT as investigational; this discussion page is marked as undergoing update. NLRB guidance describes selected exception review. Neither allocation eligibility nor selected-center survival proves comparative benefit against contemporary NET therapy.</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43PC9udW1iZXI+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0MDM5OTE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A8L1JlY051bT48RGlzcGxheVRleHQ+W1YxNi0xMF08L0Rpc3BsYXlUZXh0PjxyZWNvcmQ+PHJlYy1udW1iZXI+MTA8L3JlYy1udW1iZXI+PGZvcmVpZ24ta2V5cz48a2V5IGFwcD0iRU4iIGRiLWlkPSJiNzIyMzA3Mi0zMWI3LTU0NDAtYWNkOS02ZGRiM2MyMzZjOWQiIHRpbWVzdGFtcD0iMTc5MzI4MzY4NiI+MTA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1YxNi0xMV08L0Rpc3BsYXlUZXh0PjxyZWNvcmQ+PHJlYy1udW1iZXI+MTE8L3JlYy1udW1iZXI+PGZvcmVpZ24ta2V5cz48a2V5IGFwcD0iRU4iIGRiLWlkPSJiNzIyMzA3Mi0zMWI3LTU0NDAtYWNkOS02ZGRiM2MyMzZjOWQiIHRpbWVzdGFtcD0iMTc5MzI4MzY4NiI+MTE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yPC9SZWNOdW0+PERpc3BsYXlUZXh0PltWMTYtMTJdPC9EaXNwbGF5VGV4dD48cmVjb3JkPjxyZWMtbnVtYmVyPjEyPC9yZWMtbnVtYmVyPjxmb3JlaWduLWtleXM+PGtleSBhcHA9IkVOIiBkYi1pZD0iYjcyMjMwNzItMzFiNy01NDQwLWFjZDktNmRkYjNjMjM2YzlkIiB0aW1lc3RhbXA9IjE3OTMyODM2ODYiPjEy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spacing w:before="60" w:after="20"/>
      </w:pPr>
      <w:r>
        <w:t xml:space="preserve">Kjaer's eligibility-based non-LT cohort had substantial long-term survival; CLARINET supports prolonged control for indolent Ki-67 &lt;10% disease. CABINET and PRRT offer additional disease-control options, but none is a randomized comparator to LT. Conversely, requiring every systemic option to fail may forfeit the transplant window and is not tested. Maspero documents late multisite recurrence and non-cancer deaths despite excellent LT survival.</w:t>
      </w:r>
    </w:p>
    <w:p>
      <w:pPr>
        <w:pStyle w:val="Normal"/>
        <w:widowControl/>
        <w:spacing w:before="60" w:after="20"/>
      </w:pPr>
      <w:r>
        <w:rPr>
          <w:b/>
        </w:rPr>
        <w:t xml:space="preserve">Certainty / applicability: </w:t>
      </w:r>
      <w:r>
        <w:t xml:space="preserve">Low certainty for a causal LT benefit magnitude and any individual benefit cutoff; moderate certainty that NET biology and modern alternatives vary greatly. High-quality systemic-trial efficacy is indirect for transplant selection. No validated calculator supports the ENETS illustrative 30%/70% survival targets.</w:t>
      </w:r>
    </w:p>
    <w:p>
      <w:pPr>
        <w:pStyle w:val="Heading3"/>
        <w:keepNext/>
        <w:widowControl/>
      </w:pPr>
      <w:r>
        <w:t xml:space="preserve">Where each proposed threshold comes from</w:t>
      </w:r>
    </w:p>
    <w:p>
      <w:pPr>
        <w:pStyle w:val="Normal"/>
        <w:widowControl/>
        <w:numPr>
          <w:ilvl w:val="0"/>
          <w:numId w:val="3"/>
        </w:numPr>
        <w:spacing w:before="60" w:after="20"/>
      </w:pPr>
      <w:r>
        <w:t xml:space="preserve">No randomized study validates a minimum survival-gain percentage, two-line failure count, or ENETS &lt;30% versus ≥70% prediction. Six-month observation screens biology but does not prove added benefit. Any local two-reviewer requirement and reassessment cadence are governance, not biological cutoffs.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“expert-driven and hypothesis-generating framework (not outcome-validated)”</w:t>
            </w:r>
          </w:p>
          <w:p>
            <w:pPr>
              <w:pStyle w:val="Normal"/>
              <w:widowControl/>
              <w:spacing w:before="60" w:after="20"/>
            </w:pPr>
            <w:r>
              <w:t xml:space="preserve">2026 full-text PDF p3, transplant-benefit discussion</w:t>
            </w:r>
          </w:p>
          <w:p>
            <w:pPr>
              <w:pStyle w:val="Normal"/>
              <w:widowControl/>
              <w:spacing w:before="60" w:after="20"/>
            </w:pPr>
            <w:hyperlink r:id="rId43">
              <w:r>
                <w:rPr>
                  <w:color w:val="77230C"/>
                  <w:sz w:val="20"/>
                  <w:u w:val="single"/>
                </w:rPr>
                <w:t>Source</w:t>
              </w:r>
            </w:hyperlink>
            <w:r>
              <w:t xml:space="preserve"> | </w:t>
            </w:r>
            <w:hyperlink r:id="rId4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Illustrative survival figures are discussion aids, not calibrated individual eligibility thresholds.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a demonstrable benefit trigger; excellent predicted post-LT survival alone is not enough.</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43PC9udW1iZXI+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0MDM5OTE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A8L1JlY051bT48RGlzcGxheVRleHQ+W1YxNi0xMF08L0Rpc3BsYXlUZXh0PjxyZWNvcmQ+PHJlYy1udW1iZXI+MTA8L3JlYy1udW1iZXI+PGZvcmVpZ24ta2V5cz48a2V5IGFwcD0iRU4iIGRiLWlkPSJiNzIyMzA3Mi0zMWI3LTU0NDAtYWNkOS02ZGRiM2MyMzZjOWQiIHRpbWVzdGFtcD0iMTc5MzI4MzY4NiI+MTA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1YxNi0xMV08L0Rpc3BsYXlUZXh0PjxyZWNvcmQ+PHJlYy1udW1iZXI+MTE8L3JlYy1udW1iZXI+PGZvcmVpZ24ta2V5cz48a2V5IGFwcD0iRU4iIGRiLWlkPSJiNzIyMzA3Mi0zMWI3LTU0NDAtYWNkOS02ZGRiM2MyMzZjOWQiIHRpbWVzdGFtcD0iMTc5MzI4MzY4NiI+MTE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yPC9SZWNOdW0+PERpc3BsYXlUZXh0PltWMTYtMTJdPC9EaXNwbGF5VGV4dD48cmVjb3JkPjxyZWMtbnVtYmVyPjEyPC9yZWMtbnVtYmVyPjxmb3JlaWduLWtleXM+PGtleSBhcHA9IkVOIiBkYi1pZD0iYjcyMjMwNzItMzFiNy01NDQwLWFjZDktNmRkYjNjMjM2YzlkIiB0aW1lc3RhbXA9IjE3OTMyODM2ODYiPjEy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Proposed gate: favorable-biology unresectable liver disease with controlled primary, plus at least one trigger—refractory functioning syndrome, clinically meaningful liver-related functional compromise, or a prospectively documented credible threat to durable hepatic control despite reasonable alternatives.</w:t>
      </w:r>
    </w:p>
    <w:p>
      <w:pPr>
        <w:pStyle w:val="Normal"/>
        <w:widowControl/>
        <w:numPr>
          <w:ilvl w:val="1"/>
          <w:numId w:val="3"/>
        </w:numPr>
        <w:spacing w:before="60" w:after="20"/>
      </w:pPr>
      <w:r>
        <w:t xml:space="preserve">Do not require established irreversible failure before assessing benefit.</w:t>
      </w:r>
    </w:p>
    <w:p>
      <w:pPr>
        <w:pStyle w:val="Normal"/>
        <w:widowControl/>
        <w:numPr>
          <w:ilvl w:val="0"/>
          <w:numId w:val="3"/>
        </w:numPr>
      </w:pPr>
      <w:r>
        <w:t xml:space="preserve">NET oncology and an independent transplant/HPB reviewer must agree that LT offers meaningful additional survival or symptom/function benefit over the patient’s accessible options, with B2 biological stability satisfied.</w:t>
      </w:r>
    </w:p>
    <w:p>
      <w:pPr>
        <w:pStyle w:val="Normal"/>
        <w:widowControl/>
        <w:numPr>
          <w:ilvl w:val="0"/>
          <w:numId w:val="3"/>
        </w:numPr>
      </w:pPr>
      <w:r>
        <w:t xml:space="preserve">Asymptomatic stable low-burden disease with preserved hepatic function and reasonable durable options defaults to continued non-LT care/observation.</w:t>
      </w:r>
    </w:p>
    <w:p>
      <w:pPr>
        <w:pStyle w:val="Normal"/>
        <w:widowControl/>
        <w:numPr>
          <w:ilvl w:val="1"/>
          <w:numId w:val="3"/>
        </w:numPr>
        <w:spacing w:before="60" w:after="20"/>
      </w:pPr>
      <w:r>
        <w:t xml:space="preserve">Evaluate at least one appropriate treatment strategy; do not require two failures or exhaustion of every therapy.</w:t>
      </w:r>
    </w:p>
    <w:p>
      <w:pPr>
        <w:pStyle w:val="Normal"/>
        <w:widowControl/>
        <w:numPr>
          <w:ilvl w:val="1"/>
          <w:numId w:val="3"/>
        </w:numPr>
        <w:spacing w:before="60" w:after="20"/>
      </w:pPr>
      <w:r>
        <w:t xml:space="preserve">Do not use ENETS illustrative &lt;30%/≥70% figures as a validated calculator.</w:t>
      </w:r>
    </w:p>
    <w:p>
      <w:pPr>
        <w:pStyle w:val="Normal"/>
        <w:widowControl/>
        <w:numPr>
          <w:ilvl w:val="0"/>
          <w:numId w:val="3"/>
        </w:numPr>
      </w:pPr>
      <w:r>
        <w:t xml:space="preserve">In the alternatives/benefit table, state treatment-specific population, time zero and endpoint.</w:t>
      </w:r>
    </w:p>
    <w:p>
      <w:pPr>
        <w:pStyle w:val="Normal"/>
        <w:widowControl/>
        <w:numPr>
          <w:ilvl w:val="1"/>
          <w:numId w:val="3"/>
        </w:numPr>
        <w:spacing w:before="60" w:after="20"/>
      </w:pPr>
      <w:r>
        <w:t xml:space="preserve">Do not promise a survival extension from NETTER-1's nonsignificant 11.7-month median difference, require CABINET failure, or treat CLARINET's Ki-67 &lt;10% population as a transplant grade cutoff.</w:t>
      </w:r>
    </w:p>
    <w:p>
      <w:pPr>
        <w:pStyle w:val="Normal"/>
        <w:widowControl/>
        <w:numPr>
          <w:ilvl w:val="0"/>
          <w:numId w:val="3"/>
        </w:numPr>
      </w:pPr>
      <w:r>
        <w:t xml:space="preserve">Record the retained NCCN v1.2026 investigational discussion statement alongside selected-center and NLRB positions; resolve local clinical/research governance explicitly before offering LT.</w:t>
      </w:r>
    </w:p>
    <w:p>
      <w:pPr>
        <w:pStyle w:val="Normal"/>
        <w:widowControl/>
        <w:numPr>
          <w:ilvl w:val="1"/>
          <w:numId w:val="3"/>
        </w:numPr>
        <w:spacing w:before="60" w:after="20"/>
      </w:pPr>
      <w:r>
        <w:t xml:space="preserve">Recheck the licensed guideline before ratification.</w:t>
      </w:r>
    </w:p>
    <w:p>
      <w:pPr>
        <w:pStyle w:val="Normal"/>
        <w:widowControl/>
        <w:spacing w:before="60" w:after="20"/>
      </w:pPr>
      <w:r>
        <w:rPr>
          <w:b/>
        </w:rPr>
        <w:t xml:space="preserve">Why retain or change it: </w:t>
      </w:r>
      <w:r>
        <w:t xml:space="preserve">Retain OPEN an explicit incremental-benefit review by transplant and NET specialists independent of the donor decision. Record current and realistically available sequences (SSA, PRRT if appropriate, targeted/systemic agents, liver-directed therapy/resection), prior response/toxicity, symptom burden, functional liver reserve and credible future threat to hepatic control. A compelling case may be refractory hormonal symptoms, threatened hepatic function, or a carefully documented likely loss of durable liver control despite reasonable alternatives—not necessarily established irreversible failure. Do not require two failed lines or exhaustion of all drugs. Stable, low-burden disease with durable tolerable control ordinarily remains in non-LT management. Decision remains blank.</w:t>
      </w:r>
    </w:p>
    <w:p>
      <w:pPr>
        <w:pStyle w:val="Heading3"/>
        <w:keepNext/>
        <w:widowControl/>
      </w:pPr>
      <w:r>
        <w:t xml:space="preserve">Information required before the decision</w:t>
      </w:r>
    </w:p>
    <w:p>
      <w:pPr>
        <w:pStyle w:val="Normal"/>
        <w:widowControl/>
        <w:spacing w:before="60" w:after="20"/>
      </w:pPr>
      <w:r>
        <w:t xml:space="preserve">Functional syndrome and treatment response; symptoms/liver reserve; growth trajectory; SSTR status and treatment alternatives; patient goals; independent benefit review.</w:t>
      </w:r>
    </w:p>
    <w:p>
      <w:pPr>
        <w:pStyle w:val="Normal"/>
        <w:widowControl/>
        <w:spacing w:before="60" w:after="20"/>
      </w:pPr>
      <w:r>
        <w:rPr>
          <w:b/>
        </w:rPr>
        <w:t xml:space="preserve">Clinical versus allocation: </w:t>
      </w:r>
      <w:r>
        <w:t xml:space="preserve">Favorable clinical prognosis does not establish urgency, exception entitlement or a reason to expose a healthy donor.</w:t>
      </w:r>
    </w:p>
    <w:p>
      <w:pPr>
        <w:pStyle w:val="Normal"/>
        <w:widowControl/>
        <w:spacing w:before="60" w:after="20"/>
      </w:pPr>
      <w:r>
        <w:rPr>
          <w:b/>
        </w:rPr>
        <w:t xml:space="preserve">Roadmap / protocol reconciliation: </w:t>
      </w:r>
      <w:r>
        <w:t xml:space="preserve">Compare with the NET roadmap’s SSA, PRRT, liver-directed, targeted and chemotherapy options as applicable, without forcing inappropriate therapies before LT review.</w:t>
      </w:r>
    </w:p>
    <w:p>
      <w:pPr>
        <w:pStyle w:val="Normal"/>
        <w:widowControl/>
        <w:spacing w:before="60" w:after="20"/>
      </w:pPr>
      <w:hyperlink r:id="rId45">
        <w:r>
          <w:rPr>
            <w:color w:val="77230C"/>
            <w:sz w:val="20"/>
            <w:u w:val="single"/>
          </w:rPr>
          <w:t>Meeting record: NET-B1</w:t>
        </w:r>
      </w:hyperlink>
      <w:r>
        <w:t xml:space="preserve">  |  </w:t>
      </w:r>
      <w:hyperlink r:id="rId46">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2 Patient selection and classification</w:t>
      </w:r>
    </w:p>
    <w:p>
      <w:pPr>
        <w:pStyle w:val="Heading3"/>
        <w:keepNext/>
        <w:widowControl/>
      </w:pPr>
      <w:r>
        <w:t xml:space="preserve">2.1 Pathology and primary site</w:t>
      </w:r>
    </w:p>
    <w:p>
      <w:pPr>
        <w:pStyle w:val="Normal"/>
        <w:widowControl/>
        <w:numPr>
          <w:ilvl w:val="0"/>
          <w:numId w:val="3"/>
        </w:numPr>
      </w:pPr>
      <w:r>
        <w:t xml:space="preserve">Obtain expert review of the primary and metastatic pathology when available: differentiation, grade, Ki-67 hot-spot index, mitotic count, sampling date and heterogeneity. Resolve discordant primary/liver grades or a rapidly changing phenotype with the NET MDT.</w:t>
      </w:r>
    </w:p>
    <w:p>
      <w:pPr>
        <w:pStyle w:val="Normal"/>
        <w:widowControl/>
        <w:numPr>
          <w:ilvl w:val="0"/>
          <w:numId w:val="3"/>
        </w:numPr>
      </w:pPr>
      <w:r>
        <w:t xml:space="preserve">Current NLRB guidance specifies portal-drained gastroenteropancreatic origin, G1/G2 histology, mitotic rate below 20 per 10 HPF and proliferation index below 20%. Do not change the exact index boundary to less-than-or-equal-to 20. Record unknown or nonportal primary sites separately.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Well-differentiated G3 NET is biologically distinct from poorly differentiated NEC. Neither is activated as a transplant cohort here. NETTER-2 demonstrates non-LT PRRT activity in a selected G2/G3 population, not transplant benefit or a validated Ki-67 below 55 LT gate.</w:t>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Heading3"/>
        <w:keepNext/>
        <w:widowControl/>
      </w:pPr>
      <w:r>
        <w:t xml:space="preserve">2.2 Stage nodes and extrahepatic disease accurately</w:t>
      </w:r>
    </w:p>
    <w:p>
      <w:pPr>
        <w:pStyle w:val="Normal"/>
        <w:widowControl/>
        <w:numPr>
          <w:ilvl w:val="0"/>
          <w:numId w:val="3"/>
        </w:numPr>
      </w:pPr>
      <w:r>
        <w:t xml:space="preserve">Obtain multiphasic liver CT/MRI, chest/abdominal/pelvic staging and appropriate somatostatin-receptor functional imaging. Add FDG imaging when grade, rapid tempo or receptor/anatomic discordance makes it clinically useful. Resolve suspicious sites with directed imaging or biopsy where management depends on the result.</w:t>
      </w:r>
    </w:p>
    <w:p>
      <w:pPr>
        <w:pStyle w:val="Normal"/>
        <w:widowControl/>
        <w:numPr>
          <w:ilvl w:val="0"/>
          <w:numId w:val="3"/>
        </w:numPr>
      </w:pPr>
      <w:r>
        <w:t xml:space="preserve">Document complete primary resection and any prior extrahepatic nodal resection, exact stations, pathology and dates. Guidance requires at least six months without recurrence after primary/extrahepatic disease clearance; current extrahepatic progression, including positive nodes, prevents advancement. Previously cleared nodes are not equivalent to active nodes.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Prior or current extrahepatic solid-organ metastases, such as lung or bone metastases, are an exclusion in the current NET exception guidance. Do not apply the cleared-node reconsideration language to those sites. Record the required negative metastatic-workup dates and obtain current staging before activation rather than relying on an old negative scan.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2.3 Burden age and clinical benefit</w:t>
      </w:r>
    </w:p>
    <w:p>
      <w:pPr>
        <w:pStyle w:val="Normal"/>
        <w:widowControl/>
        <w:numPr>
          <w:ilvl w:val="0"/>
          <w:numId w:val="3"/>
        </w:numPr>
      </w:pPr>
      <w:r>
        <w:t xml:space="preserve">Measure percentage liver replacement with a specified method, functional reserve, symptoms/hormonal syndrome and treatment trajectory. Current NLRB guidance contains no explicit age or percentage liver-volume cap. Original Milan age/burden selection factors must not be labeled national policy.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The former 50–75% burden band with mandatory downstaging to 50%, and the age 60–70 research band, are not adopted as validated limits. Assess physiologic fitness and expected incremental benefit; any local restriction or expanded stratum needs an explicit rationale.</w:t>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3"/>
        <w:keepNext/>
        <w:widowControl/>
      </w:pPr>
      <w:bookmarkStart w:id="2" w:name="NET_B2"/>
      <w:r>
        <w:t xml:space="preserve">NET-B2 — What is guideline-aligned versus an expanded-risk proposal?</w:t>
      </w:r>
      <w:bookmarkEnd w:id="2"/>
    </w:p>
    <w:p>
      <w:pPr>
        <w:pStyle w:val="Heading3"/>
        <w:keepNext/>
        <w:widowControl/>
      </w:pPr>
      <w:r>
        <w:t xml:space="preserve">Question and comparison</w:t>
      </w:r>
    </w:p>
    <w:p>
      <w:pPr>
        <w:pStyle w:val="Normal"/>
        <w:widowControl/>
        <w:spacing w:before="60" w:after="20"/>
      </w:pPr>
      <w:r>
        <w:t xml:space="preserve">What pathology, primary-site, nodal/extrahepatic and stability boundaries should govern NET LT; can G3 or PRRT-responsive disease be promoted into the pathway?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Boscà 2026 · Spain</w:t>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Spanish 13-centre retrospective series of 91 NET LT recipients, 1995–2024; 41 transplanted before 2007; 71 Milan-IN and 20 Milan-OUT.</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J Clin Med 2026;15:938; complete PDF Results, Tables 2–5, postoperative mortality/retransplantation and 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pStyle w:val="Normal"/>
              <w:widowControl/>
              <w:spacing w:before="60" w:after="20"/>
            </w:pPr>
            <w:r>
              <w:rPr>
                <w:b/>
              </w:rPr>
              <w:t xml:space="preserve">Do not infer: </w:t>
            </w:r>
            <w:r>
              <w:t xml:space="preserve">Era, missing pathology, small OUT group and composite deviations preclude validating 50–70% burden, age ≥60, G3 or extrahepatic expansion individually. Nonsignificant DFS is not equivalence. The abstract rounds OUT five-year OS differently; use Table 5 value with locator.</w:t>
            </w:r>
          </w:p>
        </w:tc>
      </w:tr>
      <w:tr>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Retrospective 35-centre/11-country ELTR case collection, 213 LT recipients 1982–2009 (approximately half the European NET transplants in that period). Mixed primary sites including bronchial, unknown and pancreas; 29 primary sites unknown before LT, 17 never found; 22 poorly differentiated cases. Baseline Ki-67 and treatment-response/stability data were too sparse for analysis. Eligibility differs fundamentally from current NLRB selection.</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Methods p 808; primary/burden/indication p 809; perioperative harms p 810; adjusted models p 811; Table 6 p 812; historical selection discussion pp 813–815.</w:t>
            </w:r>
          </w:p>
          <w:p>
            <w:pPr>
              <w:pStyle w:val="Normal"/>
              <w:widowControl/>
              <w:spacing w:before="60" w:after="20"/>
            </w:pPr>
            <w:r>
              <w:t xml:space="preserve">Review depth: Complete nine-page published paper read, including all eight tables, methods, outcome curves,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107 before 2000 and 106 during 2000–2009. Median liver-metastasis diagnosis-to-LT 25 months. Follow-up to December 2010; mean follow-up 56 months. Survival must be labelled by time zero: five-year OS 52% from LT versus 73% from liver-metastasis diagnosis; the latter contains pretransplant survivor selection. Five-year OS/DFS 52%/30%; median OS/DFS 67/24 months. In 2000–2009 subgroup, five-year OS/DFS 59%/39%. Three-month mortality 21/213 (10%). Retransplantation 24/213 (11%), including 16 early; early retransplant deaths 6/16. Thirty-seven (17%) died from early/late transplant complications without recurrence over follow-up. Whole-cohort multivariable adverse associations: major concurrent resection HR 3.1 (95% CI 1.9–5.3), poor differentiation HR 2.7 (1.5–4.7), hepatomegaly HR 2.3 (1.5–3.7). Hepatomegaly was retrospectively explant size ≥125% predicted liver volume, not simply tumour replacement &gt;50%. Post-2000 model: hepatomegaly HR 2.6 (1.3–5.1), P=0.006; age &gt;45 HR 2.0 (0.9–4.3), P=0.073; any concurrent resection HR 1.9 (1.0–3.7), P=0.058. The latter two are not conventionally statistically significant despite abstract language. Univariate five-year OS ≤50% burden 61% (109 patients) versus &gt;50% 42% (91); estimated &gt;80% group 42% (31). These are historical unadjusted outcomes, not a validated safe upper boundary. Node-positive 66 had five-year OS 41% versus 62% in 91 node-negative; location/clearance detail inadequate for a current eligibility rule. Poorly differentiated 22 had five-year OS 27%, not evidence for modern WD-G3. Nine LT indications followed severe TACE complications (four liver failure, five ischaemic cholangitis); historical rescue experience does not justify deliberate treatment injury.</w:t>
            </w:r>
          </w:p>
          <w:p>
            <w:pPr>
              <w:pStyle w:val="Normal"/>
              <w:widowControl/>
              <w:spacing w:before="60" w:after="20"/>
            </w:pPr>
            <w:r>
              <w:rPr>
                <w:b/>
              </w:rPr>
              <w:t xml:space="preserve">Do not infer: </w:t>
            </w:r>
            <w:r>
              <w:t xml:space="preserve">Strong era, centre and recipient selection, no non-LT comparator, incomplete data and extensive overlap with earlier European/French cohorts. No stable-versus-progressive or Ki-67 threshold validation. Historical poorly differentiated NEC should not be conflated with well-differentiated G3. Abstract says 30 minor concurrent resections, whereas Methods/Table 4 show 60 minor and 24 major (84 total). Histological category counts also have transcription discrepancies; prefer internally supported Table 6 whole-cohort categories. The post-2000 age threshold is exploratory, not an absolute age ban; authors explicitly warn against denying LT solely to older patients with hepatomegaly. Supplement access: No separate supplemental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NETTER-2</w:t>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NETTER-2 open-label phase III randomized trial: 261 screened, 226 randomized, 151 Lu-177-Dotatate plus octreotide and 75 high-dose octreotide.</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Lancet 2024;403:2807–2817; complete PDF eligibility, efficacy, safety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randomization. Median PFS 22.8 versus 8.5 months, HR 0.276 (95% CI 0.182–0.418); objective response 43% versus 9.3%. OS was not mature. Safety populations 147 and 73: any grade ≥3 events 35% versus 27%, related grade ≥3 events 16% versus 4%; one myelodysplastic syndrome case and three grade-3 nephrotoxicity events in Lu-treated patients; no drug-related deaths reported.</w:t>
            </w:r>
          </w:p>
          <w:p>
            <w:pPr>
              <w:pStyle w:val="Normal"/>
              <w:widowControl/>
              <w:spacing w:before="60" w:after="20"/>
            </w:pPr>
            <w:r>
              <w:rPr>
                <w:b/>
              </w:rPr>
              <w:t xml:space="preserve">Do not infer: </w:t>
            </w:r>
            <w:r>
              <w:t xml:space="preserve">Compelling systemic disease-control evidence for selected well-differentiated G2/G3, not evidence that responding G3 becomes suitable for LT or that marrow/renal injury is irrelevant to future transplantation. No NEC efficacy extrapolation. Full article reviewed now, upgrading prior abstract-only status.</w:t>
            </w:r>
          </w:p>
        </w:tc>
      </w:tr>
      <w:tr>
        <w:trPr/>
        <w:tc>
          <w:tcPr>
            <w:tcW w:w="3400" w:type="dxa"/>
            <w:tcMar>
              <w:top w:w="90" w:type="dxa"/>
              <w:left w:w="90" w:type="dxa"/>
              <w:bottom w:w="90" w:type="dxa"/>
              <w:right w:w="90" w:type="dxa"/>
            </w:tcMar>
          </w:tcPr>
          <w:p>
            <w:pPr>
              <w:pStyle w:val="Normal"/>
              <w:widowControl/>
              <w:spacing w:before="60" w:after="20"/>
            </w:pPr>
            <w:r>
              <w:rPr>
                <w:b/>
              </w:rPr>
              <w:t xml:space="preserve">Chen 2026 · PRRT after LT</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Single-centre retrospective series. Of 859 liver transplants (November 2019–November 2024), 27 were for GEP-NET; all had &gt;50% hepatic tumour burden. The centre permitted resection of the primary during LT or within three months afterward, so its stated NET-Milan label is not Milan-concordant. Seven patients with post-LT recurrence received PRRT April 2023–June 2025: three pancreatic and four rectal primaries, all actual Ki-67 values 4–15% (G2), age 30–57, tumour replacement 55–95% (median 80%). Rectal level was not specified.</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pp 1–6; printed pp 526–531. Methods pp 527–528; Tables 1–2 pp 528–529; toxicity and limitations pp 529–530.</w:t>
            </w:r>
          </w:p>
          <w:p>
            <w:pPr>
              <w:pStyle w:val="Normal"/>
              <w:widowControl/>
              <w:spacing w:before="60" w:after="20"/>
            </w:pPr>
            <w:r>
              <w:t xml:space="preserve">Review depth: Complete six-page main article read, including all tables, methods, results,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27 NET recipients: 15 recurrences by December 2025 and three deaths. The PRRT subset comprised seven selected patients; recurrence 3–9 months after LT and PRRT 6–42 months after LT. Response was assessed three months after completing PRRT; no cohort median follow-up, OS or PFS was reported. Seven PRRT recipients: one partial response, five stable disease, one progression; this is not an efficacy estimate suitable for counselling or comparison. All seven had nodal and bone disease, sometimes also graft, brain or renal involvement. One to four cycles, total 175–709 mCi. Two grade III, four grade II and one grade I myelosuppression were reported. One patient had persistent platelets &lt;10 ×10^9/L after a single 175 mCi cycle despite supportive treatment and never resumed PRRT; the severe platelet count and reported grade III label are discordant. Four patients had low-grade proteinuria. No acute rejection or severe hepatic/renal toxicity was observed in this selected, incompletely timed short follow-up; absence of observed events does not establish safety.</w:t>
            </w:r>
          </w:p>
          <w:p>
            <w:pPr>
              <w:pStyle w:val="Normal"/>
              <w:widowControl/>
              <w:spacing w:before="60" w:after="20"/>
            </w:pPr>
            <w:r>
              <w:rPr>
                <w:b/>
              </w:rPr>
              <w:t xml:space="preserve">Do not infer: </w:t>
            </w:r>
            <w:r>
              <w:t xml:space="preserve">Very small, uncontrolled, survivor-selected salvage series; no comparative OS, PFS or quality-of-life data. Extremely high pre-LT burden and primary surgery around/after LT preclude inference to guideline-concordant candidates. Table 1 is wrongly captioned as three aGVHD patients and donors despite presenting seven NET cases. Several citations do not support the linked PRRT/mTOR or toxicity claims. The stated rituximab induction should not be copied into an institutional regimen without independent verification. The platelet toxicity grading is internally discordant; do not relabel it definitively without individual data. Supplement access: No separate supplementary file was cited or supplied.</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bl>
    <w:p>
      <w:pPr>
        <w:pStyle w:val="Heading3"/>
        <w:keepNext/>
        <w:widowControl/>
      </w:pPr>
      <w:r>
        <w:t xml:space="preserve">Synthesis and evidence that challenges the proposal</w:t>
      </w:r>
    </w:p>
    <w:p>
      <w:pPr>
        <w:pStyle w:val="Normal"/>
        <w:widowControl/>
        <w:spacing w:before="60" w:after="20"/>
      </w:pPr>
      <w:r>
        <w:t xml:space="preserve">Evidence supports carefully selected well-differentiated G1/G2 portal-drained GEP primaries with cleared primary/extrahepatic disease and observed control. G2 has worse prognosis than G1 in the multicentre series but still meaningful selected survival, so a universal Ki-67 &lt;10% rule would discard potentially suitable G2 without validation. Well-differentiated G3 and poorly differentiated NEC must be separated diagnostically, yet neither has an established LT-benefit pathway. Prior primary regional nodal positivity is not equivalent to active unresected extrahepatic disease. Maspero's G3, &gt;50% and hilar-node-positive findings were postoperative pathological upstaging after preoperative Milan selection, not evidence for knowingly accepting those categories. The historical ELTR cohort lacked adequate Ki-67/stability data and included poorly differentiated/unknown-primary cases; it cannot validate modern expansions. The seven-case post-LT PRRT series involved early recurrences after very high-burden LT and includes persistent profound thrombocytopenia, no controlled efficacy estimate and no time-to-event benefit.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spacing w:before="60" w:after="20"/>
      </w:pPr>
      <w:r>
        <w:t xml:space="preserve">Milan LT cohorts included many patients whose primary nodes had been positive, so 'ever node-positive means never LT' is too broad. However, retrospective final-pathology positive nodes do not negate the current cleared-disease requirement. Spanish OUT cases and the tiny G3 subgroup are too heterogeneous to validate expansion. NETTER-2 proves PRRT activity in selected G3, not LT efficacy after response; seven post-LT PRRT cases cannot guarantee safe salvage. ENETS controllable bone disease conflicts with NLRB's solid-organ exclusion.</w:t>
      </w:r>
    </w:p>
    <w:p>
      <w:pPr>
        <w:pStyle w:val="Normal"/>
        <w:widowControl/>
        <w:spacing w:before="60" w:after="20"/>
      </w:pPr>
      <w:r>
        <w:rPr>
          <w:b/>
        </w:rPr>
        <w:t xml:space="preserve">Certainty / applicability: </w:t>
      </w:r>
      <w:r>
        <w:t xml:space="preserve">Low-to-moderate certainty for G1/G2 prognostic distinction and cautious standard selection; very low certainty for G3, nonportal/unknown primary, active nodes or prior solid-organ metastasis expansions. Official allocation exclusions should be reported separately from biological evidence.</w:t>
      </w:r>
    </w:p>
    <w:p>
      <w:pPr>
        <w:pStyle w:val="Heading3"/>
        <w:keepNext/>
        <w:widowControl/>
      </w:pPr>
      <w:r>
        <w:t xml:space="preserve">Where each proposed threshold comes from</w:t>
      </w:r>
    </w:p>
    <w:p>
      <w:pPr>
        <w:pStyle w:val="Normal"/>
        <w:widowControl/>
        <w:numPr>
          <w:ilvl w:val="0"/>
          <w:numId w:val="3"/>
        </w:numPr>
        <w:spacing w:before="60" w:after="20"/>
      </w:pPr>
      <w:r>
        <w:t xml:space="preserve">Ki-67 &lt;20% and six months after primary/extrahepatic clearance reflect current NLRB wording; modern WHO grading and the exact-20 boundary need explicit reconciliation. Six months stability derives from selection traditions, not a randomized timing trial. Three serial scans at roughly 0/3/6 months are a proposed local demonstration schedule, not a national mandated scan count.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“mitotic rate less than 20 per 10 HPF and index less than 20%.”</w:t>
            </w:r>
          </w:p>
          <w:p>
            <w:pPr>
              <w:pStyle w:val="Normal"/>
              <w:widowControl/>
              <w:spacing w:before="60" w:after="20"/>
            </w:pPr>
            <w:r>
              <w:t xml:space="preserve">December 2025 oncology guidance p8, NET criterion 3</w:t>
            </w:r>
          </w:p>
          <w:p>
            <w:pPr>
              <w:pStyle w:val="Normal"/>
              <w:widowControl/>
              <w:spacing w:before="60" w:after="20"/>
            </w:pPr>
            <w:hyperlink r:id="rId63">
              <w:r>
                <w:rPr>
                  <w:color w:val="77230C"/>
                  <w:sz w:val="20"/>
                  <w:u w:val="single"/>
                </w:rPr>
                <w:t>Source</w:t>
              </w:r>
            </w:hyperlink>
            <w:r>
              <w:t xml:space="preserve"> | </w:t>
            </w:r>
            <w:hyperlink r:id="rId6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Retain the exact published guidance threshold and clarify pathology sampling/measurement uncertainty.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“Stable disease/response to therapies for at least 6 months prior to transplant consideration”</w:t>
            </w:r>
          </w:p>
          <w:p>
            <w:pPr>
              <w:pStyle w:val="Normal"/>
              <w:widowControl/>
              <w:spacing w:before="60" w:after="20"/>
            </w:pPr>
            <w:r>
              <w:t xml:space="preserve">Milan-NET, Table 1, PDF p2 / journal p2893</w:t>
            </w:r>
          </w:p>
          <w:p>
            <w:pPr>
              <w:pStyle w:val="Normal"/>
              <w:widowControl/>
              <w:spacing w:before="60" w:after="20"/>
            </w:pPr>
            <w:hyperlink r:id="rId65">
              <w:r>
                <w:rPr>
                  <w:color w:val="77230C"/>
                  <w:sz w:val="20"/>
                  <w:u w:val="single"/>
                </w:rPr>
                <w:t>Source</w:t>
              </w:r>
            </w:hyperlink>
            <w:r>
              <w:t xml:space="preserve"> | </w:t>
            </w:r>
            <w:hyperlink r:id="rId6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biological selection interval; the proposed three-scan workflow is not itself a validated benefit predictor.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“solitary bone lesions amenable to local treatment”</w:t>
            </w:r>
          </w:p>
          <w:p>
            <w:pPr>
              <w:pStyle w:val="Normal"/>
              <w:widowControl/>
              <w:spacing w:before="60" w:after="20"/>
            </w:pPr>
            <w:r>
              <w:t xml:space="preserve">2026 full-text PDF p3, section 4, proposed candidate profile</w:t>
            </w:r>
          </w:p>
          <w:p>
            <w:pPr>
              <w:pStyle w:val="Normal"/>
              <w:widowControl/>
              <w:spacing w:before="60" w:after="20"/>
            </w:pPr>
            <w:hyperlink r:id="rId67">
              <w:r>
                <w:rPr>
                  <w:color w:val="77230C"/>
                  <w:sz w:val="20"/>
                  <w:u w:val="single"/>
                </w:rPr>
                <w:t>Source</w:t>
              </w:r>
            </w:hyperlink>
            <w:r>
              <w:t xml:space="preserve"> | </w:t>
            </w:r>
            <w:hyperlink r:id="rId6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ENETS discusses selected controllable extrahepatic sites, including this example. Current NLRB solid-organ-metastasis exclusion is stricter. I favor no initial expansion despite this emerging clinical-consensus proposal.</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Activate only well-differentiated G1/G2 disease from a known portal-drained GEP primary; retain a six-month biology test.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Require expert pathology with Ki-67 &lt;20% and the applicable mitotic criterion; use the highest reliable representative grade.</w:t>
      </w:r>
    </w:p>
    <w:p>
      <w:pPr>
        <w:pStyle w:val="Normal"/>
        <w:widowControl/>
        <w:numPr>
          <w:ilvl w:val="1"/>
          <w:numId w:val="3"/>
        </w:numPr>
        <w:spacing w:before="60" w:after="20"/>
      </w:pPr>
      <w:r>
        <w:t xml:space="preserve">Exactly 20%, rounding uncertainty or discordance is HOLD for adjudication, not rounding down.</w:t>
      </w:r>
    </w:p>
    <w:p>
      <w:pPr>
        <w:pStyle w:val="Normal"/>
        <w:widowControl/>
        <w:numPr>
          <w:ilvl w:val="1"/>
          <w:numId w:val="3"/>
        </w:numPr>
        <w:spacing w:before="60" w:after="20"/>
      </w:pPr>
      <w:r>
        <w:t xml:space="preserve">Do not impose an unsupported Ki-67 &lt;10 rule or blanket G2 ban.</w:t>
      </w:r>
    </w:p>
    <w:p>
      <w:pPr>
        <w:pStyle w:val="Normal"/>
        <w:widowControl/>
        <w:numPr>
          <w:ilvl w:val="0"/>
          <w:numId w:val="3"/>
        </w:numPr>
      </w:pPr>
      <w:r>
        <w:t xml:space="preserve">G3, NEC, unknown/nonportal primary and active extrahepatic disease have no active cohort in this edition.</w:t>
      </w:r>
    </w:p>
    <w:p>
      <w:pPr>
        <w:pStyle w:val="Normal"/>
        <w:widowControl/>
        <w:numPr>
          <w:ilvl w:val="1"/>
          <w:numId w:val="3"/>
        </w:numPr>
        <w:spacing w:before="60" w:after="20"/>
      </w:pPr>
      <w:r>
        <w:t xml:space="preserve">Previously resected nodes may qualify after complete clearance and the required disease-free interval; document stations and dates.</w:t>
      </w:r>
    </w:p>
    <w:p>
      <w:pPr>
        <w:pStyle w:val="Normal"/>
        <w:widowControl/>
        <w:numPr>
          <w:ilvl w:val="1"/>
          <w:numId w:val="3"/>
        </w:numPr>
        <w:spacing w:before="60" w:after="20"/>
      </w:pPr>
      <w:r>
        <w:t xml:space="preserve">Prior lung/bone/other solid-organ metastases remain outside the current opening pathway.</w:t>
      </w:r>
    </w:p>
    <w:p>
      <w:pPr>
        <w:pStyle w:val="Normal"/>
        <w:widowControl/>
        <w:numPr>
          <w:ilvl w:val="0"/>
          <w:numId w:val="3"/>
        </w:numPr>
      </w:pPr>
      <w:r>
        <w:t xml:space="preserve">Require ≥6 months of stable/responding hepatic disease and ≥6 months without recurrence after primary/extrahepatic clearance.</w:t>
      </w:r>
    </w:p>
    <w:p>
      <w:pPr>
        <w:pStyle w:val="Normal"/>
        <w:widowControl/>
        <w:numPr>
          <w:ilvl w:val="1"/>
          <w:numId w:val="3"/>
        </w:numPr>
        <w:spacing w:before="60" w:after="20"/>
      </w:pPr>
      <w:r>
        <w:t xml:space="preserve">Proposed documentation: at least three comparable assessments spanning baseline, about three months and six months.</w:t>
      </w:r>
    </w:p>
    <w:p>
      <w:pPr>
        <w:pStyle w:val="Normal"/>
        <w:widowControl/>
        <w:numPr>
          <w:ilvl w:val="1"/>
          <w:numId w:val="3"/>
        </w:numPr>
        <w:spacing w:before="60" w:after="20"/>
      </w:pPr>
      <w:r>
        <w:t xml:space="preserve">A suspicious new site is HOLD; confirmed progression restarts observation.</w:t>
      </w:r>
    </w:p>
    <w:p>
      <w:pPr>
        <w:pStyle w:val="Normal"/>
        <w:widowControl/>
        <w:numPr>
          <w:ilvl w:val="0"/>
          <w:numId w:val="3"/>
        </w:numPr>
      </w:pPr>
      <w:r>
        <w:t xml:space="preserve">Post-LT PRRT remains investigational, with joint nuclear-medicine/transplant/pharmacy review, baseline and serial marrow/renal/allograft assessment and consent covering potentially prolonged severe cytopenia.</w:t>
      </w:r>
    </w:p>
    <w:p>
      <w:pPr>
        <w:pStyle w:val="Normal"/>
        <w:widowControl/>
        <w:numPr>
          <w:ilvl w:val="1"/>
          <w:numId w:val="3"/>
        </w:numPr>
        <w:spacing w:before="60" w:after="20"/>
      </w:pPr>
      <w:r>
        <w:t xml:space="preserve">A response to PRRT does not waive pre-LT grade, primary-site, extrahepatic or biology requirements.</w:t>
      </w:r>
    </w:p>
    <w:p>
      <w:pPr>
        <w:pStyle w:val="Normal"/>
        <w:widowControl/>
        <w:spacing w:before="60" w:after="20"/>
      </w:pPr>
      <w:r>
        <w:rPr>
          <w:b/>
        </w:rPr>
        <w:t xml:space="preserve">Why retain or change it: </w:t>
      </w:r>
      <w:r>
        <w:t xml:space="preserve">Keep OPEN expert pathology review of primary and representative metastatic tissue, recording differentiation, Ki-67 hot spot, mitotic count and heterogeneity; use the highest representative confirmed grade, with rebiopsy only if clinically indicated. Advance only with known portal-drained GEP primary, well-differentiated G1/G2 and Ki-67 &lt;20%, cleared primary and extrahepatic disease, and at least six months control/NED of resected extrahepatic sites. Ki-67 exactly 20% is HOLD for pathology/allocation clarification, not automatically renamed G3. Active G3, NEC, unknown/nonportal primary or active extrahepatic disease stays outside this pathway; prior lung/bone/solid-organ metastasis stays outside current exception guidance. Cleared regional nodes may be reconsidered after documented six months NED, not ignored. PRRT response does not waive these boundaries. Decision remains blank.</w:t>
      </w:r>
    </w:p>
    <w:p>
      <w:pPr>
        <w:pStyle w:val="Heading3"/>
        <w:keepNext/>
        <w:widowControl/>
      </w:pPr>
      <w:r>
        <w:t xml:space="preserve">Information required before the decision</w:t>
      </w:r>
    </w:p>
    <w:p>
      <w:pPr>
        <w:pStyle w:val="Normal"/>
        <w:widowControl/>
        <w:spacing w:before="60" w:after="20"/>
      </w:pPr>
      <w:r>
        <w:t xml:space="preserve">Expert grade/Ki-67/mitoses and primary origin; SSTR staging and cross-sectional imaging; complete primary/node/EHD clearance history; three-assessment timeline.</w:t>
      </w:r>
    </w:p>
    <w:p>
      <w:pPr>
        <w:pStyle w:val="Normal"/>
        <w:widowControl/>
        <w:spacing w:before="60" w:after="20"/>
      </w:pPr>
      <w:r>
        <w:rPr>
          <w:b/>
        </w:rPr>
        <w:t xml:space="preserve">Clinical versus allocation: </w:t>
      </w:r>
      <w:r>
        <w:t xml:space="preserve">Current NET guidance and clinical consensus differ on some boundaries; favorable guidance does not remove the need to prove B1 benefit.</w:t>
      </w:r>
    </w:p>
    <w:p>
      <w:pPr>
        <w:pStyle w:val="Normal"/>
        <w:widowControl/>
        <w:spacing w:before="60" w:after="20"/>
      </w:pPr>
      <w:r>
        <w:rPr>
          <w:b/>
        </w:rPr>
        <w:t xml:space="preserve">Roadmap / protocol reconciliation: </w:t>
      </w:r>
      <w:r>
        <w:t xml:space="preserve">Preserve the roadmap’s distinction between well-differentiated G3 NET and poorly differentiated NEC; neither gains LT eligibility from systemic/PRRT response alone.</w:t>
      </w:r>
    </w:p>
    <w:p>
      <w:pPr>
        <w:pStyle w:val="Normal"/>
        <w:widowControl/>
        <w:spacing w:before="60" w:after="20"/>
      </w:pPr>
      <w:hyperlink r:id="rId69">
        <w:r>
          <w:rPr>
            <w:color w:val="77230C"/>
            <w:sz w:val="20"/>
            <w:u w:val="single"/>
          </w:rPr>
          <w:t>Meeting record: NET-B2</w:t>
        </w:r>
      </w:hyperlink>
      <w:r>
        <w:t xml:space="preserve">  |  </w:t>
      </w:r>
      <w:hyperlink r:id="rId7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3" w:name="NET_B3"/>
      <w:r>
        <w:t xml:space="preserve">NET-B3 — Should age or burden remain local selection factors without being called national rules?</w:t>
      </w:r>
      <w:bookmarkEnd w:id="3"/>
    </w:p>
    <w:p>
      <w:pPr>
        <w:pStyle w:val="Heading3"/>
        <w:keepNext/>
        <w:widowControl/>
      </w:pPr>
      <w:r>
        <w:t xml:space="preserve">Question and comparison</w:t>
      </w:r>
    </w:p>
    <w:p>
      <w:pPr>
        <w:pStyle w:val="Normal"/>
        <w:widowControl/>
        <w:spacing w:before="60" w:after="20"/>
      </w:pPr>
      <w:r>
        <w:t xml:space="preserve">Should age, liver tumour burden and stability be hard selection thresholds, and how should modest-burden versus &gt;50% involvement influence the benefit decision?</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71">
              <w:r>
                <w:rPr>
                  <w:color w:val="77230C"/>
                  <w:sz w:val="20"/>
                  <w:u w:val="single"/>
                </w:rPr>
                <w:t>Primary source</w:t>
              </w:r>
            </w:hyperlink>
            <w:r>
              <w:t xml:space="preserve"> | </w:t>
            </w:r>
            <w:hyperlink r:id="rId72">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Single-centre retrospective analysis of consecutive prospective surgical series 1984–2019: 53 LT and 96 LR; 48 LT/56 LR met Milan criteria on preoperative staging. Criteria: portal-drained resected primary, G1/G2, &lt;50% burden, no extrahepatic disease, ≥6-month stability, age &lt;60 relative. Required ≥6 months postoperative follow-up. Resection versus LT chosen for technical feasibility; estimated &gt;3% perioperative mortality for complex regenerative resection was this centre's definition, not a validated universal threshold.</w:t>
            </w:r>
          </w:p>
          <w:p>
            <w:pPr>
              <w:pStyle w:val="Normal"/>
              <w:widowControl/>
              <w:spacing w:before="60" w:after="20"/>
            </w:pPr>
            <w:hyperlink r:id="rId73">
              <w:r>
                <w:rPr>
                  <w:color w:val="77230C"/>
                  <w:sz w:val="20"/>
                  <w:u w:val="single"/>
                </w:rPr>
                <w:t>Primary source</w:t>
              </w:r>
            </w:hyperlink>
            <w:r>
              <w:t xml:space="preserve"> | </w:t>
            </w:r>
            <w:hyperlink r:id="rId74">
              <w:r>
                <w:rPr>
                  <w:color w:val="77230C"/>
                  <w:sz w:val="20"/>
                  <w:u w:val="single"/>
                </w:rPr>
                <w:t>Full-text PDF</w:t>
              </w:r>
            </w:hyperlink>
          </w:p>
          <w:p>
            <w:pPr>
              <w:pStyle w:val="Normal"/>
              <w:widowControl/>
              <w:spacing w:before="60" w:after="20"/>
            </w:pPr>
            <w:r>
              <w:t xml:space="preserve">Locator: Methods/Milan definitions p 2599; outcomes p 2600; nodal analysis p 2601; Tables 2–3 p 2602; limitations pp 2605–2606.</w:t>
            </w:r>
          </w:p>
          <w:p>
            <w:pPr>
              <w:pStyle w:val="Normal"/>
              <w:widowControl/>
              <w:spacing w:before="60" w:after="20"/>
            </w:pPr>
            <w:r>
              <w:t xml:space="preserve">Review depth: Complete ten-page main paper read. All numerical results were taken from the labelled text/tables rather than estimating plotted curves.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surgery, not listing or primary diagnosis. Median follow-up 158 months LT and 126 LR. Time primary resection-to-liver surgery 38.5 versus 6.5 months, introducing major test-of-time selection. Five-/ten-year OS 95.5%/93% LT versus 90%/75% LR; ten-year DFS 52% versus 18%. LT-associated univariate HR for OS 0.35 (0.16–0.78), not an adjusted causal effect. Recurrence 25/48 LT versus 42/56 LR; median time to recurrence among recurrence cases 78 versus 24 months, not median DFS for the entire group. LT recurrence range 13–204 months demonstrates very late risk. LT recurrence more often multisite (12/25 versus 5/42), nodal/bone; LR mostly involved liver (37/42 versus 2/25). Postrecurrence five-year survival 72% versus 69%. Nine deaths after LT: three NET-related and six other causes (three new solid cancers, sepsis, lymphoproliferative disease, cardiovascular event). Perioperative risk cannot be assessed reliably from a cohort requiring six-month follow-up. Despite preoperative Milan selection, postoperative Table 2 includes seven &gt;50% burden, two G3 and 16 hilar node-positive LT recipients. This is pathological upstaging/occult findings, not prospective validation of knowingly transplanting these categories. Hilar node positivity was associated with worse OS in a univariate LT analysis, HR 5.7 (1.3–24), P=0.004. DFS HR 2.6 (1.1–5.9) is printed with P=0.22, an internal inconsistency; do not silently correct to 0.022.</w:t>
            </w:r>
          </w:p>
          <w:p>
            <w:pPr>
              <w:pStyle w:val="Normal"/>
              <w:widowControl/>
              <w:spacing w:before="60" w:after="20"/>
            </w:pPr>
            <w:r>
              <w:rPr>
                <w:b/>
              </w:rPr>
              <w:t xml:space="preserve">Do not infer: </w:t>
            </w:r>
            <w:r>
              <w:t xml:space="preserve">Historical single-centre nonrandom selection, no ITT or wait-list dropout data, imbalanced ages/burden/timing; overlap with Milan 2016 and later multicentre series. At least six-month postoperative follow-up criterion risks under-representing early harms. Univariate analyses cannot establish independent risk-adjusted benefit. Only four excluded high-burden cases and one excluded G3 at preoperative selection; failure to find associations in tiny posthoc groups does not validate expanded eligibility. No LT patient &gt;60 was added in the age-expanded comparison (LT remained 48, LR increased to 89), so this is not direct evidence for LT above 60. Supplement access: No separate supplemental file cited; figures and all tables included.</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75">
              <w:r>
                <w:rPr>
                  <w:color w:val="77230C"/>
                  <w:sz w:val="20"/>
                  <w:u w:val="single"/>
                </w:rPr>
                <w:t>Primary source</w:t>
              </w:r>
            </w:hyperlink>
            <w:r>
              <w:t xml:space="preserve"> | </w:t>
            </w:r>
            <w:hyperlink r:id="rId76">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Retrospective Swedish tertiary-centre pan-NET cohort, 519 screened (2000–2021), 41 with resected primary, G1/G2, liver metastases and no extra-abdominal disease included. Sixteen satisfied one or more study-adapted LT definitions: Milan 11, ENETS 8, UNOS 13 (overlapping). These were not literal current allocation criteria: Milan age extended to &lt;65; two patients with suspicious persistent but stable regional nodes were counted UNOS-eligible after three-month follow-up.</w:t>
            </w:r>
          </w:p>
          <w:p>
            <w:pPr>
              <w:pStyle w:val="Normal"/>
              <w:widowControl/>
              <w:spacing w:before="60" w:after="20"/>
            </w:pPr>
            <w:hyperlink r:id="rId77">
              <w:r>
                <w:rPr>
                  <w:color w:val="77230C"/>
                  <w:sz w:val="20"/>
                  <w:u w:val="single"/>
                </w:rPr>
                <w:t>Primary source</w:t>
              </w:r>
            </w:hyperlink>
            <w:r>
              <w:t xml:space="preserve"> | </w:t>
            </w:r>
            <w:hyperlink r:id="rId78">
              <w:r>
                <w:rPr>
                  <w:color w:val="77230C"/>
                  <w:sz w:val="20"/>
                  <w:u w:val="single"/>
                </w:rPr>
                <w:t>Full-text PDF</w:t>
              </w:r>
            </w:hyperlink>
          </w:p>
          <w:p>
            <w:pPr>
              <w:pStyle w:val="Normal"/>
              <w:widowControl/>
              <w:spacing w:before="60" w:after="20"/>
            </w:pPr>
            <w:r>
              <w:t xml:space="preserve">Locator: Methods/time zero p 341; modified eligibility definitions p 342; baseline/treatments/outcomes pp 343–344; interpretation/limitations pp 345–346.</w:t>
            </w:r>
          </w:p>
          <w:p>
            <w:pPr>
              <w:pStyle w:val="Normal"/>
              <w:widowControl/>
              <w:spacing w:before="60" w:after="20"/>
            </w:pPr>
            <w:r>
              <w:t xml:space="preserve">Review depth: Complete eight-page published main paper read, including all methods,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set at eligibility for each LT-criteria group; otherwise after first centre visit, primary resection and liver metastasis presence. Mean follow-up 5.4 years; 23 deaths. No actual LT comparator. Eligibility time zero reduces one form of immortal-time bias but retrospective selection remains. All 41: median OS 9.3 years (95% CI 6.8–11.7); five-year OS 64.7% (48.2–81.2). Milan-adapted n=11 five-year OS 64.9% (32.2–97.6); ENETS n=8 85.7% (59.8–100); UNOS-adapted n=13 55.4% (26.0–84.8). Treatment was multimodal, not medical therapy alone: five hepatic resections, 15 ablations, six embolizations, systemic therapy in 40 and later-line PRRT. No standardised toxicity or quality-of-life comparison reported. Most patients had small maximum lesions (overall median 1.5 cm); eligibility/low-burden biology differs from refractory high-burden transplant candidates.</w:t>
            </w:r>
          </w:p>
          <w:p>
            <w:pPr>
              <w:pStyle w:val="Normal"/>
              <w:widowControl/>
              <w:spacing w:before="60" w:after="20"/>
            </w:pPr>
            <w:r>
              <w:rPr>
                <w:b/>
              </w:rPr>
              <w:t xml:space="preserve">Do not infer: </w:t>
            </w:r>
            <w:r>
              <w:t xml:space="preserve">Very small overlapping subgroups, broad CIs, nonrandom historical comparisons; cannot conclude non-LT superiority or that LT is ineffective. Study-adapted UNOS/Milan rules and old ENETS 2012 definitions should not be relabelled as current guidance. A stable suspicious node is not proof of cleared extrahepatic disease. Some percentages/table entries are internally inconsistent; use counts and survival estimates rather than erroneous derived percentages. Source authors' strong anti-LT conclusion exceeds what this uncontrolled non-LT series can establish. Supplement access: No supplementary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Boscà 2026 · Spain</w:t>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Spanish 13-centre retrospective series of 91 NET LT recipients, 1995–2024; 41 transplanted before 2007; 71 Milan-IN and 20 Milan-OUT.</w:t>
            </w:r>
          </w:p>
          <w:p>
            <w:pPr>
              <w:pStyle w:val="Normal"/>
              <w:widowControl/>
              <w:spacing w:before="60" w:after="20"/>
            </w:pPr>
            <w:hyperlink r:id="rId79">
              <w:r>
                <w:rPr>
                  <w:color w:val="77230C"/>
                  <w:sz w:val="20"/>
                  <w:u w:val="single"/>
                </w:rPr>
                <w:t>Primary source</w:t>
              </w:r>
            </w:hyperlink>
            <w:r>
              <w:t xml:space="preserve"> | </w:t>
            </w:r>
            <w:hyperlink r:id="rId80">
              <w:r>
                <w:rPr>
                  <w:color w:val="77230C"/>
                  <w:sz w:val="20"/>
                  <w:u w:val="single"/>
                </w:rPr>
                <w:t>Full-text PDF</w:t>
              </w:r>
            </w:hyperlink>
          </w:p>
          <w:p>
            <w:pPr>
              <w:pStyle w:val="Normal"/>
              <w:widowControl/>
              <w:spacing w:before="60" w:after="20"/>
            </w:pPr>
            <w:r>
              <w:t xml:space="preserve">Locator: J Clin Med 2026;15:938; complete PDF Results, Tables 2–5, postoperative mortality/retransplantation and 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pStyle w:val="Normal"/>
              <w:widowControl/>
              <w:spacing w:before="60" w:after="20"/>
            </w:pPr>
            <w:r>
              <w:rPr>
                <w:b/>
              </w:rPr>
              <w:t xml:space="preserve">Do not infer: </w:t>
            </w:r>
            <w:r>
              <w:t xml:space="preserve">Era, missing pathology, small OUT group and composite deviations preclude validating 50–70% burden, age ≥60, G3 or extrahepatic expansion individually. Nonsignificant DFS is not equivalence. The abstract rounds OUT five-year OS differently; use Table 5 value with locator.</w:t>
            </w:r>
          </w:p>
        </w:tc>
      </w:tr>
      <w:tr>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Retrospective 35-centre/11-country ELTR case collection, 213 LT recipients 1982–2009 (approximately half the European NET transplants in that period). Mixed primary sites including bronchial, unknown and pancreas; 29 primary sites unknown before LT, 17 never found; 22 poorly differentiated cases. Baseline Ki-67 and treatment-response/stability data were too sparse for analysis. Eligibility differs fundamentally from current NLRB selection.</w:t>
            </w:r>
          </w:p>
          <w:p>
            <w:pPr>
              <w:pStyle w:val="Normal"/>
              <w:widowControl/>
              <w:spacing w:before="60" w:after="20"/>
            </w:pPr>
            <w:hyperlink r:id="rId81">
              <w:r>
                <w:rPr>
                  <w:color w:val="77230C"/>
                  <w:sz w:val="20"/>
                  <w:u w:val="single"/>
                </w:rPr>
                <w:t>Primary source</w:t>
              </w:r>
            </w:hyperlink>
            <w:r>
              <w:t xml:space="preserve"> | </w:t>
            </w:r>
            <w:hyperlink r:id="rId82">
              <w:r>
                <w:rPr>
                  <w:color w:val="77230C"/>
                  <w:sz w:val="20"/>
                  <w:u w:val="single"/>
                </w:rPr>
                <w:t>Full-text PDF</w:t>
              </w:r>
            </w:hyperlink>
          </w:p>
          <w:p>
            <w:pPr>
              <w:pStyle w:val="Normal"/>
              <w:widowControl/>
              <w:spacing w:before="60" w:after="20"/>
            </w:pPr>
            <w:r>
              <w:t xml:space="preserve">Locator: Methods p 808; primary/burden/indication p 809; perioperative harms p 810; adjusted models p 811; Table 6 p 812; historical selection discussion pp 813–815.</w:t>
            </w:r>
          </w:p>
          <w:p>
            <w:pPr>
              <w:pStyle w:val="Normal"/>
              <w:widowControl/>
              <w:spacing w:before="60" w:after="20"/>
            </w:pPr>
            <w:r>
              <w:t xml:space="preserve">Review depth: Complete nine-page published paper read, including all eight tables, methods, outcome curves,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107 before 2000 and 106 during 2000–2009. Median liver-metastasis diagnosis-to-LT 25 months. Follow-up to December 2010; mean follow-up 56 months. Survival must be labelled by time zero: five-year OS 52% from LT versus 73% from liver-metastasis diagnosis; the latter contains pretransplant survivor selection. Five-year OS/DFS 52%/30%; median OS/DFS 67/24 months. In 2000–2009 subgroup, five-year OS/DFS 59%/39%. Three-month mortality 21/213 (10%). Retransplantation 24/213 (11%), including 16 early; early retransplant deaths 6/16. Thirty-seven (17%) died from early/late transplant complications without recurrence over follow-up. Whole-cohort multivariable adverse associations: major concurrent resection HR 3.1 (95% CI 1.9–5.3), poor differentiation HR 2.7 (1.5–4.7), hepatomegaly HR 2.3 (1.5–3.7). Hepatomegaly was retrospectively explant size ≥125% predicted liver volume, not simply tumour replacement &gt;50%. Post-2000 model: hepatomegaly HR 2.6 (1.3–5.1), P=0.006; age &gt;45 HR 2.0 (0.9–4.3), P=0.073; any concurrent resection HR 1.9 (1.0–3.7), P=0.058. The latter two are not conventionally statistically significant despite abstract language. Univariate five-year OS ≤50% burden 61% (109 patients) versus &gt;50% 42% (91); estimated &gt;80% group 42% (31). These are historical unadjusted outcomes, not a validated safe upper boundary. Node-positive 66 had five-year OS 41% versus 62% in 91 node-negative; location/clearance detail inadequate for a current eligibility rule. Poorly differentiated 22 had five-year OS 27%, not evidence for modern WD-G3. Nine LT indications followed severe TACE complications (four liver failure, five ischaemic cholangitis); historical rescue experience does not justify deliberate treatment injury.</w:t>
            </w:r>
          </w:p>
          <w:p>
            <w:pPr>
              <w:pStyle w:val="Normal"/>
              <w:widowControl/>
              <w:spacing w:before="60" w:after="20"/>
            </w:pPr>
            <w:r>
              <w:rPr>
                <w:b/>
              </w:rPr>
              <w:t xml:space="preserve">Do not infer: </w:t>
            </w:r>
            <w:r>
              <w:t xml:space="preserve">Strong era, centre and recipient selection, no non-LT comparator, incomplete data and extensive overlap with earlier European/French cohorts. No stable-versus-progressive or Ki-67 threshold validation. Historical poorly differentiated NEC should not be conflated with well-differentiated G3. Abstract says 30 minor concurrent resections, whereas Methods/Table 4 show 60 minor and 24 major (84 total). Histological category counts also have transcription discrepancies; prefer internally supported Table 6 whole-cohort categories. The post-2000 age threshold is exploratory, not an absolute age ban; authors explicitly warn against denying LT solely to older patients with hepatomegaly. Supplement access: No separate supplemental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83">
              <w:r>
                <w:rPr>
                  <w:color w:val="77230C"/>
                  <w:sz w:val="20"/>
                  <w:u w:val="single"/>
                </w:rPr>
                <w:t>Primary source</w:t>
              </w:r>
            </w:hyperlink>
            <w:r>
              <w:t xml:space="preserve"> | </w:t>
            </w:r>
            <w:hyperlink r:id="rId84">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2021</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YjcyMjMwNzItMzFiNy01NDQwLWFjZDktNmRkYjNjMjM2Yzlk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Single-centre retrospective analysis of post-LT NET recurrence among prospectively followed recipients: 53 total LT recipients, 32 recurrent cases meeting ≥6 months of postrecurrence follow-up, 2004–2018.</w:t>
            </w:r>
          </w:p>
          <w:p>
            <w:pPr>
              <w:pStyle w:val="Normal"/>
              <w:widowControl/>
              <w:spacing w:before="60" w:after="20"/>
            </w:pPr>
            <w:hyperlink r:id="rId85">
              <w:r>
                <w:rPr>
                  <w:color w:val="77230C"/>
                  <w:sz w:val="20"/>
                  <w:u w:val="single"/>
                </w:rPr>
                <w:t>Primary source</w:t>
              </w:r>
            </w:hyperlink>
            <w:r>
              <w:t xml:space="preserve"> | </w:t>
            </w:r>
            <w:hyperlink r:id="rId86">
              <w:r>
                <w:rPr>
                  <w:color w:val="77230C"/>
                  <w:sz w:val="20"/>
                  <w:u w:val="single"/>
                </w:rPr>
                <w:t>Full-text PDF</w:t>
              </w:r>
            </w:hyperlink>
          </w:p>
          <w:p>
            <w:pPr>
              <w:pStyle w:val="Normal"/>
              <w:widowControl/>
              <w:spacing w:before="60" w:after="20"/>
            </w:pPr>
            <w:r>
              <w:t xml:space="preserve">Locator: PDF pp 3–14 main text; Tables 1–3 pp 19–22; Figures 1–3 pp 23–25, especially Fig 3D P=.062. Published pp 2579–2586.</w:t>
            </w:r>
          </w:p>
          <w:p>
            <w:pPr>
              <w:pStyle w:val="Normal"/>
              <w:widowControl/>
              <w:spacing w:before="60" w:after="20"/>
            </w:pPr>
            <w:r>
              <w:t xml:space="preserve">Review depth: Complete 25-page accepted manuscript read, including all main text, tables, figure legends, references and visual inspection of Figures 1–3 on PDF pages 23–25.</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Twenty-five of 32 were within Milan criteria at listing. Primary sites were intestinal 20, pancreatic 11, unknown one. All received deceased-donor grafts; 21/32 had positive hilar nodes at LT, which does not establish acceptability of known active nodes before selection.; Median time to recurrence was 82.9 months. Overall survival here starts at RECURRENCE, not LT: median 81 months, five-/ten-year OS 76.3%/45.5%, with median postrecurrence follow-up 73.7 months.; Fourteen underwent surgery; complete resection at initial salvage in 13. Surgery versus other therapy five-year OS 90.9% versus 64.5%, P=.062; the overall comparison did not reach statistical significance.; The seven early-recurrence cases (within 24 months) had five-year postrecurrence OS 0% versus 89.5% in 25 later recurrences; this very small nonrandomized subgroup is prognostic, not a validated 24-month prohibition on salvage.; At last follow-up four were disease-free, 17 alive with disease and 11 deceased (seven NET-related, four other causes). Rising proliferation across primary, LT and recurrence biopsies supports reassessing heterogeneous biology.; All were switched to an mTOR inhibitor upon recurrence. No non-switch comparator exists to establish antitumour benefit. Two received PRRT; this is descriptive post-LT experience, not controlled safety/efficacy evidence.</w:t>
            </w:r>
          </w:p>
          <w:p>
            <w:pPr>
              <w:pStyle w:val="Normal"/>
              <w:widowControl/>
              <w:spacing w:before="60" w:after="20"/>
            </w:pPr>
            <w:r>
              <w:rPr>
                <w:b/>
              </w:rPr>
              <w:t xml:space="preserve">Do not infer: </w:t>
            </w:r>
            <w:r>
              <w:t xml:space="preserve">Selection requires survival/follow-up for at least six months after recurrence, potentially underrepresenting very early deaths; only 32 recurrent patients and no adjusted causal comparison.; Treatment selection, late-recurrence biology and resectability confound surgical comparisons. Overlap with other Milan reports means outcomes are not independent replication.; Abstract and body have slightly different recurrence-time IQRs. The abstract's 59.4% nodal figure combines abdominal and thoracic single-site nodal recurrences; do not label all 19 as abdominal.; The &lt; versus ≤24-month boundary differs between text/table; use 'within 24 months' descriptively without creating a precise validated gate.; Study protocol's three-month observation before salvage surgery and systematic NET lymphadenectomy are centre practices, not mandatory CRLM or universal NET standards.</w:t>
            </w:r>
          </w:p>
        </w:tc>
      </w:tr>
    </w:tbl>
    <w:p>
      <w:pPr>
        <w:pStyle w:val="Heading3"/>
        <w:keepNext/>
        <w:widowControl/>
      </w:pPr>
      <w:r>
        <w:t xml:space="preserve">Synthesis and evidence that challenges the proposal</w:t>
      </w:r>
    </w:p>
    <w:p>
      <w:pPr>
        <w:pStyle w:val="Normal"/>
        <w:widowControl/>
        <w:spacing w:before="60" w:after="20"/>
      </w:pPr>
      <w:r>
        <w:t xml:space="preserve">The &lt;50% burden and relative age &lt;60 Milan framework has selected-cohort lineage, not a sharp validated treatment-benefit boundary. In ELTR's post-2000 model, age &gt;45 had HR 2.0 (95% CI 0.9–4.3), P=.073: it was not a statistically significant independent predictor, contrary to the abstract implication. Hepatomegaly was an explant-based size measure, not synonymous with tumour replacement. Burden &gt;50% had poorer unadjusted historical survival, but no precise 70% futility boundary or safety through 75–80% is established. Maspero added no older LT recipients in its age-expanded comparison and occult postoperative high burden cannot validate preoperative expansion. Low burden may produce good post-LT survival but little incremental benefit.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YjcyMjMwNzItMzFiNy01NDQwLWFjZDktNmRkYjNjMjM2Yzlk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spacing w:before="60" w:after="20"/>
      </w:pPr>
      <w:r>
        <w:t xml:space="preserve">Spanish Milan-OUT survival is lower, but OUT combines many deviations and cannot isolate &gt;50% burden or age ≥60. Matched outside-Milan confidence intervals are wide, not proof of futility. Kjaer's non-LT survival cautions against assuming any eligible patient needs LT. ENETS 25–70% proposal is an expert benefit-oriented hypothesis, not outcome-validated proof that 70% is a biological ceiling.</w:t>
      </w:r>
    </w:p>
    <w:p>
      <w:pPr>
        <w:pStyle w:val="Normal"/>
        <w:widowControl/>
        <w:spacing w:before="60" w:after="20"/>
      </w:pPr>
      <w:r>
        <w:rPr>
          <w:b/>
        </w:rPr>
        <w:t xml:space="preserve">Certainty / applicability: </w:t>
      </w:r>
      <w:r>
        <w:t xml:space="preserve">Low certainty for any causal age/burden threshold; moderate confidence that these variables and liver function must be measured and followed. No prospective trial validates 25%, 50%, 70% or age 60 as a universal increment-benefit boundary.</w:t>
      </w:r>
    </w:p>
    <w:p>
      <w:pPr>
        <w:pStyle w:val="Heading3"/>
        <w:keepNext/>
        <w:widowControl/>
      </w:pPr>
      <w:r>
        <w:t xml:space="preserve">Where each proposed threshold comes from</w:t>
      </w:r>
    </w:p>
    <w:p>
      <w:pPr>
        <w:pStyle w:val="Normal"/>
        <w:widowControl/>
        <w:numPr>
          <w:ilvl w:val="0"/>
          <w:numId w:val="3"/>
        </w:numPr>
        <w:spacing w:before="60" w:after="20"/>
      </w:pPr>
      <w:r>
        <w:t xml:space="preserve">&lt;50% and age &lt;60 relative originate in Milan selection; age &gt;45 is historical prognostic association, not selection validation. ENETS 25–70% and six-month stability are pragmatic proposals. The V6 50–70% unopened stratum and &gt;70% initial closure are local conservative design choices. Serial volumetry and trajectory matter more than a single imprecise percentage.</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“Metastatic diffusion to &lt;50% of the total liver volume”</w:t>
            </w:r>
          </w:p>
          <w:p>
            <w:pPr>
              <w:pStyle w:val="Normal"/>
              <w:widowControl/>
              <w:spacing w:before="60" w:after="20"/>
            </w:pPr>
            <w:r>
              <w:t xml:space="preserve">Milan-NET, Table 1, PDF p2 / journal p2893</w:t>
            </w:r>
          </w:p>
          <w:p>
            <w:pPr>
              <w:pStyle w:val="Normal"/>
              <w:widowControl/>
              <w:spacing w:before="60" w:after="20"/>
            </w:pPr>
            <w:hyperlink r:id="rId87">
              <w:r>
                <w:rPr>
                  <w:color w:val="77230C"/>
                  <w:sz w:val="20"/>
                  <w:u w:val="single"/>
                </w:rPr>
                <w:t>Source</w:t>
              </w:r>
            </w:hyperlink>
            <w:r>
              <w:t xml:space="preserve"> | </w:t>
            </w:r>
            <w:hyperlink r:id="rId8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selection criterion in the Milan framework, not a national allocation ceiling.</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“Age &lt;60 years may be considered a relative, not absolute, factor.”</w:t>
            </w:r>
          </w:p>
          <w:p>
            <w:pPr>
              <w:pStyle w:val="Normal"/>
              <w:widowControl/>
              <w:spacing w:before="60" w:after="20"/>
            </w:pPr>
            <w:r>
              <w:t xml:space="preserve">2026 full-text PDF p5, Table 2</w:t>
            </w:r>
          </w:p>
          <w:p>
            <w:pPr>
              <w:pStyle w:val="Normal"/>
              <w:widowControl/>
              <w:spacing w:before="60" w:after="20"/>
            </w:pPr>
            <w:hyperlink r:id="rId89">
              <w:r>
                <w:rPr>
                  <w:color w:val="77230C"/>
                  <w:sz w:val="20"/>
                  <w:u w:val="single"/>
                </w:rPr>
                <w:t>Source</w:t>
              </w:r>
            </w:hyperlink>
            <w:r>
              <w:t xml:space="preserve"> | </w:t>
            </w:r>
            <w:hyperlink r:id="rId9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individualized benefit/fitness assessment rather than an automatic age exclusion.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age as a review trigger, not an absolute exclusion; retain a conservative opening burden and a separately declared expansion band.</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1YxNi02XTwvRGlzcGxheVRleHQ+PHJlY29yZD48cmVjLW51bWJlcj42PC9yZWMtbnVtYmVyPjxmb3JlaWduLWtleXM+PGtleSBhcHA9IkVOIiBkYi1pZD0iYjcyMjMwNzItMzFiNy01NDQwLWFjZDktNmRkYjNjMjM2YzlkIiB0aW1lc3RhbXA9IjE3OTMyODM2ODYiPjY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IENvbXBsZXRlIGVpZ2h0LXBhZ2UgcHVibGlzaGVkIG1haW4gcGFwZXIgcmVhZCwgaW5jbHVkaW5nIGFsbCBtZXRob2RzLCB0YWJsZXMsIGZpZ3VyZXMsIGRpc2N1c3Npb24gYW5kIHJlZmVyZW5jZXMuIFY4IGV4dHJhY3Rpb24gYW5kIGxpbWl0YXRpb25zOiBzb3VyY2UvbWV0YXN0YXNlc19mdWxsdGV4dF9yZXZpZXcuanNvbjwvbm90ZXM+PHVybHM+PHJlbGF0ZWQtdXJscz48dXJsPmh0dHBzOi8vZG9pLm9yZy8xMC4xMDA3L3MwMDI2OC0wMjItMDY3MzYtM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YjcyMjMwNzItMzFiNy01NDQwLWFjZDktNmRkYjNjMjM2Yzlk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Age ≥60 triggers explicit physiological-reserve, competing-mortality and benefit review; no absolute chronological-age ceiling or invented NET-specific frailty score is adopted.</w:t>
      </w:r>
    </w:p>
    <w:p>
      <w:pPr>
        <w:pStyle w:val="Normal"/>
        <w:widowControl/>
        <w:numPr>
          <w:ilvl w:val="0"/>
          <w:numId w:val="3"/>
        </w:numPr>
      </w:pPr>
      <w:r>
        <w:t xml:space="preserve">Reproducibly estimate liver involvement. &lt;50% is the conservative Milan-derived reference; exactly 50% through 70% is a separate prospective expansion stratum, not automatically active. &gt;70% is outside the initial local program for conservative risk control, not because published evidence proves futility.</w:t>
      </w:r>
    </w:p>
    <w:p>
      <w:pPr>
        <w:pStyle w:val="Normal"/>
        <w:widowControl/>
        <w:numPr>
          <w:ilvl w:val="1"/>
          <w:numId w:val="3"/>
        </w:numPr>
        <w:spacing w:before="60" w:after="20"/>
      </w:pPr>
      <w:r>
        <w:t xml:space="preserve">The 50–70/&gt;70 choices are local proposals, not national limits.</w:t>
      </w:r>
    </w:p>
    <w:p>
      <w:pPr>
        <w:pStyle w:val="Normal"/>
        <w:widowControl/>
        <w:numPr>
          <w:ilvl w:val="0"/>
          <w:numId w:val="3"/>
        </w:numPr>
      </w:pPr>
      <w:r>
        <w:t xml:space="preserve">Low burden, particularly &lt;25%, defaults to non-LT care unless a documented NET-B1 benefit trigger overrides that default.</w:t>
      </w:r>
    </w:p>
    <w:p>
      <w:pPr>
        <w:pStyle w:val="Normal"/>
        <w:widowControl/>
        <w:numPr>
          <w:ilvl w:val="1"/>
          <w:numId w:val="3"/>
        </w:numPr>
        <w:spacing w:before="60" w:after="20"/>
      </w:pPr>
      <w:r>
        <w:t xml:space="preserve">Do not give harmful downstaging solely to cross a percentage boundary.</w:t>
      </w:r>
    </w:p>
    <w:p>
      <w:pPr>
        <w:pStyle w:val="Normal"/>
        <w:widowControl/>
        <w:numPr>
          <w:ilvl w:val="0"/>
          <w:numId w:val="3"/>
        </w:numPr>
      </w:pPr>
      <w:r>
        <w:t xml:space="preserve">Do not cite age &gt;45 as an exclusion or postoperative occult upstaging as prospective validation.</w:t>
      </w:r>
    </w:p>
    <w:p>
      <w:pPr>
        <w:pStyle w:val="Normal"/>
        <w:widowControl/>
        <w:numPr>
          <w:ilvl w:val="1"/>
          <w:numId w:val="3"/>
        </w:numPr>
        <w:spacing w:before="60" w:after="20"/>
      </w:pPr>
      <w:r>
        <w:t xml:space="preserve">Explicitly label the proposed 50–70% expansion and &gt;70% opening restriction as local, unapproved research boundaries, not national or trial-validated cutoffs.</w:t>
      </w:r>
    </w:p>
    <w:p>
      <w:pPr>
        <w:pStyle w:val="Normal"/>
        <w:widowControl/>
        <w:spacing w:before="60" w:after="20"/>
      </w:pPr>
      <w:r>
        <w:rPr>
          <w:b/>
        </w:rPr>
        <w:t xml:space="preserve">Why retain or change it: </w:t>
      </w:r>
      <w:r>
        <w:t xml:space="preserve">Keep OPEN age ≥60 as an enhanced fitness/competing-risk and benefit review, not an automatic exclusion. Retain &lt;50% estimated hepatic involvement as the initial cohort reference, with central imaging method and uncertainty documented. Proposed 50–70% cases should remain a separately designed, unopened research stratum; &gt;70% remains outside the initial programme for conservative risk control, not because published data prove futility. Low burden &lt;25% generally favours continued effective non-LT management unless B1 provides a compelling symptom/function/future-control rationale. Do not permit burden alone to overrule grade, extrahepatic disease or donor risk. Decision remains blank.</w:t>
      </w:r>
    </w:p>
    <w:p>
      <w:pPr>
        <w:pStyle w:val="Heading3"/>
        <w:keepNext/>
        <w:widowControl/>
      </w:pPr>
      <w:r>
        <w:t xml:space="preserve">Information required before the decision</w:t>
      </w:r>
    </w:p>
    <w:p>
      <w:pPr>
        <w:pStyle w:val="Normal"/>
        <w:widowControl/>
        <w:spacing w:before="60" w:after="20"/>
      </w:pPr>
      <w:r>
        <w:t xml:space="preserve">Method/date of volumetric burden; functional reserve/frailty; competing illness; symptom/benefit trigger; current treatment alternatives.</w:t>
      </w:r>
    </w:p>
    <w:p>
      <w:pPr>
        <w:pStyle w:val="Normal"/>
        <w:widowControl/>
        <w:spacing w:before="60" w:after="20"/>
      </w:pPr>
      <w:r>
        <w:rPr>
          <w:b/>
        </w:rPr>
        <w:t xml:space="preserve">Clinical versus allocation: </w:t>
      </w:r>
      <w:r>
        <w:t xml:space="preserve">NLRB guidance has no explicit age or liver-percentage ceiling; identify these as local clinical/research choices.</w:t>
      </w:r>
    </w:p>
    <w:p>
      <w:pPr>
        <w:pStyle w:val="Normal"/>
        <w:widowControl/>
        <w:spacing w:before="60" w:after="20"/>
      </w:pPr>
      <w:r>
        <w:rPr>
          <w:b/>
        </w:rPr>
        <w:t xml:space="preserve">Roadmap / protocol reconciliation: </w:t>
      </w:r>
      <w:r>
        <w:t xml:space="preserve">Use the NET roadmap’s symptom control and systemic/liver-directed options, with volumetric follow-up rather than visual percentage guesses.</w:t>
      </w:r>
    </w:p>
    <w:p>
      <w:pPr>
        <w:pStyle w:val="Normal"/>
        <w:widowControl/>
        <w:spacing w:before="60" w:after="20"/>
      </w:pPr>
      <w:hyperlink r:id="rId91">
        <w:r>
          <w:rPr>
            <w:color w:val="77230C"/>
            <w:sz w:val="20"/>
            <w:u w:val="single"/>
          </w:rPr>
          <w:t>Meeting record: NET-B3</w:t>
        </w:r>
      </w:hyperlink>
      <w:r>
        <w:t xml:space="preserve">  |  </w:t>
      </w:r>
      <w:hyperlink r:id="rId9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3 Individualized treatment and reassessment</w:t>
      </w:r>
    </w:p>
    <w:p>
      <w:pPr>
        <w:pStyle w:val="Normal"/>
        <w:widowControl/>
        <w:numPr>
          <w:ilvl w:val="0"/>
          <w:numId w:val="3"/>
        </w:numPr>
      </w:pPr>
      <w:r>
        <w:t xml:space="preserve">Review resection/ablation, somatostatin analogs, PRRT, systemic therapy and liver-directed options with NET oncology, nuclear medicine and HPB/IR. Choose according to primary site, differentiation, receptor expression, tempo, symptoms and prior exposure. Do not mandate one neoadjuvant modality to qualify for LT.</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For SSTR-positive disease, PRRT may be an appropriate disease-control option. Use the current nuclear-medicine dosing and renal/marrow-protection program. There is no validated universal PRRT-to-LT washout: document marrow, renal and hepatic recovery, dosimetry and operative timing.</w:t>
      </w:r>
      <w:r>
        <w:t xml:space="preserve"> </w:t>
      </w:r>
      <w:r>
        <w:t xml:space="preserve"> </w:t>
      </w:r>
      <w:r>
        <w:fldChar w:fldCharType="begin"/>
      </w:r>
      <w:r>
        <w:instrText xml:space="preserve"> ADDIN EN.CITE </w:instrText>
      </w:r>
      <w:r>
        <w:fldChar w:fldCharType="begin">
          <w:fldData>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QpMDA3MDE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numPr>
          <w:ilvl w:val="0"/>
          <w:numId w:val="3"/>
        </w:numPr>
      </w:pPr>
      <w:r>
        <w:t xml:space="preserve">CAPTEM, everolimus and other systemic treatments must follow the tumor-specific oncology plan. Oncology-dose everolimus is not interchangeable with transplant immunosuppression. Record a perioperative hold and recovery plan with pharmacy; do not prescribe simultaneous unreviewed combinations.</w:t>
      </w:r>
    </w:p>
    <w:p>
      <w:pPr>
        <w:pStyle w:val="Normal"/>
        <w:widowControl/>
        <w:numPr>
          <w:ilvl w:val="0"/>
          <w:numId w:val="3"/>
        </w:numPr>
      </w:pPr>
      <w:r>
        <w:t xml:space="preserve">Proposed local assessment: cross-sectional imaging approximately every three months during treatment/observation, with symptom, nutrition, liver function and syndrome-specific biochemical review. Use RECIST 1.1 and retain the original burden/site map. Functional imaging is repeated to answer staging or biological discordance, not at an arbitrary universal frequency.</w:t>
      </w:r>
    </w:p>
    <w:p>
      <w:pPr>
        <w:pStyle w:val="Normal"/>
        <w:widowControl/>
      </w:pPr>
      <w:r>
        <w:t xml:space="preserve">Advance to final selection only when the primary is controlled, the relevant disease-free interval is complete, there is no active extrahepatic disease, liver disease is controlled, complete non-LT clearance is not feasible, and an explicit benefit/fitness review favors LT within the intended pathway.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Hold for uncertain grade, unknown primary/drainage, discordant SSTR/FDG lesions, unclear nodal clearance or insufficient observation. Progressive metastatic disease, NEC or an unapproved G3/nonportal expansion stops this proposed route. Do not translate a chemotherapy or PRRT response into automatic transplant eligibility.</w:t>
      </w:r>
    </w:p>
    <w:p>
      <w:pPr>
        <w:pStyle w:val="Heading2"/>
        <w:keepNext/>
        <w:widowControl/>
      </w:pPr>
      <w:r>
        <w:t xml:space="preserve">4 Allocation and donor selection</w:t>
      </w:r>
    </w:p>
    <w:p>
      <w:pPr>
        <w:pStyle w:val="Normal"/>
        <w:widowControl/>
        <w:numPr>
          <w:ilvl w:val="0"/>
          <w:numId w:val="3"/>
        </w:numPr>
      </w:pPr>
      <w:r>
        <w:t xml:space="preserve">The current NET route is nonstandard NLRB consideration, generally MMaT minus 3 for candidates meeting the described guidance. It is not automatic standardized priority. Submit the actual primary, histology, proliferation, resection and negative-staging record.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93">
        <w:r>
          <w:rPr>
            <w:color w:val="77230C"/>
            <w:sz w:val="20"/>
            <w:u w:val="single"/>
          </w:rPr>
          <w:t>Meeting record: ALLOC-B1</w:t>
        </w:r>
      </w:hyperlink>
      <w:r>
        <w:t xml:space="preserve">  |  </w:t>
      </w:r>
      <w:hyperlink r:id="rId9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zPC9SZWNOdW0+PERpc3BsYXlUZXh0PltWMTYtMjNdPC9EaXNwbGF5VGV4dD48cmVjb3JkPjxyZWMtbnVtYmVyPjIzPC9yZWMtbnVtYmVyPjxmb3JlaWduLWtleXM+PGtleSBhcHA9IkVOIiBkYi1pZD0iYjcyMjMwNzItMzFiNy01NDQwLWFjZDktNmRkYjNjMjM2YzlkIiB0aW1lc3RhbXA9IjE3OTMyODM2ODYiPjIz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I0PC9SZWNOdW0+PERpc3BsYXlUZXh0PltWMTYtMjRdPC9EaXNwbGF5VGV4dD48cmVjb3JkPjxyZWMtbnVtYmVyPjI0PC9yZWMtbnVtYmVyPjxmb3JlaWduLWtleXM+PGtleSBhcHA9IkVOIiBkYi1pZD0iYjcyMjMwNzItMzFiNy01NDQwLWFjZDktNmRkYjNjMjM2YzlkIiB0aW1lc3RhbXA9IjE3OTMyODM2ODYiPjI0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[V16-24]</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yNTwvUmVjTnVtPjxEaXNwbGF5VGV4dD5bVjE2LTI1XTwvRGlzcGxheVRleHQ+PHJlY29yZD48cmVjLW51bWJlcj4yNTwvcmVjLW51bWJlcj48Zm9yZWlnbi1rZXlzPjxrZXkgYXBwPSJFTiIgZGItaWQ9ImI3MjIzMDcyLTMxYjctNTQ0MC1hY2Q5LTZkZGIzYzIzNmM5ZCIgdGltZXN0YW1wPSIxNzkzMjgzNjg2Ij4y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fldChar w:fldCharType="begin"/>
      </w:r>
      <w:r>
        <w:instrText xml:space="preserve"> ADDIN EN.CITE </w:instrText>
      </w:r>
      <w:r>
        <w:fldChar w:fldCharType="begin">
          <w:fldData>PEVuZE5vdGU+PENpdGU+PEF1dGhvcj5BZGFtPC9BdXRob3I+PFllYXI+MjAyNDwvWWVhcj48UmVjTnVtPjI0PC9SZWNOdW0+PERpc3BsYXlUZXh0PltWMTYtMjRdPC9EaXNwbGF5VGV4dD48cmVjb3JkPjxyZWMtbnVtYmVyPjI0PC9yZWMtbnVtYmVyPjxmb3JlaWduLWtleXM+PGtleSBhcHA9IkVOIiBkYi1pZD0iYjcyMjMwNzItMzFiNy01NDQwLWFjZDktNmRkYjNjMjM2YzlkIiB0aW1lc3RhbXA9IjE3OTMyODM2ODYiPjI0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[V16-24]</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E8L1JlY051bT48RGlzcGxheVRleHQ+W1YxNi0yMV08L0Rpc3BsYXlUZXh0PjxyZWNvcmQ+PHJlYy1udW1iZXI+MjE8L3JlYy1udW1iZXI+PGZvcmVpZ24ta2V5cz48a2V5IGFwcD0iRU4iIGRiLWlkPSJiNzIyMzA3Mi0zMWI3LTU0NDAtYWNkOS02ZGRiM2MyMzZjOWQiIHRpbWVzdGFtcD0iMTc5MzI4MzY4NiI+MjE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zPC9SZWNOdW0+PERpc3BsYXlUZXh0PltWMTYtMjNdPC9EaXNwbGF5VGV4dD48cmVjb3JkPjxyZWMtbnVtYmVyPjIzPC9yZWMtbnVtYmVyPjxmb3JlaWduLWtleXM+PGtleSBhcHA9IkVOIiBkYi1pZD0iYjcyMjMwNzItMzFiNy01NDQwLWFjZDktNmRkYjNjMjM2YzlkIiB0aW1lc3RhbXA9IjE3OTMyODM2ODYiPjIz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yNTwvUmVjTnVtPjxEaXNwbGF5VGV4dD5bVjE2LTI1XTwvRGlzcGxheVRleHQ+PHJlY29yZD48cmVjLW51bWJlcj4yNTwvcmVjLW51bWJlcj48Zm9yZWlnbi1rZXlzPjxrZXkgYXBwPSJFTiIgZGItaWQ9ImI3MjIzMDcyLTMxYjctNTQ0MC1hY2Q5LTZkZGIzYzIzNmM5ZCIgdGltZXN0YW1wPSIxNzkzMjgzNjg2Ij4yN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95">
        <w:r>
          <w:rPr>
            <w:color w:val="77230C"/>
            <w:sz w:val="20"/>
            <w:u w:val="single"/>
          </w:rPr>
          <w:t>Meeting record: ALLOC-B2</w:t>
        </w:r>
      </w:hyperlink>
      <w:r>
        <w:t xml:space="preserve">  |  </w:t>
      </w:r>
      <w:hyperlink r:id="rId96">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Ni0yNl08L0Rpc3BsYXlUZXh0PjxyZWNvcmQ+PHJlYy1udW1iZXI+MjY8L3JlYy1udW1iZXI+PGZvcmVpZ24ta2V5cz48a2V5IGFwcD0iRU4iIGRiLWlkPSJiNzIyMzA3Mi0zMWI3LTU0NDAtYWNkOS02ZGRiM2MyMzZjOWQiIHRpbWVzdGFtcD0iMTc5MzI4MzY4Ni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Ni0yN108L0Rpc3BsYXlUZXh0PjxyZWNvcmQ+PHJlYy1udW1iZXI+Mjc8L3JlYy1udW1iZXI+PGZvcmVpZ24ta2V5cz48a2V5IGFwcD0iRU4iIGRiLWlkPSJiNzIyMzA3Mi0zMWI3LTU0NDAtYWNkOS02ZGRiM2MyMzZjOWQiIHRpbWVzdGFtcD0iMTc5MzI4MzY4Ni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YtMjhdPC9EaXNwbGF5VGV4dD48cmVjb3JkPjxyZWMtbnVtYmVyPjI4PC9yZWMtbnVtYmVyPjxmb3JlaWduLWtleXM+PGtleSBhcHA9IkVOIiBkYi1pZD0iYjcyMjMwNzItMzFiNy01NDQwLWFjZDktNmRkYjNjMjM2YzlkIiB0aW1lc3RhbXA9IjE3OTMyODM2ODY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iNzIyMzA3Mi0zMWI3LTU0NDAtYWNkOS02ZGRiM2MyMzZjOW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Ni0yNl08L0Rpc3BsYXlUZXh0PjxyZWNvcmQ+PHJlYy1udW1iZXI+MjY8L3JlYy1udW1iZXI+PGZvcmVpZ24ta2V5cz48a2V5IGFwcD0iRU4iIGRiLWlkPSJiNzIyMzA3Mi0zMWI3LTU0NDAtYWNkOS02ZGRiM2MyMzZjOWQiIHRpbWVzdGFtcD0iMTc5MzI4MzY4Ni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Ni0yN108L0Rpc3BsYXlUZXh0PjxyZWNvcmQ+PHJlYy1udW1iZXI+Mjc8L3JlYy1udW1iZXI+PGZvcmVpZ24ta2V5cz48a2V5IGFwcD0iRU4iIGRiLWlkPSJiNzIyMzA3Mi0zMWI3LTU0NDAtYWNkOS02ZGRiM2MyMzZjOWQiIHRpbWVzdGFtcD0iMTc5MzI4MzY4Ni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YtMjhdPC9EaXNwbGF5VGV4dD48cmVjb3JkPjxyZWMtbnVtYmVyPjI4PC9yZWMtbnVtYmVyPjxmb3JlaWduLWtleXM+PGtleSBhcHA9IkVOIiBkYi1pZD0iYjcyMjMwNzItMzFiNy01NDQwLWFjZDktNmRkYjNjMjM2YzlkIiB0aW1lc3RhbXA9IjE3OTMyODM2ODY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97">
        <w:r>
          <w:rPr>
            <w:color w:val="77230C"/>
            <w:sz w:val="20"/>
            <w:u w:val="single"/>
          </w:rPr>
          <w:t>Meeting record: ALLOC-B3</w:t>
        </w:r>
      </w:hyperlink>
      <w:r>
        <w:t xml:space="preserve">  |  </w:t>
      </w:r>
      <w:hyperlink r:id="rId9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Do not use an abstract-only mixed-malignancy LDLT survival figure to counsel a NET candidate or justify a donor. Counseling must name the relevant NET population, modern alternatives and uncertainty about incremental benefit.</w:t>
      </w:r>
      <w:r>
        <w:t xml:space="preserve"> </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5 Operative evaluation and surgery</w:t>
      </w:r>
    </w:p>
    <w:p>
      <w:pPr>
        <w:pStyle w:val="Normal"/>
        <w:widowControl/>
        <w:numPr>
          <w:ilvl w:val="0"/>
          <w:numId w:val="3"/>
        </w:numPr>
      </w:pPr>
      <w:r>
        <w:t xml:space="preserve">Plan LT only after final staging and all approvals. Inspect and sample suspicious extrahepatic or hilar nodal findings; malignant extrahepatic disease prevents proceeding under the liver-only pathway. NLRB guidance does not require exploratory laparoscopy/laparotomy solely before an exception request.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iNzIyMzA3Mi0zMWI3LTU0NDAtYWNkOS02ZGRiM2MyMzZjOW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Define any further nodal sampling by actual findings and the approved surgical plan, not an automatic extended lymphadenectomy. Record explant grade, Ki-67, burden and treatment response.</w:t>
      </w:r>
    </w:p>
    <w:p>
      <w:pPr>
        <w:pStyle w:val="Normal"/>
        <w:widowControl/>
        <w:numPr>
          <w:ilvl w:val="0"/>
          <w:numId w:val="3"/>
        </w:numPr>
      </w:pPr>
      <w:r>
        <w:t xml:space="preserve">Multivisceral transplantation for mesenteric disease is outside this protocol and requires separate intestinal-transplant, evidence, donor and allocation review.</w:t>
      </w:r>
    </w:p>
    <w:p>
      <w:pPr>
        <w:pStyle w:val="Heading2"/>
        <w:keepNext/>
        <w:widowControl/>
      </w:pPr>
      <w:r>
        <w:t xml:space="preserve">6 Immunosuppression and graft care</w:t>
      </w:r>
    </w:p>
    <w:p>
      <w:pPr>
        <w:pStyle w:val="Normal"/>
        <w:widowControl/>
        <w:numPr>
          <w:ilvl w:val="0"/>
          <w:numId w:val="3"/>
        </w:numPr>
      </w:pPr>
      <w:r>
        <w:t xml:space="preserve">Follow institutional induction, corticosteroid and maintenance protocols. No NET-specific regimen has proven recurrence benefit. Consider mTOR modification only after appropriate healing/vascular assessment and pharmacy review; individualize calcineurin exposure to graft, renal, infection and oncologic risks.</w:t>
      </w:r>
      <w:r>
        <w:t xml:space="preserve"> </w:t>
      </w:r>
      <w:r>
        <w:t xml:space="preserve"> </w:t>
      </w:r>
      <w:r>
        <w:fldChar w:fldCharType="begin"/>
      </w:r>
      <w:r>
        <w:instrText xml:space="preserve"> ADDIN EN.CITE </w:instrText>
      </w:r>
      <w:r>
        <w:fldChar w:fldCharType="begin">
          <w:fldData>PEVuZE5vdGU+PENpdGU+PEF1dGhvcj5Eb3ZlPC9BdXRob3I+PFllYXI+MjAyNjwvWWVhcj48UmVjTnVtPjE1PC9SZWNOdW0+PERpc3BsYXlUZXh0PltWMTYtMTVdPC9EaXNwbGF5VGV4dD48cmVjb3JkPjxyZWMtbnVtYmVyPjE1PC9yZWMtbnVtYmVyPjxmb3JlaWduLWtleXM+PGtleSBhcHA9IkVOIiBkYi1pZD0iYjcyMjMwNzItMzFiNy01NDQwLWFjZDktNmRkYjNjMjM2YzlkIiB0aW1lc3RhbXA9IjE3OTMyODM2ODYiPjE1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Review all anticancer, hormonal and immunosuppressive drug interactions. Document graft monitoring and for-cause investigation of abnormal liver tests; do not prescribe an unvalidated routine biopsy schedule.</w:t>
      </w:r>
    </w:p>
    <w:p>
      <w:pPr>
        <w:pStyle w:val="Heading2"/>
        <w:keepNext/>
        <w:widowControl/>
      </w:pPr>
      <w:r>
        <w:t xml:space="preserve">7 Surveillance</w:t>
      </w:r>
    </w:p>
    <w:p>
      <w:pPr>
        <w:pStyle w:val="Normal"/>
        <w:widowControl/>
        <w:numPr>
          <w:ilvl w:val="0"/>
          <w:numId w:val="3"/>
        </w:numPr>
      </w:pPr>
      <w:r>
        <w:t xml:space="preserve">Proposed local schedule for approval: chest/abdomen/pelvis cross-sectional imaging every 3–6 months for two years, every 6–12 months through year five, then individualized long-term assessment. NET recurrence can be late; the decision to reduce imaging should consider grade, prior tempo and treatment opportunities.</w:t>
      </w:r>
    </w:p>
    <w:p>
      <w:pPr>
        <w:pStyle w:val="Normal"/>
        <w:widowControl/>
        <w:numPr>
          <w:ilvl w:val="0"/>
          <w:numId w:val="3"/>
        </w:numPr>
      </w:pPr>
      <w:r>
        <w:t xml:space="preserve">Use syndrome-specific markers and SSTR/FDG imaging when indicated. A nonspecific biomarker elevation alone does not diagnose recurrence; interpret renal function, medication effects and clinical context.</w:t>
      </w:r>
    </w:p>
    <w:p>
      <w:pPr>
        <w:pStyle w:val="Heading2"/>
        <w:keepNext/>
        <w:widowControl/>
      </w:pPr>
      <w:r>
        <w:t xml:space="preserve">8 Recurrence management</w:t>
      </w:r>
    </w:p>
    <w:p>
      <w:pPr>
        <w:pStyle w:val="Normal"/>
        <w:widowControl/>
        <w:numPr>
          <w:ilvl w:val="0"/>
          <w:numId w:val="3"/>
        </w:numPr>
      </w:pPr>
      <w:r>
        <w:t xml:space="preserve">Confirm and restage recurrence, with tissue when needed to assess grade change. The NET/transplant MDT may consider local therapy, SSA, PRRT or systemic treatment according to extent, grade, receptor status, graft function and patient priorities.</w:t>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Post-LT PRRT reports are small selected case series, not proof of a universal safe or effective salvage strategy. Review marrow, renal and graft safety explicitly.</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YjcyMjMwNzItMzFiNy01NDQwLWFjZDktNmRkYjNjMjM2Yzlk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9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yOTwvUmVjTnVtPjxEaXNwbGF5VGV4dD5bVjE2LTI5XTwvRGlzcGxheVRleHQ+PHJlY29yZD48cmVjLW51bWJlcj4yOTwvcmVjLW51bWJlcj48Zm9yZWlnbi1rZXlzPjxrZXkgYXBwPSJFTiIgZGItaWQ9ImI3MjIzMDcyLTMxYjctNTQ0MC1hY2Q5LTZkZGIzYzIzNmM5ZCIgdGltZXN0YW1wPSIxNzkzMjgzNjg2Ij4yOT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[V16-29]</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wPC9SZWNOdW0+PERpc3BsYXlUZXh0PltWMTYtMzBdPC9EaXNwbGF5VGV4dD48cmVjb3JkPjxyZWMtbnVtYmVyPjMwPC9yZWMtbnVtYmVyPjxmb3JlaWduLWtleXM+PGtleSBhcHA9IkVOIiBkYi1pZD0iYjcyMjMwNzItMzFiNy01NDQwLWFjZDktNmRkYjNjMjM2YzlkIiB0aW1lc3RhbXA9IjE3OTMyODM2ODYiPjMw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MTwvUmVjTnVtPjxEaXNwbGF5VGV4dD5bVjE2LTMxXTwvRGlzcGxheVRleHQ+PHJlY29yZD48cmVjLW51bWJlcj4zMTwvcmVjLW51bWJlcj48Zm9yZWlnbi1rZXlzPjxrZXkgYXBwPSJFTiIgZGItaWQ9ImI3MjIzMDcyLTMxYjctNTQ0MC1hY2Q5LTZkZGIzYzIzNmM5ZCIgdGltZXN0YW1wPSIxNzkzMjgzNjg2Ij4zM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fldChar w:fldCharType="begin"/>
      </w:r>
      <w:r>
        <w:instrText xml:space="preserve"> ADDIN EN.CITE </w:instrText>
      </w:r>
      <w:r>
        <w:fldChar w:fldCharType="begin">
          <w:fldData>PEVuZE5vdGU+PENpdGU+PEF1dGhvcj5MbG92ZXQ8L0F1dGhvcj48WWVhcj4yMDI2PC9ZZWFyPjxSZWNOdW0+MjI8L1JlY051bT48RGlzcGxheVRleHQ+W1YxNi0yMl08L0Rpc3BsYXlUZXh0PjxyZWNvcmQ+PHJlYy1udW1iZXI+MjI8L3JlYy1udW1iZXI+PGZvcmVpZ24ta2V5cz48a2V5IGFwcD0iRU4iIGRiLWlkPSJiNzIyMzA3Mi0zMWI3LTU0NDAtYWNkOS02ZGRiM2MyMzZjOWQiIHRpbWVzdGFtcD0iMTc5MzI4MzY4NiI+MjI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yOTwvUmVjTnVtPjxEaXNwbGF5VGV4dD5bVjE2LTI5XTwvRGlzcGxheVRleHQ+PHJlY29yZD48cmVjLW51bWJlcj4yOTwvcmVjLW51bWJlcj48Zm9yZWlnbi1rZXlzPjxrZXkgYXBwPSJFTiIgZGItaWQ9ImI3MjIzMDcyLTMxYjctNTQ0MC1hY2Q5LTZkZGIzYzIzNmM5ZCIgdGltZXN0YW1wPSIxNzkzMjgzNjg2Ij4yOT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[V16-29]</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A8L1JlY051bT48RGlzcGxheVRleHQ+W1YxNi0yMF08L0Rpc3BsYXlUZXh0PjxyZWNvcmQ+PHJlYy1udW1iZXI+MjA8L3JlYy1udW1iZXI+PGZvcmVpZ24ta2V5cz48a2V5IGFwcD0iRU4iIGRiLWlkPSJiNzIyMzA3Mi0zMWI3LTU0NDAtYWNkOS02ZGRiM2MyMzZjOWQiIHRpbWVzdGFtcD0iMTc5MzI4MzY4NiI+MjA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xOTwvUmVjTnVtPjxEaXNwbGF5VGV4dD5bVjE2LTE5XTwvRGlzcGxheVRleHQ+PHJlY29yZD48cmVjLW51bWJlcj4xOTwvcmVjLW51bWJlcj48Zm9yZWlnbi1rZXlzPjxrZXkgYXBwPSJFTiIgZGItaWQ9ImI3MjIzMDcyLTMxYjctNTQ0MC1hY2Q5LTZkZGIzYzIzNmM5ZCIgdGltZXN0YW1wPSIxNzkzMjgzNjg2Ij4xO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wPC9SZWNOdW0+PERpc3BsYXlUZXh0PltWMTYtMzBdPC9EaXNwbGF5VGV4dD48cmVjb3JkPjxyZWMtbnVtYmVyPjMwPC9yZWMtbnVtYmVyPjxmb3JlaWduLWtleXM+PGtleSBhcHA9IkVOIiBkYi1pZD0iYjcyMjMwNzItMzFiNy01NDQwLWFjZDktNmRkYjNjMjM2YzlkIiB0aW1lc3RhbXA9IjE3OTMyODM2ODYiPjMw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MTwvUmVjTnVtPjxEaXNwbGF5VGV4dD5bVjE2LTMxXTwvRGlzcGxheVRleHQ+PHJlY29yZD48cmVjLW51bWJlcj4zMTwvcmVjLW51bWJlcj48Zm9yZWlnbi1rZXlzPjxrZXkgYXBwPSJFTiIgZGItaWQ9ImI3MjIzMDcyLTMxYjctNTQ0MC1hY2Q5LTZkZGIzYzIzNmM5ZCIgdGltZXN0YW1wPSIxNzkzMjgzNjg2Ij4zM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9">
        <w:r>
          <w:rPr>
            <w:color w:val="77230C"/>
            <w:sz w:val="20"/>
            <w:u w:val="single"/>
          </w:rPr>
          <w:t>Meeting record: ALLOC-B4</w:t>
        </w:r>
      </w:hyperlink>
      <w:r>
        <w:t xml:space="preserve">  |  </w:t>
      </w:r>
      <w:hyperlink r:id="rId10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Resolve NET-B1–B3 and ALLOC-B1–B4 before changing the eligible population. Include long-term symptom control, quality of life, donor recovery and graft/retransplant use in addition to recipient survival.</w:t>
      </w:r>
    </w:p>
    <w:p>
      <w:pPr>
        <w:pStyle w:val="Normal"/>
        <w:widowControl/>
      </w:pPr>
      <w:r>
        <w:t xml:space="preserve">Evidence review record: </w:t>
      </w:r>
      <w:hyperlink r:id="rId101">
        <w:r>
          <w:rPr>
            <w:color w:val="77230C"/>
            <w:sz w:val="20"/>
            <w:u w:val="single"/>
          </w:rPr>
          <w:t>Five analyst comments and reconciliation</w:t>
        </w:r>
      </w:hyperlink>
      <w:r>
        <w:t xml:space="preserve">  |  </w:t>
      </w:r>
      <w:hyperlink r:id="rId102">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NET_B4"/>
      <w:r>
        <w:t xml:space="preserve">NET-B4 — Previously treated extrahepatic disease</w:t>
      </w:r>
      <w:bookmarkEnd w:id="16010"/>
    </w:p>
    <w:p>
      <w:pPr>
        <w:pStyle w:val="Normal"/>
        <w:widowControl/>
        <w:spacing w:after="120"/>
      </w:pPr>
      <w:r>
        <w:t xml:space="preserve">Status: Resected regional nodes only, after clearance. OPEN proposal for multidisciplinary review; not activated.</w:t>
      </w:r>
    </w:p>
    <w:p>
      <w:pPr>
        <w:pStyle w:val="Normal"/>
        <w:widowControl/>
        <w:spacing w:after="120"/>
      </w:pPr>
      <w:r>
        <w:t xml:space="preserve">Question: Which previously treated extrahepatic NET sites may enter the transplant route: resected regional nodes only, or also distant nodes and a solitary treated bone lesion as ENETS 2026 suggests?</w:t>
      </w:r>
    </w:p>
    <w:p>
      <w:pPr>
        <w:pStyle w:val="Normal"/>
        <w:widowControl/>
        <w:spacing w:after="120"/>
      </w:pPr>
      <w:r>
        <w:t xml:space="preserve">Proposed position (OPEN): Previously resected regional nodal disease is already within Milan-NET when the primary and all extrahepatic deposits were removed in a separate curative operation and restaging at least 6 months later shows no disease. Previously resected distant nodes need individual review. Previous lung, bone or other solid-organ metastasis stays closed, including after complete treatment; ENETS 2026 would accept a solitary locally treated bone lesion as expert opinion, recorded as a disagreement.</w:t>
      </w:r>
    </w:p>
    <w:p>
      <w:pPr>
        <w:pStyle w:val="Heading3"/>
        <w:widowControl/>
        <w:keepNext/>
      </w:pPr>
      <w:r>
        <w:t xml:space="preserve">Proposed rules</w:t>
      </w:r>
    </w:p>
    <w:p>
      <w:pPr>
        <w:pStyle w:val="Normal"/>
        <w:widowControl/>
        <w:spacing w:after="120"/>
        <w:numPr>
          <w:ilvl w:val="0"/>
          <w:numId w:val="4"/>
        </w:numPr>
      </w:pPr>
      <w:r>
        <w:t xml:space="preserve">Regional (mesenteric, peripancreatic) nodes resected with the primary in a separate operation: eligible after ≥6 months without recurrence and negative SSTR-PET with CT/MRI within 3 months of transplant consideration.</w:t>
      </w:r>
    </w:p>
    <w:p>
      <w:pPr>
        <w:pStyle w:val="Normal"/>
        <w:widowControl/>
        <w:spacing w:after="120"/>
        <w:numPr>
          <w:ilvl w:val="0"/>
          <w:numId w:val="4"/>
        </w:numPr>
      </w:pPr>
      <w:r>
        <w:t xml:space="preserve">Distant nodes previously resected, or nodal disease cleared only by PRRT, ablation or radiotherapy: individual review only, with SSTR-PET-negative status for ≥6 months.</w:t>
      </w:r>
    </w:p>
    <w:p>
      <w:pPr>
        <w:pStyle w:val="Normal"/>
        <w:widowControl/>
        <w:spacing w:after="120"/>
        <w:numPr>
          <w:ilvl w:val="0"/>
          <w:numId w:val="4"/>
        </w:numPr>
      </w:pPr>
      <w:r>
        <w:t xml:space="preserve">Lung, bone (including a solitary treated lesion), peritoneal or other organ metastasis: closed. Spinal or brain metastases and unresectable mesenteric root disease: closed in every framework.</w:t>
      </w:r>
    </w:p>
    <w:p>
      <w:pPr>
        <w:pStyle w:val="Normal"/>
        <w:widowControl/>
        <w:spacing w:after="120"/>
        <w:numPr>
          <w:ilvl w:val="0"/>
          <w:numId w:val="4"/>
        </w:numPr>
      </w:pPr>
      <w:r>
        <w:t xml:space="preserve">Stage the primary and any major organ resection before transplantation, not at it. Plan hilar lymphadenectomy; counsel that nodal involvement on final pathology is associated with worse survival.</w:t>
      </w:r>
    </w:p>
    <w:p>
      <w:pPr>
        <w:pStyle w:val="Normal"/>
        <w:widowControl/>
        <w:spacing w:after="120"/>
      </w:pPr>
      <w:r>
        <w:t xml:space="preserve">Why: Milan-NET itself requires all extrahepatic deposits removed before transplant consideration, and 81% of the Milan recipients had resected node-positive primaries. No series in this evidence set reports outcomes after previously treated distant disease; the registry series did not record pre-transplant extrahepatic status. Bone metastases are independently adverse and rarely cleared.</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Mazzaferro 2016 · Milan-NET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prospective cohort, 88 eligible (42 transplanted). Milan-NET: primary removed “with all extrahepatic deposits in a separate curative resection prior to transplant consideration”; restaging 6 months after removal.</w:t>
            </w:r>
          </w:p>
        </w:tc>
        <w:tc>
          <w:tcPr>
            <w:tcW w:w="3743" w:type="dxa"/>
            <w:vAlign w:val="top"/>
            <w:shd w:fill="F1F5F8"/>
          </w:tcPr>
          <w:p>
            <w:pPr>
              <w:pStyle w:val="Normal"/>
              <w:widowControl/>
              <w:spacing w:after="55" w:line="240" w:lineRule="auto"/>
              <w:keepNext w:val="0"/>
              <w:keepLines/>
            </w:pPr>
            <w:r>
              <w:rPr>
                <w:sz w:val="21"/>
                <w:szCs w:val="21"/>
              </w:rPr>
              <w:t xml:space="preserve">Results: 81% of recipients had node-positive primaries and 57% hilar node-positive; 5- and 10-year survival 97.2% and 88.8%.</w:t>
            </w:r>
          </w:p>
          <w:p>
            <w:pPr>
              <w:pStyle w:val="Normal"/>
              <w:widowControl/>
              <w:spacing w:after="55" w:line="240" w:lineRule="auto"/>
              <w:keepNext w:val="0"/>
              <w:keepLines/>
            </w:pPr>
            <w:r>
              <w:rPr>
                <w:sz w:val="21"/>
                <w:szCs w:val="21"/>
              </w:rPr>
              <w:t xml:space="preserve">Limits: Non-randomized; no outcome split by nodal status.</w:t>
            </w:r>
          </w:p>
          <w:p>
            <w:pPr>
              <w:pStyle w:val="Normal"/>
              <w:widowControl/>
              <w:spacing w:after="55" w:line="240" w:lineRule="auto"/>
              <w:keepNext w:val="0"/>
              <w:keepLines/>
            </w:pPr>
            <w:r>
              <w:rPr>
                <w:sz w:val="21"/>
                <w:szCs w:val="21"/>
              </w:rPr>
              <w:t xml:space="preserve">Am J Transplant 2016;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TY8L3llYXI+PC9kYXRlcz48dm9sdW1lPjE2PC92b2x1bWU+PG51bWJlcj4xMDwvbnVtYmVyPjxwYWdlcz4yODkyLTI5MDI8L3BhZ2VzPjxlbGVjdHJvbmljLXJlc291cmNlLW51bT4xMC4xMTExL2FqdC4xMzgzMTwvZWxlY3Ryb25pYy1yZXNvdXJjZS1udW0+PG5vdGVzPk5vbnJhbmRvbWl6ZWQgY29tcGFyYXRpdmUgY29ob3J0IEZ1bGwgdGV4dCByZWFkIGZvciB0aGUgVjE2IGV4dHJhaGVwYXRpYy1kaXNlYXNlIHJldmlldyAoY29tcGxldGUgbWFpbiB0ZXh0OyByZWxldmFudCBjb21wbGV0ZSBzZWN0aW9ucyBmb3IgbG9uZyBndWlkZWxpbmVzKS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163">
              <w:r>
                <w:rPr>
                  <w:color w:val="0563C1"/>
                  <w:u w:val="single"/>
                </w:rPr>
                <w:t>Source</w:t>
              </w:r>
            </w:hyperlink>
            <w:r>
              <w:t xml:space="preserve"> · </w:t>
            </w:r>
            <w:hyperlink r:id="rId16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Maspero 2022 · LT vs resection, Milan</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Milan, 48 transplants vs 56 resections. Exclusion of extrahepatic disease; hilar lymphadenectomy at transplant.</w:t>
            </w:r>
          </w:p>
        </w:tc>
        <w:tc>
          <w:tcPr>
            <w:tcW w:w="3743" w:type="dxa"/>
            <w:vAlign w:val="top"/>
            <w:shd w:fill="FFFFFF"/>
          </w:tcPr>
          <w:p>
            <w:pPr>
              <w:pStyle w:val="Normal"/>
              <w:widowControl/>
              <w:spacing w:after="55" w:line="240" w:lineRule="auto"/>
              <w:keepNext w:val="0"/>
              <w:keepLines/>
            </w:pPr>
            <w:r>
              <w:rPr>
                <w:sz w:val="21"/>
                <w:szCs w:val="21"/>
              </w:rPr>
              <w:t xml:space="preserve">Results: Nodal involvement on final pathology: survival HR 5.7 (1.3–24), univariate; after transplantation, first recurrences most often involved distant nodes (16 of 25, 64%) and bone (9 of 25, 36%).</w:t>
            </w:r>
          </w:p>
          <w:p>
            <w:pPr>
              <w:pStyle w:val="Normal"/>
              <w:widowControl/>
              <w:spacing w:after="55" w:line="240" w:lineRule="auto"/>
              <w:keepNext w:val="0"/>
              <w:keepLines/>
            </w:pPr>
            <w:r>
              <w:rPr>
                <w:sz w:val="21"/>
                <w:szCs w:val="21"/>
              </w:rPr>
              <w:t xml:space="preserve">Limits: Univariate only.</w:t>
            </w:r>
          </w:p>
          <w:p>
            <w:pPr>
              <w:pStyle w:val="Normal"/>
              <w:widowControl/>
              <w:spacing w:after="55" w:line="240" w:lineRule="auto"/>
              <w:keepNext w:val="0"/>
              <w:keepLines/>
            </w:pPr>
            <w:r>
              <w:rPr>
                <w:sz w:val="21"/>
                <w:szCs w:val="21"/>
              </w:rPr>
              <w:t xml:space="preserve">Am J Transplant 2022;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MjwvWWVhcj48UmVjTnVtPjc8L1JlY051bT48RGlzcGxheVRleHQ+W1YxNi03XTwvRGlzcGxheVRleHQ+PHJlY29yZD48cmVjLW51bWJlcj43PC9yZWMtbnVtYmVyPjxmb3JlaWduLWtleXM+PGtleSBhcHA9IkVOIiBkYi1pZD0iYjcyMjMwNzItMzFiNy01NDQwLWFjZDktNmRkYjNjMjM2YzlkIiB0aW1lc3RhbXA9IjE3OTMyODM2ODYiPjc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165">
              <w:r>
                <w:rPr>
                  <w:color w:val="0563C1"/>
                  <w:u w:val="single"/>
                </w:rPr>
                <w:t>Source</w:t>
              </w:r>
            </w:hyperlink>
            <w:r>
              <w:t xml:space="preserve"> · </w:t>
            </w:r>
            <w:hyperlink r:id="rId16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ENETS 2026 position statement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ENETS 2026 position statement. Replace “no extrahepatic disease” with “no macroscopic, non-targetable” disease; examples: isolated resectable nodes or a solitary bone lesion amenable to local treatment.</w:t>
            </w:r>
          </w:p>
        </w:tc>
        <w:tc>
          <w:tcPr>
            <w:tcW w:w="3743" w:type="dxa"/>
            <w:vAlign w:val="top"/>
            <w:shd w:fill="F1F5F8"/>
          </w:tcPr>
          <w:p>
            <w:pPr>
              <w:pStyle w:val="Normal"/>
              <w:widowControl/>
              <w:spacing w:after="55" w:line="240" w:lineRule="auto"/>
              <w:keepNext w:val="0"/>
              <w:keepLines/>
            </w:pPr>
            <w:r>
              <w:rPr>
                <w:sz w:val="21"/>
                <w:szCs w:val="21"/>
              </w:rPr>
              <w:t xml:space="preserve">Results: Excludes unresectable mesenteric nodes, spinal and brain metastases; sets no interval after extrahepatic treatment.</w:t>
            </w:r>
          </w:p>
          <w:p>
            <w:pPr>
              <w:pStyle w:val="Normal"/>
              <w:widowControl/>
              <w:spacing w:after="55" w:line="240" w:lineRule="auto"/>
              <w:keepNext w:val="0"/>
              <w:keepLines/>
            </w:pPr>
            <w:r>
              <w:rPr>
                <w:sz w:val="21"/>
                <w:szCs w:val="21"/>
              </w:rPr>
              <w:t xml:space="preserve">Limits: Expert opinion; not outcome-validated.</w:t>
            </w:r>
          </w:p>
          <w:p>
            <w:pPr>
              <w:pStyle w:val="Normal"/>
              <w:widowControl/>
              <w:spacing w:after="55" w:line="240" w:lineRule="auto"/>
              <w:keepNext w:val="0"/>
              <w:keepLines/>
            </w:pPr>
            <w:r>
              <w:rPr>
                <w:sz w:val="21"/>
                <w:szCs w:val="21"/>
              </w:rPr>
              <w:t xml:space="preserve">J Neuroendocrinol 2026; Sections 4 and 7.</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CYjMjI5O2xiZXJnPC9BdXRob3I+PFllYXI+MjAyNjwvWWVhcj48UmVjTnVtPjQ8L1JlY051bT48RGlzcGxheVRleHQ+W1YxNi00XTwvRGlzcGxheVRleHQ+PHJlY29yZD48cmVjLW51bWJlcj40PC9yZWMtbnVtYmVyPjxmb3JlaWduLWtleXM+PGtleSBhcHA9IkVOIiBkYi1pZD0iYjcyMjMwNzItMzFiNy01NDQwLWFjZDktNmRkYjNjMjM2YzlkIiB0aW1lc3RhbXA9IjE3OTMyODM2ODYiPjQ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br/>
            </w:r>
            <w:hyperlink r:id="rId167">
              <w:r>
                <w:rPr>
                  <w:color w:val="0563C1"/>
                  <w:u w:val="single"/>
                </w:rPr>
                <w:t>Source</w:t>
              </w:r>
            </w:hyperlink>
            <w:r>
              <w:t xml:space="preserve"> · </w:t>
            </w:r>
            <w:hyperlink r:id="rId168">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Wedin 2025 · bone metastases in SI-NET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Two Swedish centres, 138 with bone metastases. Bone metastases on SSTR-PET; rarely biopsied; never curatively treated.</w:t>
            </w:r>
          </w:p>
        </w:tc>
        <w:tc>
          <w:tcPr>
            <w:tcW w:w="3743" w:type="dxa"/>
            <w:vAlign w:val="top"/>
            <w:shd w:fill="FFFFFF"/>
          </w:tcPr>
          <w:p>
            <w:pPr>
              <w:pStyle w:val="Normal"/>
              <w:widowControl/>
              <w:spacing w:after="55" w:line="240" w:lineRule="auto"/>
              <w:keepNext w:val="0"/>
              <w:keepLines/>
            </w:pPr>
            <w:r>
              <w:rPr>
                <w:sz w:val="21"/>
                <w:szCs w:val="21"/>
              </w:rPr>
              <w:t xml:space="preserve">Results: Any bone metastasis HR 1.94; 21% with ≤5 lesions progressed to &gt;5.</w:t>
            </w:r>
          </w:p>
          <w:p>
            <w:pPr>
              <w:pStyle w:val="Normal"/>
              <w:widowControl/>
              <w:spacing w:after="55" w:line="240" w:lineRule="auto"/>
              <w:keepNext w:val="0"/>
              <w:keepLines/>
            </w:pPr>
            <w:r>
              <w:rPr>
                <w:sz w:val="21"/>
                <w:szCs w:val="21"/>
              </w:rPr>
              <w:t xml:space="preserve">Limits: Small-intestine NET only.</w:t>
            </w:r>
          </w:p>
          <w:p>
            <w:pPr>
              <w:pStyle w:val="Normal"/>
              <w:widowControl/>
              <w:spacing w:after="55" w:line="240" w:lineRule="auto"/>
              <w:keepNext w:val="0"/>
              <w:keepLines/>
            </w:pPr>
            <w:r>
              <w:rPr>
                <w:sz w:val="21"/>
                <w:szCs w:val="21"/>
              </w:rPr>
              <w:t xml:space="preserve">J Neuroendocrinol 2025; Results, Table 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m5lLjcwMDczPC91cmw+PC9yZWxhdGVkLXVybHM+PC91cmxzPjwvcmVjb3JkPjwvQ2l0ZT48L0VuZE5vdGU+</w:fldData>
              </w:fldChar>
            </w:r>
            <w:r>
              <w:instrText xml:space="preserve"> ADDIN EN.CITE.DATA </w:instrText>
            </w:r>
            <w:r>
              <w:fldChar w:fldCharType="end"/>
            </w:r>
            <w:r>
              <w:fldChar w:fldCharType="separate"/>
            </w:r>
            <w:r>
              <w:t xml:space="preserve">[V16-32]</w:t>
            </w:r>
            <w:r>
              <w:fldChar w:fldCharType="end"/>
            </w:r>
            <w:r>
              <w:br/>
            </w:r>
            <w:hyperlink r:id="rId169">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Le Treut 2013 · ELTR 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European registry, 213 transplants. Concurrent surgery at transplant (84 patients) included extended lymphadenectomy (38), primary resection (29), organ resections and peritonectomy.</w:t>
            </w:r>
          </w:p>
        </w:tc>
        <w:tc>
          <w:tcPr>
            <w:tcW w:w="3743" w:type="dxa"/>
            <w:vAlign w:val="top"/>
            <w:shd w:fill="F1F5F8"/>
          </w:tcPr>
          <w:p>
            <w:pPr>
              <w:pStyle w:val="Normal"/>
              <w:widowControl/>
              <w:spacing w:after="55" w:line="240" w:lineRule="auto"/>
              <w:keepNext w:val="0"/>
              <w:keepLines/>
            </w:pPr>
            <w:r>
              <w:rPr>
                <w:sz w:val="21"/>
                <w:szCs w:val="21"/>
              </w:rPr>
              <w:t xml:space="preserve">Results: Major concurrent resection HR 3.1 (all eras); after 2000, any concurrent resection HR 1.9 (p=0.058).</w:t>
            </w:r>
          </w:p>
          <w:p>
            <w:pPr>
              <w:pStyle w:val="Normal"/>
              <w:widowControl/>
              <w:spacing w:after="55" w:line="240" w:lineRule="auto"/>
              <w:keepNext w:val="0"/>
              <w:keepLines/>
            </w:pPr>
            <w:r>
              <w:rPr>
                <w:sz w:val="21"/>
                <w:szCs w:val="21"/>
              </w:rPr>
              <w:t xml:space="preserve">Limits: Pre-transplant extrahepatic status not recorded.</w:t>
            </w:r>
          </w:p>
          <w:p>
            <w:pPr>
              <w:pStyle w:val="Normal"/>
              <w:widowControl/>
              <w:spacing w:after="55" w:line="240" w:lineRule="auto"/>
              <w:keepNext w:val="0"/>
              <w:keepLines/>
            </w:pPr>
            <w:r>
              <w:rPr>
                <w:sz w:val="21"/>
                <w:szCs w:val="21"/>
              </w:rPr>
              <w:t xml:space="preserve">Ann Surg 2013; Tables 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SBUcmV1dDwvQXV0aG9yPjxZZWFyPjIwMTM8L1llYXI+PFJlY051bT4xNjwvUmVjTnVtPjxEaXNwbGF5VGV4dD5bVjE2LTE2XTwvRGlzcGxheVRleHQ+PHJlY29yZD48cmVjLW51bWJlcj4xNjwvcmVjLW51bWJlcj48Zm9yZWlnbi1rZXlzPjxrZXkgYXBwPSJFTiIgZGItaWQ9ImI3MjIzMDcyLTMxYjctNTQ0MC1hY2Q5LTZkZGIzYzIzNmM5ZCIgdGltZXN0YW1wPSIxNzkzMjgzNjg2Ij4xNj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br/>
            </w:r>
            <w:hyperlink r:id="rId170">
              <w:r>
                <w:rPr>
                  <w:color w:val="0563C1"/>
                  <w:u w:val="single"/>
                </w:rPr>
                <w:t>Source</w:t>
              </w:r>
            </w:hyperlink>
            <w:r>
              <w:t xml:space="preserve"> · </w:t>
            </w:r>
            <w:hyperlink r:id="rId171">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Sher 2015 · US multicentre NET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28 centres (mostly US, also Canadian and European), 85 transplants. “Extent of resection” = concurrent primary or multivisceral surgery, not metastasis clearance.</w:t>
            </w:r>
          </w:p>
        </w:tc>
        <w:tc>
          <w:tcPr>
            <w:tcW w:w="3743" w:type="dxa"/>
            <w:vAlign w:val="top"/>
            <w:shd w:fill="FFFFFF"/>
          </w:tcPr>
          <w:p>
            <w:pPr>
              <w:pStyle w:val="Normal"/>
              <w:widowControl/>
              <w:spacing w:after="55" w:line="240" w:lineRule="auto"/>
              <w:keepNext w:val="0"/>
              <w:keepLines/>
            </w:pPr>
            <w:r>
              <w:rPr>
                <w:sz w:val="21"/>
                <w:szCs w:val="21"/>
              </w:rPr>
              <w:t xml:space="preserve">Results: Extensive concurrent surgery associated with worse survival (p=0.015).</w:t>
            </w:r>
          </w:p>
          <w:p>
            <w:pPr>
              <w:pStyle w:val="Normal"/>
              <w:widowControl/>
              <w:spacing w:after="55" w:line="240" w:lineRule="auto"/>
              <w:keepNext w:val="0"/>
              <w:keepLines/>
            </w:pPr>
            <w:r>
              <w:rPr>
                <w:sz w:val="21"/>
                <w:szCs w:val="21"/>
              </w:rPr>
              <w:t xml:space="preserve">Limits: No extrahepatic-disease variable.</w:t>
            </w:r>
          </w:p>
          <w:p>
            <w:pPr>
              <w:pStyle w:val="Normal"/>
              <w:widowControl/>
              <w:spacing w:after="55" w:line="240" w:lineRule="auto"/>
              <w:keepNext w:val="0"/>
              <w:keepLines/>
            </w:pPr>
            <w:r>
              <w:rPr>
                <w:sz w:val="21"/>
                <w:szCs w:val="21"/>
              </w:rPr>
              <w:t xml:space="preserve">J Surg Oncol 2015; Methods.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yL2pzby4yMzk3MzwvdXJsPjwvcmVsYXRlZC11cmxzPjwvdXJscz48L3JlY29yZD48L0NpdGU+PC9FbmROb3RlPg==</w:fldData>
              </w:fldChar>
            </w:r>
            <w:r>
              <w:instrText xml:space="preserve"> ADDIN EN.CITE.DATA </w:instrText>
            </w:r>
            <w:r>
              <w:fldChar w:fldCharType="end"/>
            </w:r>
            <w:r>
              <w:fldChar w:fldCharType="separate"/>
            </w:r>
            <w:r>
              <w:t xml:space="preserve">[V16-33]</w:t>
            </w:r>
            <w:r>
              <w:fldChar w:fldCharType="end"/>
            </w:r>
            <w:r>
              <w:br/>
            </w:r>
            <w:hyperlink r:id="rId172">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Frilling 2010 · 68Ga-DOTATOC PET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68Ga-DOTATOC PET before transplantation. Transplant candidates.</w:t>
            </w:r>
          </w:p>
        </w:tc>
        <w:tc>
          <w:tcPr>
            <w:tcW w:w="3743" w:type="dxa"/>
            <w:vAlign w:val="top"/>
            <w:shd w:fill="F1F5F8"/>
          </w:tcPr>
          <w:p>
            <w:pPr>
              <w:pStyle w:val="Normal"/>
              <w:widowControl/>
              <w:spacing w:after="55" w:line="240" w:lineRule="auto"/>
              <w:keepNext w:val="0"/>
              <w:keepLines/>
            </w:pPr>
            <w:r>
              <w:rPr>
                <w:sz w:val="21"/>
                <w:szCs w:val="21"/>
              </w:rPr>
              <w:t xml:space="preserve">Results: PET removed 7 of 15 candidates.</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Ann Surg 2010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173">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ENETS 2026 and some series suggest limited bone disease may not worsen survival; the bone exclusion is a conservative local choice.</w:t>
      </w:r>
    </w:p>
    <w:p>
      <w:pPr>
        <w:pStyle w:val="Normal"/>
        <w:widowControl/>
        <w:spacing w:after="120"/>
      </w:pPr>
      <w:r>
        <w:t xml:space="preserve">Certainty: Low for resected regional nodes after a recurrence-free interval; very low for distant nodes, PRRT-only clearance and solid-organ metastases.</w:t>
      </w:r>
    </w:p>
    <w:p>
      <w:pPr>
        <w:pStyle w:val="Normal"/>
        <w:widowControl/>
        <w:spacing w:after="120"/>
      </w:pPr>
      <w:r>
        <w:t xml:space="preserve">What would change the answer: Transplant outcomes in recipients with previously treated distant or bone disease.</w:t>
      </w:r>
    </w:p>
    <w:p>
      <w:pPr>
        <w:pStyle w:val="Normal"/>
        <w:widowControl/>
        <w:spacing w:after="120"/>
      </w:pPr>
      <w:r>
        <w:t xml:space="preserve">Meeting question NET-B4,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 or occult postoperative high-risk NET features could be mistaken for validated pre-LT expansion criteria. </w:t>
      </w:r>
      <w:r>
        <w:rPr>
          <w:b/>
        </w:rPr>
        <w:t xml:space="preserve">Correction and reason: </w:t>
      </w:r>
      <w:r>
        <w:t xml:space="preserve">Distinguished preoperative selection from explant upstaging, removed overstated age evidence and added late recurrence and post-LT PRRT hematologic toxicity.</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174">
        <w:r>
          <w:rPr>
            <w:color w:val="0563C1"/>
            <w:u w:val="single"/>
          </w:rPr>
          <w:t>Source</w:t>
        </w:r>
      </w:hyperlink>
      <w:r>
        <w:t xml:space="preserve"> | </w:t>
      </w:r>
      <w:hyperlink r:id="rId175">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176">
        <w:r>
          <w:rPr>
            <w:color w:val="0563C1"/>
            <w:u w:val="single"/>
          </w:rPr>
          <w:t>Source</w:t>
        </w:r>
      </w:hyperlink>
      <w:r>
        <w:t xml:space="preserve"> | </w:t>
      </w:r>
      <w:hyperlink r:id="rId177">
        <w:r>
          <w:rPr>
            <w:color w:val="0563C1"/>
            <w:u w:val="single"/>
          </w:rPr>
          <w:t>Full-text access</w:t>
        </w:r>
      </w:hyperlink>
    </w:p>
    <w:p>
      <w:pPr>
        <w:pStyle w:val="Normal"/>
        <w:widowControl/>
        <w:spacing w:after="120"/>
      </w:pPr>
      <w:r>
        <w:t xml:space="preserve"/>
      </w:r>
      <w:r>
        <w:t xml:space="preserve">[V16-3] Mazzaferro, V; Sposito, C; Coppa, J; et al. The Long-Term Benefit of Liver Transplantation for Hepatic Metastases From Neuroendocrine Tumors. American journal of transplantation : official journal of the American Society of Transplantation and the American Society of Transplant Surgeons. 2016; 16(10):2892-2902. </w:t>
      </w:r>
      <w:hyperlink r:id="rId178">
        <w:r>
          <w:rPr>
            <w:color w:val="0563C1"/>
            <w:u w:val="single"/>
          </w:rPr>
          <w:t>Source</w:t>
        </w:r>
      </w:hyperlink>
      <w:r>
        <w:t xml:space="preserve"> | </w:t>
      </w:r>
      <w:hyperlink r:id="rId179">
        <w:r>
          <w:rPr>
            <w:color w:val="0563C1"/>
            <w:u w:val="single"/>
          </w:rPr>
          <w:t>Full-text access</w:t>
        </w:r>
      </w:hyperlink>
    </w:p>
    <w:p>
      <w:pPr>
        <w:pStyle w:val="Normal"/>
        <w:widowControl/>
        <w:spacing w:after="120"/>
      </w:pPr>
      <w:r>
        <w:t xml:space="preserve"/>
      </w:r>
      <w:r>
        <w:t xml:space="preserve">[V16-4] Stålberg, Peter; McNamara, Mairéad G; Grozinsky-Glasberg, Simona; et al. Controversies in NEN: An ENETS position statement on the role of liver transplantation (LT) in patients with advanced small-intestinal and pancreatic NETs. Journal of neuroendocrinology. 2026; 38(10):e70250. </w:t>
      </w:r>
      <w:hyperlink r:id="rId180">
        <w:r>
          <w:rPr>
            <w:color w:val="0563C1"/>
            <w:u w:val="single"/>
          </w:rPr>
          <w:t>Source</w:t>
        </w:r>
      </w:hyperlink>
      <w:r>
        <w:t xml:space="preserve"> | </w:t>
      </w:r>
      <w:hyperlink r:id="rId181">
        <w:r>
          <w:rPr>
            <w:color w:val="0563C1"/>
            <w:u w:val="single"/>
          </w:rPr>
          <w:t>Full-text access</w:t>
        </w:r>
      </w:hyperlink>
    </w:p>
    <w:p>
      <w:pPr>
        <w:pStyle w:val="Normal"/>
        <w:widowControl/>
        <w:spacing w:after="120"/>
      </w:pPr>
      <w:r>
        <w:t xml:space="preserve"/>
      </w:r>
      <w:r>
        <w:t xml:space="preserve">[V16-5] Boscà, Andrea; Montalvá, Eva M; Vila-Tura, Marina; et al. Should We Continue Liver Transplantation in Spain for Hepatic Metastases from Neuroendocrine Tumors?. Journal of clinical medicine. 2026; 15(3):938. </w:t>
      </w:r>
      <w:hyperlink r:id="rId182">
        <w:r>
          <w:rPr>
            <w:color w:val="0563C1"/>
            <w:u w:val="single"/>
          </w:rPr>
          <w:t>Source</w:t>
        </w:r>
      </w:hyperlink>
      <w:r>
        <w:t xml:space="preserve"> | </w:t>
      </w:r>
      <w:hyperlink r:id="rId183">
        <w:r>
          <w:rPr>
            <w:color w:val="0563C1"/>
            <w:u w:val="single"/>
          </w:rPr>
          <w:t>Full-text access</w:t>
        </w:r>
      </w:hyperlink>
    </w:p>
    <w:p>
      <w:pPr>
        <w:pStyle w:val="Normal"/>
        <w:widowControl/>
        <w:spacing w:after="120"/>
      </w:pPr>
      <w:r>
        <w:t xml:space="preserve"/>
      </w:r>
      <w:r>
        <w:t xml:space="preserve">[V16-6] Eshmuminov, Dilmurodjon; Studer, Debora J.; Lopez Lopez, Victor; et al. Controversy Over Liver Transplantation or Resection for Neuroendocrine Liver Metastasis: Tumor Biology Cuts the Deal. Annals of Surgery. 2023; 277(5):e1063-e1071. </w:t>
      </w:r>
      <w:hyperlink r:id="rId184">
        <w:r>
          <w:rPr>
            <w:color w:val="0563C1"/>
            <w:u w:val="single"/>
          </w:rPr>
          <w:t>Source</w:t>
        </w:r>
      </w:hyperlink>
      <w:r>
        <w:t xml:space="preserve"> | </w:t>
      </w:r>
      <w:hyperlink r:id="rId185">
        <w:r>
          <w:rPr>
            <w:color w:val="0563C1"/>
            <w:u w:val="single"/>
          </w:rPr>
          <w:t>Full-text access</w:t>
        </w:r>
      </w:hyperlink>
    </w:p>
    <w:p>
      <w:pPr>
        <w:pStyle w:val="Normal"/>
        <w:widowControl/>
        <w:spacing w:after="120"/>
      </w:pPr>
      <w:r>
        <w:t xml:space="preserve"/>
      </w:r>
      <w:r>
        <w:t xml:space="preserve">[V16-7] Maspero, Marianna; Rossi, Roberta Elisa; Sposito, Carlo; et al. Long-term outcomes of resection versus transplantation for neuroendocrine liver metastases meeting the Milan criteria. American Journal of Transplantation. 2022; 22(11):2598-2607. </w:t>
      </w:r>
      <w:hyperlink r:id="rId186">
        <w:r>
          <w:rPr>
            <w:color w:val="0563C1"/>
            <w:u w:val="single"/>
          </w:rPr>
          <w:t>Source</w:t>
        </w:r>
      </w:hyperlink>
      <w:r>
        <w:t xml:space="preserve"> | </w:t>
      </w:r>
      <w:hyperlink r:id="rId187">
        <w:r>
          <w:rPr>
            <w:color w:val="0563C1"/>
            <w:u w:val="single"/>
          </w:rPr>
          <w:t>Full-text access</w:t>
        </w:r>
      </w:hyperlink>
    </w:p>
    <w:p>
      <w:pPr>
        <w:pStyle w:val="Normal"/>
        <w:widowControl/>
        <w:spacing w:after="120"/>
      </w:pPr>
      <w:r>
        <w:t xml:space="preserve"/>
      </w:r>
      <w:r>
        <w:t xml:space="preserve">[V16-8] Kjaer, Josefine; Smith, Sara; Hellman, Per; et al. Overall Survival in Patients with Stage IV Pan-NET Eligible for Liver Transplantation. World Journal of Surgery. 2023. </w:t>
      </w:r>
      <w:hyperlink r:id="rId188">
        <w:r>
          <w:rPr>
            <w:color w:val="0563C1"/>
            <w:u w:val="single"/>
          </w:rPr>
          <w:t>Source</w:t>
        </w:r>
      </w:hyperlink>
      <w:r>
        <w:t xml:space="preserve"> | </w:t>
      </w:r>
      <w:hyperlink r:id="rId189">
        <w:r>
          <w:rPr>
            <w:color w:val="0563C1"/>
            <w:u w:val="single"/>
          </w:rPr>
          <w:t>Full-text access</w:t>
        </w:r>
      </w:hyperlink>
    </w:p>
    <w:p>
      <w:pPr>
        <w:pStyle w:val="Normal"/>
        <w:widowControl/>
        <w:spacing w:after="120"/>
      </w:pPr>
      <w:r>
        <w:t xml:space="preserve"/>
      </w:r>
      <w:r>
        <w:t xml:space="preserve">[V16-9] Chan JA; Geyer S; Zemla T; et al. Phase 3 Trial of Cabozantinib to Treat Advanced Neuroendocrine Tumors.. The New England journal of medicine. 2025; 392(7):653-665. </w:t>
      </w:r>
      <w:hyperlink r:id="rId190">
        <w:r>
          <w:rPr>
            <w:color w:val="0563C1"/>
            <w:u w:val="single"/>
          </w:rPr>
          <w:t>Source</w:t>
        </w:r>
      </w:hyperlink>
      <w:r>
        <w:t xml:space="preserve"> | </w:t>
      </w:r>
      <w:hyperlink r:id="rId191">
        <w:r>
          <w:rPr>
            <w:color w:val="0563C1"/>
            <w:u w:val="single"/>
          </w:rPr>
          <w:t>Full-text access</w:t>
        </w:r>
      </w:hyperlink>
    </w:p>
    <w:p>
      <w:pPr>
        <w:pStyle w:val="Normal"/>
        <w:widowControl/>
        <w:spacing w:after="120"/>
      </w:pPr>
      <w:r>
        <w:t xml:space="preserve"/>
      </w:r>
      <w:r>
        <w:t xml:space="preserve">[V16-10] Caplin ME; Pavel M; Ćwikła JB; et al. Lanreotide in metastatic enteropancreatic neuroendocrine tumors.. The New England journal of medicine. 2014; 371(3):224-33. </w:t>
      </w:r>
      <w:hyperlink r:id="rId192">
        <w:r>
          <w:rPr>
            <w:color w:val="0563C1"/>
            <w:u w:val="single"/>
          </w:rPr>
          <w:t>Source</w:t>
        </w:r>
      </w:hyperlink>
      <w:r>
        <w:t xml:space="preserve"> | </w:t>
      </w:r>
      <w:hyperlink r:id="rId193">
        <w:r>
          <w:rPr>
            <w:color w:val="0563C1"/>
            <w:u w:val="single"/>
          </w:rPr>
          <w:t>Full-text access</w:t>
        </w:r>
      </w:hyperlink>
    </w:p>
    <w:p>
      <w:pPr>
        <w:pStyle w:val="Normal"/>
        <w:widowControl/>
        <w:spacing w:after="120"/>
      </w:pPr>
      <w:r>
        <w:t xml:space="preserve"/>
      </w:r>
      <w:r>
        <w:t xml:space="preserve">[V16-11] Strosberg, Jonathan R; Caplin, Martyn E; Kunz, Pamela L; et al. 177Lu-Dotatate plus long-acting octreotide versus high‑dose long-acting octreotide in patients with midgut neuroendocrine tumours (NETTER-1): final overall survival and long-term safety results from an open-label, randomised, controlled, phase 3 trial. The Lancet Oncology. 2021; 22(12):1752-1763. </w:t>
      </w:r>
      <w:hyperlink r:id="rId194">
        <w:r>
          <w:rPr>
            <w:color w:val="0563C1"/>
            <w:u w:val="single"/>
          </w:rPr>
          <w:t>Source</w:t>
        </w:r>
      </w:hyperlink>
      <w:r>
        <w:t xml:space="preserve"> | </w:t>
      </w:r>
      <w:hyperlink r:id="rId195">
        <w:r>
          <w:rPr>
            <w:color w:val="0563C1"/>
            <w:u w:val="single"/>
          </w:rPr>
          <w:t>Full-text access</w:t>
        </w:r>
      </w:hyperlink>
    </w:p>
    <w:p>
      <w:pPr>
        <w:pStyle w:val="Normal"/>
        <w:widowControl/>
        <w:spacing w:after="120"/>
      </w:pPr>
      <w:r>
        <w:t xml:space="preserve"/>
      </w:r>
      <w:r>
        <w:t xml:space="preserve">[V16-12] National Comprehensive Cancer Network. NCCN Clinical Practice Guidelines in Oncology: Neuroendocrine and Adrenal Tumors, Version 1.2026 (21 April 2026). . 2026. </w:t>
      </w:r>
      <w:hyperlink r:id="rId196">
        <w:r>
          <w:rPr>
            <w:color w:val="0563C1"/>
            <w:u w:val="single"/>
          </w:rPr>
          <w:t>Source</w:t>
        </w:r>
      </w:hyperlink>
      <w:r>
        <w:t xml:space="preserve"> | </w:t>
      </w:r>
      <w:hyperlink r:id="rId197">
        <w:r>
          <w:rPr>
            <w:color w:val="0563C1"/>
            <w:u w:val="single"/>
          </w:rPr>
          <w:t>Full-text access</w:t>
        </w:r>
      </w:hyperlink>
    </w:p>
    <w:p>
      <w:pPr>
        <w:pStyle w:val="Normal"/>
        <w:widowControl/>
        <w:spacing w:after="120"/>
      </w:pPr>
      <w:r>
        <w:t xml:space="preserve"/>
      </w:r>
      <w:r>
        <w:t xml:space="preserve">[V16-13] Kasai, Yosuke; Ito, Takashi; Masui, Toshihiko; et al. Liver transplantation for gastroenteropancreatic neuroendocrine liver metastasis: optimal patient selection and perioperative management in the era of multimodal treatments. Journal of Gastroenterology. 2024; 60(1):1-9. </w:t>
      </w:r>
      <w:hyperlink r:id="rId198">
        <w:r>
          <w:rPr>
            <w:color w:val="0563C1"/>
            <w:u w:val="single"/>
          </w:rPr>
          <w:t>Source</w:t>
        </w:r>
      </w:hyperlink>
      <w:r>
        <w:t xml:space="preserve"> | </w:t>
      </w:r>
      <w:hyperlink r:id="rId199">
        <w:r>
          <w:rPr>
            <w:color w:val="0563C1"/>
            <w:u w:val="single"/>
          </w:rPr>
          <w:t>Full-text access</w:t>
        </w:r>
      </w:hyperlink>
    </w:p>
    <w:p>
      <w:pPr>
        <w:pStyle w:val="Normal"/>
        <w:widowControl/>
        <w:spacing w:after="120"/>
      </w:pPr>
      <w:r>
        <w:t xml:space="preserve"/>
      </w:r>
      <w:r>
        <w:t xml:space="preserve">[V16-14] 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(London, England). 2024; 403(10446):2807-2817.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[V16-15] Dove, Lorna; Chadha, Ryan M.; Lai, Jennifer C.; et al. AASLD AST Practice Guideline on adult liver transplantation: Candidate evaluation. Hepatology. 2026; 83(6):1609-1645.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[V16-16] Le Treut, Yves Patrice; Grégoire, Emilie; Klempnauer, Jürgen; et al. Liver Transplantation for Neuroendocrine Tumors in Europe—Results and Trends in Patient Selection. Annals of Surgery. 2013; 257(5):807-815.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[V16-17] Chen, Chiyi; Zheng, Qiming; Zhang, Li; et al. Peptide Receptor Radionuclide Therapy for Recurrent Neuroendocrine Tumor Liver Metastases After Liver transplantation: A Case Series. Transplantation proceedings. 2026; 58(3):526-531.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[V16-18] Sposito, Carlo; Rossi, Roberta Elisa; Monteleone, Michela; et al. Postrecurrence Survival After Liver Transplantation for Liver Metastases From Neuroendocrine Tumors. Transplantation. 2021; 105(12):2579-2586.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[V16-19] Kelly, Morgan E.; Truby, Tianna M.; Lai, Jennifer C.; et al. Three Decades of Living Liver Donor Outcomes: A National Cohort Analysis of Patterns in Mortality and Recovery. Journal of Transplantation. 2026; 2026(1):2545887.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[V16-20] US Department of Health and Human Services. 45 CFR 46.111: Criteria for IRB approval of research. . 2018. </w:t>
      </w:r>
      <w:hyperlink r:id="rId212">
        <w:r>
          <w:rPr>
            <w:color w:val="0563C1"/>
            <w:u w:val="single"/>
          </w:rPr>
          <w:t>Source</w:t>
        </w:r>
      </w:hyperlink>
      <w:r>
        <w:t xml:space="preserve"> | Local PDF not available in this update</w:t>
      </w:r>
    </w:p>
    <w:p>
      <w:pPr>
        <w:pStyle w:val="Normal"/>
        <w:widowControl/>
        <w:spacing w:after="120"/>
      </w:pPr>
      <w:r>
        <w:t xml:space="preserve"/>
      </w:r>
      <w:r>
        <w:t xml:space="preserve">[V16-21] OPTN Ethics Committee. Ethical Principles in the Allocation of Human Organs. . 2015. </w:t>
      </w:r>
      <w:hyperlink r:id="rId213">
        <w:r>
          <w:rPr>
            <w:color w:val="0563C1"/>
            <w:u w:val="single"/>
          </w:rPr>
          <w:t>Source</w:t>
        </w:r>
      </w:hyperlink>
      <w:r>
        <w:t xml:space="preserve"> | Local PDF not available in this update</w:t>
      </w:r>
    </w:p>
    <w:p>
      <w:pPr>
        <w:pStyle w:val="Normal"/>
        <w:widowControl/>
        <w:spacing w:after="120"/>
      </w:pPr>
      <w:r>
        <w:t xml:space="preserve"/>
      </w:r>
      <w:r>
        <w:t xml:space="preserve">[V16-22] Llovet, Josep M; Mauro, Ezequiel; Rimassa, Lorenza; et al. Trial design and end points in hepatocellular carcinoma: an EASL-AASLD-ILCA consensus statement. Nature reviews. Clinical oncology. 2026; 23(8):619-647.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[V16-23] Mazzaferro, Vincenzo; Citterio, Davide; Bhoori, Sherrie; et al. Liver transplantation in hepatocellular carcinoma after tumour downstaging (XXL): a randomised, controlled, phase 2b/3 trial. The Lancet Oncology. 2020; 21(7):947-956. </w:t>
      </w:r>
      <w:hyperlink r:id="rId216">
        <w:r>
          <w:rPr>
            <w:color w:val="0563C1"/>
            <w:u w:val="single"/>
          </w:rPr>
          <w:t>Source</w:t>
        </w:r>
      </w:hyperlink>
      <w:r>
        <w:t xml:space="preserve"> | </w:t>
      </w:r>
      <w:hyperlink r:id="rId217">
        <w:r>
          <w:rPr>
            <w:color w:val="0563C1"/>
            <w:u w:val="single"/>
          </w:rPr>
          <w:t>Full-text access</w:t>
        </w:r>
      </w:hyperlink>
    </w:p>
    <w:p>
      <w:pPr>
        <w:pStyle w:val="Normal"/>
        <w:widowControl/>
        <w:spacing w:after="120"/>
      </w:pPr>
      <w:r>
        <w:t xml:space="preserve"/>
      </w:r>
      <w:r>
        <w:t xml:space="preserve">[V16-24]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218">
        <w:r>
          <w:rPr>
            <w:color w:val="0563C1"/>
            <w:u w:val="single"/>
          </w:rPr>
          <w:t>Source</w:t>
        </w:r>
      </w:hyperlink>
      <w:r>
        <w:t xml:space="preserve"> | </w:t>
      </w:r>
      <w:hyperlink r:id="rId219">
        <w:r>
          <w:rPr>
            <w:color w:val="0563C1"/>
            <w:u w:val="single"/>
          </w:rPr>
          <w:t>Full-text access</w:t>
        </w:r>
      </w:hyperlink>
    </w:p>
    <w:p>
      <w:pPr>
        <w:pStyle w:val="Normal"/>
        <w:widowControl/>
        <w:spacing w:after="120"/>
      </w:pPr>
      <w:r>
        <w:t xml:space="preserve"/>
      </w:r>
      <w:r>
        <w:t xml:space="preserve">[V16-25] Allen, Elisa; Taylor, Rhiannon; Gimson, Alexander; et al. Transplant benefit-based offering of deceased donor livers in the United Kingdom. Journal of Hepatology. 2024; 81(3):471-478. </w:t>
      </w:r>
      <w:hyperlink r:id="rId220">
        <w:r>
          <w:rPr>
            <w:color w:val="0563C1"/>
            <w:u w:val="single"/>
          </w:rPr>
          <w:t>Source</w:t>
        </w:r>
      </w:hyperlink>
      <w:r>
        <w:t xml:space="preserve"> | </w:t>
      </w:r>
      <w:hyperlink r:id="rId221">
        <w:r>
          <w:rPr>
            <w:color w:val="0563C1"/>
            <w:u w:val="single"/>
          </w:rPr>
          <w:t>Full-text access</w:t>
        </w:r>
      </w:hyperlink>
    </w:p>
    <w:p>
      <w:pPr>
        <w:pStyle w:val="Normal"/>
        <w:widowControl/>
        <w:spacing w:after="120"/>
      </w:pPr>
      <w:r>
        <w:t xml:space="preserve"/>
      </w:r>
      <w:r>
        <w:t xml:space="preserve">[V16-26] Abecassis, M.M.; Fisher, R.A.; Olthoff, K.M.; et al. Complications of Living Donor Hepatic Lobectomy—A Comprehensive Report. American Journal of Transplantation. 2012; 12(5):1208-1217. </w:t>
      </w:r>
      <w:hyperlink r:id="rId222">
        <w:r>
          <w:rPr>
            <w:color w:val="0563C1"/>
            <w:u w:val="single"/>
          </w:rPr>
          <w:t>Source</w:t>
        </w:r>
      </w:hyperlink>
      <w:r>
        <w:t xml:space="preserve"> | </w:t>
      </w:r>
      <w:hyperlink r:id="rId223">
        <w:r>
          <w:rPr>
            <w:color w:val="0563C1"/>
            <w:u w:val="single"/>
          </w:rPr>
          <w:t>Full-text access</w:t>
        </w:r>
      </w:hyperlink>
    </w:p>
    <w:p>
      <w:pPr>
        <w:pStyle w:val="Normal"/>
        <w:widowControl/>
        <w:spacing w:after="120"/>
      </w:pPr>
      <w:r>
        <w:t xml:space="preserve"/>
      </w:r>
      <w:r>
        <w:t xml:space="preserve">[V16-27] DiMartini, A.; Dew, M.A.; Liu, Q.; et al. Social and Financial Outcomes of Living Liver Donation: A Prospective Investigation Within the Adult-to-Adult Living Donor Liver Transplantation Cohort Study 2 (A2ALL-2). American Journal of Transplantation. 2017; 17(4):1081-1096. </w:t>
      </w:r>
      <w:hyperlink r:id="rId224">
        <w:r>
          <w:rPr>
            <w:color w:val="0563C1"/>
            <w:u w:val="single"/>
          </w:rPr>
          <w:t>Source</w:t>
        </w:r>
      </w:hyperlink>
      <w:r>
        <w:t xml:space="preserve"> | </w:t>
      </w:r>
      <w:hyperlink r:id="rId225">
        <w:r>
          <w:rPr>
            <w:color w:val="0563C1"/>
            <w:u w:val="single"/>
          </w:rPr>
          <w:t>Full-text access</w:t>
        </w:r>
      </w:hyperlink>
    </w:p>
    <w:p>
      <w:pPr>
        <w:pStyle w:val="Normal"/>
        <w:widowControl/>
        <w:spacing w:after="120"/>
      </w:pPr>
      <w:r>
        <w:t xml:space="preserve"/>
      </w:r>
      <w:r>
        <w:t xml:space="preserve">[V16-28] Xiao, Jieling; Zeng, Rebecca Wenling; Lim, Wen Hui; et al. The incidence of adverse outcome in donors after living donor liver transplantation: A meta-analysis of 60,829 donors. Liver Transplantation. 2024; 30(5):493-504. </w:t>
      </w:r>
      <w:hyperlink r:id="rId226">
        <w:r>
          <w:rPr>
            <w:color w:val="0563C1"/>
            <w:u w:val="single"/>
          </w:rPr>
          <w:t>Source</w:t>
        </w:r>
      </w:hyperlink>
      <w:r>
        <w:t xml:space="preserve"> | </w:t>
      </w:r>
      <w:hyperlink r:id="rId227">
        <w:r>
          <w:rPr>
            <w:color w:val="0563C1"/>
            <w:u w:val="single"/>
          </w:rPr>
          <w:t>Full-text access</w:t>
        </w:r>
      </w:hyperlink>
    </w:p>
    <w:p>
      <w:pPr>
        <w:pStyle w:val="Normal"/>
        <w:widowControl/>
        <w:spacing w:after="120"/>
      </w:pPr>
      <w:r>
        <w:t xml:space="preserve"/>
      </w:r>
      <w:r>
        <w:t xml:space="preserve">[V16-29] Eldridge, Sandra M; Chan, Claire L; Campbell, Michael J; et al. CONSORT 2010 statement: extension to randomised pilot and feasibility trials. BMJ. 2016; :i5239. </w:t>
      </w:r>
      <w:hyperlink r:id="rId228">
        <w:r>
          <w:rPr>
            <w:color w:val="0563C1"/>
            <w:u w:val="single"/>
          </w:rPr>
          <w:t>Source</w:t>
        </w:r>
      </w:hyperlink>
      <w:r>
        <w:t xml:space="preserve"> | </w:t>
      </w:r>
      <w:hyperlink r:id="rId229">
        <w:r>
          <w:rPr>
            <w:color w:val="0563C1"/>
            <w:u w:val="single"/>
          </w:rPr>
          <w:t>Full-text access</w:t>
        </w:r>
      </w:hyperlink>
    </w:p>
    <w:p>
      <w:pPr>
        <w:pStyle w:val="Normal"/>
        <w:widowControl/>
        <w:spacing w:after="120"/>
      </w:pPr>
      <w:r>
        <w:t xml:space="preserve"/>
      </w:r>
      <w:r>
        <w:t xml:space="preserve">[V16-30]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30">
        <w:r>
          <w:rPr>
            <w:color w:val="0563C1"/>
            <w:u w:val="single"/>
          </w:rPr>
          <w:t>Source</w:t>
        </w:r>
      </w:hyperlink>
      <w:r>
        <w:t xml:space="preserve"> | </w:t>
      </w:r>
      <w:hyperlink r:id="rId231">
        <w:r>
          <w:rPr>
            <w:color w:val="0563C1"/>
            <w:u w:val="single"/>
          </w:rPr>
          <w:t>Full-text access</w:t>
        </w:r>
      </w:hyperlink>
    </w:p>
    <w:p>
      <w:pPr>
        <w:pStyle w:val="Normal"/>
        <w:widowControl/>
        <w:spacing w:after="120"/>
      </w:pPr>
      <w:r>
        <w:t xml:space="preserve"/>
      </w:r>
      <w:r>
        <w:t xml:space="preserve">[V16-31] Yaqub, Sheraz; Busund, Sondre; Smedman, Tor Magnus; et al. Liver transplantation for locally advanced non-resectable intrahepatic cholangiocarcinoma treated with neoadjuvant therapy: early results from the TESLA trial. British Journal of Surgery. 2025. </w:t>
      </w:r>
      <w:hyperlink r:id="rId232">
        <w:r>
          <w:rPr>
            <w:color w:val="0563C1"/>
            <w:u w:val="single"/>
          </w:rPr>
          <w:t>Source</w:t>
        </w:r>
      </w:hyperlink>
      <w:r>
        <w:t xml:space="preserve"> | </w:t>
      </w:r>
      <w:hyperlink r:id="rId233">
        <w:r>
          <w:rPr>
            <w:color w:val="0563C1"/>
            <w:u w:val="single"/>
          </w:rPr>
          <w:t>Full-text access</w:t>
        </w:r>
      </w:hyperlink>
    </w:p>
    <w:p>
      <w:pPr>
        <w:pStyle w:val="Normal"/>
        <w:widowControl/>
        <w:spacing w:after="120"/>
      </w:pPr>
      <w:r>
        <w:t xml:space="preserve"/>
      </w:r>
      <w:r>
        <w:t xml:space="preserve">[V16-32] Wedin, Maria; Janson, Eva Tiensuu; Wallin, Göran; et al. Impact on symptoms and survival of bone metastases in patients with small-intestinal neuroendocrine tumours. Journal of neuroendocrinology. 2025; 37(10):e70073. </w:t>
      </w:r>
      <w:hyperlink r:id="rId234">
        <w:r>
          <w:rPr>
            <w:color w:val="0563C1"/>
            <w:u w:val="single"/>
          </w:rPr>
          <w:t>Source</w:t>
        </w:r>
      </w:hyperlink>
      <w:r>
        <w:t xml:space="preserve"> | Local PDF not available in this update</w:t>
      </w:r>
    </w:p>
    <w:p>
      <w:pPr>
        <w:pStyle w:val="Normal"/>
        <w:widowControl/>
        <w:spacing w:after="120"/>
      </w:pPr>
      <w:r>
        <w:t xml:space="preserve"/>
      </w:r>
      <w:r>
        <w:t xml:space="preserve">[V16-33] Sher, Linda S; Levi, David M; Wecsler, Julie S; et al. Liver transplantation for metastatic neuroendocrine tumors: Outcomes and prognostic variables. Journal of surgical oncology. 2015; 112(2):125-32. </w:t>
      </w:r>
      <w:hyperlink r:id="rId235">
        <w:r>
          <w:rPr>
            <w:color w:val="0563C1"/>
            <w:u w:val="single"/>
          </w:rPr>
          <w:t>Source</w:t>
        </w:r>
      </w:hyperlink>
      <w:r>
        <w:t xml:space="preserve"> | Local PDF not available in this update</w:t>
      </w:r>
    </w:p>
    <w:p>
      <w:pPr>
        <w:pStyle w:val="Normal"/>
        <w:widowControl/>
        <w:spacing w:after="120"/>
      </w:pPr>
      <w:r>
        <w:t xml:space="preserve"/>
      </w:r>
      <w:r>
        <w:t xml:space="preserve">[V16-34] Frilling. The impact of 68Ga-DOTATOC positron emission tomography/computed tomography on the multimodal management of patients with neuroendocrine tumors. Annals of surgery. 2010. </w:t>
      </w:r>
      <w:hyperlink r:id="rId23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NET-B4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23" Type="http://schemas.openxmlformats.org/officeDocument/2006/relationships/hyperlink" Target="https://doi.org/10.1111/ajt.13831"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97/SLA.0000000000005663"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ajt.17156"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07/s00268-022-06736-1"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56/NEJMoa2403991"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56/NEJMoa1316158"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S1470-2045(21)00572-6"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111/jne.70250"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www.nccn.org/professionals/physician_gls/pdf/neuroendocrine.pdf#page=85"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pubmed.ncbi.nlm.nih.gov/39547997"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111/jne.70250"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111/ajt.13831"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97/SLA.0000000000005663"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3390/jcm15030938"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97/SLA.0b013e31828ee17c"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S0140-6736(24)00701-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016/j.transproceed.2026.02.019"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hrsa.gov/sites/default/files/hrsa/optn/adult-meld-exception-transplant-oncology-review-guidance.pdf"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111/jne.70250"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www.hrsa.gov/sites/default/files/hrsa/optn/adult-meld-exception-transplant-oncology-review-guidance.pdf"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111/ajt.13831"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111/jne.70250"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111/ajt.13831"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111/ajt.17156"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097/SLA.0000000000005663"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oi.org/10.1007/s00268-022-06736-1"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3390/jcm15030938"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97/SLA.0b013e31828ee17c"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111/jne.70250"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pubmed.ncbi.nlm.nih.gov/33908381"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111/ajt.13831"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111/jne.70250"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www.hrsa.gov/sites/default/files/hrsa/optn/optn_policies.pdf"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www.hrsa.gov/sites/default/files/hrsa/optn/adult-meld-exception-transplant-oncology-review-guidance.pdf"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111/ajt.13831"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111/jne.70250"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oi.org/10.3390/jcm15030938"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97/SLA.0000000000005663"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doi.org/10.1111/ajt.17156"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07/s00268-022-06736-1"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056/NEJMoa2403991"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56/NEJMoa1316158"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16/S1470-2045(21)00572-6"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www.nccn.org/professionals/physician_gls/pdf/neuroendocrine.pdf#page=85"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pubmed.ncbi.nlm.nih.gov/39547997"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016/S0140-6736(24)00701-3"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oi.org/10.1097/HEP.0000000000001644"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doi.org/10.1097/SLA.0b013e31828ee17c"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016/j.transproceed.2026.02.019"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pubmed.ncbi.nlm.nih.gov/33908381"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55/joot/2545887"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www.ecfr.gov/current/title-45/subtitle-A/subchapter-A/part-46/subpart-A/section-46.111" TargetMode="External"/><Relationship Id="rId142" Type="http://schemas.openxmlformats.org/officeDocument/2006/relationships/hyperlink" Target="https://www.hrsa.gov/optn/professionals/resources/ethical-considerations/ethical-principles-in-the-allocation-of-human-organs" TargetMode="External"/><Relationship Id="rId143" Type="http://schemas.openxmlformats.org/officeDocument/2006/relationships/hyperlink" Target="https://doi.org/10.1038/s41571-026-01160-z"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doi.org/10.1016/S1470-2045(20)30224-2"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16/S0140-6736(24)01595-2"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16/j.jhep.2024.03.020"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111/j.1600-6143.2011.03972.x"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111/ajt.14055"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97/LVT.0000000000000303"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136/bmj.i523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3389/ti.2024.13641"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academic.oup.com/bjs/article/112/3/znaf054/8083032"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111/ajt.13831"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111/ajt.17156"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111/jne.70250"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111/jne.70073" TargetMode="External"/><Relationship Id="rId170" Type="http://schemas.openxmlformats.org/officeDocument/2006/relationships/hyperlink" Target="https://doi.org/10.1097/SLA.0b013e31828ee17c"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02/jso.23973" TargetMode="External"/><Relationship Id="rId173" Type="http://schemas.openxmlformats.org/officeDocument/2006/relationships/hyperlink" Target="https://doi.org/10.1097/SLA.0b013e3181fd37e8" TargetMode="External"/><Relationship Id="rId174" Type="http://schemas.openxmlformats.org/officeDocument/2006/relationships/hyperlink" Target="https://www.hrsa.gov/sites/default/files/hrsa/optn/optn_policies.pdf"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www.hrsa.gov/sites/default/files/hrsa/optn/adult-meld-exception-transplant-oncology-review-guidance.pdf"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111/ajt.13831"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111/jne.70250"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3390/jcm15030938"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97/SLA.0000000000005663"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doi.org/10.1111/ajt.17156"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07/s00268-022-06736-1"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56/NEJMoa2403991"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1056/NEJMoa1316158"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16/S1470-2045(21)00572-6"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www.nccn.org/professionals/physician_gls/pdf/neuroendocrine.pdf#page=85"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pubmed.ncbi.nlm.nih.gov/39547997"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doi.org/10.1016/S0140-6736(24)00701-3"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097/HEP.0000000000001644"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097/SLA.0b013e31828ee17c"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016/j.transproceed.2026.02.019"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pubmed.ncbi.nlm.nih.gov/33908381"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1155/joot/2545887"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www.ecfr.gov/current/title-45/subtitle-A/subchapter-A/part-46/subpart-A/section-46.111" TargetMode="External"/><Relationship Id="rId213" Type="http://schemas.openxmlformats.org/officeDocument/2006/relationships/hyperlink" Target="https://www.hrsa.gov/optn/professionals/resources/ethical-considerations/ethical-principles-in-the-allocation-of-human-organs" TargetMode="External"/><Relationship Id="rId214" Type="http://schemas.openxmlformats.org/officeDocument/2006/relationships/hyperlink" Target="https://doi.org/10.1038/s41571-026-01160-z"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16/S1470-2045(20)30224-2"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doi.org/10.1016/S0140-6736(24)01595-2"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doi.org/10.1016/j.jhep.2024.03.020"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doi.org/10.1111/j.1600-6143.2011.03972.x"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doi.org/10.1111/ajt.14055" TargetMode="External"/><Relationship Id="rId225" Type="http://schemas.openxmlformats.org/officeDocument/2006/relationships/hyperlink" Target="https://drliuhao.github.io/mh-liver-pathways/evidence-libraries/" TargetMode="External"/><Relationship Id="rId226" Type="http://schemas.openxmlformats.org/officeDocument/2006/relationships/hyperlink" Target="https://doi.org/10.1097/LVT.0000000000000303"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doi.org/10.1136/bmj.i5239"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doi.org/10.3389/ti.2024.13641"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academic.oup.com/bjs/article/112/3/znaf054/8083032"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doi.org/10.1111/jne.70073" TargetMode="External"/><Relationship Id="rId235" Type="http://schemas.openxmlformats.org/officeDocument/2006/relationships/hyperlink" Target="https://doi.org/10.1002/jso.23973" TargetMode="External"/><Relationship Id="rId236" Type="http://schemas.openxmlformats.org/officeDocument/2006/relationships/hyperlink" Target="https://doi.org/10.1097/SLA.0b013e3181fd37e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2026-10-29T14:21:26Z</dcterms:modified>
  <dc:title>UTHealth Houston and Memorial Hermann High Risk Liver Transplant Protocol for Neuroendocrine Liver Metastases V8</dc:title>
  <dc:subject>Investigational NET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