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Neuroendocrine liver metastases — High-risk pathway: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https://drliuhao.github.io/mh-liver-pathways/transplant/nelm/#high-risk</w:t>
      </w:r>
    </w:p>
    <w:p>
      <w:pPr>
        <w:spacing w:after="160"/>
      </w:pPr>
      <w:r>
        <w:rPr>
          <w:b/>
          <w:i w:val="0"/>
        </w:rPr>
        <w:t xml:space="preserve">Companion files: </w:t>
      </w:r>
      <w:r>
        <w:rPr>
          <w:b w:val="0"/>
          <w:i w:val="0"/>
          <w:sz w:val="20"/>
        </w:rPr>
        <w:t xml:space="preserve">Full content: </w:t>
      </w:r>
      <w:r>
        <w:rPr>
          <w:b w:val="0"/>
          <w:i/>
        </w:rPr>
        <w:t>NELM_5_High_Risk_Pathway.docx</w:t>
      </w:r>
      <w:r>
        <w:rPr>
          <w:b w:val="0"/>
          <w:i w:val="0"/>
          <w:sz w:val="20"/>
        </w:rPr>
        <w:t xml:space="preserve"> · Decision discussion for all settings: </w:t>
      </w:r>
      <w:r>
        <w:rPr>
          <w:b w:val="0"/>
          <w:i/>
        </w:rPr>
        <w:t>NELM_7_Decision_Discussion.docx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NET-B1</w:t>
            </w:r>
          </w:p>
        </w:tc>
        <w:tc>
          <w:tcPr>
            <w:tcW w:type="dxa" w:w="2520"/>
            <w:tcW w:w="3500" w:type="dxa"/>
            <w:shd w:val="clear" w:color="auto" w:fill="F1F5F8"/>
          </w:tcPr>
          <w:p>
            <w:pPr>
              <w:spacing w:after="0"/>
            </w:pPr>
            <w:r>
              <w:rPr>
                <w:b w:val="0"/>
                <w:i w:val="0"/>
                <w:sz w:val="19"/>
              </w:rPr>
              <w:t>Which patients gain enough over modern non-LT treatment?</w:t>
            </w:r>
          </w:p>
        </w:tc>
        <w:tc>
          <w:tcPr>
            <w:tcW w:type="dxa" w:w="2520"/>
            <w:tcW w:w="3780" w:type="dxa"/>
            <w:shd w:val="clear" w:color="auto" w:fill="F1F5F8"/>
          </w:tcPr>
          <w:p>
            <w:pPr>
              <w:spacing w:after="0"/>
            </w:pPr>
            <w:r>
              <w:rPr>
                <w:b w:val="0"/>
                <w:i w:val="0"/>
                <w:sz w:val="19"/>
              </w:rPr>
              <w:t>Require a demonstrable benefit trigger; excellent predicted post-LT survival alone is not enough.</w:t>
            </w:r>
          </w:p>
        </w:tc>
        <w:tc>
          <w:tcPr>
            <w:tcW w:type="dxa" w:w="2520"/>
            <w:tcW w:w="1500" w:type="dxa"/>
            <w:shd w:val="clear" w:color="auto" w:fill="F1F5F8"/>
          </w:tcPr>
          <w:p>
            <w:pPr>
              <w:spacing w:after="0"/>
            </w:pPr>
            <w:r>
              <w:rPr>
                <w:b w:val="0"/>
                <w:i w:val="0"/>
                <w:color w:val="5A6069"/>
                <w:sz w:val="18"/>
              </w:rPr>
              <w:t>Review expected benefit · not activated</w:t>
            </w:r>
          </w:p>
        </w:tc>
      </w:tr>
      <w:tr>
        <w:trPr>
          <w:cantSplit/>
        </w:trPr>
        <w:tc>
          <w:tcPr>
            <w:tcW w:type="dxa" w:w="2520"/>
            <w:tcW w:w="1300" w:type="dxa"/>
            <w:shd w:val="clear" w:color="auto" w:fill="FFFFFF"/>
          </w:tcPr>
          <w:p>
            <w:pPr>
              <w:spacing w:after="0"/>
            </w:pPr>
            <w:r>
              <w:rPr>
                <w:b/>
                <w:i w:val="0"/>
                <w:sz w:val="19"/>
              </w:rPr>
              <w:t>NET-B2</w:t>
            </w:r>
          </w:p>
        </w:tc>
        <w:tc>
          <w:tcPr>
            <w:tcW w:type="dxa" w:w="2520"/>
            <w:tcW w:w="3500" w:type="dxa"/>
            <w:shd w:val="clear" w:color="auto" w:fill="FFFFFF"/>
          </w:tcPr>
          <w:p>
            <w:pPr>
              <w:spacing w:after="0"/>
            </w:pPr>
            <w:r>
              <w:rPr>
                <w:b w:val="0"/>
                <w:i w:val="0"/>
                <w:sz w:val="19"/>
              </w:rPr>
              <w:t>What is guideline-aligned versus an expanded-risk proposal?</w:t>
            </w:r>
          </w:p>
        </w:tc>
        <w:tc>
          <w:tcPr>
            <w:tcW w:type="dxa" w:w="2520"/>
            <w:tcW w:w="3780" w:type="dxa"/>
            <w:shd w:val="clear" w:color="auto" w:fill="FFFFFF"/>
          </w:tcPr>
          <w:p>
            <w:pPr>
              <w:spacing w:after="0"/>
            </w:pPr>
            <w:r>
              <w:rPr>
                <w:b w:val="0"/>
                <w:i w:val="0"/>
                <w:sz w:val="19"/>
              </w:rPr>
              <w:t>Activate only well-differentiated G1/G2 disease from a known portal-drained GEP primary; retain a six-month biology test.</w:t>
            </w:r>
          </w:p>
        </w:tc>
        <w:tc>
          <w:tcPr>
            <w:tcW w:type="dxa" w:w="2520"/>
            <w:tcW w:w="1500" w:type="dxa"/>
            <w:shd w:val="clear" w:color="auto" w:fill="FFFFFF"/>
          </w:tcPr>
          <w:p>
            <w:pPr>
              <w:spacing w:after="0"/>
            </w:pPr>
            <w:r>
              <w:rPr>
                <w:b w:val="0"/>
                <w:i w:val="0"/>
                <w:color w:val="5A6069"/>
                <w:sz w:val="18"/>
              </w:rPr>
              <w:t>Review initial selection limits · not activated</w:t>
            </w:r>
          </w:p>
        </w:tc>
      </w:tr>
      <w:tr>
        <w:trPr>
          <w:cantSplit/>
        </w:trPr>
        <w:tc>
          <w:tcPr>
            <w:tcW w:type="dxa" w:w="2520"/>
            <w:tcW w:w="1300" w:type="dxa"/>
            <w:shd w:val="clear" w:color="auto" w:fill="F1F5F8"/>
          </w:tcPr>
          <w:p>
            <w:pPr>
              <w:spacing w:after="0"/>
            </w:pPr>
            <w:r>
              <w:rPr>
                <w:b/>
                <w:i w:val="0"/>
                <w:sz w:val="19"/>
              </w:rPr>
              <w:t>NET-B3</w:t>
            </w:r>
          </w:p>
        </w:tc>
        <w:tc>
          <w:tcPr>
            <w:tcW w:type="dxa" w:w="2520"/>
            <w:tcW w:w="3500" w:type="dxa"/>
            <w:shd w:val="clear" w:color="auto" w:fill="F1F5F8"/>
          </w:tcPr>
          <w:p>
            <w:pPr>
              <w:spacing w:after="0"/>
            </w:pPr>
            <w:r>
              <w:rPr>
                <w:b w:val="0"/>
                <w:i w:val="0"/>
                <w:sz w:val="19"/>
              </w:rPr>
              <w:t>Should age or burden remain local selection factors without being called national rules?</w:t>
            </w:r>
          </w:p>
        </w:tc>
        <w:tc>
          <w:tcPr>
            <w:tcW w:type="dxa" w:w="2520"/>
            <w:tcW w:w="3780" w:type="dxa"/>
            <w:shd w:val="clear" w:color="auto" w:fill="F1F5F8"/>
          </w:tcPr>
          <w:p>
            <w:pPr>
              <w:spacing w:after="0"/>
            </w:pPr>
            <w:r>
              <w:rPr>
                <w:b w:val="0"/>
                <w:i w:val="0"/>
                <w:sz w:val="19"/>
              </w:rPr>
              <w:t>Use age as a review trigger, not an absolute exclusion; retain a conservative opening burden and a separately declared expansion band.</w:t>
            </w:r>
          </w:p>
        </w:tc>
        <w:tc>
          <w:tcPr>
            <w:tcW w:type="dxa" w:w="2520"/>
            <w:tcW w:w="1500" w:type="dxa"/>
            <w:shd w:val="clear" w:color="auto" w:fill="F1F5F8"/>
          </w:tcPr>
          <w:p>
            <w:pPr>
              <w:spacing w:after="0"/>
            </w:pPr>
            <w:r>
              <w:rPr>
                <w:b w:val="0"/>
                <w:i w:val="0"/>
                <w:color w:val="5A6069"/>
                <w:sz w:val="18"/>
              </w:rPr>
              <w:t>Individual review · expansion not activated · not activated</w:t>
            </w:r>
          </w:p>
        </w:tc>
      </w:tr>
      <w:tr>
        <w:trPr>
          <w:cantSplit/>
        </w:trPr>
        <w:tc>
          <w:tcPr>
            <w:tcW w:type="dxa" w:w="2520"/>
            <w:tcW w:w="1300" w:type="dxa"/>
            <w:shd w:val="clear" w:color="auto" w:fill="FFFFFF"/>
          </w:tcPr>
          <w:p>
            <w:pPr>
              <w:spacing w:after="0"/>
            </w:pPr>
            <w:r>
              <w:rPr>
                <w:b/>
                <w:i w:val="0"/>
                <w:sz w:val="19"/>
              </w:rPr>
              <w:t>NET-B4</w:t>
            </w:r>
          </w:p>
        </w:tc>
        <w:tc>
          <w:tcPr>
            <w:tcW w:type="dxa" w:w="2520"/>
            <w:tcW w:w="3500" w:type="dxa"/>
            <w:shd w:val="clear" w:color="auto" w:fill="FFFFFF"/>
          </w:tcPr>
          <w:p>
            <w:pPr>
              <w:spacing w:after="0"/>
            </w:pPr>
            <w:r>
              <w:rPr>
                <w:b w:val="0"/>
                <w:i w:val="0"/>
                <w:sz w:val="19"/>
              </w:rPr>
              <w:t>Which previously treated extrahepatic NET sites may enter the transplant route: resected regional nodes only, or also distant nodes and a solitary treated bone lesion as ENETS 2026 suggests?</w:t>
            </w:r>
          </w:p>
        </w:tc>
        <w:tc>
          <w:tcPr>
            <w:tcW w:type="dxa" w:w="2520"/>
            <w:tcW w:w="3780" w:type="dxa"/>
            <w:shd w:val="clear" w:color="auto" w:fill="FFFFFF"/>
          </w:tcPr>
          <w:p>
            <w:pPr>
              <w:spacing w:after="0"/>
            </w:pPr>
            <w:r>
              <w:rPr>
                <w:b w:val="0"/>
                <w:i w:val="0"/>
                <w:sz w:val="19"/>
              </w:rPr>
              <w:t>Allow previously resected nodal disease after complete clearance and ≥6 months without recurrence. Keep previous lung, bone or other solid-organ metastases closed. Nodal disease cleared only by non-surgical treatment needs…</w:t>
            </w:r>
          </w:p>
        </w:tc>
        <w:tc>
          <w:tcPr>
            <w:tcW w:type="dxa" w:w="2520"/>
            <w:tcW w:w="1500" w:type="dxa"/>
            <w:shd w:val="clear" w:color="auto" w:fill="FFFFFF"/>
          </w:tcPr>
          <w:p>
            <w:pPr>
              <w:spacing w:after="0"/>
            </w:pPr>
            <w:r>
              <w:rPr>
                <w:b w:val="0"/>
                <w:i w:val="0"/>
                <w:color w:val="5A6069"/>
                <w:sz w:val="18"/>
              </w:rPr>
              <w:t>Resected nodes only, after clearance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NET-B1 — Does transplantation offer enough additional benefit?</w:t>
      </w:r>
    </w:p>
    <w:p>
      <w:pPr>
        <w:spacing w:after="80"/>
      </w:pPr>
      <w:r>
        <w:rPr>
          <w:b w:val="0"/>
          <w:i w:val="0"/>
          <w:color w:val="5A6069"/>
          <w:sz w:val="18"/>
        </w:rPr>
        <w:t>Review expected benefit · not activated · High-risk review</w:t>
      </w:r>
    </w:p>
    <w:p>
      <w:pPr>
        <w:spacing w:after="80"/>
      </w:pPr>
      <w:r>
        <w:rPr>
          <w:b/>
          <w:i w:val="0"/>
        </w:rPr>
        <w:t xml:space="preserve">Question: </w:t>
      </w:r>
      <w:r>
        <w:rPr>
          <w:b w:val="0"/>
          <w:i w:val="0"/>
        </w:rPr>
        <w:t>Which patients gain enough over modern non-LT treatment?</w:t>
      </w:r>
    </w:p>
    <w:p>
      <w:pPr>
        <w:spacing w:after="80"/>
      </w:pPr>
      <w:r>
        <w:rPr>
          <w:b/>
          <w:i w:val="0"/>
        </w:rPr>
        <w:t xml:space="preserve">When it applies: </w:t>
      </w:r>
      <w:r>
        <w:rPr>
          <w:b w:val="0"/>
          <w:i w:val="0"/>
        </w:rPr>
        <w:t>Establish what additional benefit transplantation offers over available treatment or surveillance.</w:t>
      </w:r>
    </w:p>
    <w:p>
      <w:pPr>
        <w:spacing w:after="80"/>
      </w:pPr>
      <w:r>
        <w:rPr>
          <w:b/>
          <w:i w:val="0"/>
        </w:rPr>
        <w:t xml:space="preserve">Where it is decided: </w:t>
      </w:r>
      <w:hyperlink r:id="rId6">
        <w:r>
          <w:rPr>
            <w:color w:val="0563C1"/>
            <w:u w:val="single"/>
          </w:rPr>
          <w:t xml:space="preserve">Compare treatment options</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ENETS 2026</w:t>
            </w:r>
          </w:p>
        </w:tc>
        <w:tc>
          <w:tcPr>
            <w:tcW w:type="dxa" w:w="3360"/>
            <w:tcW w:w="5480" w:type="dxa"/>
            <w:shd w:val="clear" w:color="auto" w:fill="F1F5F8"/>
          </w:tcPr>
          <w:p>
            <w:pPr>
              <w:spacing w:after="0"/>
            </w:pPr>
            <w:r>
              <w:rPr>
                <w:b w:val="0"/>
                <w:i w:val="0"/>
                <w:sz w:val="19"/>
              </w:rPr>
              <w:t>“expert-driven and hypothesis-generating framework (not outcome-validated)” Illustrative survival figures are discussion aids, not calibrated individual eligibility thresholds.</w:t>
            </w:r>
          </w:p>
        </w:tc>
        <w:tc>
          <w:tcPr>
            <w:tcW w:type="dxa" w:w="3360"/>
            <w:tcW w:w="2400" w:type="dxa"/>
            <w:shd w:val="clear" w:color="auto" w:fill="F1F5F8"/>
          </w:tcPr>
          <w:p>
            <w:pPr>
              <w:spacing w:after="0"/>
            </w:pPr>
            <w:r>
              <w:rPr>
                <w:b w:val="0"/>
                <w:i w:val="0"/>
                <w:color w:val="5A6069"/>
                <w:sz w:val="18"/>
              </w:rPr>
              <w:t>2026 full-text PDF p3, transplant-benefit discussion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Eshmuminov 2023 · LT versus resection</w:t>
            </w:r>
          </w:p>
        </w:tc>
        <w:tc>
          <w:tcPr>
            <w:tcW w:type="dxa" w:w="3360"/>
            <w:tcW w:w="3900" w:type="dxa"/>
            <w:shd w:val="clear" w:color="auto" w:fill="FFFFFF"/>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FFFFF"/>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1F5F8"/>
          </w:tcPr>
          <w:p>
            <w:pPr>
              <w:spacing w:after="0"/>
            </w:pPr>
            <w:r>
              <w:rPr>
                <w:b/>
                <w:i w:val="0"/>
                <w:sz w:val="19"/>
              </w:rPr>
              <w:t>Maspero 2022 · Milan long-term</w:t>
            </w:r>
          </w:p>
        </w:tc>
        <w:tc>
          <w:tcPr>
            <w:tcW w:type="dxa" w:w="3360"/>
            <w:tcW w:w="3900" w:type="dxa"/>
            <w:shd w:val="clear" w:color="auto" w:fill="F1F5F8"/>
          </w:tcPr>
          <w:p>
            <w:pPr>
              <w:spacing w:after="0"/>
            </w:pPr>
            <w:r>
              <w:rPr>
                <w:b w:val="0"/>
                <w:i w:val="0"/>
                <w:sz w:val="19"/>
              </w:rPr>
              <w:t>Retrospective Milan single-centre series, 1984–2019: 149 liver operations (53 LT, 96 LR), with 104 Milan-eligible cases analysed (48 LT, 56 LR). Portal-drained G1/G2 primary previously resected, no extrahepatic disease, &lt;50% hepatic involvement, at least six months stable disease, age &lt;60 relative. LT and resection had different resectability/age indications. Minimum six-month follow-up inclusion needs care when interpreting early risk; this is not an all-referral cohort.</w:t>
            </w:r>
          </w:p>
        </w:tc>
        <w:tc>
          <w:tcPr>
            <w:tcW w:type="dxa" w:w="3360"/>
            <w:tcW w:w="4180" w:type="dxa"/>
            <w:shd w:val="clear" w:color="auto" w:fill="F1F5F8"/>
          </w:tcPr>
          <w:p>
            <w:pPr>
              <w:spacing w:after="0"/>
            </w:pPr>
            <w:r>
              <w:rPr>
                <w:b w:val="0"/>
                <w:i w:val="0"/>
                <w:sz w:val="19"/>
              </w:rPr>
              <w:t>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spacing w:after="0"/>
            </w:pPr>
            <w:r>
              <w:rPr>
                <w:b w:val="0"/>
                <w:i/>
                <w:sz w:val="19"/>
              </w:rPr>
              <w:t>Limits: 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p>
            <w:pPr>
              <w:spacing w:after="0"/>
            </w:pPr>
            <w:r>
              <w:rPr>
                <w:b w:val="0"/>
                <w:i w:val="0"/>
                <w:color w:val="5A6069"/>
                <w:sz w:val="18"/>
              </w:rPr>
              <w:t>Am J Transplant 2022 DOI10.1111/ajt.17156; complete PDF pp.2–4 methods/time origin/cohort; later survival figures, recurrence table and Discussion.</w:t>
            </w:r>
          </w:p>
        </w:tc>
      </w:tr>
      <w:tr>
        <w:trPr>
          <w:cantSplit/>
        </w:trPr>
        <w:tc>
          <w:tcPr>
            <w:tcW w:type="dxa" w:w="3360"/>
            <w:tcW w:w="2000" w:type="dxa"/>
            <w:shd w:val="clear" w:color="auto" w:fill="FFFFFF"/>
          </w:tcPr>
          <w:p>
            <w:pPr>
              <w:spacing w:after="0"/>
            </w:pPr>
            <w:r>
              <w:rPr>
                <w:b/>
                <w:i w:val="0"/>
                <w:sz w:val="19"/>
              </w:rPr>
              <w:t>Kjaer 2023 · eligible non-LT panNET</w:t>
            </w:r>
          </w:p>
        </w:tc>
        <w:tc>
          <w:tcPr>
            <w:tcW w:type="dxa" w:w="3360"/>
            <w:tcW w:w="3900" w:type="dxa"/>
            <w:shd w:val="clear" w:color="auto" w:fill="FFFFFF"/>
          </w:tcPr>
          <w:p>
            <w:pPr>
              <w:spacing w:after="0"/>
            </w:pPr>
            <w:r>
              <w:rPr>
                <w:b w:val="0"/>
                <w:i w:val="0"/>
                <w:sz w:val="19"/>
              </w:rPr>
              <w:t>Single-centre retrospective non-LT panNET cohort, 2000–2021: 519 screened, 41 G1/G2 metastatic patients included; 16 met at least one historical LT framework (Milan 11, ENETS 8, UNOS 13, overlapping). Resected primary, liver metastases, no extra-abdominal disease, age ≤75 and no G3. Definitions modified historical criteria, including Milan age &lt;65 and two 'UNOS' patients with stable regional nodes, so not all meet today's NLRB requirements. Multimodal care included five liver resections, 15 ablations, six embolizations and later-line PRRT, not purely medical therapy.</w:t>
            </w:r>
          </w:p>
        </w:tc>
        <w:tc>
          <w:tcPr>
            <w:tcW w:type="dxa" w:w="3360"/>
            <w:tcW w:w="4180" w:type="dxa"/>
            <w:shd w:val="clear" w:color="auto" w:fill="FFFFFF"/>
          </w:tcPr>
          <w:p>
            <w:pPr>
              <w:spacing w:after="0"/>
            </w:pPr>
            <w:r>
              <w:rPr>
                <w:b w:val="0"/>
                <w:i w:val="0"/>
                <w:sz w:val="19"/>
              </w:rPr>
              <w:t>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spacing w:after="0"/>
            </w:pPr>
            <w:r>
              <w:rPr>
                <w:b w:val="0"/>
                <w:i/>
                <w:sz w:val="19"/>
              </w:rPr>
              <w:t>Limits: 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p>
            <w:pPr>
              <w:spacing w:after="0"/>
            </w:pPr>
            <w:r>
              <w:rPr>
                <w:b w:val="0"/>
                <w:i w:val="0"/>
                <w:color w:val="5A6069"/>
                <w:sz w:val="18"/>
              </w:rPr>
              <w:t>World J Surg 2023 DOI10.1007/s00268-022-06736-1; complete PDF pp.2–5 methods, time origin, eligibility modifications, treatments and survival tables.</w:t>
            </w:r>
          </w:p>
        </w:tc>
      </w:tr>
      <w:tr>
        <w:trPr>
          <w:cantSplit/>
        </w:trPr>
        <w:tc>
          <w:tcPr>
            <w:tcW w:type="dxa" w:w="3360"/>
            <w:tcW w:w="2000" w:type="dxa"/>
            <w:shd w:val="clear" w:color="auto" w:fill="F1F5F8"/>
          </w:tcPr>
          <w:p>
            <w:pPr>
              <w:spacing w:after="0"/>
            </w:pPr>
            <w:r>
              <w:rPr>
                <w:b/>
                <w:i w:val="0"/>
                <w:sz w:val="19"/>
              </w:rPr>
              <w:t>Chan 2025 · CABINET</w:t>
            </w:r>
          </w:p>
        </w:tc>
        <w:tc>
          <w:tcPr>
            <w:tcW w:type="dxa" w:w="3360"/>
            <w:tcW w:w="3900" w:type="dxa"/>
            <w:shd w:val="clear" w:color="auto" w:fill="F1F5F8"/>
          </w:tcPr>
          <w:p>
            <w:pPr>
              <w:spacing w:after="0"/>
            </w:pPr>
            <w:r>
              <w:rPr>
                <w:b w:val="0"/>
                <w:i w:val="0"/>
                <w:sz w:val="19"/>
              </w:rPr>
              <w:t>CABINET double-blind phase III randomized trial, 298 previously treated progressive well-differentiated NET patients: independent extrapancreatic cohort n=203 and pancreatic cohort n=95, 2:1 cabozantinib versus placebo. Prior PRRT and/or targeted therapy; advanced progressive disease, not specifically liver-only Milan-eligible transplant candidates. Different disease strata and prior-treatment burden preclude direct comparison with LT series.</w:t>
            </w:r>
          </w:p>
        </w:tc>
        <w:tc>
          <w:tcPr>
            <w:tcW w:type="dxa" w:w="3360"/>
            <w:tcW w:w="4180" w:type="dxa"/>
            <w:shd w:val="clear" w:color="auto" w:fill="F1F5F8"/>
          </w:tcPr>
          <w:p>
            <w:pPr>
              <w:spacing w:after="0"/>
            </w:pPr>
            <w:r>
              <w:rPr>
                <w:b w:val="0"/>
                <w:i w:val="0"/>
                <w:sz w:val="19"/>
              </w:rPr>
              <w:t>Time zero randomization. Median PFS 8.4 versus 3.9 months in extrapancreatic NET (HR 0.38, 95% CI 0.25–0.59), 13.8 versus 4.4 months in panNET (HR 0.23, 0.12–0.42). Objective response 5% and 19% in respective cabozantinib cohorts versus 0% placebo. Grade ≥3 adverse events approximately 62–65% versus 23–27%. The primary report does not establish an LT-comparable OS benefit.</w:t>
            </w:r>
          </w:p>
          <w:p>
            <w:pPr>
              <w:spacing w:after="0"/>
            </w:pPr>
            <w:r>
              <w:rPr>
                <w:b w:val="0"/>
                <w:i/>
                <w:sz w:val="19"/>
              </w:rPr>
              <w:t>Limits: High-quality evidence for this systemic-treatment setting, indirect for transplant benefit. A treatment's availability does not mean every candidate must receive it before LT, and its toxicities/tempo must enter individualized comparison. PFS is not OS and placebo control does not represent an entire modern lifetime sequence.</w:t>
            </w:r>
          </w:p>
          <w:p>
            <w:pPr>
              <w:spacing w:after="0"/>
            </w:pPr>
            <w:r>
              <w:rPr>
                <w:b w:val="0"/>
                <w:i w:val="0"/>
                <w:color w:val="5A6069"/>
                <w:sz w:val="18"/>
              </w:rPr>
              <w:t>N Engl J Med 2025;392:653–665, online 2024; local complete PDF Methods, primary Results, response and safety tables.</w:t>
            </w:r>
          </w:p>
        </w:tc>
      </w:tr>
      <w:tr>
        <w:trPr>
          <w:cantSplit/>
        </w:trPr>
        <w:tc>
          <w:tcPr>
            <w:tcW w:type="dxa" w:w="3360"/>
            <w:tcW w:w="2000" w:type="dxa"/>
            <w:shd w:val="clear" w:color="auto" w:fill="FFFFFF"/>
          </w:tcPr>
          <w:p>
            <w:pPr>
              <w:spacing w:after="0"/>
            </w:pPr>
            <w:r>
              <w:rPr>
                <w:b/>
                <w:i w:val="0"/>
                <w:sz w:val="19"/>
              </w:rPr>
              <w:t>Caplin 2014 · CLARINET</w:t>
            </w:r>
          </w:p>
        </w:tc>
        <w:tc>
          <w:tcPr>
            <w:tcW w:type="dxa" w:w="3360"/>
            <w:tcW w:w="3900" w:type="dxa"/>
            <w:shd w:val="clear" w:color="auto" w:fill="FFFFFF"/>
          </w:tcPr>
          <w:p>
            <w:pPr>
              <w:spacing w:after="0"/>
            </w:pPr>
            <w:r>
              <w:rPr>
                <w:b w:val="0"/>
                <w:i w:val="0"/>
                <w:sz w:val="19"/>
              </w:rPr>
              <w:t>CLARINET randomized double-blind trial, 204 nonfunctioning advanced enteropancreatic NET patients (101 lanreotide, 103 placebo). SSTR-positive G1/G2 with Ki-67 &lt;10%; 96% had stable disease over the prior 3–6 months; one-third had hepatic burden &gt;25%. It represents indolent disease biology, not all progressive transplant candidates.</w:t>
            </w:r>
          </w:p>
        </w:tc>
        <w:tc>
          <w:tcPr>
            <w:tcW w:type="dxa" w:w="3360"/>
            <w:tcW w:w="4180" w:type="dxa"/>
            <w:shd w:val="clear" w:color="auto" w:fill="FFFFFF"/>
          </w:tcPr>
          <w:p>
            <w:pPr>
              <w:spacing w:after="0"/>
            </w:pPr>
            <w:r>
              <w:rPr>
                <w:b w:val="0"/>
                <w:i w:val="0"/>
                <w:sz w:val="19"/>
              </w:rPr>
              <w:t>From randomization, median PFS not reached with lanreotide versus 18 months placebo; HR 0.47 (95% CI 0.30–0.73). Twenty-four-month PFS 65.1% versus 33.0%. No significant OS or QoL difference in the primary report. Diarrhea 26% versus 9%.</w:t>
            </w:r>
          </w:p>
          <w:p>
            <w:pPr>
              <w:spacing w:after="0"/>
            </w:pPr>
            <w:r>
              <w:rPr>
                <w:b w:val="0"/>
                <w:i/>
                <w:sz w:val="19"/>
              </w:rPr>
              <w:t>Limits: Shows that stability and substantial survival without LT are plausible; does not estimate the added benefit of transplant or support treating all stable low-burden NET. G2 up to 20% and G3 are not represented by this &lt;10% trial threshold.</w:t>
            </w:r>
          </w:p>
          <w:p>
            <w:pPr>
              <w:spacing w:after="0"/>
            </w:pPr>
            <w:r>
              <w:rPr>
                <w:b w:val="0"/>
                <w:i w:val="0"/>
                <w:color w:val="5A6069"/>
                <w:sz w:val="18"/>
              </w:rPr>
              <w:t>N Engl J Med 2014;371:224–233; local complete PDF eligibility, Results and adverse-event table.</w:t>
            </w:r>
          </w:p>
        </w:tc>
      </w:tr>
      <w:tr>
        <w:trPr>
          <w:cantSplit/>
        </w:trPr>
        <w:tc>
          <w:tcPr>
            <w:tcW w:type="dxa" w:w="3360"/>
            <w:tcW w:w="2000" w:type="dxa"/>
            <w:shd w:val="clear" w:color="auto" w:fill="F1F5F8"/>
          </w:tcPr>
          <w:p>
            <w:pPr>
              <w:spacing w:after="0"/>
            </w:pPr>
            <w:r>
              <w:rPr>
                <w:b/>
                <w:i w:val="0"/>
                <w:sz w:val="19"/>
              </w:rPr>
              <w:t>Strosberg 2021 · NETTER-1 final OS</w:t>
            </w:r>
          </w:p>
        </w:tc>
        <w:tc>
          <w:tcPr>
            <w:tcW w:type="dxa" w:w="3360"/>
            <w:tcW w:w="3900" w:type="dxa"/>
            <w:shd w:val="clear" w:color="auto" w:fill="F1F5F8"/>
          </w:tcPr>
          <w:p>
            <w:pPr>
              <w:spacing w:after="0"/>
            </w:pPr>
            <w:r>
              <w:rPr>
                <w:b w:val="0"/>
                <w:i w:val="0"/>
                <w:sz w:val="19"/>
              </w:rPr>
              <w:t>NETTER-1 phase III randomized trial final OS follow-up: 360 assessed, 231 randomized (117 Lu-177-Dotatate, 114 high-dose octreotide), 223 treated in safety population. Progressive, well-differentiated G1/G2 SSTR-positive midgut NET on somatostatin analogue; not a liver-only transplant comparison. Corrected publisher version dated January 2022 reviewed.</w:t>
            </w:r>
          </w:p>
        </w:tc>
        <w:tc>
          <w:tcPr>
            <w:tcW w:type="dxa" w:w="3360"/>
            <w:tcW w:w="4180" w:type="dxa"/>
            <w:shd w:val="clear" w:color="auto" w:fill="F1F5F8"/>
          </w:tcPr>
          <w:p>
            <w:pPr>
              <w:spacing w:after="0"/>
            </w:pPr>
            <w:r>
              <w:rPr>
                <w:b w:val="0"/>
                <w:i w:val="0"/>
                <w:sz w:val="19"/>
              </w:rPr>
              <w:t>Time zero randomization; median follow-up about 76 months. Median OS 48.0 versus 36.3 months, HR 0.84 (95% CI 0.60–1.17), P=0.30; primary final OS endpoint not met. Forty-one of 114 controls (36%) crossed to PRRT. Two of 111 Lu-treated safety patients developed myelodysplastic syndrome, one fatal. Previously established PFS benefit and long-term tolerability remain relevant despite nonsignificant OS.</w:t>
            </w:r>
          </w:p>
          <w:p>
            <w:pPr>
              <w:spacing w:after="0"/>
            </w:pPr>
            <w:r>
              <w:rPr>
                <w:b w:val="0"/>
                <w:i/>
                <w:sz w:val="19"/>
              </w:rPr>
              <w:t>Limits: Crossover, additional therapies, attrition and distinct population prevent using median OS as a transplant counterfactual. Do not equate nonsignificant OS with no clinical activity, or assume PRRT has no long-term marrow risk.</w:t>
            </w:r>
          </w:p>
          <w:p>
            <w:pPr>
              <w:spacing w:after="0"/>
            </w:pPr>
            <w:r>
              <w:rPr>
                <w:b w:val="0"/>
                <w:i w:val="0"/>
                <w:color w:val="5A6069"/>
                <w:sz w:val="18"/>
              </w:rPr>
              <w:t>Lancet Oncol 2021;22:1752–1763; local corrected PDF pp.5–6 participant flow/crossover/OS; safety Results and Discussion.</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FFFFF"/>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Require a demonstrable benefit trigger; excellent predicted post-LT survival alone is not enough.</w:t>
      </w:r>
    </w:p>
    <w:p>
      <w:pPr>
        <w:numPr>
          <w:ilvl w:val="0"/>
          <w:numId w:val="5"/>
        </w:numPr>
        <w:spacing w:after="40"/>
      </w:pPr>
      <w:r>
        <w:rPr>
          <w:b w:val="0"/>
          <w:i w:val="0"/>
        </w:rPr>
        <w:t>Proposed requirements: favorable-biology unresectable liver disease with controlled primary, plus at least one trigger—refractory functioning syndrome, clinically meaningful liver-related functional compromise, or a prospectively documented credible threat to durable hepatic control despite reasonable alternatives. Do not require established irreversible failure before assessing benefit.</w:t>
      </w:r>
    </w:p>
    <w:p>
      <w:pPr>
        <w:numPr>
          <w:ilvl w:val="0"/>
          <w:numId w:val="5"/>
        </w:numPr>
        <w:spacing w:after="40"/>
      </w:pPr>
      <w:r>
        <w:rPr>
          <w:b w:val="0"/>
          <w:i w:val="0"/>
        </w:rPr>
        <w:t>NET oncology and an independent transplant/HPB reviewer must agree that LT offers meaningful additional survival or symptom/function benefit over the patient’s accessible options, with B2 biological stability satisfied.</w:t>
      </w:r>
    </w:p>
    <w:p>
      <w:pPr>
        <w:numPr>
          <w:ilvl w:val="0"/>
          <w:numId w:val="5"/>
        </w:numPr>
        <w:spacing w:after="40"/>
      </w:pPr>
      <w:r>
        <w:rPr>
          <w:b w:val="0"/>
          <w:i w:val="0"/>
        </w:rPr>
        <w:t>Asymptomatic stable low-burden disease with preserved hepatic function and reasonable durable options defaults to continued non-LT care/observation. Evaluate at least one appropriate treatment strategy; do not require two failures or exhaustion of every therapy. Do not use ENETS illustrative &lt;30%/≥70% figures as a validated calculator.</w:t>
      </w:r>
    </w:p>
    <w:p>
      <w:pPr>
        <w:spacing w:after="80"/>
      </w:pPr>
      <w:r>
        <w:rPr>
          <w:b/>
          <w:i w:val="0"/>
        </w:rPr>
        <w:t xml:space="preserve">Why: </w:t>
      </w:r>
      <w:r>
        <w:rPr>
          <w:b w:val="0"/>
          <w:i w:val="0"/>
        </w:rPr>
        <w:t>Selected NET recipients can have excellent long-term survival, and comparative cohorts suggest potential benefit, especially over a decade. However, good post-LT survival is not synonymous with large incremental benefit: non-LT eligible patients can also live many years. The best Milan comparison adjusted delayed LT entry but remains confounded and predates most modern sequencing. The multicentre main-body matched OS difference is smaller than its abstract suggests. A credible benefit assessment must include both long-term hepatic threat and competing treatment/transplant harms.</w:t>
      </w:r>
    </w:p>
    <w:p>
      <w:pPr>
        <w:spacing w:after="80"/>
      </w:pPr>
      <w:r>
        <w:rPr>
          <w:b/>
          <w:i w:val="0"/>
        </w:rPr>
        <w:t xml:space="preserve">Against, or uncertain: </w:t>
      </w:r>
      <w:r>
        <w:rPr>
          <w:b w:val="0"/>
          <w:i w:val="0"/>
        </w:rPr>
        <w:t>Kjaer's eligibility-based non-LT cohort had substantial long-term survival; CLARINET supports prolonged control for indolent Ki-67 &lt;10% disease. CABINET and PRRT offer additional disease-control options, but none is a randomized comparator to LT. Conversely, requiring every systemic option to fail may forfeit the transplant window and is not tested. Maspero documents late multisite recurrence and non-cancer deaths despite excellent LT survival.</w:t>
      </w:r>
    </w:p>
    <w:p>
      <w:pPr>
        <w:spacing w:after="80"/>
      </w:pPr>
      <w:r>
        <w:rPr>
          <w:b/>
          <w:i w:val="0"/>
        </w:rPr>
        <w:t xml:space="preserve">Certainty: </w:t>
      </w:r>
      <w:r>
        <w:rPr>
          <w:b w:val="0"/>
          <w:i w:val="0"/>
        </w:rPr>
        <w:t>Low certainty for a causal LT benefit magnitude and any individual benefit cutoff; moderate certainty that NET biology and modern alternatives vary greatly. High-quality systemic-trial efficacy is indirect for transplant selection. No validated calculator supports the ENETS illustrative 30%/70% survival targets.</w:t>
      </w:r>
    </w:p>
    <w:p>
      <w:pPr>
        <w:spacing w:after="80"/>
      </w:pPr>
      <w:r>
        <w:rPr>
          <w:b/>
          <w:i w:val="0"/>
        </w:rPr>
        <w:t xml:space="preserve">Tests and records: </w:t>
      </w:r>
      <w:r>
        <w:rPr>
          <w:b w:val="0"/>
          <w:i w:val="0"/>
        </w:rPr>
        <w:t>Functional syndrome and treatment response; symptoms/liver reserve; growth trajectory; SSTR status and treatment alternatives; patient goals; independent benefit review.</w:t>
      </w:r>
    </w:p>
    <w:p>
      <w:pPr>
        <w:spacing w:after="80"/>
      </w:pPr>
      <w:r>
        <w:rPr>
          <w:b/>
          <w:i w:val="0"/>
        </w:rPr>
        <w:t xml:space="preserve">Allocation: </w:t>
      </w:r>
      <w:r>
        <w:rPr>
          <w:b w:val="0"/>
          <w:i w:val="0"/>
        </w:rPr>
        <w:t>Favorable clinical prognosis does not establish urgency, exception entitlement or a reason to expose a healthy donor.</w:t>
      </w:r>
    </w:p>
    <w:p>
      <w:pPr>
        <w:spacing w:after="40"/>
      </w:pPr>
      <w:r>
        <w:rPr>
          <w:b/>
          <w:i w:val="0"/>
        </w:rPr>
        <w:t xml:space="preserve">Basis for the proposed thresholds: </w:t>
      </w:r>
    </w:p>
    <w:p>
      <w:pPr>
        <w:numPr>
          <w:ilvl w:val="0"/>
          <w:numId w:val="5"/>
        </w:numPr>
        <w:spacing w:after="40"/>
      </w:pPr>
      <w:r>
        <w:rPr>
          <w:b w:val="0"/>
          <w:i w:val="0"/>
        </w:rPr>
        <w:t>No randomized study validates a minimum survival-gain percentage, two-line failure count, or ENETS &lt;30% versus ≥70% prediction. Six-month observation screens biology but does not prove added benefit. Any local two-reviewer requirement and reassessment cadence are governance, not biological cutoffs.</w:t>
      </w:r>
    </w:p>
    <w:p>
      <w:pPr>
        <w:pStyle w:val="Heading3"/>
        <w:keepNext/>
        <w:spacing w:before="120" w:after="80"/>
      </w:pPr>
      <w:r>
        <w:rPr>
          <w:b w:val="0"/>
          <w:i w:val="0"/>
        </w:rPr>
        <w:t>NET-B1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NET-B2 — Primary site, grade and disease control</w:t>
      </w:r>
    </w:p>
    <w:p>
      <w:pPr>
        <w:spacing w:after="80"/>
      </w:pPr>
      <w:r>
        <w:rPr>
          <w:b w:val="0"/>
          <w:i w:val="0"/>
          <w:color w:val="5A6069"/>
          <w:sz w:val="18"/>
        </w:rPr>
        <w:t>Review initial selection limits · not activated · High-risk review</w:t>
      </w:r>
    </w:p>
    <w:p>
      <w:pPr>
        <w:spacing w:after="80"/>
      </w:pPr>
      <w:r>
        <w:rPr>
          <w:b/>
          <w:i w:val="0"/>
        </w:rPr>
        <w:t xml:space="preserve">Question: </w:t>
      </w:r>
      <w:r>
        <w:rPr>
          <w:b w:val="0"/>
          <w:i w:val="0"/>
        </w:rPr>
        <w:t>What is guideline-aligned versus an expanded-risk proposal?</w:t>
      </w:r>
    </w:p>
    <w:p>
      <w:pPr>
        <w:spacing w:after="80"/>
      </w:pPr>
      <w:r>
        <w:rPr>
          <w:b/>
          <w:i w:val="0"/>
        </w:rPr>
        <w:t xml:space="preserve">When it applies: </w:t>
      </w:r>
      <w:r>
        <w:rPr>
          <w:b w:val="0"/>
          <w:i w:val="0"/>
        </w:rPr>
        <w:t>Confirm differentiation, primary site and the duration of disease control. Previous extrahepatic disease has its own review (NET-B4).</w:t>
      </w:r>
    </w:p>
    <w:p>
      <w:pPr>
        <w:spacing w:after="80"/>
      </w:pPr>
      <w:r>
        <w:rPr>
          <w:b/>
          <w:i w:val="0"/>
        </w:rPr>
        <w:t xml:space="preserve">Where it is decided: </w:t>
      </w:r>
      <w:hyperlink r:id="rId10">
        <w:r>
          <w:rPr>
            <w:color w:val="0563C1"/>
            <w:u w:val="single"/>
          </w:rPr>
          <w:t xml:space="preserve">Confirm differentiation and grade</w:t>
        </w:r>
      </w:hyperlink>
      <w:r>
        <w:rPr>
          <w:b w:val="0"/>
          <w:i w:val="0"/>
        </w:rPr>
        <w:t xml:space="preserve"> · </w:t>
      </w:r>
      <w:hyperlink r:id="rId11">
        <w:r>
          <w:rPr>
            <w:color w:val="0563C1"/>
            <w:u w:val="single"/>
          </w:rPr>
          <w:t xml:space="preserve">Stage disease and confirm primary treatment</w:t>
        </w:r>
      </w:hyperlink>
      <w:r>
        <w:rPr>
          <w:b w:val="0"/>
          <w:i w:val="0"/>
        </w:rPr>
        <w:t xml:space="preserve"> · </w:t>
      </w:r>
      <w:hyperlink r:id="rId12">
        <w:r>
          <w:rPr>
            <w:color w:val="0563C1"/>
            <w:u w:val="single"/>
          </w:rPr>
          <w:t xml:space="preserve">Verify disease control</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“mitotic rate less than 20 per 10 HPF and index less than 20%.” Retain the exact published guidance threshold and clarify pathology sampling/measurement uncertainty.</w:t>
            </w:r>
          </w:p>
        </w:tc>
        <w:tc>
          <w:tcPr>
            <w:tcW w:type="dxa" w:w="3360"/>
            <w:tcW w:w="2400" w:type="dxa"/>
            <w:shd w:val="clear" w:color="auto" w:fill="F1F5F8"/>
          </w:tcPr>
          <w:p>
            <w:pPr>
              <w:spacing w:after="0"/>
            </w:pPr>
            <w:r>
              <w:rPr>
                <w:b w:val="0"/>
                <w:i w:val="0"/>
                <w:color w:val="5A6069"/>
                <w:sz w:val="18"/>
              </w:rPr>
              <w:t>December 2025 oncology guidance p8, NET criterion 3</w:t>
            </w:r>
          </w:p>
        </w:tc>
      </w:tr>
      <w:tr>
        <w:trPr>
          <w:cantSplit/>
        </w:trPr>
        <w:tc>
          <w:tcPr>
            <w:tcW w:type="dxa" w:w="3360"/>
            <w:tcW w:w="2200" w:type="dxa"/>
            <w:shd w:val="clear" w:color="auto" w:fill="FFFFFF"/>
          </w:tcPr>
          <w:p>
            <w:pPr>
              <w:spacing w:after="0"/>
            </w:pPr>
            <w:r>
              <w:rPr>
                <w:b/>
                <w:i w:val="0"/>
                <w:sz w:val="19"/>
              </w:rPr>
              <w:t>Mazzaferro 2016 · Milan-NET</w:t>
            </w:r>
          </w:p>
        </w:tc>
        <w:tc>
          <w:tcPr>
            <w:tcW w:type="dxa" w:w="3360"/>
            <w:tcW w:w="5480" w:type="dxa"/>
            <w:shd w:val="clear" w:color="auto" w:fill="FFFFFF"/>
          </w:tcPr>
          <w:p>
            <w:pPr>
              <w:spacing w:after="0"/>
            </w:pPr>
            <w:r>
              <w:rPr>
                <w:b w:val="0"/>
                <w:i w:val="0"/>
                <w:sz w:val="19"/>
              </w:rPr>
              <w:t>“Stable disease/response to therapies for at least 6 months prior to transplant consideration” A biological selection interval; the proposed three-scan workflow is not itself a validated benefit predictor.</w:t>
            </w:r>
          </w:p>
        </w:tc>
        <w:tc>
          <w:tcPr>
            <w:tcW w:type="dxa" w:w="3360"/>
            <w:tcW w:w="2400" w:type="dxa"/>
            <w:shd w:val="clear" w:color="auto" w:fill="FFFFFF"/>
          </w:tcPr>
          <w:p>
            <w:pPr>
              <w:spacing w:after="0"/>
            </w:pPr>
            <w:r>
              <w:rPr>
                <w:b w:val="0"/>
                <w:i w:val="0"/>
                <w:color w:val="5A6069"/>
                <w:sz w:val="18"/>
              </w:rPr>
              <w:t>Milan-NET, Table 1, PDF p2 / journal p2893</w:t>
            </w:r>
          </w:p>
        </w:tc>
      </w:tr>
      <w:tr>
        <w:trPr>
          <w:cantSplit/>
        </w:trPr>
        <w:tc>
          <w:tcPr>
            <w:tcW w:type="dxa" w:w="3360"/>
            <w:tcW w:w="2200" w:type="dxa"/>
            <w:shd w:val="clear" w:color="auto" w:fill="F1F5F8"/>
          </w:tcPr>
          <w:p>
            <w:pPr>
              <w:spacing w:after="0"/>
            </w:pPr>
            <w:r>
              <w:rPr>
                <w:b/>
                <w:i w:val="0"/>
                <w:sz w:val="19"/>
              </w:rPr>
              <w:t>ENETS 2026</w:t>
            </w:r>
          </w:p>
        </w:tc>
        <w:tc>
          <w:tcPr>
            <w:tcW w:type="dxa" w:w="3360"/>
            <w:tcW w:w="5480" w:type="dxa"/>
            <w:shd w:val="clear" w:color="auto" w:fill="F1F5F8"/>
          </w:tcPr>
          <w:p>
            <w:pPr>
              <w:spacing w:after="0"/>
            </w:pPr>
            <w:r>
              <w:rPr>
                <w:b w:val="0"/>
                <w:i w:val="0"/>
                <w:sz w:val="19"/>
              </w:rPr>
              <w:t>“solitary bone lesions amenable to local treatment” ENETS discusses selected controllable extrahepatic sites, including this example. Current NLRB solid-organ-metastasis exclusion is stricter. I favor no initial expansion despite this emerging clinical-consensus proposal.</w:t>
            </w:r>
          </w:p>
        </w:tc>
        <w:tc>
          <w:tcPr>
            <w:tcW w:type="dxa" w:w="3360"/>
            <w:tcW w:w="2400" w:type="dxa"/>
            <w:shd w:val="clear" w:color="auto" w:fill="F1F5F8"/>
          </w:tcPr>
          <w:p>
            <w:pPr>
              <w:spacing w:after="0"/>
            </w:pPr>
            <w:r>
              <w:rPr>
                <w:b w:val="0"/>
                <w:i w:val="0"/>
                <w:color w:val="5A6069"/>
                <w:sz w:val="18"/>
              </w:rPr>
              <w:t>2026 full-text PDF p3, section 4, proposed candidate profile</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Eshmuminov 2023 · LT versus resection</w:t>
            </w:r>
          </w:p>
        </w:tc>
        <w:tc>
          <w:tcPr>
            <w:tcW w:type="dxa" w:w="3360"/>
            <w:tcW w:w="3900" w:type="dxa"/>
            <w:shd w:val="clear" w:color="auto" w:fill="FFFFFF"/>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FFFFF"/>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1F5F8"/>
          </w:tcPr>
          <w:p>
            <w:pPr>
              <w:spacing w:after="0"/>
            </w:pPr>
            <w:r>
              <w:rPr>
                <w:b/>
                <w:i w:val="0"/>
                <w:sz w:val="19"/>
              </w:rPr>
              <w:t>Boscà 2026 · Spain</w:t>
            </w:r>
          </w:p>
        </w:tc>
        <w:tc>
          <w:tcPr>
            <w:tcW w:type="dxa" w:w="3360"/>
            <w:tcW w:w="3900" w:type="dxa"/>
            <w:shd w:val="clear" w:color="auto" w:fill="F1F5F8"/>
          </w:tcPr>
          <w:p>
            <w:pPr>
              <w:spacing w:after="0"/>
            </w:pPr>
            <w:r>
              <w:rPr>
                <w:b w:val="0"/>
                <w:i w:val="0"/>
                <w:sz w:val="19"/>
              </w:rPr>
              <w:t>Spanish 13-centre retrospective series of 91 NET LT recipients, 1995–2024; 41 transplanted before 2007; 71 Milan-IN and 20 Milan-OUT. Mixed primary sites/eras and deviations. Pathology data missing in more than 30%; Ki-67 available in 51, with only one documented &gt;20%. Milan-OUT combines different burden, primary, grade and other deviations; it is not a controlled trial of a single burden expansion.</w:t>
            </w:r>
          </w:p>
        </w:tc>
        <w:tc>
          <w:tcPr>
            <w:tcW w:type="dxa" w:w="3360"/>
            <w:tcW w:w="4180" w:type="dxa"/>
            <w:shd w:val="clear" w:color="auto" w:fill="F1F5F8"/>
          </w:tcPr>
          <w:p>
            <w:pPr>
              <w:spacing w:after="0"/>
            </w:pPr>
            <w:r>
              <w:rPr>
                <w:b w:val="0"/>
                <w:i w:val="0"/>
                <w:sz w:val="19"/>
              </w:rPr>
              <w:t>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spacing w:after="0"/>
            </w:pPr>
            <w:r>
              <w:rPr>
                <w:b w:val="0"/>
                <w:i/>
                <w:sz w:val="19"/>
              </w:rPr>
              <w:t>Limits: Era, missing pathology, small OUT group and composite deviations preclude validating 50–70% burden, age ≥60, G3 or extrahepatic expansion individually. Nonsignificant DFS is not equivalence. The abstract rounds OUT five-year OS differently; use Table 5 value with locator.</w:t>
            </w:r>
          </w:p>
          <w:p>
            <w:pPr>
              <w:spacing w:after="0"/>
            </w:pPr>
            <w:r>
              <w:rPr>
                <w:b w:val="0"/>
                <w:i w:val="0"/>
                <w:color w:val="5A6069"/>
                <w:sz w:val="18"/>
              </w:rPr>
              <w:t>J Clin Med 2026;15:938; complete PDF Results, Tables 2–5, postoperative mortality/retransplantation and limitations.</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retrospective multicentre study, 213 recipients at 35 centres, 1982–2009; 107 before 2000 and 106 thereafter. Published primary abstract reviewed. Heterogeneous historical NET pathology and selection; 55% had hepatomegaly. Major additional resection in 24 and minor in 30. Historical poor differentiation is not interchangeable with modern well-differentiated G3.</w:t>
            </w:r>
          </w:p>
        </w:tc>
        <w:tc>
          <w:tcPr>
            <w:tcW w:type="dxa" w:w="3360"/>
            <w:tcW w:w="4180" w:type="dxa"/>
            <w:shd w:val="clear" w:color="auto" w:fill="FFFFFF"/>
          </w:tcPr>
          <w:p>
            <w:pPr>
              <w:spacing w:after="0"/>
            </w:pPr>
            <w:r>
              <w:rPr>
                <w:b w:val="0"/>
                <w:i w:val="0"/>
                <w:sz w:val="19"/>
              </w:rPr>
              <w:t>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spacing w:after="0"/>
            </w:pPr>
            <w:r>
              <w:rPr>
                <w:b w:val="0"/>
                <w:i/>
                <w:sz w:val="19"/>
              </w:rPr>
              <w:t>Limits: 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p>
            <w:pPr>
              <w:spacing w:after="0"/>
            </w:pPr>
            <w:r>
              <w:rPr>
                <w:b w:val="0"/>
                <w:i w:val="0"/>
                <w:color w:val="5A6069"/>
                <w:sz w:val="18"/>
              </w:rPr>
              <w:t>Ann Surg 2013 DOI10.1097/SLA.0b013e31828ee17c; PMID23532105 primary abstract; complete PDF not located.</w:t>
            </w:r>
          </w:p>
        </w:tc>
      </w:tr>
      <w:tr>
        <w:trPr>
          <w:cantSplit/>
        </w:trPr>
        <w:tc>
          <w:tcPr>
            <w:tcW w:type="dxa" w:w="3360"/>
            <w:tcW w:w="2000" w:type="dxa"/>
            <w:shd w:val="clear" w:color="auto" w:fill="F1F5F8"/>
          </w:tcPr>
          <w:p>
            <w:pPr>
              <w:spacing w:after="0"/>
            </w:pPr>
            <w:r>
              <w:rPr>
                <w:b/>
                <w:i w:val="0"/>
                <w:sz w:val="19"/>
              </w:rPr>
              <w:t>NETTER-2</w:t>
            </w:r>
          </w:p>
        </w:tc>
        <w:tc>
          <w:tcPr>
            <w:tcW w:type="dxa" w:w="3360"/>
            <w:tcW w:w="3900" w:type="dxa"/>
            <w:shd w:val="clear" w:color="auto" w:fill="F1F5F8"/>
          </w:tcPr>
          <w:p>
            <w:pPr>
              <w:spacing w:after="0"/>
            </w:pPr>
            <w:r>
              <w:rPr>
                <w:b w:val="0"/>
                <w:i w:val="0"/>
                <w:sz w:val="19"/>
              </w:rPr>
              <w:t>NETTER-2 open-label phase III randomized trial: 261 screened, 226 randomized, 151 Lu-177-Dotatate plus octreotide and 75 high-dose octreotide. Newly diagnosed advanced well-differentiated G2 Ki-67 10–20% and G3 &gt;20–55%, SSTR-positive in all target lesions. G3 NET is biologically distinct from poorly differentiated NEC. This was not a trial of transplant eligibility or transplant bridging.</w:t>
            </w:r>
          </w:p>
        </w:tc>
        <w:tc>
          <w:tcPr>
            <w:tcW w:type="dxa" w:w="3360"/>
            <w:tcW w:w="4180" w:type="dxa"/>
            <w:shd w:val="clear" w:color="auto" w:fill="F1F5F8"/>
          </w:tcPr>
          <w:p>
            <w:pPr>
              <w:spacing w:after="0"/>
            </w:pPr>
            <w:r>
              <w:rPr>
                <w:b w:val="0"/>
                <w:i w:val="0"/>
                <w:sz w:val="19"/>
              </w:rPr>
              <w:t>Time zero randomization. Median PFS 22.8 versus 8.5 months, HR 0.276 (95% CI 0.182–0.418); objective response 43% versus 9.3%. OS was not mature. Safety populations 147 and 73: any grade ≥3 events 35% versus 27%, related grade ≥3 events 16% versus 4%; one myelodysplastic syndrome case and three grade-3 nephrotoxicity events in Lu-treated patients; no drug-related deaths reported.</w:t>
            </w:r>
          </w:p>
          <w:p>
            <w:pPr>
              <w:spacing w:after="0"/>
            </w:pPr>
            <w:r>
              <w:rPr>
                <w:b w:val="0"/>
                <w:i/>
                <w:sz w:val="19"/>
              </w:rPr>
              <w:t>Limits: Compelling systemic disease-control evidence for selected well-differentiated G2/G3, not evidence that responding G3 becomes suitable for LT or that marrow/renal injury is irrelevant to future transplantation. No NEC efficacy extrapolation. Full article reviewed now, upgrading prior abstract-only status.</w:t>
            </w:r>
          </w:p>
          <w:p>
            <w:pPr>
              <w:spacing w:after="0"/>
            </w:pPr>
            <w:r>
              <w:rPr>
                <w:b w:val="0"/>
                <w:i w:val="0"/>
                <w:color w:val="5A6069"/>
                <w:sz w:val="18"/>
              </w:rPr>
              <w:t>Lancet 2024;403:2807–2817; complete PDF eligibility, efficacy, safety and Discussion.</w:t>
            </w:r>
          </w:p>
        </w:tc>
      </w:tr>
      <w:tr>
        <w:trPr>
          <w:cantSplit/>
        </w:trPr>
        <w:tc>
          <w:tcPr>
            <w:tcW w:type="dxa" w:w="3360"/>
            <w:tcW w:w="2000" w:type="dxa"/>
            <w:shd w:val="clear" w:color="auto" w:fill="FFFFFF"/>
          </w:tcPr>
          <w:p>
            <w:pPr>
              <w:spacing w:after="0"/>
            </w:pPr>
            <w:r>
              <w:rPr>
                <w:b/>
                <w:i w:val="0"/>
                <w:sz w:val="19"/>
              </w:rPr>
              <w:t>Chen 2026 · PRRT after LT</w:t>
            </w:r>
          </w:p>
        </w:tc>
        <w:tc>
          <w:tcPr>
            <w:tcW w:type="dxa" w:w="3360"/>
            <w:tcW w:w="3900" w:type="dxa"/>
            <w:shd w:val="clear" w:color="auto" w:fill="FFFFFF"/>
          </w:tcPr>
          <w:p>
            <w:pPr>
              <w:spacing w:after="0"/>
            </w:pPr>
            <w:r>
              <w:rPr>
                <w:b w:val="0"/>
                <w:i w:val="0"/>
                <w:sz w:val="19"/>
              </w:rPr>
              <w:t>Retrospective seven-recipient case series of PRRT for recurrent NET after LT; abstract-only verification. Post-LT recurrence, not pretransplant bridging or a selection study.</w:t>
            </w:r>
          </w:p>
        </w:tc>
        <w:tc>
          <w:tcPr>
            <w:tcW w:type="dxa" w:w="3360"/>
            <w:tcW w:w="4180" w:type="dxa"/>
            <w:shd w:val="clear" w:color="auto" w:fill="FFFFFF"/>
          </w:tcPr>
          <w:p>
            <w:pPr>
              <w:spacing w:after="0"/>
            </w:pPr>
            <w:r>
              <w:rPr>
                <w:b w:val="0"/>
                <w:i w:val="0"/>
                <w:sz w:val="19"/>
              </w:rPr>
              <w:t>One partial response, five stable disease, one progression. Two grade-III myelosuppression events, one treatment cessation; proteinuria in four. No rejection reported over limited follow-up.</w:t>
            </w:r>
          </w:p>
          <w:p>
            <w:pPr>
              <w:spacing w:after="0"/>
            </w:pPr>
            <w:r>
              <w:rPr>
                <w:b w:val="0"/>
                <w:i/>
                <w:sz w:val="19"/>
              </w:rPr>
              <w:t>Limits: No control, tiny denominator and short follow-up; does not demonstrate durable salvage, long-term graft safety, or justify enrolling G3/extrahepatic cases because PRRT is available later.</w:t>
            </w:r>
          </w:p>
          <w:p>
            <w:pPr>
              <w:spacing w:after="0"/>
            </w:pPr>
            <w:r>
              <w:rPr>
                <w:b w:val="0"/>
                <w:i w:val="0"/>
                <w:color w:val="5A6069"/>
                <w:sz w:val="18"/>
              </w:rPr>
              <w:t>Transplant Proc 2026;58:526–531; DOI10.1016/j.transproceed.2026.02.019, PMID41760506 abstract.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1F5F8"/>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FFFFF"/>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Activate only well-differentiated G1/G2 disease from a known portal-drained GEP primary; retain a six-month biology test.</w:t>
      </w:r>
    </w:p>
    <w:p>
      <w:pPr>
        <w:numPr>
          <w:ilvl w:val="0"/>
          <w:numId w:val="5"/>
        </w:numPr>
        <w:spacing w:after="40"/>
      </w:pPr>
      <w:r>
        <w:rPr>
          <w:b w:val="0"/>
          <w:i w:val="0"/>
        </w:rPr>
        <w:t>Require expert pathology with Ki-67 &lt;20% and the applicable mitotic criterion; use the highest reliable representative grade. Exactly 20%, rounding uncertainty or discordance is HOLD for adjudication, not rounding down. Do not impose an unsupported Ki-67 &lt;10 rule or blanket G2 ban.</w:t>
      </w:r>
    </w:p>
    <w:p>
      <w:pPr>
        <w:numPr>
          <w:ilvl w:val="0"/>
          <w:numId w:val="5"/>
        </w:numPr>
        <w:spacing w:after="40"/>
      </w:pPr>
      <w:r>
        <w:rPr>
          <w:b w:val="0"/>
          <w:i w:val="0"/>
        </w:rPr>
        <w:t>G3, NEC and unknown/nonportal primary have no active cohort in this edition. Extrahepatic disease, active or previously treated, follows NET-B4: resected nodes may qualify after clearance; previous solid-organ metastases do not.</w:t>
      </w:r>
    </w:p>
    <w:p>
      <w:pPr>
        <w:numPr>
          <w:ilvl w:val="0"/>
          <w:numId w:val="5"/>
        </w:numPr>
        <w:spacing w:after="40"/>
      </w:pPr>
      <w:r>
        <w:rPr>
          <w:b w:val="0"/>
          <w:i w:val="0"/>
        </w:rPr>
        <w:t>Require ≥6 months of stable/responding hepatic disease and ≥6 months without recurrence after primary/extrahepatic clearance. Proposed documentation: at least three comparable assessments spanning baseline, about three months and six months. A suspicious new site is HOLD; confirmed progression restarts observation.</w:t>
      </w:r>
    </w:p>
    <w:p>
      <w:pPr>
        <w:spacing w:after="80"/>
      </w:pPr>
      <w:r>
        <w:rPr>
          <w:b/>
          <w:i w:val="0"/>
        </w:rPr>
        <w:t xml:space="preserve">Why: </w:t>
      </w:r>
      <w:r>
        <w:rPr>
          <w:b w:val="0"/>
          <w:i w:val="0"/>
        </w:rPr>
        <w:t>Evidence supports carefully selected well-differentiated G1/G2 portal-drained GEP primaries with cleared primary/extrahepatic disease and observed control. G2 has worse prognosis than G1 in the multicentre series but still meaningful selected survival, so a universal Ki-67 &lt;10% rule would discard potentially suitable G2 without validation. Well-differentiated G3 and poorly differentiated NEC must be separated diagnostically, yet neither has an established LT-benefit pathway. Prior primary regional nodal positivity is not equivalent to active unresected extrahepatic disease.</w:t>
      </w:r>
    </w:p>
    <w:p>
      <w:pPr>
        <w:spacing w:after="80"/>
      </w:pPr>
      <w:r>
        <w:rPr>
          <w:b/>
          <w:i w:val="0"/>
        </w:rPr>
        <w:t xml:space="preserve">Against, or uncertain: </w:t>
      </w:r>
      <w:r>
        <w:rPr>
          <w:b w:val="0"/>
          <w:i w:val="0"/>
        </w:rPr>
        <w:t>Milan LT cohorts included many patients whose primary nodes had been positive, so 'ever node-positive means never LT' is too broad. However, retrospective final-pathology positive nodes do not negate the current cleared-disease requirement. Spanish OUT cases and the tiny G3 subgroup are too heterogeneous to validate expansion. NETTER-2 proves PRRT activity in selected G3, not LT efficacy after response; seven post-LT PRRT cases cannot guarantee safe salvage. ENETS controllable bone disease conflicts with NLRB's solid-organ exclusion.</w:t>
      </w:r>
    </w:p>
    <w:p>
      <w:pPr>
        <w:spacing w:after="80"/>
      </w:pPr>
      <w:r>
        <w:rPr>
          <w:b/>
          <w:i w:val="0"/>
        </w:rPr>
        <w:t xml:space="preserve">Certainty: </w:t>
      </w:r>
      <w:r>
        <w:rPr>
          <w:b w:val="0"/>
          <w:i w:val="0"/>
        </w:rPr>
        <w:t>Low-to-moderate certainty for G1/G2 prognostic distinction and cautious standard selection; very low certainty for G3, nonportal/unknown primary, active nodes or prior solid-organ metastasis expansions. Official allocation exclusions should be reported separately from biological evidence.</w:t>
      </w:r>
    </w:p>
    <w:p>
      <w:pPr>
        <w:spacing w:after="80"/>
      </w:pPr>
      <w:r>
        <w:rPr>
          <w:b/>
          <w:i w:val="0"/>
        </w:rPr>
        <w:t xml:space="preserve">Tests and records: </w:t>
      </w:r>
      <w:r>
        <w:rPr>
          <w:b w:val="0"/>
          <w:i w:val="0"/>
        </w:rPr>
        <w:t>Expert grade/Ki-67/mitoses and primary origin; SSTR staging and cross-sectional imaging; complete primary/node/EHD clearance history; three-assessment timeline.</w:t>
      </w:r>
    </w:p>
    <w:p>
      <w:pPr>
        <w:spacing w:after="80"/>
      </w:pPr>
      <w:r>
        <w:rPr>
          <w:b/>
          <w:i w:val="0"/>
        </w:rPr>
        <w:t xml:space="preserve">Allocation: </w:t>
      </w:r>
      <w:r>
        <w:rPr>
          <w:b w:val="0"/>
          <w:i w:val="0"/>
        </w:rPr>
        <w:t>Current NET guidance and clinical consensus differ on some boundaries; favorable guidance does not remove the need to prove B1 benefit.</w:t>
      </w:r>
    </w:p>
    <w:p>
      <w:pPr>
        <w:spacing w:after="40"/>
      </w:pPr>
      <w:r>
        <w:rPr>
          <w:b/>
          <w:i w:val="0"/>
        </w:rPr>
        <w:t xml:space="preserve">Basis for the proposed thresholds: </w:t>
      </w:r>
    </w:p>
    <w:p>
      <w:pPr>
        <w:numPr>
          <w:ilvl w:val="0"/>
          <w:numId w:val="5"/>
        </w:numPr>
        <w:spacing w:after="40"/>
      </w:pPr>
      <w:r>
        <w:rPr>
          <w:b w:val="0"/>
          <w:i w:val="0"/>
        </w:rPr>
        <w:t>Ki-67 &lt;20% and six months after primary/extrahepatic clearance reflect current NLRB wording; modern WHO grading and the exact-20 boundary need explicit reconciliation. Six months stability derives from selection traditions, not a randomized timing trial. Three serial scans at roughly 0/3/6 months are a proposed local demonstration schedule, not a national mandated scan count.</w:t>
      </w:r>
    </w:p>
    <w:p>
      <w:pPr>
        <w:pStyle w:val="Heading3"/>
        <w:keepNext/>
        <w:spacing w:before="120" w:after="80"/>
      </w:pPr>
      <w:r>
        <w:rPr>
          <w:b w:val="0"/>
          <w:i w:val="0"/>
        </w:rPr>
        <w:t>NET-B2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NET-B3 — Age and liver tumor burden</w:t>
      </w:r>
    </w:p>
    <w:p>
      <w:pPr>
        <w:spacing w:after="80"/>
      </w:pPr>
      <w:r>
        <w:rPr>
          <w:b w:val="0"/>
          <w:i w:val="0"/>
          <w:color w:val="5A6069"/>
          <w:sz w:val="18"/>
        </w:rPr>
        <w:t>Individual review · expansion not activated · not activated · High-risk review</w:t>
      </w:r>
    </w:p>
    <w:p>
      <w:pPr>
        <w:spacing w:after="80"/>
      </w:pPr>
      <w:r>
        <w:rPr>
          <w:b/>
          <w:i w:val="0"/>
        </w:rPr>
        <w:t xml:space="preserve">Question: </w:t>
      </w:r>
      <w:r>
        <w:rPr>
          <w:b w:val="0"/>
          <w:i w:val="0"/>
        </w:rPr>
        <w:t>Should age or burden remain local selection factors without being called national rules?</w:t>
      </w:r>
    </w:p>
    <w:p>
      <w:pPr>
        <w:spacing w:after="80"/>
      </w:pPr>
      <w:r>
        <w:rPr>
          <w:b/>
          <w:i w:val="0"/>
        </w:rPr>
        <w:t xml:space="preserve">When it applies: </w:t>
      </w:r>
      <w:r>
        <w:rPr>
          <w:b w:val="0"/>
          <w:i w:val="0"/>
        </w:rPr>
        <w:t>Age and liver replacement require individual benefit assessment; proposed expanded groups remain unactivated.</w:t>
      </w:r>
    </w:p>
    <w:p>
      <w:pPr>
        <w:spacing w:after="80"/>
      </w:pPr>
      <w:r>
        <w:rPr>
          <w:b/>
          <w:i w:val="0"/>
        </w:rPr>
        <w:t xml:space="preserve">Where it is decided: </w:t>
      </w:r>
      <w:hyperlink r:id="rId14">
        <w:r>
          <w:rPr>
            <w:color w:val="0563C1"/>
            <w:u w:val="single"/>
          </w:rPr>
          <w:t xml:space="preserve">Request and renew the MELD exception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Mazzaferro 2016 · Milan-NET</w:t>
            </w:r>
          </w:p>
        </w:tc>
        <w:tc>
          <w:tcPr>
            <w:tcW w:type="dxa" w:w="3360"/>
            <w:tcW w:w="5480" w:type="dxa"/>
            <w:shd w:val="clear" w:color="auto" w:fill="F1F5F8"/>
          </w:tcPr>
          <w:p>
            <w:pPr>
              <w:spacing w:after="0"/>
            </w:pPr>
            <w:r>
              <w:rPr>
                <w:b w:val="0"/>
                <w:i w:val="0"/>
                <w:sz w:val="19"/>
              </w:rPr>
              <w:t>“Metastatic diffusion to &lt;50% of the total liver volume” A selection criterion in the Milan framework, not a national allocation ceiling.</w:t>
            </w:r>
          </w:p>
        </w:tc>
        <w:tc>
          <w:tcPr>
            <w:tcW w:type="dxa" w:w="3360"/>
            <w:tcW w:w="2400" w:type="dxa"/>
            <w:shd w:val="clear" w:color="auto" w:fill="F1F5F8"/>
          </w:tcPr>
          <w:p>
            <w:pPr>
              <w:spacing w:after="0"/>
            </w:pPr>
            <w:r>
              <w:rPr>
                <w:b w:val="0"/>
                <w:i w:val="0"/>
                <w:color w:val="5A6069"/>
                <w:sz w:val="18"/>
              </w:rPr>
              <w:t>Milan-NET, Table 1, PDF p2 / journal p2893</w:t>
            </w:r>
          </w:p>
        </w:tc>
      </w:tr>
      <w:tr>
        <w:trPr>
          <w:cantSplit/>
        </w:trPr>
        <w:tc>
          <w:tcPr>
            <w:tcW w:type="dxa" w:w="3360"/>
            <w:tcW w:w="2200" w:type="dxa"/>
            <w:shd w:val="clear" w:color="auto" w:fill="FFFFFF"/>
          </w:tcPr>
          <w:p>
            <w:pPr>
              <w:spacing w:after="0"/>
            </w:pPr>
            <w:r>
              <w:rPr>
                <w:b/>
                <w:i w:val="0"/>
                <w:sz w:val="19"/>
              </w:rPr>
              <w:t>ENETS 2026</w:t>
            </w:r>
          </w:p>
        </w:tc>
        <w:tc>
          <w:tcPr>
            <w:tcW w:type="dxa" w:w="3360"/>
            <w:tcW w:w="5480" w:type="dxa"/>
            <w:shd w:val="clear" w:color="auto" w:fill="FFFFFF"/>
          </w:tcPr>
          <w:p>
            <w:pPr>
              <w:spacing w:after="0"/>
            </w:pPr>
            <w:r>
              <w:rPr>
                <w:b w:val="0"/>
                <w:i w:val="0"/>
                <w:sz w:val="19"/>
              </w:rPr>
              <w:t>“Age &lt;60 years may be considered a relative, not absolute, factor.” Supports individualized benefit/fitness assessment rather than an automatic age exclusion.</w:t>
            </w:r>
          </w:p>
        </w:tc>
        <w:tc>
          <w:tcPr>
            <w:tcW w:type="dxa" w:w="3360"/>
            <w:tcW w:w="2400" w:type="dxa"/>
            <w:shd w:val="clear" w:color="auto" w:fill="FFFFFF"/>
          </w:tcPr>
          <w:p>
            <w:pPr>
              <w:spacing w:after="0"/>
            </w:pPr>
            <w:r>
              <w:rPr>
                <w:b w:val="0"/>
                <w:i w:val="0"/>
                <w:color w:val="5A6069"/>
                <w:sz w:val="18"/>
              </w:rPr>
              <w:t>2026 full-text PDF p5, Table 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Maspero 2022 · Milan long-term</w:t>
            </w:r>
          </w:p>
        </w:tc>
        <w:tc>
          <w:tcPr>
            <w:tcW w:type="dxa" w:w="3360"/>
            <w:tcW w:w="3900" w:type="dxa"/>
            <w:shd w:val="clear" w:color="auto" w:fill="FFFFFF"/>
          </w:tcPr>
          <w:p>
            <w:pPr>
              <w:spacing w:after="0"/>
            </w:pPr>
            <w:r>
              <w:rPr>
                <w:b w:val="0"/>
                <w:i w:val="0"/>
                <w:sz w:val="19"/>
              </w:rPr>
              <w:t>Retrospective Milan single-centre series, 1984–2019: 149 liver operations (53 LT, 96 LR), with 104 Milan-eligible cases analysed (48 LT, 56 LR). Portal-drained G1/G2 primary previously resected, no extrahepatic disease, &lt;50% hepatic involvement, at least six months stable disease, age &lt;60 relative. LT and resection had different resectability/age indications. Minimum six-month follow-up inclusion needs care when interpreting early risk; this is not an all-referral cohort.</w:t>
            </w:r>
          </w:p>
        </w:tc>
        <w:tc>
          <w:tcPr>
            <w:tcW w:type="dxa" w:w="3360"/>
            <w:tcW w:w="4180" w:type="dxa"/>
            <w:shd w:val="clear" w:color="auto" w:fill="FFFFFF"/>
          </w:tcPr>
          <w:p>
            <w:pPr>
              <w:spacing w:after="0"/>
            </w:pPr>
            <w:r>
              <w:rPr>
                <w:b w:val="0"/>
                <w:i w:val="0"/>
                <w:sz w:val="19"/>
              </w:rPr>
              <w:t>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spacing w:after="0"/>
            </w:pPr>
            <w:r>
              <w:rPr>
                <w:b w:val="0"/>
                <w:i/>
                <w:sz w:val="19"/>
              </w:rPr>
              <w:t>Limits: 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p>
            <w:pPr>
              <w:spacing w:after="0"/>
            </w:pPr>
            <w:r>
              <w:rPr>
                <w:b w:val="0"/>
                <w:i w:val="0"/>
                <w:color w:val="5A6069"/>
                <w:sz w:val="18"/>
              </w:rPr>
              <w:t>Am J Transplant 2022 DOI10.1111/ajt.17156; complete PDF pp.2–4 methods/time origin/cohort; later survival figures, recurrence table and Discussion.</w:t>
            </w:r>
          </w:p>
        </w:tc>
      </w:tr>
      <w:tr>
        <w:trPr>
          <w:cantSplit/>
        </w:trPr>
        <w:tc>
          <w:tcPr>
            <w:tcW w:type="dxa" w:w="3360"/>
            <w:tcW w:w="2000" w:type="dxa"/>
            <w:shd w:val="clear" w:color="auto" w:fill="F1F5F8"/>
          </w:tcPr>
          <w:p>
            <w:pPr>
              <w:spacing w:after="0"/>
            </w:pPr>
            <w:r>
              <w:rPr>
                <w:b/>
                <w:i w:val="0"/>
                <w:sz w:val="19"/>
              </w:rPr>
              <w:t>Eshmuminov 2023 · LT versus resection</w:t>
            </w:r>
          </w:p>
        </w:tc>
        <w:tc>
          <w:tcPr>
            <w:tcW w:type="dxa" w:w="3360"/>
            <w:tcW w:w="3900" w:type="dxa"/>
            <w:shd w:val="clear" w:color="auto" w:fill="F1F5F8"/>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1F5F8"/>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FFFFF"/>
          </w:tcPr>
          <w:p>
            <w:pPr>
              <w:spacing w:after="0"/>
            </w:pPr>
            <w:r>
              <w:rPr>
                <w:b/>
                <w:i w:val="0"/>
                <w:sz w:val="19"/>
              </w:rPr>
              <w:t>Kjaer 2023 · eligible non-LT panNET</w:t>
            </w:r>
          </w:p>
        </w:tc>
        <w:tc>
          <w:tcPr>
            <w:tcW w:type="dxa" w:w="3360"/>
            <w:tcW w:w="3900" w:type="dxa"/>
            <w:shd w:val="clear" w:color="auto" w:fill="FFFFFF"/>
          </w:tcPr>
          <w:p>
            <w:pPr>
              <w:spacing w:after="0"/>
            </w:pPr>
            <w:r>
              <w:rPr>
                <w:b w:val="0"/>
                <w:i w:val="0"/>
                <w:sz w:val="19"/>
              </w:rPr>
              <w:t>Single-centre retrospective non-LT panNET cohort, 2000–2021: 519 screened, 41 G1/G2 metastatic patients included; 16 met at least one historical LT framework (Milan 11, ENETS 8, UNOS 13, overlapping). Resected primary, liver metastases, no extra-abdominal disease, age ≤75 and no G3. Definitions modified historical criteria, including Milan age &lt;65 and two 'UNOS' patients with stable regional nodes, so not all meet today's NLRB requirements. Multimodal care included five liver resections, 15 ablations, six embolizations and later-line PRRT, not purely medical therapy.</w:t>
            </w:r>
          </w:p>
        </w:tc>
        <w:tc>
          <w:tcPr>
            <w:tcW w:type="dxa" w:w="3360"/>
            <w:tcW w:w="4180" w:type="dxa"/>
            <w:shd w:val="clear" w:color="auto" w:fill="FFFFFF"/>
          </w:tcPr>
          <w:p>
            <w:pPr>
              <w:spacing w:after="0"/>
            </w:pPr>
            <w:r>
              <w:rPr>
                <w:b w:val="0"/>
                <w:i w:val="0"/>
                <w:sz w:val="19"/>
              </w:rPr>
              <w:t>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spacing w:after="0"/>
            </w:pPr>
            <w:r>
              <w:rPr>
                <w:b w:val="0"/>
                <w:i/>
                <w:sz w:val="19"/>
              </w:rPr>
              <w:t>Limits: 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p>
            <w:pPr>
              <w:spacing w:after="0"/>
            </w:pPr>
            <w:r>
              <w:rPr>
                <w:b w:val="0"/>
                <w:i w:val="0"/>
                <w:color w:val="5A6069"/>
                <w:sz w:val="18"/>
              </w:rPr>
              <w:t>World J Surg 2023 DOI10.1007/s00268-022-06736-1; complete PDF pp.2–5 methods, time origin, eligibility modifications, treatments and survival tables.</w:t>
            </w:r>
          </w:p>
        </w:tc>
      </w:tr>
      <w:tr>
        <w:trPr>
          <w:cantSplit/>
        </w:trPr>
        <w:tc>
          <w:tcPr>
            <w:tcW w:type="dxa" w:w="3360"/>
            <w:tcW w:w="2000" w:type="dxa"/>
            <w:shd w:val="clear" w:color="auto" w:fill="F1F5F8"/>
          </w:tcPr>
          <w:p>
            <w:pPr>
              <w:spacing w:after="0"/>
            </w:pPr>
            <w:r>
              <w:rPr>
                <w:b/>
                <w:i w:val="0"/>
                <w:sz w:val="19"/>
              </w:rPr>
              <w:t>Boscà 2026 · Spain</w:t>
            </w:r>
          </w:p>
        </w:tc>
        <w:tc>
          <w:tcPr>
            <w:tcW w:type="dxa" w:w="3360"/>
            <w:tcW w:w="3900" w:type="dxa"/>
            <w:shd w:val="clear" w:color="auto" w:fill="F1F5F8"/>
          </w:tcPr>
          <w:p>
            <w:pPr>
              <w:spacing w:after="0"/>
            </w:pPr>
            <w:r>
              <w:rPr>
                <w:b w:val="0"/>
                <w:i w:val="0"/>
                <w:sz w:val="19"/>
              </w:rPr>
              <w:t>Spanish 13-centre retrospective series of 91 NET LT recipients, 1995–2024; 41 transplanted before 2007; 71 Milan-IN and 20 Milan-OUT. Mixed primary sites/eras and deviations. Pathology data missing in more than 30%; Ki-67 available in 51, with only one documented &gt;20%. Milan-OUT combines different burden, primary, grade and other deviations; it is not a controlled trial of a single burden expansion.</w:t>
            </w:r>
          </w:p>
        </w:tc>
        <w:tc>
          <w:tcPr>
            <w:tcW w:type="dxa" w:w="3360"/>
            <w:tcW w:w="4180" w:type="dxa"/>
            <w:shd w:val="clear" w:color="auto" w:fill="F1F5F8"/>
          </w:tcPr>
          <w:p>
            <w:pPr>
              <w:spacing w:after="0"/>
            </w:pPr>
            <w:r>
              <w:rPr>
                <w:b w:val="0"/>
                <w:i w:val="0"/>
                <w:sz w:val="19"/>
              </w:rPr>
              <w:t>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spacing w:after="0"/>
            </w:pPr>
            <w:r>
              <w:rPr>
                <w:b w:val="0"/>
                <w:i/>
                <w:sz w:val="19"/>
              </w:rPr>
              <w:t>Limits: Era, missing pathology, small OUT group and composite deviations preclude validating 50–70% burden, age ≥60, G3 or extrahepatic expansion individually. Nonsignificant DFS is not equivalence. The abstract rounds OUT five-year OS differently; use Table 5 value with locator.</w:t>
            </w:r>
          </w:p>
          <w:p>
            <w:pPr>
              <w:spacing w:after="0"/>
            </w:pPr>
            <w:r>
              <w:rPr>
                <w:b w:val="0"/>
                <w:i w:val="0"/>
                <w:color w:val="5A6069"/>
                <w:sz w:val="18"/>
              </w:rPr>
              <w:t>J Clin Med 2026;15:938; complete PDF Results, Tables 2–5, postoperative mortality/retransplantation and limitations.</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retrospective multicentre study, 213 recipients at 35 centres, 1982–2009; 107 before 2000 and 106 thereafter. Published primary abstract reviewed. Heterogeneous historical NET pathology and selection; 55% had hepatomegaly. Major additional resection in 24 and minor in 30. Historical poor differentiation is not interchangeable with modern well-differentiated G3.</w:t>
            </w:r>
          </w:p>
        </w:tc>
        <w:tc>
          <w:tcPr>
            <w:tcW w:type="dxa" w:w="3360"/>
            <w:tcW w:w="4180" w:type="dxa"/>
            <w:shd w:val="clear" w:color="auto" w:fill="FFFFFF"/>
          </w:tcPr>
          <w:p>
            <w:pPr>
              <w:spacing w:after="0"/>
            </w:pPr>
            <w:r>
              <w:rPr>
                <w:b w:val="0"/>
                <w:i w:val="0"/>
                <w:sz w:val="19"/>
              </w:rPr>
              <w:t>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spacing w:after="0"/>
            </w:pPr>
            <w:r>
              <w:rPr>
                <w:b w:val="0"/>
                <w:i/>
                <w:sz w:val="19"/>
              </w:rPr>
              <w:t>Limits: 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p>
            <w:pPr>
              <w:spacing w:after="0"/>
            </w:pPr>
            <w:r>
              <w:rPr>
                <w:b w:val="0"/>
                <w:i w:val="0"/>
                <w:color w:val="5A6069"/>
                <w:sz w:val="18"/>
              </w:rPr>
              <w:t>Ann Surg 2013 DOI10.1097/SLA.0b013e31828ee17c; PMID23532105 primary abstract; complete PDF not located.</w:t>
            </w:r>
          </w:p>
        </w:tc>
      </w:tr>
      <w:tr>
        <w:trPr>
          <w:cantSplit/>
        </w:trPr>
        <w:tc>
          <w:tcPr>
            <w:tcW w:type="dxa" w:w="3360"/>
            <w:tcW w:w="2000" w:type="dxa"/>
            <w:shd w:val="clear" w:color="auto" w:fill="F1F5F8"/>
          </w:tcPr>
          <w:p>
            <w:pPr>
              <w:spacing w:after="0"/>
            </w:pPr>
            <w:r>
              <w:rPr>
                <w:b/>
                <w:i w:val="0"/>
                <w:sz w:val="19"/>
              </w:rPr>
              <w:t>ENETS 2026</w:t>
            </w:r>
          </w:p>
        </w:tc>
        <w:tc>
          <w:tcPr>
            <w:tcW w:type="dxa" w:w="3360"/>
            <w:tcW w:w="3900" w:type="dxa"/>
            <w:shd w:val="clear" w:color="auto" w:fill="F1F5F8"/>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1F5F8"/>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Use age as a review trigger, not an absolute exclusion; retain a conservative opening burden and a separately declared expansion band.</w:t>
      </w:r>
    </w:p>
    <w:p>
      <w:pPr>
        <w:numPr>
          <w:ilvl w:val="0"/>
          <w:numId w:val="5"/>
        </w:numPr>
        <w:spacing w:after="40"/>
      </w:pPr>
      <w:r>
        <w:rPr>
          <w:b w:val="0"/>
          <w:i w:val="0"/>
        </w:rPr>
        <w:t>Age ≥60 triggers explicit physiological-reserve, competing-mortality and benefit review; no absolute chronological-age ceiling or invented NET-specific frailty score is adopted.</w:t>
      </w:r>
    </w:p>
    <w:p>
      <w:pPr>
        <w:numPr>
          <w:ilvl w:val="0"/>
          <w:numId w:val="5"/>
        </w:numPr>
        <w:spacing w:after="40"/>
      </w:pPr>
      <w:r>
        <w:rPr>
          <w:b w:val="0"/>
          <w:i w:val="0"/>
        </w:rPr>
        <w:t>Reproducibly estimate liver involvement. &lt;50% is the conservative Milan-derived reference; exactly 50% through 70% is a separate prospective expansion stratum, not automatically active. &gt;70% is outside the initial local program for conservative risk control, not because published evidence proves futility. The 50–70/&gt;70 choices are local proposals, not national limits.</w:t>
      </w:r>
    </w:p>
    <w:p>
      <w:pPr>
        <w:numPr>
          <w:ilvl w:val="0"/>
          <w:numId w:val="5"/>
        </w:numPr>
        <w:spacing w:after="40"/>
      </w:pPr>
      <w:r>
        <w:rPr>
          <w:b w:val="0"/>
          <w:i w:val="0"/>
        </w:rPr>
        <w:t>Low burden, particularly &lt;25%, defaults to non-LT care unless a documented NET-B1 benefit trigger overrides that default. Do not give harmful downstaging solely to cross a percentage boundary.</w:t>
      </w:r>
    </w:p>
    <w:p>
      <w:pPr>
        <w:spacing w:after="80"/>
      </w:pPr>
      <w:r>
        <w:rPr>
          <w:b/>
          <w:i w:val="0"/>
        </w:rPr>
        <w:t xml:space="preserve">Why: </w:t>
      </w:r>
      <w:r>
        <w:rPr>
          <w:b w:val="0"/>
          <w:i w:val="0"/>
        </w:rPr>
        <w:t>The &lt;50% burden and relative age &lt;60 framework has the best selected-cohort lineage, not proof of a sharp treatment-benefit boundary. Registry associations with age &gt;45 or hepatomegaly do not establish universal bans. More burden may increase need for organ replacement but also worsen prognosis; low burden may predict good post-LT survival while yielding little extra benefit. NLRB's lack of explicit age/burden limits does not validate any expansion.</w:t>
      </w:r>
    </w:p>
    <w:p>
      <w:pPr>
        <w:spacing w:after="80"/>
      </w:pPr>
      <w:r>
        <w:rPr>
          <w:b/>
          <w:i w:val="0"/>
        </w:rPr>
        <w:t xml:space="preserve">Against, or uncertain: </w:t>
      </w:r>
      <w:r>
        <w:rPr>
          <w:b w:val="0"/>
          <w:i w:val="0"/>
        </w:rPr>
        <w:t>Spanish Milan-OUT survival is lower, but OUT combines many deviations and cannot isolate &gt;50% burden or age ≥60. Matched outside-Milan confidence intervals are wide, not proof of futility. Kjaer's non-LT survival cautions against assuming any eligible patient needs LT. ENETS 25–70% proposal is an expert benefit-oriented hypothesis, not outcome-validated proof that 70% is a biological ceiling.</w:t>
      </w:r>
    </w:p>
    <w:p>
      <w:pPr>
        <w:spacing w:after="80"/>
      </w:pPr>
      <w:r>
        <w:rPr>
          <w:b/>
          <w:i w:val="0"/>
        </w:rPr>
        <w:t xml:space="preserve">Certainty: </w:t>
      </w:r>
      <w:r>
        <w:rPr>
          <w:b w:val="0"/>
          <w:i w:val="0"/>
        </w:rPr>
        <w:t>Low certainty for any causal age/burden threshold; moderate confidence that these variables and liver function must be measured and followed. No prospective trial validates 25%, 50%, 70% or age 60 as a universal increment-benefit boundary.</w:t>
      </w:r>
    </w:p>
    <w:p>
      <w:pPr>
        <w:spacing w:after="80"/>
      </w:pPr>
      <w:r>
        <w:rPr>
          <w:b/>
          <w:i w:val="0"/>
        </w:rPr>
        <w:t xml:space="preserve">Tests and records: </w:t>
      </w:r>
      <w:r>
        <w:rPr>
          <w:b w:val="0"/>
          <w:i w:val="0"/>
        </w:rPr>
        <w:t>Method/date of volumetric burden; functional reserve/frailty; competing illness; symptom/benefit trigger; current treatment alternatives.</w:t>
      </w:r>
    </w:p>
    <w:p>
      <w:pPr>
        <w:spacing w:after="80"/>
      </w:pPr>
      <w:r>
        <w:rPr>
          <w:b/>
          <w:i w:val="0"/>
        </w:rPr>
        <w:t xml:space="preserve">Allocation: </w:t>
      </w:r>
      <w:r>
        <w:rPr>
          <w:b w:val="0"/>
          <w:i w:val="0"/>
        </w:rPr>
        <w:t>NLRB guidance has no explicit age or liver-percentage ceiling; identify these as local clinical/research choices.</w:t>
      </w:r>
    </w:p>
    <w:p>
      <w:pPr>
        <w:spacing w:after="40"/>
      </w:pPr>
      <w:r>
        <w:rPr>
          <w:b/>
          <w:i w:val="0"/>
        </w:rPr>
        <w:t xml:space="preserve">Basis for the proposed thresholds: </w:t>
      </w:r>
    </w:p>
    <w:p>
      <w:pPr>
        <w:numPr>
          <w:ilvl w:val="0"/>
          <w:numId w:val="5"/>
        </w:numPr>
        <w:spacing w:after="40"/>
      </w:pPr>
      <w:r>
        <w:rPr>
          <w:b w:val="0"/>
          <w:i w:val="0"/>
        </w:rPr>
        <w:t>&lt;50% and age &lt;60 relative originate in Milan selection; age &gt;45 is historical prognostic association, not selection validation. ENETS 25–70% and six-month stability are pragmatic proposals. The V6 50–70% unopened stratum and &gt;70% initial closure are local conservative design choices. Serial volumetry and trajectory matter more than a single imprecise percentage.</w:t>
      </w:r>
    </w:p>
    <w:p>
      <w:pPr>
        <w:pStyle w:val="Heading3"/>
        <w:keepNext/>
        <w:spacing w:before="120" w:after="80"/>
      </w:pPr>
      <w:r>
        <w:rPr>
          <w:b w:val="0"/>
          <w:i w:val="0"/>
        </w:rPr>
        <w:t>NET-B3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NET-B4 — Previously treated extrahepatic disease</w:t>
      </w:r>
    </w:p>
    <w:p>
      <w:pPr>
        <w:spacing w:after="80"/>
      </w:pPr>
      <w:r>
        <w:rPr>
          <w:b w:val="0"/>
          <w:i w:val="0"/>
          <w:color w:val="5A6069"/>
          <w:sz w:val="18"/>
        </w:rPr>
        <w:t>Resected nodes only, after clearance · not activated · High-risk review</w:t>
      </w:r>
    </w:p>
    <w:p>
      <w:pPr>
        <w:spacing w:after="80"/>
      </w:pPr>
      <w:r>
        <w:rPr>
          <w:b/>
          <w:i w:val="0"/>
        </w:rPr>
        <w:t xml:space="preserve">Question: </w:t>
      </w:r>
      <w:r>
        <w:rPr>
          <w:b w:val="0"/>
          <w:i w:val="0"/>
        </w:rPr>
        <w:t>Which previously treated extrahepatic NET sites may enter the transplant route: resected regional nodes only, or also distant nodes and a solitary treated bone lesion as ENETS 2026 suggests?</w:t>
      </w:r>
    </w:p>
    <w:p>
      <w:pPr>
        <w:spacing w:after="80"/>
      </w:pPr>
      <w:r>
        <w:rPr>
          <w:b/>
          <w:i w:val="0"/>
        </w:rPr>
        <w:t xml:space="preserve">When it applies: </w:t>
      </w:r>
      <w:r>
        <w:rPr>
          <w:b w:val="0"/>
          <w:i w:val="0"/>
        </w:rPr>
        <w:t>Use when the neuroendocrine tumor has involved sites outside the liver other than the primary (regional or distant nodes, mesentery, lung, bone or other organs), including disease later resected or treated with PRRT, ablation or radiotherapy.</w:t>
      </w:r>
    </w:p>
    <w:p>
      <w:pPr>
        <w:spacing w:after="80"/>
      </w:pPr>
      <w:r>
        <w:rPr>
          <w:b/>
          <w:i w:val="0"/>
        </w:rPr>
        <w:t xml:space="preserve">Where it is decided: </w:t>
      </w:r>
      <w:hyperlink r:id="rId11">
        <w:r>
          <w:rPr>
            <w:color w:val="0563C1"/>
            <w:u w:val="single"/>
          </w:rPr>
          <w:t xml:space="preserve">Stage disease and confirm primary treatment</w:t>
        </w:r>
      </w:hyperlink>
      <w:r>
        <w:rPr>
          <w:b w:val="0"/>
          <w:i w:val="0"/>
        </w:rPr>
        <w:t xml:space="preserve"> · </w:t>
      </w:r>
      <w:hyperlink r:id="rId12">
        <w:r>
          <w:rPr>
            <w:color w:val="0563C1"/>
            <w:u w:val="single"/>
          </w:rPr>
          <w:t xml:space="preserve">Verify disease control</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Maspero 2022 · Milan long-term</w:t>
            </w:r>
          </w:p>
        </w:tc>
        <w:tc>
          <w:tcPr>
            <w:tcW w:type="dxa" w:w="3360"/>
            <w:tcW w:w="3900" w:type="dxa"/>
            <w:shd w:val="clear" w:color="auto" w:fill="F1F5F8"/>
          </w:tcPr>
          <w:p>
            <w:pPr>
              <w:spacing w:after="0"/>
            </w:pPr>
            <w:r>
              <w:rPr>
                <w:b w:val="0"/>
                <w:i w:val="0"/>
                <w:sz w:val="19"/>
              </w:rPr>
              <w:t>Milan retrospective comparison: 48 transplant and 56 resection patients with NET liver metastases. Portal-drained G1/G2 primary previously resected, no extrahepatic disease, &lt;50% liver involvement and at least six months of stable disease for transplantation.</w:t>
            </w:r>
          </w:p>
        </w:tc>
        <w:tc>
          <w:tcPr>
            <w:tcW w:type="dxa" w:w="3360"/>
            <w:tcW w:w="4180" w:type="dxa"/>
            <w:shd w:val="clear" w:color="auto" w:fill="F1F5F8"/>
          </w:tcPr>
          <w:p>
            <w:pPr>
              <w:spacing w:after="0"/>
            </w:pPr>
            <w:r>
              <w:rPr>
                <w:b w:val="0"/>
                <w:i w:val="0"/>
                <w:sz w:val="19"/>
              </w:rPr>
              <w:t>Node-positive primary in 19 of 24 transplanted patients with known nodal status (8 of 44 resected). Among recipients, nodal involvement on final pathology was associated with worse overall survival (HR 5.7, 95% CI 1.3–24). Recurrence after transplantation involved distant nodes in 16 of 25 and bone in 9 of 25.</w:t>
            </w:r>
          </w:p>
          <w:p>
            <w:pPr>
              <w:spacing w:after="0"/>
            </w:pPr>
            <w:r>
              <w:rPr>
                <w:b w:val="0"/>
                <w:i/>
                <w:sz w:val="19"/>
              </w:rPr>
              <w:t>Limits: Retrospective single centre; groups selected for different indications.</w:t>
            </w:r>
          </w:p>
          <w:p>
            <w:pPr>
              <w:spacing w:after="0"/>
            </w:pPr>
            <w:r>
              <w:rPr>
                <w:b w:val="0"/>
                <w:i w:val="0"/>
                <w:color w:val="5A6069"/>
                <w:sz w:val="18"/>
              </w:rPr>
              <w:t>Am J Transplant 2022; Tables 1 and 3, univariate analysis.</w:t>
            </w:r>
          </w:p>
        </w:tc>
      </w:tr>
      <w:tr>
        <w:trPr>
          <w:cantSplit/>
        </w:trPr>
        <w:tc>
          <w:tcPr>
            <w:tcW w:type="dxa" w:w="3360"/>
            <w:tcW w:w="2000" w:type="dxa"/>
            <w:shd w:val="clear" w:color="auto" w:fill="FFFFFF"/>
          </w:tcPr>
          <w:p>
            <w:pPr>
              <w:spacing w:after="0"/>
            </w:pPr>
            <w:r>
              <w:rPr>
                <w:b/>
                <w:i w:val="0"/>
                <w:sz w:val="19"/>
              </w:rPr>
              <w:t>Mazzaferro 2016 · Milan-NET</w:t>
            </w:r>
          </w:p>
        </w:tc>
        <w:tc>
          <w:tcPr>
            <w:tcW w:type="dxa" w:w="3360"/>
            <w:tcW w:w="3900" w:type="dxa"/>
            <w:shd w:val="clear" w:color="auto" w:fill="FFFFFF"/>
          </w:tcPr>
          <w:p>
            <w:pPr>
              <w:spacing w:after="0"/>
            </w:pPr>
            <w:r>
              <w:rPr>
                <w:b w:val="0"/>
                <w:i w:val="0"/>
                <w:sz w:val="19"/>
              </w:rPr>
              <w:t>Milan prospective transplant versus non-transplant comparison (Milan-NET criteria). Primary removed with all extrahepatic deposits in a separate curative resection before transplant consideration; restaging six months after removal; at least six months of stable disease.</w:t>
            </w:r>
          </w:p>
        </w:tc>
        <w:tc>
          <w:tcPr>
            <w:tcW w:type="dxa" w:w="3360"/>
            <w:tcW w:w="4180" w:type="dxa"/>
            <w:shd w:val="clear" w:color="auto" w:fill="FFFFFF"/>
          </w:tcPr>
          <w:p>
            <w:pPr>
              <w:spacing w:after="0"/>
            </w:pPr>
            <w:r>
              <w:rPr>
                <w:b w:val="0"/>
                <w:i w:val="0"/>
                <w:sz w:val="19"/>
              </w:rPr>
              <w:t>Five- and ten-year overall survival 97.2% and 88.8% with transplantation versus 50.9% and 22.4% without; 81% of recipients had node-positive primaries and 57% positive hilar nodes.</w:t>
            </w:r>
          </w:p>
          <w:p>
            <w:pPr>
              <w:spacing w:after="0"/>
            </w:pPr>
            <w:r>
              <w:rPr>
                <w:b w:val="0"/>
                <w:i/>
                <w:sz w:val="19"/>
              </w:rPr>
              <w:t>Limits: Benefit shown only within Milan-NET selection; previous solid-organ metastases were not included.</w:t>
            </w:r>
          </w:p>
          <w:p>
            <w:pPr>
              <w:spacing w:after="0"/>
            </w:pPr>
            <w:r>
              <w:rPr>
                <w:b w:val="0"/>
                <w:i w:val="0"/>
                <w:color w:val="5A6069"/>
                <w:sz w:val="18"/>
              </w:rPr>
              <w:t>Am J Transplant 2016; Tables 1–3 (full text).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OPTN/NLRB guidance: Adult MELD Exceptions for Transplant Oncology. Resection of the primary and extrahepatic disease without recurrence for at least six months; negative metastatic workup including functional imaging; de-list on extrahepatic progression such as Ga-68-positive nodes; re-consider after extrahepatic disease is zeroed for at least six months; extrahepatic solid-organ metastases (lungs, bones) are a permanent exclusion.</w:t>
            </w:r>
          </w:p>
        </w:tc>
        <w:tc>
          <w:tcPr>
            <w:tcW w:type="dxa" w:w="3360"/>
            <w:tcW w:w="4180" w:type="dxa"/>
            <w:shd w:val="clear" w:color="auto" w:fill="F1F5F8"/>
          </w:tcPr>
          <w:p>
            <w:pPr>
              <w:spacing w:after="0"/>
            </w:pPr>
            <w:r>
              <w:rPr>
                <w:b w:val="0"/>
                <w:i w:val="0"/>
                <w:sz w:val="19"/>
              </w:rPr>
              <w:t>Allocation guidance; no outcome data.</w:t>
            </w:r>
          </w:p>
          <w:p>
            <w:pPr>
              <w:spacing w:after="0"/>
            </w:pPr>
            <w:r>
              <w:rPr>
                <w:b w:val="0"/>
                <w:i/>
                <w:sz w:val="19"/>
              </w:rPr>
              <w:t>Limits: Exception guidance, not an outcome-derived clinical rule.</w:t>
            </w:r>
          </w:p>
          <w:p>
            <w:pPr>
              <w:spacing w:after="0"/>
            </w:pPr>
            <w:r>
              <w:rPr>
                <w:b w:val="0"/>
                <w:i w:val="0"/>
                <w:color w:val="5A6069"/>
                <w:sz w:val="18"/>
              </w:rPr>
              <w:t>Official PDF, NET section.</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2026 ENETS position statement on transplantation for advanced small-intestinal and pancreatic NET. Replace “no EHD” with “no macroscopic, non-targetable EHD”; limited, completely resectable or otherwise controllable extrahepatic disease may not be an absolute contraindication; unresectable mesenteric nodal disease, certain bone metastases and brain metastases remain high-risk.</w:t>
            </w:r>
          </w:p>
        </w:tc>
        <w:tc>
          <w:tcPr>
            <w:tcW w:type="dxa" w:w="3360"/>
            <w:tcW w:w="4180" w:type="dxa"/>
            <w:shd w:val="clear" w:color="auto" w:fill="FFFFFF"/>
          </w:tcPr>
          <w:p>
            <w:pPr>
              <w:spacing w:after="0"/>
            </w:pPr>
            <w:r>
              <w:rPr>
                <w:b w:val="0"/>
                <w:i w:val="0"/>
                <w:sz w:val="19"/>
              </w:rPr>
              <w:t>No original outcome data; imaging should ideally be repeated within three months of transplant consideration.</w:t>
            </w:r>
          </w:p>
          <w:p>
            <w:pPr>
              <w:spacing w:after="0"/>
            </w:pPr>
            <w:r>
              <w:rPr>
                <w:b w:val="0"/>
                <w:i/>
                <w:sz w:val="19"/>
              </w:rPr>
              <w:t>Limits: Expert opinion, explicitly not outcome-validated; conflicts with the NLRB solid-organ exclusion.</w:t>
            </w:r>
          </w:p>
          <w:p>
            <w:pPr>
              <w:spacing w:after="0"/>
            </w:pPr>
            <w:r>
              <w:rPr>
                <w:b w:val="0"/>
                <w:i w:val="0"/>
                <w:color w:val="5A6069"/>
                <w:sz w:val="18"/>
              </w:rPr>
              <w:t>J Neuroendocrinol 2026; updated selection principles.</w:t>
            </w:r>
          </w:p>
        </w:tc>
      </w:tr>
      <w:tr>
        <w:trPr>
          <w:cantSplit/>
        </w:trPr>
        <w:tc>
          <w:tcPr>
            <w:tcW w:type="dxa" w:w="3360"/>
            <w:tcW w:w="2000" w:type="dxa"/>
            <w:shd w:val="clear" w:color="auto" w:fill="F1F5F8"/>
          </w:tcPr>
          <w:p>
            <w:pPr>
              <w:spacing w:after="0"/>
            </w:pPr>
            <w:r>
              <w:rPr>
                <w:b/>
                <w:i w:val="0"/>
                <w:sz w:val="19"/>
              </w:rPr>
              <w:t>Frilling 2010 · 68Ga-DOTATOC PET</w:t>
            </w:r>
          </w:p>
        </w:tc>
        <w:tc>
          <w:tcPr>
            <w:tcW w:type="dxa" w:w="3360"/>
            <w:tcW w:w="3900" w:type="dxa"/>
            <w:shd w:val="clear" w:color="auto" w:fill="F1F5F8"/>
          </w:tcPr>
          <w:p>
            <w:pPr>
              <w:spacing w:after="0"/>
            </w:pPr>
            <w:r>
              <w:rPr>
                <w:b w:val="0"/>
                <w:i w:val="0"/>
                <w:sz w:val="19"/>
              </w:rPr>
              <w:t>Single-centre imaging study: 52 NET patients comparing 68Ga-DOTATOC PET/CT with CT and/or MRI. Fifteen were evaluated for transplantation.</w:t>
            </w:r>
          </w:p>
        </w:tc>
        <w:tc>
          <w:tcPr>
            <w:tcW w:type="dxa" w:w="3360"/>
            <w:tcW w:w="4180" w:type="dxa"/>
            <w:shd w:val="clear" w:color="auto" w:fill="F1F5F8"/>
          </w:tcPr>
          <w:p>
            <w:pPr>
              <w:spacing w:after="0"/>
            </w:pPr>
            <w:r>
              <w:rPr>
                <w:b w:val="0"/>
                <w:i w:val="0"/>
                <w:sz w:val="19"/>
              </w:rPr>
              <w:t>PET/CT found additional hepatic or extrahepatic metastases in 22 of 33 with liver metastases and removed 7 of 15 transplant candidates (46.6%) from further screening.</w:t>
            </w:r>
          </w:p>
          <w:p>
            <w:pPr>
              <w:spacing w:after="0"/>
            </w:pPr>
            <w:r>
              <w:rPr>
                <w:b w:val="0"/>
                <w:i/>
                <w:sz w:val="19"/>
              </w:rPr>
              <w:t>Limits: Small; older tracer and era.</w:t>
            </w:r>
          </w:p>
          <w:p>
            <w:pPr>
              <w:spacing w:after="0"/>
            </w:pPr>
            <w:r>
              <w:rPr>
                <w:b w:val="0"/>
                <w:i w:val="0"/>
                <w:color w:val="5A6069"/>
                <w:sz w:val="18"/>
              </w:rPr>
              <w:t>Ann Surg 2010; abstract.</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213 transplants for NET. Twenty-four had major and 60 minor additional procedures at transplantation, including extended lymphadenectomy (38), removal of the primary (29), other organ resections (such as Whipple or exenteration) and peritonectomy.</w:t>
            </w:r>
          </w:p>
        </w:tc>
        <w:tc>
          <w:tcPr>
            <w:tcW w:type="dxa" w:w="3360"/>
            <w:tcW w:w="4180" w:type="dxa"/>
            <w:shd w:val="clear" w:color="auto" w:fill="FFFFFF"/>
          </w:tcPr>
          <w:p>
            <w:pPr>
              <w:spacing w:after="0"/>
            </w:pPr>
            <w:r>
              <w:rPr>
                <w:b w:val="0"/>
                <w:i w:val="0"/>
                <w:sz w:val="19"/>
              </w:rPr>
              <w:t>Major concurrent resection HR 3.1 across all eras; after 2000, any concurrent resection HR 1.9 (p=0.058); five-year overall survival 52% from transplantation.</w:t>
            </w:r>
          </w:p>
          <w:p>
            <w:pPr>
              <w:spacing w:after="0"/>
            </w:pPr>
            <w:r>
              <w:rPr>
                <w:b w:val="0"/>
                <w:i/>
                <w:sz w:val="19"/>
              </w:rPr>
              <w:t>Limits: Historical era; heterogeneous pathology.</w:t>
            </w:r>
          </w:p>
          <w:p>
            <w:pPr>
              <w:spacing w:after="0"/>
            </w:pPr>
            <w:r>
              <w:rPr>
                <w:b w:val="0"/>
                <w:i w:val="0"/>
                <w:color w:val="5A6069"/>
                <w:sz w:val="18"/>
              </w:rPr>
              <w:t>Ann Surg 2013; Tables 4–6 (full text).</w:t>
            </w:r>
          </w:p>
        </w:tc>
      </w:tr>
      <w:tr>
        <w:trPr>
          <w:cantSplit/>
        </w:trPr>
        <w:tc>
          <w:tcPr>
            <w:tcW w:type="dxa" w:w="3360"/>
            <w:tcW w:w="2000" w:type="dxa"/>
            <w:shd w:val="clear" w:color="auto" w:fill="F1F5F8"/>
          </w:tcPr>
          <w:p>
            <w:pPr>
              <w:spacing w:after="0"/>
            </w:pPr>
            <w:r>
              <w:rPr>
                <w:b/>
                <w:i w:val="0"/>
                <w:sz w:val="19"/>
              </w:rPr>
              <w:t>Wedin 2025 · bone metastases in SI-NET</w:t>
            </w:r>
          </w:p>
        </w:tc>
        <w:tc>
          <w:tcPr>
            <w:tcW w:type="dxa" w:w="3360"/>
            <w:tcW w:w="3900" w:type="dxa"/>
            <w:shd w:val="clear" w:color="auto" w:fill="F1F5F8"/>
          </w:tcPr>
          <w:p>
            <w:pPr>
              <w:spacing w:after="0"/>
            </w:pPr>
            <w:r>
              <w:rPr>
                <w:b w:val="0"/>
                <w:i w:val="0"/>
                <w:sz w:val="19"/>
              </w:rPr>
              <w:t>Two Swedish centres; 138 small-intestine NET patients with bone metastases. Bone metastases on SSTR-PET; rarely biopsied; never curatively treated.</w:t>
            </w:r>
          </w:p>
        </w:tc>
        <w:tc>
          <w:tcPr>
            <w:tcW w:type="dxa" w:w="3360"/>
            <w:tcW w:w="4180" w:type="dxa"/>
            <w:shd w:val="clear" w:color="auto" w:fill="F1F5F8"/>
          </w:tcPr>
          <w:p>
            <w:pPr>
              <w:spacing w:after="0"/>
            </w:pPr>
            <w:r>
              <w:rPr>
                <w:b w:val="0"/>
                <w:i w:val="0"/>
                <w:sz w:val="19"/>
              </w:rPr>
              <w:t>Any bone metastasis HR 1.94; more than five lesions: median survival 18 vs 75 months; 21% with five or fewer progressed beyond five.</w:t>
            </w:r>
          </w:p>
          <w:p>
            <w:pPr>
              <w:spacing w:after="0"/>
            </w:pPr>
            <w:r>
              <w:rPr>
                <w:b w:val="0"/>
                <w:i/>
                <w:sz w:val="19"/>
              </w:rPr>
              <w:t>Limits: Small-intestine NET only.</w:t>
            </w:r>
          </w:p>
          <w:p>
            <w:pPr>
              <w:spacing w:after="0"/>
            </w:pPr>
            <w:r>
              <w:rPr>
                <w:b w:val="0"/>
                <w:i w:val="0"/>
                <w:color w:val="5A6069"/>
                <w:sz w:val="18"/>
              </w:rPr>
              <w:t>J Neuroendocrinol 2025; Results, Table 5 (full text).</w:t>
            </w:r>
          </w:p>
        </w:tc>
      </w:tr>
      <w:tr>
        <w:trPr>
          <w:cantSplit/>
        </w:trPr>
        <w:tc>
          <w:tcPr>
            <w:tcW w:type="dxa" w:w="3360"/>
            <w:tcW w:w="2000" w:type="dxa"/>
            <w:shd w:val="clear" w:color="auto" w:fill="FFFFFF"/>
          </w:tcPr>
          <w:p>
            <w:pPr>
              <w:spacing w:after="0"/>
            </w:pPr>
            <w:r>
              <w:rPr>
                <w:b/>
                <w:i w:val="0"/>
                <w:sz w:val="19"/>
              </w:rPr>
              <w:t>Sher 2015 · US multicentre NET LT</w:t>
            </w:r>
          </w:p>
        </w:tc>
        <w:tc>
          <w:tcPr>
            <w:tcW w:type="dxa" w:w="3360"/>
            <w:tcW w:w="3900" w:type="dxa"/>
            <w:shd w:val="clear" w:color="auto" w:fill="FFFFFF"/>
          </w:tcPr>
          <w:p>
            <w:pPr>
              <w:spacing w:after="0"/>
            </w:pPr>
            <w:r>
              <w:rPr>
                <w:b w:val="0"/>
                <w:i w:val="0"/>
                <w:sz w:val="19"/>
              </w:rPr>
              <w:t>Multicentre cohort, 28 centres (mostly US, also Canadian and European); 85 transplants for NET. “Extent of resection” meant concurrent primary or multivisceral surgery at transplantation, not clearance of metastases.</w:t>
            </w:r>
          </w:p>
        </w:tc>
        <w:tc>
          <w:tcPr>
            <w:tcW w:type="dxa" w:w="3360"/>
            <w:tcW w:w="4180" w:type="dxa"/>
            <w:shd w:val="clear" w:color="auto" w:fill="FFFFFF"/>
          </w:tcPr>
          <w:p>
            <w:pPr>
              <w:spacing w:after="0"/>
            </w:pPr>
            <w:r>
              <w:rPr>
                <w:b w:val="0"/>
                <w:i w:val="0"/>
                <w:sz w:val="19"/>
              </w:rPr>
              <w:t>Extensive concurrent surgery associated with worse survival (p=0.015).</w:t>
            </w:r>
          </w:p>
          <w:p>
            <w:pPr>
              <w:spacing w:after="0"/>
            </w:pPr>
            <w:r>
              <w:rPr>
                <w:b w:val="0"/>
                <w:i/>
                <w:sz w:val="19"/>
              </w:rPr>
              <w:t>Limits: No extrahepatic-disease variable; historical era.</w:t>
            </w:r>
          </w:p>
          <w:p>
            <w:pPr>
              <w:spacing w:after="0"/>
            </w:pPr>
            <w:r>
              <w:rPr>
                <w:b w:val="0"/>
                <w:i w:val="0"/>
                <w:color w:val="5A6069"/>
                <w:sz w:val="18"/>
              </w:rPr>
              <w:t>J Surg Oncol 2015; Methods and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Allow previously resected nodal disease after complete clearance and ≥6 months without recurrence. Keep previous lung, bone or other solid-organ metastases closed. Nodal disease cleared only by non-surgical treatment needs individual review.</w:t>
      </w:r>
    </w:p>
    <w:p>
      <w:pPr>
        <w:numPr>
          <w:ilvl w:val="0"/>
          <w:numId w:val="5"/>
        </w:numPr>
        <w:spacing w:after="40"/>
      </w:pPr>
      <w:r>
        <w:rPr>
          <w:b w:val="0"/>
          <w:i w:val="0"/>
        </w:rPr>
        <w:t>Previously resected regional or mesenteric nodal disease may qualify after complete clearance, as Milan-NET requires: the primary and all extrahepatic deposits removed in a separate curative operation, no recurrence for ≥6 months after that resection, and negative SSTR PET with CT/MRI repeated within 3 months of transplant consideration. Document stations, pathology and dates.</w:t>
      </w:r>
    </w:p>
    <w:p>
      <w:pPr>
        <w:numPr>
          <w:ilvl w:val="0"/>
          <w:numId w:val="5"/>
        </w:numPr>
        <w:spacing w:after="40"/>
      </w:pPr>
      <w:r>
        <w:rPr>
          <w:b w:val="0"/>
          <w:i w:val="0"/>
        </w:rPr>
        <w:t>Nodal disease that resolved only after PRRT, ablation or radiotherapy is not equivalent to resection: individual review only, with SSTR-PET-negative status for ≥6 months. Persistent SSTR-avid or morphologically visible disease is active disease.</w:t>
      </w:r>
    </w:p>
    <w:p>
      <w:pPr>
        <w:numPr>
          <w:ilvl w:val="0"/>
          <w:numId w:val="5"/>
        </w:numPr>
        <w:spacing w:after="40"/>
      </w:pPr>
      <w:r>
        <w:rPr>
          <w:b w:val="0"/>
          <w:i w:val="0"/>
        </w:rPr>
        <w:t>Previous lung, bone (including a solitary treated bone lesion) or other solid-organ metastasis remains closed, including after complete treatment. The ENETS 2026 position (no macroscopic, non-targetable extrahepatic disease) is recorded as a dissent, not adopted.</w:t>
      </w:r>
    </w:p>
    <w:p>
      <w:pPr>
        <w:numPr>
          <w:ilvl w:val="0"/>
          <w:numId w:val="5"/>
        </w:numPr>
        <w:spacing w:after="40"/>
      </w:pPr>
      <w:r>
        <w:rPr>
          <w:b w:val="0"/>
          <w:i w:val="0"/>
        </w:rPr>
        <w:t>Extrahepatic progression during observation or on the waiting list removes the patient from the route; re-entry needs renewed clearance and a new ≥6-month recurrence-free interval. Plan hilar lymphadenectomy at transplantation, and clear extrahepatic disease in a staged operation rather than combining major extrahepatic resection with transplantation.</w:t>
      </w:r>
    </w:p>
    <w:p>
      <w:pPr>
        <w:spacing w:after="80"/>
      </w:pPr>
      <w:r>
        <w:rPr>
          <w:b/>
          <w:i w:val="0"/>
        </w:rPr>
        <w:t xml:space="preserve">Why: </w:t>
      </w:r>
      <w:r>
        <w:rPr>
          <w:b w:val="0"/>
          <w:i w:val="0"/>
        </w:rPr>
        <w:t>Milan-NET requires the primary to be removed with all extrahepatic deposits in a separate curative resection before transplant consideration, with restaging six months later; in the Milan cohort, 81% of recipients had node-positive primaries and 57% had positive hilar nodes, with 10-year survival 88.8%. Previously resected regional nodal disease is therefore part of Milan-NET, not an expansion. NLRB guidance encodes the same approach, de-lists on extrahepatic progression and allows re-consideration only after extrahepatic disease has been zeroed for six months. Functional imaging changes candidacy: 68Ga-DOTATOC PET removed 7 of 15 transplant candidates because of deposits not seen on CT or MRI.</w:t>
      </w:r>
    </w:p>
    <w:p>
      <w:pPr>
        <w:spacing w:after="80"/>
      </w:pPr>
      <w:r>
        <w:rPr>
          <w:b/>
          <w:i w:val="0"/>
        </w:rPr>
        <w:t xml:space="preserve">Against, or uncertain: </w:t>
      </w:r>
      <w:r>
        <w:rPr>
          <w:b w:val="0"/>
          <w:i w:val="0"/>
        </w:rPr>
        <w:t>Nodal involvement on final pathology was associated with worse survival after transplantation in the Milan cohort (HR 5.7, univariate), and first recurrences were mostly in distant nodes and bone, so a cleared nodal history is not risk-free. Concurrent resections at transplantation (mostly of the primary or other organs) were adverse in the European registry, borderline after 2000 (HR 1.9, p=0.058), and extensive concurrent primary or multivisceral surgery was adverse in a US series; both argue for staging the primary well before transplantation. ENETS 2026 proposes replacing “no extrahepatic disease” with “no macroscopic, non-targetable extrahepatic disease” (for example isolated resectable nodes or a solitary bone lesion amenable to local treatment); the authors present this as expert opinion, not outcome-validated. In small-intestine NET, any bone metastasis was independently adverse (HR 1.94) and 21% of patients with five or fewer bone metastases progressed beyond five.</w:t>
      </w:r>
    </w:p>
    <w:p>
      <w:pPr>
        <w:spacing w:after="80"/>
      </w:pPr>
      <w:r>
        <w:rPr>
          <w:b/>
          <w:i w:val="0"/>
        </w:rPr>
        <w:t xml:space="preserve">Certainty: </w:t>
      </w:r>
      <w:r>
        <w:rPr>
          <w:b w:val="0"/>
          <w:i w:val="0"/>
        </w:rPr>
        <w:t>Low for accepting resected nodal disease after a recurrence-free interval; very low for PRRT-only clearance and for previous solid-organ metastases.</w:t>
      </w:r>
    </w:p>
    <w:p>
      <w:pPr>
        <w:spacing w:after="80"/>
      </w:pPr>
      <w:r>
        <w:rPr>
          <w:b/>
          <w:i w:val="0"/>
        </w:rPr>
        <w:t xml:space="preserve">Tests and records: </w:t>
      </w:r>
      <w:r>
        <w:rPr>
          <w:b w:val="0"/>
          <w:i w:val="0"/>
        </w:rPr>
        <w:t>Operative and pathology reports for each extrahepatic resection, with node stations; SSTR PET (68Ga- or 64Cu-labelled) and CT/MRI within 3 months; date of the last extrahepatic treatment; PRRT cycles and response; serial imaging timeline.</w:t>
      </w:r>
    </w:p>
    <w:p>
      <w:pPr>
        <w:spacing w:after="80"/>
      </w:pPr>
      <w:r>
        <w:rPr>
          <w:b/>
          <w:i w:val="0"/>
        </w:rPr>
        <w:t xml:space="preserve">Allocation: </w:t>
      </w:r>
      <w:r>
        <w:rPr>
          <w:b w:val="0"/>
          <w:i w:val="0"/>
        </w:rPr>
        <w:t>NLRB NET guidance requires resection of the primary and extrahepatic disease with no recurrence for at least six months, a negative metastatic workup including functional imaging, de-listing on extrahepatic progression, re-consideration only after extrahepatic disease has been zeroed for at least six months, and permanent exclusion for extrahepatic solid-organ metastases such as lung or bone.</w:t>
      </w:r>
    </w:p>
    <w:p>
      <w:pPr>
        <w:spacing w:after="40"/>
      </w:pPr>
      <w:r>
        <w:rPr>
          <w:b/>
          <w:i w:val="0"/>
        </w:rPr>
        <w:t xml:space="preserve">Basis for the proposed thresholds: </w:t>
      </w:r>
    </w:p>
    <w:p>
      <w:pPr>
        <w:numPr>
          <w:ilvl w:val="0"/>
          <w:numId w:val="5"/>
        </w:numPr>
        <w:spacing w:after="40"/>
      </w:pPr>
      <w:r>
        <w:rPr>
          <w:b w:val="0"/>
          <w:i w:val="0"/>
        </w:rPr>
        <w:t>The six-month recurrence-free interval, functional imaging, de-listing on progression and the solid-organ exclusion are NLRB wording. Repeat SSTR imaging within three months of transplant consideration follows ENETS 2026. Treating PRRT-only clearance as individual review is a conservative local choice.</w:t>
      </w:r>
    </w:p>
    <w:p>
      <w:pPr>
        <w:pStyle w:val="Heading3"/>
        <w:keepNext/>
        <w:spacing w:before="120" w:after="80"/>
      </w:pPr>
      <w:r>
        <w:rPr>
          <w:b w:val="0"/>
          <w:i w:val="0"/>
        </w:rPr>
        <w:t>NET-B4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Free full text</w:t>
        </w:r>
      </w:hyperlink>
      <w:r>
        <w:rPr>
          <w:b w:val="0"/>
          <w:i w:val="0"/>
          <w:sz w:val="19"/>
        </w:rPr>
        <w:t xml:space="preserve"> · </w:t>
      </w:r>
      <w:hyperlink r:id="rId24">
        <w:r>
          <w:rPr>
            <w:color w:val="0563C1"/>
            <w:u w:val="single"/>
            <w:sz w:val="19"/>
          </w:rPr>
          <w:t xml:space="preserve">Source</w:t>
        </w:r>
      </w:hyperlink>
      <w:r>
        <w:rPr>
          <w:b w:val="0"/>
          <w:i w:val="0"/>
          <w:sz w:val="19"/>
        </w:rPr>
        <w:t xml:space="preserve"> · </w:t>
      </w:r>
      <w:hyperlink r:id="rId25">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6">
        <w:r>
          <w:rPr>
            <w:color w:val="0563C1"/>
            <w:u w:val="single"/>
            <w:sz w:val="19"/>
          </w:rPr>
          <w:t xml:space="preserve">PubMed</w:t>
        </w:r>
      </w:hyperlink>
      <w:r>
        <w:rPr>
          <w:b w:val="0"/>
          <w:i w:val="0"/>
          <w:sz w:val="19"/>
        </w:rPr>
        <w:t xml:space="preserve"> · </w:t>
      </w:r>
      <w:hyperlink r:id="rId27">
        <w:r>
          <w:rPr>
            <w:color w:val="0563C1"/>
            <w:u w:val="single"/>
            <w:sz w:val="19"/>
          </w:rPr>
          <w:t xml:space="preserve">Journal</w:t>
        </w:r>
      </w:hyperlink>
      <w:r>
        <w:rPr>
          <w:b w:val="0"/>
          <w:i w:val="0"/>
          <w:sz w:val="19"/>
        </w:rPr>
        <w:t xml:space="preserve"> · </w:t>
      </w:r>
      <w:hyperlink r:id="rId28">
        <w:r>
          <w:rPr>
            <w:color w:val="0563C1"/>
            <w:u w:val="single"/>
            <w:sz w:val="19"/>
          </w:rPr>
          <w:t xml:space="preserve">TMC library</w:t>
        </w:r>
      </w:hyperlink>
    </w:p>
    <w:p>
      <w:pPr>
        <w:spacing w:after="60"/>
      </w:pPr>
      <w:r>
        <w:rPr>
          <w:b/>
          <w:i w:val="0"/>
          <w:sz w:val="19"/>
        </w:rPr>
        <w:t>Boscà 2026 · Spain</w:t>
      </w:r>
      <w:r>
        <w:rPr>
          <w:b w:val="0"/>
          <w:i w:val="0"/>
          <w:sz w:val="19"/>
        </w:rPr>
        <w:t xml:space="preserve"> — Should We Continue Liver Transplantation in Spain for Hepatic Metastases from Neuroendocrine Tumors?</w:t>
      </w:r>
      <w:r>
        <w:rPr>
          <w:b w:val="0"/>
          <w:i w:val="0"/>
          <w:sz w:val="19"/>
        </w:rPr>
        <w:t xml:space="preserve">  </w:t>
      </w:r>
      <w:hyperlink r:id="rId29">
        <w:r>
          <w:rPr>
            <w:color w:val="0563C1"/>
            <w:u w:val="single"/>
            <w:sz w:val="19"/>
          </w:rPr>
          <w:t xml:space="preserve">PubMed</w:t>
        </w:r>
      </w:hyperlink>
      <w:r>
        <w:rPr>
          <w:b w:val="0"/>
          <w:i w:val="0"/>
          <w:sz w:val="19"/>
        </w:rPr>
        <w:t xml:space="preserve"> · </w:t>
      </w:r>
      <w:hyperlink r:id="rId30">
        <w:r>
          <w:rPr>
            <w:color w:val="0563C1"/>
            <w:u w:val="single"/>
            <w:sz w:val="19"/>
          </w:rPr>
          <w:t xml:space="preserve">Journal</w:t>
        </w:r>
      </w:hyperlink>
      <w:r>
        <w:rPr>
          <w:b w:val="0"/>
          <w:i w:val="0"/>
          <w:sz w:val="19"/>
        </w:rPr>
        <w:t xml:space="preserve"> · </w:t>
      </w:r>
      <w:hyperlink r:id="rId31">
        <w:r>
          <w:rPr>
            <w:color w:val="0563C1"/>
            <w:u w:val="single"/>
            <w:sz w:val="19"/>
          </w:rPr>
          <w:t xml:space="preserve">Source</w:t>
        </w:r>
      </w:hyperlink>
      <w:r>
        <w:rPr>
          <w:b w:val="0"/>
          <w:i w:val="0"/>
          <w:sz w:val="19"/>
        </w:rPr>
        <w:t xml:space="preserve"> · </w:t>
      </w:r>
      <w:hyperlink r:id="rId32">
        <w:r>
          <w:rPr>
            <w:color w:val="0563C1"/>
            <w:u w:val="single"/>
            <w:sz w:val="19"/>
          </w:rPr>
          <w:t xml:space="preserve">TMC library</w:t>
        </w:r>
      </w:hyperlink>
    </w:p>
    <w:p>
      <w:pPr>
        <w:spacing w:after="60"/>
      </w:pPr>
      <w:r>
        <w:rPr>
          <w:b/>
          <w:i w:val="0"/>
          <w:sz w:val="19"/>
        </w:rPr>
        <w:t>Caplin 2014 · CLARINET</w:t>
      </w:r>
      <w:r>
        <w:rPr>
          <w:b w:val="0"/>
          <w:i w:val="0"/>
          <w:sz w:val="19"/>
        </w:rPr>
        <w:t xml:space="preserve"> — Lanreotide in Metastatic Enteropancreatic Neuroendocrine Tumors</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Source</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Chan 2025 · CABINET</w:t>
      </w:r>
      <w:r>
        <w:rPr>
          <w:b w:val="0"/>
          <w:i w:val="0"/>
          <w:sz w:val="19"/>
        </w:rPr>
        <w:t xml:space="preserve"> — Phase 3 Trial of Cabozantinib to Treat Advanced Neuroendocrine Tumors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Source</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Chen 2026 · PRRT after LT</w:t>
      </w:r>
      <w:r>
        <w:rPr>
          <w:b w:val="0"/>
          <w:i w:val="0"/>
          <w:sz w:val="19"/>
        </w:rPr>
        <w:t xml:space="preserve"> — Peptide Receptor Radionuclide Therapy for Recurrent Neuroendocrine Tumor Liver Metastases After Liver transplantation: A Case Series</w:t>
      </w:r>
      <w:r>
        <w:rPr>
          <w:b w:val="0"/>
          <w:i w:val="0"/>
          <w:sz w:val="19"/>
        </w:rPr>
        <w:t xml:space="preserve">  </w:t>
      </w:r>
      <w:hyperlink r:id="rId41">
        <w:r>
          <w:rPr>
            <w:color w:val="0563C1"/>
            <w:u w:val="single"/>
            <w:sz w:val="19"/>
          </w:rPr>
          <w:t xml:space="preserve">PubMed</w:t>
        </w:r>
      </w:hyperlink>
      <w:r>
        <w:rPr>
          <w:b w:val="0"/>
          <w:i w:val="0"/>
          <w:sz w:val="19"/>
        </w:rPr>
        <w:t xml:space="preserve"> · </w:t>
      </w:r>
      <w:hyperlink r:id="rId42">
        <w:r>
          <w:rPr>
            <w:color w:val="0563C1"/>
            <w:u w:val="single"/>
            <w:sz w:val="19"/>
          </w:rPr>
          <w:t xml:space="preserve">Journal</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Free full text</w:t>
        </w:r>
      </w:hyperlink>
      <w:r>
        <w:rPr>
          <w:b w:val="0"/>
          <w:i w:val="0"/>
          <w:sz w:val="19"/>
        </w:rPr>
        <w:t xml:space="preserve"> · </w:t>
      </w:r>
      <w:hyperlink r:id="rId47">
        <w:r>
          <w:rPr>
            <w:color w:val="0563C1"/>
            <w:u w:val="single"/>
            <w:sz w:val="19"/>
          </w:rPr>
          <w:t xml:space="preserve">Source</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Source</w:t>
        </w:r>
      </w:hyperlink>
      <w:r>
        <w:rPr>
          <w:b w:val="0"/>
          <w:i w:val="0"/>
          <w:sz w:val="19"/>
        </w:rPr>
        <w:t xml:space="preserve"> · </w:t>
      </w:r>
      <w:hyperlink r:id="rId53">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4">
        <w:r>
          <w:rPr>
            <w:color w:val="0563C1"/>
            <w:u w:val="single"/>
            <w:sz w:val="19"/>
          </w:rPr>
          <w:t xml:space="preserve">PubMed</w:t>
        </w:r>
      </w:hyperlink>
      <w:r>
        <w:rPr>
          <w:b w:val="0"/>
          <w:i w:val="0"/>
          <w:sz w:val="19"/>
        </w:rPr>
        <w:t xml:space="preserve"> · </w:t>
      </w:r>
      <w:hyperlink r:id="rId55">
        <w:r>
          <w:rPr>
            <w:color w:val="0563C1"/>
            <w:u w:val="single"/>
            <w:sz w:val="19"/>
          </w:rPr>
          <w:t xml:space="preserve">Journal</w:t>
        </w:r>
      </w:hyperlink>
      <w:r>
        <w:rPr>
          <w:b w:val="0"/>
          <w:i w:val="0"/>
          <w:sz w:val="19"/>
        </w:rPr>
        <w:t xml:space="preserve"> · </w:t>
      </w:r>
      <w:hyperlink r:id="rId56">
        <w:r>
          <w:rPr>
            <w:color w:val="0563C1"/>
            <w:u w:val="single"/>
            <w:sz w:val="19"/>
          </w:rPr>
          <w:t xml:space="preserve">Source</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ENETS 2026</w:t>
      </w:r>
      <w:r>
        <w:rPr>
          <w:b w:val="0"/>
          <w:i w:val="0"/>
          <w:sz w:val="19"/>
        </w:rPr>
        <w:t xml:space="preserve"> — Controversies in NEN: An ENETS position statement on the role of liver transplantation (LT) in patients with advanced small-intestinal and pancreatic NETs</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Eshmuminov 2023 · LT versus resection</w:t>
      </w:r>
      <w:r>
        <w:rPr>
          <w:b w:val="0"/>
          <w:i w:val="0"/>
          <w:sz w:val="19"/>
        </w:rPr>
        <w:t xml:space="preserve"> — Controversy Over Liver Transplantation or Resection for Neuroendocrine Liver Metastasis: Tumor Biology Cuts the Deal</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Journal</w:t>
        </w:r>
      </w:hyperlink>
      <w:r>
        <w:rPr>
          <w:b w:val="0"/>
          <w:i w:val="0"/>
          <w:sz w:val="19"/>
        </w:rPr>
        <w:t xml:space="preserve"> · </w:t>
      </w:r>
      <w:hyperlink r:id="rId65">
        <w:r>
          <w:rPr>
            <w:color w:val="0563C1"/>
            <w:u w:val="single"/>
            <w:sz w:val="19"/>
          </w:rPr>
          <w:t xml:space="preserve">Source</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Frilling 2010 · 68Ga-DOTATOC PET</w:t>
      </w:r>
      <w:r>
        <w:rPr>
          <w:b w:val="0"/>
          <w:i w:val="0"/>
          <w:sz w:val="19"/>
        </w:rPr>
        <w:t xml:space="preserve"> — The impact of 68Ga-DOTATOC positron emission tomography/computed tomography on the multimodal management of patients with neuroendocrine tumors</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70">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Kjaer 2023 · eligible non-LT panNET</w:t>
      </w:r>
      <w:r>
        <w:rPr>
          <w:b w:val="0"/>
          <w:i w:val="0"/>
          <w:sz w:val="19"/>
        </w:rPr>
        <w:t xml:space="preserve"> — Overall Survival in Patients with Stage IV Pan-NET Eligible for Liver Transplantation</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Source</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Le Treut 2013 · ELTR</w:t>
      </w:r>
      <w:r>
        <w:rPr>
          <w:b w:val="0"/>
          <w:i w:val="0"/>
          <w:sz w:val="19"/>
        </w:rPr>
        <w:t xml:space="preserve"> — Liver Transplantation for Neuroendocrine Tumors in Europe—Results and Trends in Patient Selection</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Source</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Maspero 2022 · Milan long-term</w:t>
      </w:r>
      <w:r>
        <w:rPr>
          <w:b w:val="0"/>
          <w:i w:val="0"/>
          <w:sz w:val="19"/>
        </w:rPr>
        <w:t xml:space="preserve"> — Long-term outcomes of resection versus transplantation for neuroendocrine liver metastases meeting the Milan criteria</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Source</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Mazzaferro 2016 · Milan-NET</w:t>
      </w:r>
      <w:r>
        <w:rPr>
          <w:b w:val="0"/>
          <w:i w:val="0"/>
          <w:sz w:val="19"/>
        </w:rPr>
        <w:t xml:space="preserve"> — The Long-Term Benefit of Liver Transplantation for Hepatic Metastases From Neuroendocrine Tumors</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NETTER-2</w:t>
      </w:r>
      <w:r>
        <w:rPr>
          <w:b w:val="0"/>
          <w:i w:val="0"/>
          <w:sz w:val="19"/>
        </w:rPr>
        <w:t xml:space="preserve"> — [177Lu]Lu-DOTA-TATE plus long-acting octreotide versus high‑dose long-acting octreotide for the treatment of newly diagnosed, advanced grade 2–3, well-differentiated, gastroenteropancreatic neuroendocrine tumours (NETTER-2): an open-label, randomised, phase 3 study</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93">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94">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95">
        <w:r>
          <w:rPr>
            <w:color w:val="0563C1"/>
            <w:u w:val="single"/>
            <w:sz w:val="19"/>
          </w:rPr>
          <w:t xml:space="preserve">Source</w:t>
        </w:r>
      </w:hyperlink>
    </w:p>
    <w:p>
      <w:pPr>
        <w:spacing w:after="60"/>
      </w:pPr>
      <w:r>
        <w:rPr>
          <w:b/>
          <w:i w:val="0"/>
          <w:sz w:val="19"/>
        </w:rPr>
        <w:t>Sher 2015 · US multicentre NET LT</w:t>
      </w:r>
      <w:r>
        <w:rPr>
          <w:b w:val="0"/>
          <w:i w:val="0"/>
          <w:sz w:val="19"/>
        </w:rPr>
        <w:t xml:space="preserve"> — Liver transplantation for metastatic neuroendocrine tumors: Outcomes and prognostic variables</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Strosberg 2021 · NETTER-1 final OS</w:t>
      </w:r>
      <w:r>
        <w:rPr>
          <w:b w:val="0"/>
          <w:i w:val="0"/>
          <w:sz w:val="19"/>
        </w:rPr>
        <w:t xml:space="preserve"> — 177Lu-Dotatate plus long-acting octreotide versus high‑dose long-acting octreotide in patients with midgut neuroendocrine tumours (NETTER-1): final overall survival and long-term safety results from an open-label, randomised, controlled, phase 3 trial</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Source</w:t>
        </w:r>
      </w:hyperlink>
      <w:r>
        <w:rPr>
          <w:b w:val="0"/>
          <w:i w:val="0"/>
          <w:sz w:val="19"/>
        </w:rPr>
        <w:t xml:space="preserve"> · </w:t>
      </w:r>
      <w:hyperlink r:id="rId102">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Free full text</w:t>
        </w:r>
      </w:hyperlink>
      <w:r>
        <w:rPr>
          <w:b w:val="0"/>
          <w:i w:val="0"/>
          <w:sz w:val="19"/>
        </w:rPr>
        <w:t xml:space="preserve"> · </w:t>
      </w:r>
      <w:hyperlink r:id="rId106">
        <w:r>
          <w:rPr>
            <w:color w:val="0563C1"/>
            <w:u w:val="single"/>
            <w:sz w:val="19"/>
          </w:rPr>
          <w:t xml:space="preserve">Source</w:t>
        </w:r>
      </w:hyperlink>
      <w:r>
        <w:rPr>
          <w:b w:val="0"/>
          <w:i w:val="0"/>
          <w:sz w:val="19"/>
        </w:rPr>
        <w:t xml:space="preserve"> · </w:t>
      </w:r>
      <w:hyperlink r:id="rId107">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08">
        <w:r>
          <w:rPr>
            <w:color w:val="0563C1"/>
            <w:u w:val="single"/>
            <w:sz w:val="19"/>
          </w:rPr>
          <w:t xml:space="preserve">PubMed</w:t>
        </w:r>
      </w:hyperlink>
      <w:r>
        <w:rPr>
          <w:b w:val="0"/>
          <w:i w:val="0"/>
          <w:sz w:val="19"/>
        </w:rPr>
        <w:t xml:space="preserve"> · </w:t>
      </w:r>
      <w:hyperlink r:id="rId109">
        <w:r>
          <w:rPr>
            <w:color w:val="0563C1"/>
            <w:u w:val="single"/>
            <w:sz w:val="19"/>
          </w:rPr>
          <w:t xml:space="preserve">Journal</w:t>
        </w:r>
      </w:hyperlink>
      <w:r>
        <w:rPr>
          <w:b w:val="0"/>
          <w:i w:val="0"/>
          <w:sz w:val="19"/>
        </w:rPr>
        <w:t xml:space="preserve"> · </w:t>
      </w:r>
      <w:hyperlink r:id="rId110">
        <w:r>
          <w:rPr>
            <w:color w:val="0563C1"/>
            <w:u w:val="single"/>
            <w:sz w:val="19"/>
          </w:rPr>
          <w:t xml:space="preserve">TMC library</w:t>
        </w:r>
      </w:hyperlink>
    </w:p>
    <w:p>
      <w:pPr>
        <w:spacing w:after="60"/>
      </w:pPr>
      <w:r>
        <w:rPr>
          <w:b/>
          <w:i w:val="0"/>
          <w:sz w:val="19"/>
        </w:rPr>
        <w:t>Wedin 2025 · bone metastases in SI-NET</w:t>
      </w:r>
      <w:r>
        <w:rPr>
          <w:b w:val="0"/>
          <w:i w:val="0"/>
          <w:sz w:val="19"/>
        </w:rPr>
        <w:t xml:space="preserve"> — Impact on symptoms and survival of bone metastases in patients with small-intestinal neuroendocrine tumours</w:t>
      </w:r>
      <w:r>
        <w:rPr>
          <w:b w:val="0"/>
          <w:i w:val="0"/>
          <w:sz w:val="19"/>
        </w:rPr>
        <w:t xml:space="preserve">  </w:t>
      </w:r>
      <w:hyperlink r:id="rId111">
        <w:r>
          <w:rPr>
            <w:color w:val="0563C1"/>
            <w:u w:val="single"/>
            <w:sz w:val="19"/>
          </w:rPr>
          <w:t xml:space="preserve">PubMed</w:t>
        </w:r>
      </w:hyperlink>
      <w:r>
        <w:rPr>
          <w:b w:val="0"/>
          <w:i w:val="0"/>
          <w:sz w:val="19"/>
        </w:rPr>
        <w:t xml:space="preserve"> · </w:t>
      </w:r>
      <w:hyperlink r:id="rId112">
        <w:r>
          <w:rPr>
            <w:color w:val="0563C1"/>
            <w:u w:val="single"/>
            <w:sz w:val="19"/>
          </w:rPr>
          <w:t xml:space="preserve">Journal</w:t>
        </w:r>
      </w:hyperlink>
      <w:r>
        <w:rPr>
          <w:b w:val="0"/>
          <w:i w:val="0"/>
          <w:sz w:val="19"/>
        </w:rPr>
        <w:t xml:space="preserve"> · </w:t>
      </w:r>
      <w:hyperlink r:id="rId113">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14">
        <w:r>
          <w:rPr>
            <w:color w:val="0563C1"/>
            <w:u w:val="single"/>
            <w:sz w:val="19"/>
          </w:rPr>
          <w:t xml:space="preserve">PubMed</w:t>
        </w:r>
      </w:hyperlink>
      <w:r>
        <w:rPr>
          <w:b w:val="0"/>
          <w:i w:val="0"/>
          <w:sz w:val="19"/>
        </w:rPr>
        <w:t xml:space="preserve"> · </w:t>
      </w:r>
      <w:hyperlink r:id="rId115">
        <w:r>
          <w:rPr>
            <w:color w:val="0563C1"/>
            <w:u w:val="single"/>
            <w:sz w:val="19"/>
          </w:rPr>
          <w:t xml:space="preserve">Journal</w:t>
        </w:r>
      </w:hyperlink>
      <w:r>
        <w:rPr>
          <w:b w:val="0"/>
          <w:i w:val="0"/>
          <w:sz w:val="19"/>
        </w:rPr>
        <w:t xml:space="preserve"> · </w:t>
      </w:r>
      <w:hyperlink r:id="rId116">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20">
        <w:r>
          <w:rPr>
            <w:color w:val="0563C1"/>
            <w:u w:val="single"/>
            <w:sz w:val="19"/>
          </w:rPr>
          <w:t xml:space="preserve">PubMed</w:t>
        </w:r>
      </w:hyperlink>
      <w:r>
        <w:rPr>
          <w:b w:val="0"/>
          <w:i w:val="0"/>
          <w:sz w:val="19"/>
        </w:rPr>
        <w:t xml:space="preserve"> · </w:t>
      </w:r>
      <w:hyperlink r:id="rId121">
        <w:r>
          <w:rPr>
            <w:color w:val="0563C1"/>
            <w:u w:val="single"/>
            <w:sz w:val="19"/>
          </w:rPr>
          <w:t xml:space="preserve">Journal</w:t>
        </w:r>
      </w:hyperlink>
      <w:r>
        <w:rPr>
          <w:b w:val="0"/>
          <w:i w:val="0"/>
          <w:sz w:val="19"/>
        </w:rPr>
        <w:t xml:space="preserve"> · </w:t>
      </w:r>
      <w:hyperlink r:id="rId122">
        <w:r>
          <w:rPr>
            <w:color w:val="0563C1"/>
            <w:u w:val="single"/>
            <w:sz w:val="19"/>
          </w:rPr>
          <w:t xml:space="preserve">Free full text</w:t>
        </w:r>
      </w:hyperlink>
      <w:r>
        <w:rPr>
          <w:b w:val="0"/>
          <w:i w:val="0"/>
          <w:sz w:val="19"/>
        </w:rPr>
        <w:t xml:space="preserve"> · </w:t>
      </w:r>
      <w:hyperlink r:id="rId123">
        <w:r>
          <w:rPr>
            <w:color w:val="0563C1"/>
            <w:u w:val="single"/>
            <w:sz w:val="19"/>
          </w:rPr>
          <w:t xml:space="preserve">Source</w:t>
        </w:r>
      </w:hyperlink>
      <w:r>
        <w:rPr>
          <w:b w:val="0"/>
          <w:i w:val="0"/>
          <w:sz w:val="19"/>
        </w:rPr>
        <w:t xml:space="preserve"> · </w:t>
      </w:r>
      <w:hyperlink r:id="rId124">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nelm/#options" TargetMode="External"/><Relationship Id="rId9" Type="http://schemas.openxmlformats.org/officeDocument/2006/relationships/hyperlink" Target="https://drliuhao.github.io/mh-liver-pathways/transplant/nelm/#high-risk-net-b1" TargetMode="External"/><Relationship Id="rId10" Type="http://schemas.openxmlformats.org/officeDocument/2006/relationships/hyperlink" Target="https://drliuhao.github.io/mh-liver-pathways/transplant/nelm/#biology" TargetMode="External"/><Relationship Id="rId11" Type="http://schemas.openxmlformats.org/officeDocument/2006/relationships/hyperlink" Target="https://drliuhao.github.io/mh-liver-pathways/transplant/nelm/#distribution" TargetMode="External"/><Relationship Id="rId12" Type="http://schemas.openxmlformats.org/officeDocument/2006/relationships/hyperlink" Target="https://drliuhao.github.io/mh-liver-pathways/transplant/nelm/#observation" TargetMode="External"/><Relationship Id="rId13" Type="http://schemas.openxmlformats.org/officeDocument/2006/relationships/hyperlink" Target="https://drliuhao.github.io/mh-liver-pathways/transplant/nelm/#high-risk-net-b2" TargetMode="External"/><Relationship Id="rId14" Type="http://schemas.openxmlformats.org/officeDocument/2006/relationships/hyperlink" Target="https://drliuhao.github.io/mh-liver-pathways/transplant/nelm/#review" TargetMode="External"/><Relationship Id="rId15" Type="http://schemas.openxmlformats.org/officeDocument/2006/relationships/hyperlink" Target="https://drliuhao.github.io/mh-liver-pathways/transplant/nelm/#high-risk-net-b3" TargetMode="External"/><Relationship Id="rId16" Type="http://schemas.openxmlformats.org/officeDocument/2006/relationships/hyperlink" Target="https://drliuhao.github.io/mh-liver-pathways/transplant/nelm/#high-risk-net-b4" TargetMode="External"/><Relationship Id="rId17" Type="http://schemas.openxmlformats.org/officeDocument/2006/relationships/hyperlink" Target="https://drliuhao.github.io/mh-liver-pathways/transplant/nelm/#high-risk-alloc-b1" TargetMode="External"/><Relationship Id="rId18" Type="http://schemas.openxmlformats.org/officeDocument/2006/relationships/hyperlink" Target="https://drliuhao.github.io/mh-liver-pathways/transplant/nelm/#high-risk-alloc-b2" TargetMode="External"/><Relationship Id="rId19" Type="http://schemas.openxmlformats.org/officeDocument/2006/relationships/hyperlink" Target="https://drliuhao.github.io/mh-liver-pathways/transplant/nelm/#high-risk-alloc-b3" TargetMode="External"/><Relationship Id="rId20" Type="http://schemas.openxmlformats.org/officeDocument/2006/relationships/hyperlink" Target="https://drliuhao.github.io/mh-liver-pathways/transplant/nelm/#high-risk-alloc-b4" TargetMode="External"/><Relationship Id="rId21" Type="http://schemas.openxmlformats.org/officeDocument/2006/relationships/hyperlink" Target="https://pubmed.ncbi.nlm.nih.gov/22335782/" TargetMode="External"/><Relationship Id="rId22" Type="http://schemas.openxmlformats.org/officeDocument/2006/relationships/hyperlink" Target="https://doi.org/10.1111/j.1600-6143.2011.03972.x" TargetMode="External"/><Relationship Id="rId23" Type="http://schemas.openxmlformats.org/officeDocument/2006/relationships/hyperlink" Target="https://pmc.ncbi.nlm.nih.gov/articles/PMC3732171/pdf/nihms-491154.pdf" TargetMode="External"/><Relationship Id="rId24" Type="http://schemas.openxmlformats.org/officeDocument/2006/relationships/hyperlink" Target="https://pmc.ncbi.nlm.nih.gov/articles/PMC3732171/" TargetMode="External"/><Relationship Id="rId25" Type="http://schemas.openxmlformats.org/officeDocument/2006/relationships/hyperlink" Target="https://thslc-houston.primo.exlibrisgroup.com/discovery/search?vid=01TEXASHEALTH_HOUSTON%3ATMC_INST&amp;query=any,contains,10.1111%2Fj.1600-6143.2011.03972.x&amp;lang=en" TargetMode="External"/><Relationship Id="rId26" Type="http://schemas.openxmlformats.org/officeDocument/2006/relationships/hyperlink" Target="https://pubmed.ncbi.nlm.nih.gov/38521169/" TargetMode="External"/><Relationship Id="rId27" Type="http://schemas.openxmlformats.org/officeDocument/2006/relationships/hyperlink" Target="https://doi.org/10.1016/j.jhep.2024.03.020" TargetMode="External"/><Relationship Id="rId28" Type="http://schemas.openxmlformats.org/officeDocument/2006/relationships/hyperlink" Target="https://thslc-houston.primo.exlibrisgroup.com/discovery/search?vid=01TEXASHEALTH_HOUSTON%3ATMC_INST&amp;query=any,contains,10.1016%2Fj.jhep.2024.03.020&amp;lang=en" TargetMode="External"/><Relationship Id="rId29" Type="http://schemas.openxmlformats.org/officeDocument/2006/relationships/hyperlink" Target="https://pubmed.ncbi.nlm.nih.gov/41682619/" TargetMode="External"/><Relationship Id="rId30" Type="http://schemas.openxmlformats.org/officeDocument/2006/relationships/hyperlink" Target="https://doi.org/10.3390/jcm15030938" TargetMode="External"/><Relationship Id="rId31" Type="http://schemas.openxmlformats.org/officeDocument/2006/relationships/hyperlink" Target="https://pmc.ncbi.nlm.nih.gov/articles/PMC12898325/" TargetMode="External"/><Relationship Id="rId32" Type="http://schemas.openxmlformats.org/officeDocument/2006/relationships/hyperlink" Target="https://thslc-houston.primo.exlibrisgroup.com/discovery/search?vid=01TEXASHEALTH_HOUSTON%3ATMC_INST&amp;query=any,contains,10.3390%2Fjcm15030938&amp;lang=en" TargetMode="External"/><Relationship Id="rId33" Type="http://schemas.openxmlformats.org/officeDocument/2006/relationships/hyperlink" Target="https://pubmed.ncbi.nlm.nih.gov/25014687/" TargetMode="External"/><Relationship Id="rId34" Type="http://schemas.openxmlformats.org/officeDocument/2006/relationships/hyperlink" Target="https://doi.org/10.1056/nejmoa1316158" TargetMode="External"/><Relationship Id="rId35" Type="http://schemas.openxmlformats.org/officeDocument/2006/relationships/hyperlink" Target="https://doi.org/10.1056/NEJMoa1316158" TargetMode="External"/><Relationship Id="rId36" Type="http://schemas.openxmlformats.org/officeDocument/2006/relationships/hyperlink" Target="https://thslc-houston.primo.exlibrisgroup.com/discovery/search?vid=01TEXASHEALTH_HOUSTON%3ATMC_INST&amp;query=any,contains,10.1056%2Fnejmoa1316158&amp;lang=en" TargetMode="External"/><Relationship Id="rId37" Type="http://schemas.openxmlformats.org/officeDocument/2006/relationships/hyperlink" Target="https://pubmed.ncbi.nlm.nih.gov/39282913/" TargetMode="External"/><Relationship Id="rId38" Type="http://schemas.openxmlformats.org/officeDocument/2006/relationships/hyperlink" Target="https://doi.org/10.1056/nejmoa2403991" TargetMode="External"/><Relationship Id="rId39" Type="http://schemas.openxmlformats.org/officeDocument/2006/relationships/hyperlink" Target="https://pmc.ncbi.nlm.nih.gov/articles/PMC11821447/" TargetMode="External"/><Relationship Id="rId40" Type="http://schemas.openxmlformats.org/officeDocument/2006/relationships/hyperlink" Target="https://thslc-houston.primo.exlibrisgroup.com/discovery/search?vid=01TEXASHEALTH_HOUSTON%3ATMC_INST&amp;query=any,contains,10.1056%2Fnejmoa2403991&amp;lang=en" TargetMode="External"/><Relationship Id="rId41" Type="http://schemas.openxmlformats.org/officeDocument/2006/relationships/hyperlink" Target="https://pubmed.ncbi.nlm.nih.gov/41760506/" TargetMode="External"/><Relationship Id="rId42" Type="http://schemas.openxmlformats.org/officeDocument/2006/relationships/hyperlink" Target="https://doi.org/10.1016/j.transproceed.2026.02.019" TargetMode="External"/><Relationship Id="rId43" Type="http://schemas.openxmlformats.org/officeDocument/2006/relationships/hyperlink" Target="https://thslc-houston.primo.exlibrisgroup.com/discovery/search?vid=01TEXASHEALTH_HOUSTON%3ATMC_INST&amp;query=any,contains,10.1016%2Fj.transproceed.2026.02.019&amp;lang=en" TargetMode="External"/><Relationship Id="rId44" Type="http://schemas.openxmlformats.org/officeDocument/2006/relationships/hyperlink" Target="https://pubmed.ncbi.nlm.nih.gov/27647626/" TargetMode="External"/><Relationship Id="rId45" Type="http://schemas.openxmlformats.org/officeDocument/2006/relationships/hyperlink" Target="https://doi.org/10.1111/ajt.14055" TargetMode="External"/><Relationship Id="rId46" Type="http://schemas.openxmlformats.org/officeDocument/2006/relationships/hyperlink" Target="https://pmc.ncbi.nlm.nih.gov/articles/PMC5359081/pdf/nihms818467.pdf" TargetMode="External"/><Relationship Id="rId47" Type="http://schemas.openxmlformats.org/officeDocument/2006/relationships/hyperlink" Target="https://pmc.ncbi.nlm.nih.gov/articles/PMC5359081/" TargetMode="External"/><Relationship Id="rId48" Type="http://schemas.openxmlformats.org/officeDocument/2006/relationships/hyperlink" Target="https://thslc-houston.primo.exlibrisgroup.com/discovery/search?vid=01TEXASHEALTH_HOUSTON%3ATMC_INST&amp;query=any,contains,10.1111%2Fajt.14055&amp;lang=en" TargetMode="External"/><Relationship Id="rId49" Type="http://schemas.openxmlformats.org/officeDocument/2006/relationships/hyperlink" Target="https://pubmed.ncbi.nlm.nih.gov/42270817/" TargetMode="External"/><Relationship Id="rId50" Type="http://schemas.openxmlformats.org/officeDocument/2006/relationships/hyperlink" Target="https://doi.org/10.1038/s41571-026-01160-z" TargetMode="External"/><Relationship Id="rId51" Type="http://schemas.openxmlformats.org/officeDocument/2006/relationships/hyperlink" Target="https://pmc.ncbi.nlm.nih.gov/articles/PMC13665261/pdf/nihms-2192929.pdf" TargetMode="External"/><Relationship Id="rId52" Type="http://schemas.openxmlformats.org/officeDocument/2006/relationships/hyperlink" Target="https://pmc.ncbi.nlm.nih.gov/articles/PMC13665261/" TargetMode="External"/><Relationship Id="rId53" Type="http://schemas.openxmlformats.org/officeDocument/2006/relationships/hyperlink" Target="https://thslc-houston.primo.exlibrisgroup.com/discovery/search?vid=01TEXASHEALTH_HOUSTON%3ATMC_INST&amp;query=any,contains,10.1038%2Fs41571-026-01160-z&amp;lang=en" TargetMode="External"/><Relationship Id="rId54" Type="http://schemas.openxmlformats.org/officeDocument/2006/relationships/hyperlink" Target="https://pubmed.ncbi.nlm.nih.gov/27777223/" TargetMode="External"/><Relationship Id="rId55" Type="http://schemas.openxmlformats.org/officeDocument/2006/relationships/hyperlink" Target="https://doi.org/10.1136/bmj.i5239" TargetMode="External"/><Relationship Id="rId56" Type="http://schemas.openxmlformats.org/officeDocument/2006/relationships/hyperlink" Target="https://pmc.ncbi.nlm.nih.gov/articles/PMC5076380/" TargetMode="External"/><Relationship Id="rId57" Type="http://schemas.openxmlformats.org/officeDocument/2006/relationships/hyperlink" Target="https://thslc-houston.primo.exlibrisgroup.com/discovery/search?vid=01TEXASHEALTH_HOUSTON%3ATMC_INST&amp;query=any,contains,10.1136%2Fbmj.i5239&amp;lang=en" TargetMode="External"/><Relationship Id="rId58" Type="http://schemas.openxmlformats.org/officeDocument/2006/relationships/hyperlink" Target="https://pubmed.ncbi.nlm.nih.gov/42816382/" TargetMode="External"/><Relationship Id="rId59" Type="http://schemas.openxmlformats.org/officeDocument/2006/relationships/hyperlink" Target="https://doi.org/10.1111/jne.70250" TargetMode="External"/><Relationship Id="rId60" Type="http://schemas.openxmlformats.org/officeDocument/2006/relationships/hyperlink" Target="https://pmc.ncbi.nlm.nih.gov/articles/PMC13626967/pdf/JNE-38-e70250.pdf" TargetMode="External"/><Relationship Id="rId61" Type="http://schemas.openxmlformats.org/officeDocument/2006/relationships/hyperlink" Target="https://pmc.ncbi.nlm.nih.gov/articles/PMC13626967/" TargetMode="External"/><Relationship Id="rId62" Type="http://schemas.openxmlformats.org/officeDocument/2006/relationships/hyperlink" Target="https://thslc-houston.primo.exlibrisgroup.com/discovery/search?vid=01TEXASHEALTH_HOUSTON%3ATMC_INST&amp;query=any,contains,10.1111%2Fjne.70250&amp;lang=en" TargetMode="External"/><Relationship Id="rId63" Type="http://schemas.openxmlformats.org/officeDocument/2006/relationships/hyperlink" Target="https://pubmed.ncbi.nlm.nih.gov/35975918/" TargetMode="External"/><Relationship Id="rId64" Type="http://schemas.openxmlformats.org/officeDocument/2006/relationships/hyperlink" Target="https://doi.org/10.1097/sla.0000000000005663" TargetMode="External"/><Relationship Id="rId65" Type="http://schemas.openxmlformats.org/officeDocument/2006/relationships/hyperlink" Target="https://doi.org/10.1097/SLA.0000000000005663" TargetMode="External"/><Relationship Id="rId66" Type="http://schemas.openxmlformats.org/officeDocument/2006/relationships/hyperlink" Target="https://thslc-houston.primo.exlibrisgroup.com/discovery/search?vid=01TEXASHEALTH_HOUSTON%3ATMC_INST&amp;query=any,contains,10.1097%2Fsla.0000000000005663&amp;lang=en" TargetMode="External"/><Relationship Id="rId67" Type="http://schemas.openxmlformats.org/officeDocument/2006/relationships/hyperlink" Target="https://pubmed.ncbi.nlm.nih.gov/21037441/" TargetMode="External"/><Relationship Id="rId68" Type="http://schemas.openxmlformats.org/officeDocument/2006/relationships/hyperlink" Target="https://doi.org/10.1097/SLA.0b013e3181fd37e8" TargetMode="External"/><Relationship Id="rId69" Type="http://schemas.openxmlformats.org/officeDocument/2006/relationships/hyperlink" Target="https://thslc-houston.primo.exlibrisgroup.com/discovery/search?vid=01TEXASHEALTH_HOUSTON%3ATMC_INST&amp;query=any,contains,10.1097%2FSLA.0b013e3181fd37e8&amp;lang=en" TargetMode="External"/><Relationship Id="rId70" Type="http://schemas.openxmlformats.org/officeDocument/2006/relationships/hyperlink" Target="https://www.ecfr.gov/current/title-45/subtitle-A/subchapter-A/part-46/subpart-A/section-46.111" TargetMode="External"/><Relationship Id="rId71" Type="http://schemas.openxmlformats.org/officeDocument/2006/relationships/hyperlink" Target="https://pubmed.ncbi.nlm.nih.gov/42835360/" TargetMode="External"/><Relationship Id="rId72" Type="http://schemas.openxmlformats.org/officeDocument/2006/relationships/hyperlink" Target="https://doi.org/10.1155/joot/2545887" TargetMode="External"/><Relationship Id="rId73" Type="http://schemas.openxmlformats.org/officeDocument/2006/relationships/hyperlink" Target="https://thslc-houston.primo.exlibrisgroup.com/discovery/search?vid=01TEXASHEALTH_HOUSTON%3ATMC_INST&amp;query=any,contains,10.1155%2Fjoot%2F2545887&amp;lang=en" TargetMode="External"/><Relationship Id="rId74" Type="http://schemas.openxmlformats.org/officeDocument/2006/relationships/hyperlink" Target="https://pubmed.ncbi.nlm.nih.gov/36175647/" TargetMode="External"/><Relationship Id="rId75" Type="http://schemas.openxmlformats.org/officeDocument/2006/relationships/hyperlink" Target="https://doi.org/10.1007/s00268-022-06736-1" TargetMode="External"/><Relationship Id="rId76" Type="http://schemas.openxmlformats.org/officeDocument/2006/relationships/hyperlink" Target="https://pmc.ncbi.nlm.nih.gov/articles/PMC9803729/" TargetMode="External"/><Relationship Id="rId77" Type="http://schemas.openxmlformats.org/officeDocument/2006/relationships/hyperlink" Target="https://thslc-houston.primo.exlibrisgroup.com/discovery/search?vid=01TEXASHEALTH_HOUSTON%3ATMC_INST&amp;query=any,contains,10.1007%2Fs00268-022-06736-1&amp;lang=en" TargetMode="External"/><Relationship Id="rId78" Type="http://schemas.openxmlformats.org/officeDocument/2006/relationships/hyperlink" Target="https://pubmed.ncbi.nlm.nih.gov/23532105/" TargetMode="External"/><Relationship Id="rId79" Type="http://schemas.openxmlformats.org/officeDocument/2006/relationships/hyperlink" Target="https://doi.org/10.1097/sla.0b013e31828ee17c" TargetMode="External"/><Relationship Id="rId80" Type="http://schemas.openxmlformats.org/officeDocument/2006/relationships/hyperlink" Target="https://doi.org/10.1097/SLA.0b013e31828ee17c" TargetMode="External"/><Relationship Id="rId81" Type="http://schemas.openxmlformats.org/officeDocument/2006/relationships/hyperlink" Target="https://thslc-houston.primo.exlibrisgroup.com/discovery/search?vid=01TEXASHEALTH_HOUSTON%3ATMC_INST&amp;query=any,contains,10.1097%2Fsla.0b013e31828ee17c&amp;lang=en" TargetMode="External"/><Relationship Id="rId82" Type="http://schemas.openxmlformats.org/officeDocument/2006/relationships/hyperlink" Target="https://pubmed.ncbi.nlm.nih.gov/35869798/" TargetMode="External"/><Relationship Id="rId83" Type="http://schemas.openxmlformats.org/officeDocument/2006/relationships/hyperlink" Target="https://doi.org/10.1111/ajt.17156" TargetMode="External"/><Relationship Id="rId84" Type="http://schemas.openxmlformats.org/officeDocument/2006/relationships/hyperlink" Target="https://pmc.ncbi.nlm.nih.gov/articles/PMC9805141/pdf/AJT-22-2598.pdf" TargetMode="External"/><Relationship Id="rId85" Type="http://schemas.openxmlformats.org/officeDocument/2006/relationships/hyperlink" Target="https://pmc.ncbi.nlm.nih.gov/articles/PMC9805141/" TargetMode="External"/><Relationship Id="rId86" Type="http://schemas.openxmlformats.org/officeDocument/2006/relationships/hyperlink" Target="https://thslc-houston.primo.exlibrisgroup.com/discovery/search?vid=01TEXASHEALTH_HOUSTON%3ATMC_INST&amp;query=any,contains,10.1111%2Fajt.17156&amp;lang=en" TargetMode="External"/><Relationship Id="rId87" Type="http://schemas.openxmlformats.org/officeDocument/2006/relationships/hyperlink" Target="https://pubmed.ncbi.nlm.nih.gov/27134017/" TargetMode="External"/><Relationship Id="rId88" Type="http://schemas.openxmlformats.org/officeDocument/2006/relationships/hyperlink" Target="https://doi.org/10.1111/ajt.13831" TargetMode="External"/><Relationship Id="rId89" Type="http://schemas.openxmlformats.org/officeDocument/2006/relationships/hyperlink" Target="https://thslc-houston.primo.exlibrisgroup.com/discovery/search?vid=01TEXASHEALTH_HOUSTON%3ATMC_INST&amp;query=any,contains,10.1111%2Fajt.13831&amp;lang=en" TargetMode="External"/><Relationship Id="rId90" Type="http://schemas.openxmlformats.org/officeDocument/2006/relationships/hyperlink" Target="https://pubmed.ncbi.nlm.nih.gov/38851203/" TargetMode="External"/><Relationship Id="rId91" Type="http://schemas.openxmlformats.org/officeDocument/2006/relationships/hyperlink" Target="https://doi.org/10.1016/S0140-6736(24)00701-3" TargetMode="External"/><Relationship Id="rId92" Type="http://schemas.openxmlformats.org/officeDocument/2006/relationships/hyperlink" Target="https://thslc-houston.primo.exlibrisgroup.com/discovery/search?vid=01TEXASHEALTH_HOUSTON%3ATMC_INST&amp;query=any,contains,10.1016%2FS0140-6736%2824%2900701-3&amp;lang=en" TargetMode="External"/><Relationship Id="rId93" Type="http://schemas.openxmlformats.org/officeDocument/2006/relationships/hyperlink" Target="https://www.hrsa.gov/sites/default/files/hrsa/optn/adult-meld-exception-transplant-oncology-review-guidance.pdf" TargetMode="External"/><Relationship Id="rId94" Type="http://schemas.openxmlformats.org/officeDocument/2006/relationships/hyperlink" Target="https://www.hrsa.gov/optn/professionals/resources/ethical-considerations/ethical-principles-in-the-allocation-of-human-organs" TargetMode="External"/><Relationship Id="rId95" Type="http://schemas.openxmlformats.org/officeDocument/2006/relationships/hyperlink" Target="https://www.hrsa.gov/sites/default/files/hrsa/optn/optn_policies.pdf" TargetMode="External"/><Relationship Id="rId96" Type="http://schemas.openxmlformats.org/officeDocument/2006/relationships/hyperlink" Target="https://pubmed.ncbi.nlm.nih.gov/26171686/" TargetMode="External"/><Relationship Id="rId97" Type="http://schemas.openxmlformats.org/officeDocument/2006/relationships/hyperlink" Target="https://doi.org/10.1002/jso.23973" TargetMode="External"/><Relationship Id="rId98" Type="http://schemas.openxmlformats.org/officeDocument/2006/relationships/hyperlink" Target="https://thslc-houston.primo.exlibrisgroup.com/discovery/search?vid=01TEXASHEALTH_HOUSTON%3ATMC_INST&amp;query=any,contains,10.1002%2Fjso.23973&amp;lang=en" TargetMode="External"/><Relationship Id="rId99" Type="http://schemas.openxmlformats.org/officeDocument/2006/relationships/hyperlink" Target="https://pubmed.ncbi.nlm.nih.gov/34793718/" TargetMode="External"/><Relationship Id="rId100" Type="http://schemas.openxmlformats.org/officeDocument/2006/relationships/hyperlink" Target="https://doi.org/10.1016/s1470-2045(21)00572-6" TargetMode="External"/><Relationship Id="rId101" Type="http://schemas.openxmlformats.org/officeDocument/2006/relationships/hyperlink" Target="https://doi.org/10.1016/S1470-2045(21)00572-6" TargetMode="External"/><Relationship Id="rId102" Type="http://schemas.openxmlformats.org/officeDocument/2006/relationships/hyperlink" Target="https://thslc-houston.primo.exlibrisgroup.com/discovery/search?vid=01TEXASHEALTH_HOUSTON%3ATMC_INST&amp;query=any,contains,10.1016%2Fs1470-2045%2821%2900572-6&amp;lang=en" TargetMode="External"/><Relationship Id="rId103" Type="http://schemas.openxmlformats.org/officeDocument/2006/relationships/hyperlink" Target="https://pubmed.ncbi.nlm.nih.gov/39544321/" TargetMode="External"/><Relationship Id="rId104" Type="http://schemas.openxmlformats.org/officeDocument/2006/relationships/hyperlink" Target="https://doi.org/10.3389/ti.2024.13641" TargetMode="External"/><Relationship Id="rId105" Type="http://schemas.openxmlformats.org/officeDocument/2006/relationships/hyperlink" Target="https://pmc.ncbi.nlm.nih.gov/articles/PMC11560448/pdf/ti-37-13641.pdf" TargetMode="External"/><Relationship Id="rId106" Type="http://schemas.openxmlformats.org/officeDocument/2006/relationships/hyperlink" Target="https://pmc.ncbi.nlm.nih.gov/articles/PMC11560448/" TargetMode="External"/><Relationship Id="rId107" Type="http://schemas.openxmlformats.org/officeDocument/2006/relationships/hyperlink" Target="https://thslc-houston.primo.exlibrisgroup.com/discovery/search?vid=01TEXASHEALTH_HOUSTON%3ATMC_INST&amp;query=any,contains,10.3389%2Fti.2024.13641&amp;lang=en" TargetMode="External"/><Relationship Id="rId108" Type="http://schemas.openxmlformats.org/officeDocument/2006/relationships/hyperlink" Target="https://pubmed.ncbi.nlm.nih.gov/39306468/" TargetMode="External"/><Relationship Id="rId109" Type="http://schemas.openxmlformats.org/officeDocument/2006/relationships/hyperlink" Target="https://doi.org/10.1016/S0140-6736(24)01595-2" TargetMode="External"/><Relationship Id="rId110" Type="http://schemas.openxmlformats.org/officeDocument/2006/relationships/hyperlink" Target="https://thslc-houston.primo.exlibrisgroup.com/discovery/search?vid=01TEXASHEALTH_HOUSTON%3ATMC_INST&amp;query=any,contains,10.1016%2FS0140-6736%2824%2901595-2&amp;lang=en" TargetMode="External"/><Relationship Id="rId111" Type="http://schemas.openxmlformats.org/officeDocument/2006/relationships/hyperlink" Target="https://pubmed.ncbi.nlm.nih.gov/40778558/" TargetMode="External"/><Relationship Id="rId112" Type="http://schemas.openxmlformats.org/officeDocument/2006/relationships/hyperlink" Target="https://doi.org/10.1111/jne.70073" TargetMode="External"/><Relationship Id="rId113" Type="http://schemas.openxmlformats.org/officeDocument/2006/relationships/hyperlink" Target="https://thslc-houston.primo.exlibrisgroup.com/discovery/search?vid=01TEXASHEALTH_HOUSTON%3ATMC_INST&amp;query=any,contains,10.1111%2Fjne.70073&amp;lang=en" TargetMode="External"/><Relationship Id="rId114" Type="http://schemas.openxmlformats.org/officeDocument/2006/relationships/hyperlink" Target="https://pubmed.ncbi.nlm.nih.gov/38015449/" TargetMode="External"/><Relationship Id="rId115" Type="http://schemas.openxmlformats.org/officeDocument/2006/relationships/hyperlink" Target="https://doi.org/10.1097/LVT.0000000000000303" TargetMode="External"/><Relationship Id="rId116" Type="http://schemas.openxmlformats.org/officeDocument/2006/relationships/hyperlink" Target="https://thslc-houston.primo.exlibrisgroup.com/discovery/search?vid=01TEXASHEALTH_HOUSTON%3ATMC_INST&amp;query=any,contains,10.1097%2FLVT.0000000000000303&amp;lang=en" TargetMode="External"/><Relationship Id="rId117" Type="http://schemas.openxmlformats.org/officeDocument/2006/relationships/hyperlink" Target="https://pubmed.ncbi.nlm.nih.gov/32615109/" TargetMode="External"/><Relationship Id="rId118" Type="http://schemas.openxmlformats.org/officeDocument/2006/relationships/hyperlink" Target="https://doi.org/10.1016/S1470-2045(20)30224-2" TargetMode="External"/><Relationship Id="rId119" Type="http://schemas.openxmlformats.org/officeDocument/2006/relationships/hyperlink" Target="https://thslc-houston.primo.exlibrisgroup.com/discovery/search?vid=01TEXASHEALTH_HOUSTON%3ATMC_INST&amp;query=any,contains,10.1016%2FS1470-2045%2820%2930224-2&amp;lang=en" TargetMode="External"/><Relationship Id="rId120" Type="http://schemas.openxmlformats.org/officeDocument/2006/relationships/hyperlink" Target="https://pubmed.ncbi.nlm.nih.gov/40099404/" TargetMode="External"/><Relationship Id="rId121" Type="http://schemas.openxmlformats.org/officeDocument/2006/relationships/hyperlink" Target="https://doi.org/10.1093/bjs/znaf054" TargetMode="External"/><Relationship Id="rId122" Type="http://schemas.openxmlformats.org/officeDocument/2006/relationships/hyperlink" Target="https://pmc.ncbi.nlm.nih.gov/articles/PMC11914714/pdf/znaf054.pdf" TargetMode="External"/><Relationship Id="rId123" Type="http://schemas.openxmlformats.org/officeDocument/2006/relationships/hyperlink" Target="https://pmc.ncbi.nlm.nih.gov/articles/PMC11914714/" TargetMode="External"/><Relationship Id="rId124"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