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252" w:lineRule="auto" w:after="120"/>
      </w:pPr>
      <w:r>
        <w:rPr>
          <w:b w:val="0"/>
          <w:i w:val="0"/>
          <w:sz w:val="44"/>
        </w:rPr>
        <w:t>Perihilar cholangiocarcinoma — Standard pathway: questions for consensus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UTHealth Houston and Memorial Hermann · HPB oncology · 29 October 2026 · V17 standardized documents</w:t>
      </w:r>
    </w:p>
    <w:p>
      <w:pPr>
        <w:spacing w:after="80"/>
      </w:pPr>
      <w:r>
        <w:rPr>
          <w:b w:val="0"/>
          <w:i w:val="0"/>
        </w:rPr>
        <w:t>Every question in the standard pathway that still needs a consensus answer. Each one shows what guidelines, trials and papers say, our proposed selection, and space for the group decision. All proposals are OPEN; nothing in this document is activated or approved.</w:t>
      </w:r>
    </w:p>
    <w:p>
      <w:pPr>
        <w:spacing w:after="80"/>
      </w:pPr>
      <w:r>
        <w:rPr>
          <w:b w:val="0"/>
          <w:i w:val="0"/>
        </w:rPr>
        <w:t>Web page: https://drliuhao.github.io/mh-liver-pathways/transplant/pcca/#meeting</w:t>
      </w:r>
    </w:p>
    <w:p>
      <w:pPr>
        <w:spacing w:after="160"/>
      </w:pPr>
      <w:r>
        <w:rPr>
          <w:b/>
          <w:i w:val="0"/>
        </w:rPr>
        <w:t xml:space="preserve">Companion files: </w:t>
      </w:r>
      <w:r>
        <w:rPr>
          <w:b w:val="0"/>
          <w:i w:val="0"/>
          <w:sz w:val="20"/>
        </w:rPr>
        <w:t xml:space="preserve">Full content: </w:t>
      </w:r>
      <w:r>
        <w:rPr>
          <w:b w:val="0"/>
          <w:i/>
        </w:rPr>
        <w:t>pCCA_3_Standard_Pathway.docx</w:t>
      </w:r>
      <w:r>
        <w:rPr>
          <w:b w:val="0"/>
          <w:i w:val="0"/>
          <w:sz w:val="20"/>
        </w:rPr>
        <w:t xml:space="preserve"> · Decision discussion for all settings: </w:t>
      </w:r>
      <w:r>
        <w:rPr>
          <w:b w:val="0"/>
          <w:i/>
        </w:rPr>
        <w:t>pCCA_7_Decision_Discussion.docx</w:t>
      </w:r>
    </w:p>
    <w:p>
      <w:pPr>
        <w:pStyle w:val="Heading1"/>
        <w:keepNext/>
        <w:spacing w:before="280" w:after="80"/>
      </w:pPr>
      <w:r>
        <w:rPr>
          <w:b w:val="0"/>
          <w:i w:val="0"/>
        </w:rPr>
        <w:t>Summary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00"/>
        <w:gridCol w:w="3500"/>
        <w:gridCol w:w="3780"/>
        <w:gridCol w:w="1500"/>
      </w:tblGrid>
      <w:tr>
        <w:trPr>
          <w:tblHeader/>
        </w:trPr>
        <w:tc>
          <w:tcPr>
            <w:tcW w:type="dxa" w:w="2520"/>
            <w:tcW w:w="13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520"/>
            <w:tcW w:w="3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520"/>
            <w:tcW w:w="37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Proposed selection (summary)</w:t>
            </w:r>
          </w:p>
        </w:tc>
        <w:tc>
          <w:tcPr>
            <w:tcW w:type="dxa" w:w="2520"/>
            <w:tcW w:w="1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G1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proximal strictures require transplant-team review before diagnostic sampling?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Request radiology/HPB localization before a primary needle biopsy when hilar origin is plausible.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G2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Primary-tumor sampling versus nodal sampling: what is acceptable?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Use intraductal diagnostic approaches; require explicit target/needle-path review for EUS. Nodal sampling is not interchangeable with sampling the primary.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G3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do we handle exactly 3 cm or conflicting radial measurements?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For the standardized exception, use the strict OPTN &lt;3 cm rule. Request a documented transplant-radiology measurement when borderline.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G4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neoadjuvant regimen and modifications will our center approve?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Use the formally approved center regimen and document treatment milestones; require named multidisciplinary approval for deviations.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G5 / G6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When is operative staging performed, and when does imaging expire?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Separate initial-request imaging, extension imaging and mandatory pretransplant operative staging; assign a date/owner to each.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Who approves the program and its surveillance plan?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Keep center approval, patient selection and post-transplant surveillance sign-off as three distinct recorded actions.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Questions</w:t>
      </w:r>
    </w:p>
    <w:p>
      <w:pPr>
        <w:pStyle w:val="Heading2"/>
        <w:keepNext/>
        <w:spacing w:before="200" w:after="80"/>
      </w:pPr>
      <w:r>
        <w:rPr>
          <w:b w:val="0"/>
          <w:i w:val="0"/>
        </w:rPr>
        <w:t>pCCA G1 — Which proximal strictures require transplant-team review before diagnostic sampling?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6">
        <w:r>
          <w:rPr>
            <w:color w:val="0563C1"/>
            <w:u w:val="single"/>
          </w:rPr>
          <w:t xml:space="preserve">Localize the lesion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“Hilar Cholangiocarcinoma”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§9.5.A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Guidance distinguishes intrahepatic, perihilar and distal CCA and their diagnostic/treatment pathways.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2023 · pCCA diagnosis / transplantation · PDF pp.26–28; iCCA treatment section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Request radiology/HPB localization before a primary needle biopsy when hilar origin is plausible.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 location label changes both treatment and the consequences of sampling.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Advanced GI · HPB radiology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pCCA G1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pCCA G2 — Primary-tumor sampling versus nodal sampling: what is acceptable?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0">
        <w:r>
          <w:rPr>
            <w:color w:val="0563C1"/>
            <w:u w:val="single"/>
          </w:rPr>
          <w:t xml:space="preserve">Plan diagnostic sampling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1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“Transperitoneal aspiration or biopsy of the primary tumor”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§9.5.A(6): must be avoided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“Endoscopic ultrasound-guided aspiration of regional hepatic lymph nodes may be advisable”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§9.5.A(5)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CCA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“Transperitoneal biopsies must be avoided in patients with pCCA who are potential LT candidates”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PDF p.26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Use intraductal diagnostic approaches; require explicit target/needle-path review for EUS. Nodal sampling is not interchangeable with sampling the primary.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 risk depends on the target and trajectory, not the name of the endoscopic procedure.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Advanced GI · transplant surgery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pCCA G2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pCCA G3 — How do we handle exactly 3 cm or conflicting radial measurements?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2">
        <w:r>
          <w:rPr>
            <w:color w:val="0563C1"/>
            <w:u w:val="single"/>
          </w:rPr>
          <w:t xml:space="preserve">Check protocol criteria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3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“less than three cm in radial (perpendicular to the duct) diameter”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§9.5.A(3)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“≤3 cm in radial diameter”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Treatment discussion, PDF p.27; summary guidance uses &lt;3 cm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For the standardized exception, use the strict OPTN &lt;3 cm rule. Request a documented transplant-radiology measurement when borderline.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Clinical text and allocation policy are not identical at the boundary.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Radiology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pCCA G3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pCCA G4 — Which neoadjuvant regimen and modifications will our center approve?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4">
        <w:r>
          <w:rPr>
            <w:color w:val="0563C1"/>
            <w:u w:val="single"/>
          </w:rPr>
          <w:t xml:space="preserve">Deliver approved neoadjuvant therapy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5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“Administration of neoadjuvant therapy before transplantation”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Required written protocol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CCA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Describes external-beam radiation with 5-FU, brachytherapy and maintenance capecitabine; delivery varies by center.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2023 · pCCA diagnosis / transplantation · PDF pp.26–28; iCCA treatment section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· multicenter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Multicenter outcomes support integrated neoadjuvant-plus-transplant programs, not a single isolated component.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Darwish Murad et al. · Gastroenterology · 2012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Use the formally approved center regimen and document treatment milestones; require named multidisciplinary approval for deviations.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 website should not manufacture a regimen or imply our draft has received approval.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Medical oncology · radiation oncology · transplant leadership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pCCA G4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pCCA G5 / G6 — When is operative staging performed, and when does imaging expire?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6">
        <w:r>
          <w:rPr>
            <w:color w:val="0563C1"/>
            <w:u w:val="single"/>
          </w:rPr>
          <w:t xml:space="preserve">Perform operative staging</w:t>
        </w:r>
      </w:hyperlink>
      <w:r>
        <w:rPr>
          <w:b w:val="0"/>
          <w:i w:val="0"/>
        </w:rPr>
        <w:t xml:space="preserve"> · </w:t>
      </w:r>
      <w:hyperlink r:id="rId17">
        <w:r>
          <w:rPr>
            <w:color w:val="0563C1"/>
            <w:u w:val="single"/>
          </w:rPr>
          <w:t xml:space="preserve">List and maintain readiness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8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“after completion of neoadjuvant therapy and before liver transplantation”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Operative staging, §9.5.A(5)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“within 30 days prior to the submission of the extension request”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Extension imaging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Separate initial-request imaging, extension imaging and mandatory pretransplant operative staging; assign a date/owner to each.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Negative pretherapy nodal sampling does not replace posttherapy operative staging.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pCCA G5 /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pCCA G6 — Who approves the program and its surveillance plan?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7">
        <w:r>
          <w:rPr>
            <w:color w:val="0563C1"/>
            <w:u w:val="single"/>
          </w:rPr>
          <w:t xml:space="preserve">List and maintain readiness</w:t>
        </w:r>
      </w:hyperlink>
      <w:r>
        <w:rPr>
          <w:b w:val="0"/>
          <w:i w:val="0"/>
        </w:rPr>
        <w:t xml:space="preserve"> · </w:t>
      </w:r>
      <w:hyperlink r:id="rId19">
        <w:r>
          <w:rPr>
            <w:color w:val="0563C1"/>
            <w:u w:val="single"/>
          </w:rPr>
          <w:t xml:space="preserve">Surveil after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0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9.5.A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Requires center protocol review/approval and specified supporting documentation.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Effective October 1, 2026 · §9.5.A · pp.190–191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pCCA · multicenter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Long-term outcomes inform counseling, but do not specify a universal local surveillance workflow.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Darwish Murad et al. · Gastroenterology · 2012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Keep center approval, patient selection and post-transplant surveillance sign-off as three distinct recorded actions.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 web protocol is not evidence that a program has been approved.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leadership · oncology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pCCA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Sources</w:t>
      </w:r>
    </w:p>
    <w:p>
      <w:pPr>
        <w:spacing w:after="60"/>
      </w:pPr>
      <w:r>
        <w:rPr>
          <w:b/>
          <w:i w:val="0"/>
          <w:sz w:val="19"/>
        </w:rPr>
        <w:t>AASLD · CCA</w:t>
      </w:r>
      <w:r>
        <w:rPr>
          <w:b w:val="0"/>
          <w:i w:val="0"/>
          <w:sz w:val="19"/>
        </w:rPr>
        <w:t xml:space="preserve"> — AASLD Practice Guidance on PSC and cholangiocarcinoma</w:t>
      </w:r>
      <w:r>
        <w:rPr>
          <w:b w:val="0"/>
          <w:i w:val="0"/>
          <w:sz w:val="19"/>
        </w:rPr>
        <w:t xml:space="preserve">  </w:t>
      </w:r>
      <w:hyperlink r:id="rId21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OPTN 9.5.A</w:t>
      </w:r>
      <w:r>
        <w:rPr>
          <w:b w:val="0"/>
          <w:i w:val="0"/>
          <w:sz w:val="19"/>
        </w:rPr>
        <w:t xml:space="preserve"> — OPTN Policies — hilar CCA standardized exception</w:t>
      </w:r>
      <w:r>
        <w:rPr>
          <w:b w:val="0"/>
          <w:i w:val="0"/>
          <w:sz w:val="19"/>
        </w:rPr>
        <w:t xml:space="preserve">  </w:t>
      </w:r>
      <w:hyperlink r:id="rId22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pCCA · multicenter</w:t>
      </w:r>
      <w:r>
        <w:rPr>
          <w:b w:val="0"/>
          <w:i w:val="0"/>
          <w:sz w:val="19"/>
        </w:rPr>
        <w:t xml:space="preserve"> — Neoadjuvant chemoradiation followed by LT for perihilar CCA: 12-center experience</w:t>
      </w:r>
      <w:r>
        <w:rPr>
          <w:b w:val="0"/>
          <w:i w:val="0"/>
          <w:sz w:val="19"/>
        </w:rPr>
        <w:t xml:space="preserve">  </w:t>
      </w:r>
      <w:hyperlink r:id="rId23">
        <w:r>
          <w:rPr>
            <w:color w:val="0563C1"/>
            <w:u w:val="single"/>
            <w:sz w:val="19"/>
          </w:rPr>
          <w:t xml:space="preserve">Source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069"/>
        <w:sz w:val="15"/>
        <w:szCs w:val="15"/>
      </w:rPr>
      <w:t xml:space="preserve">HPB oncology working reference  |  </w:t>
    </w:r>
    <w:r>
      <w:rPr>
        <w:sz w:val="15"/>
        <w:szCs w:val="15"/>
      </w:rPr>
      <w:t xml:space="preserve"/>
    </w:r>
    <w:r>
      <w:rPr>
        <w:color w:val="5A60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3">
    <w:abstractNumId w:val="4"/>
  </w:num>
  <w:abstractNum w:abstractNumId="5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5"/>
  </w:num>
  <w:abstractNum w:abstractNumId="6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5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  <w:color w:val="000000"/>
      <w:u w:val="none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17365D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76A87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6" Type="http://schemas.openxmlformats.org/officeDocument/2006/relationships/hyperlink" Target="https://drliuhao.github.io/mh-liver-pathways/transplant/pcca/#localize" TargetMode="External"/><Relationship Id="rId9" Type="http://schemas.openxmlformats.org/officeDocument/2006/relationships/hyperlink" Target="https://drliuhao.github.io/mh-liver-pathways/transplant/pcca/#meeting-anatomy" TargetMode="External"/><Relationship Id="rId10" Type="http://schemas.openxmlformats.org/officeDocument/2006/relationships/hyperlink" Target="https://drliuhao.github.io/mh-liver-pathways/transplant/pcca/#diagnosis" TargetMode="External"/><Relationship Id="rId11" Type="http://schemas.openxmlformats.org/officeDocument/2006/relationships/hyperlink" Target="https://drliuhao.github.io/mh-liver-pathways/transplant/pcca/#meeting-sampling" TargetMode="External"/><Relationship Id="rId12" Type="http://schemas.openxmlformats.org/officeDocument/2006/relationships/hyperlink" Target="https://drliuhao.github.io/mh-liver-pathways/transplant/pcca/#phenotype" TargetMode="External"/><Relationship Id="rId13" Type="http://schemas.openxmlformats.org/officeDocument/2006/relationships/hyperlink" Target="https://drliuhao.github.io/mh-liver-pathways/transplant/pcca/#meeting-threshold" TargetMode="External"/><Relationship Id="rId14" Type="http://schemas.openxmlformats.org/officeDocument/2006/relationships/hyperlink" Target="https://drliuhao.github.io/mh-liver-pathways/transplant/pcca/#neoadjuvant" TargetMode="External"/><Relationship Id="rId15" Type="http://schemas.openxmlformats.org/officeDocument/2006/relationships/hyperlink" Target="https://drliuhao.github.io/mh-liver-pathways/transplant/pcca/#meeting-regimen" TargetMode="External"/><Relationship Id="rId16" Type="http://schemas.openxmlformats.org/officeDocument/2006/relationships/hyperlink" Target="https://drliuhao.github.io/mh-liver-pathways/transplant/pcca/#staging" TargetMode="External"/><Relationship Id="rId17" Type="http://schemas.openxmlformats.org/officeDocument/2006/relationships/hyperlink" Target="https://drliuhao.github.io/mh-liver-pathways/transplant/pcca/#listing" TargetMode="External"/><Relationship Id="rId18" Type="http://schemas.openxmlformats.org/officeDocument/2006/relationships/hyperlink" Target="https://drliuhao.github.io/mh-liver-pathways/transplant/pcca/#meeting-staging-timing" TargetMode="External"/><Relationship Id="rId19" Type="http://schemas.openxmlformats.org/officeDocument/2006/relationships/hyperlink" Target="https://drliuhao.github.io/mh-liver-pathways/transplant/pcca/#follow-up" TargetMode="External"/><Relationship Id="rId20" Type="http://schemas.openxmlformats.org/officeDocument/2006/relationships/hyperlink" Target="https://drliuhao.github.io/mh-liver-pathways/transplant/pcca/#meeting-ownership" TargetMode="External"/><Relationship Id="rId21" Type="http://schemas.openxmlformats.org/officeDocument/2006/relationships/hyperlink" Target="https://doi.org/10.1002/hep.32771" TargetMode="External"/><Relationship Id="rId22" Type="http://schemas.openxmlformats.org/officeDocument/2006/relationships/hyperlink" Target="https://www.hrsa.gov/sites/default/files/hrsa/optn/optn_policies.pdf#page=190" TargetMode="External"/><Relationship Id="rId23" Type="http://schemas.openxmlformats.org/officeDocument/2006/relationships/hyperlink" Target="https://doi.org/10.1053/j.gastro.2012.04.008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Hermann HCC system roadmap v0.9</dc:title>
  <dc:subject>Hepatocellular carcinoma</dc:subject>
  <dc:creator>Memorial Hermann / UTHealth Houston tumour roadmap programme</dc:creator>
  <dc:description>Draft under development. Not ratified clinical policy.</dc:description>
  <cp:lastModifiedBy>Un-named</cp:lastModifiedBy>
  <cp:revision>1</cp:revision>
  <dcterms:created xsi:type="dcterms:W3CDTF">2026-10-10T04:29:15.270Z</dcterms:created>
  <dcterms:modified xsi:type="dcterms:W3CDTF">2026-10-29T14:21:32Z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