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before="1600"/>
      </w:pPr>
      <w:r>
        <w:rPr>
          <w:b/>
          <w:bCs/>
          <w:color w:val="176A87"/>
          <w:spacing w:val="36"/>
          <w:sz w:val="16"/>
          <w:szCs w:val="16"/>
        </w:rPr>
        <w:t xml:space="preserve">MEMORIAL HERMANN / UTHEALTH HOUSTON</w:t>
      </w:r>
    </w:p>
    <w:p>
      <w:pPr>
        <w:spacing w:after="100"/>
      </w:pPr>
      <w:r>
        <w:rPr>
          <w:rFonts w:ascii="Cambria" w:cs="Cambria" w:eastAsia="Cambria" w:hAnsi="Cambria"/>
          <w:b/>
          <w:bCs/>
          <w:color w:val="17365D"/>
          <w:sz w:val="48"/>
          <w:szCs w:val="48"/>
        </w:rPr>
        <w:t xml:space="preserve">Colorectal liver metastases</w:t>
      </w:r>
    </w:p>
    <w:p>
      <w:pPr>
        <w:spacing w:after="120"/>
      </w:pPr>
      <w:r>
        <w:rPr>
          <w:i/>
          <w:sz w:val="18"/>
        </w:rPr>
        <w:t xml:space="preserve">Standardized document set, 29 October 2026: this is the full-content document for the cancer roadmap. Questions for consensus: CRLM_2_Cancer_Roadmap_Questions.docx. Decision discussion for all settings: CRLM_7_Decision_Discussion.docx. Web page: https://drliuhao.github.io/mh-liver-pathways/crlm/</w:t>
      </w:r>
    </w:p>
    <w:p>
      <w:pPr>
        <w:spacing w:after="320"/>
      </w:pPr>
      <w:r>
        <w:rPr>
          <w:rFonts w:ascii="Cambria" w:cs="Cambria" w:eastAsia="Cambria" w:hAnsi="Cambria"/>
          <w:i/>
          <w:iCs/>
          <w:color w:val="5A6069"/>
          <w:sz w:val="28"/>
          <w:szCs w:val="28"/>
        </w:rPr>
        <w:t xml:space="preserve">Memorial Hermann system roadmap</w:t>
      </w:r>
    </w:p>
    <w:p>
      <w:pPr>
        <w:pBdr>
          <w:bottom w:val="single" w:color="D3DCE4" w:sz="6" w:space="1"/>
        </w:pBdr>
        <w:spacing w:after="260"/>
      </w:pPr>
    </w:p>
    <w:p>
      <w:pPr>
        <w:spacing w:after="60" w:line="276"/>
      </w:pPr>
      <w:r>
        <w:rPr>
          <w:b/>
          <w:bCs/>
          <w:color w:val="15181F"/>
          <w:sz w:val="22"/>
          <w:szCs w:val="22"/>
        </w:rPr>
        <w:t xml:space="preserve">Colorectal liver metastases · system roadmap</w:t>
      </w:r>
    </w:p>
    <w:p>
      <w:pPr>
        <w:spacing w:after="320" w:line="276"/>
      </w:pPr>
      <w:r>
        <w:rPr>
          <w:color w:val="5A6069"/>
          <w:sz w:val="20"/>
          <w:szCs w:val="20"/>
        </w:rPr>
        <w:t xml:space="preserve">Original pathway: 5 gates · 51 cited sources · 27 stated uncertainties · 18 open decisions. Retained pathway content.</w:t>
      </w:r>
    </w:p>
    <w:tbl>
      <w:tblPr>
        <w:tblW w:type="dxa" w:w="9360"/>
        <w:tblBorders>
          <w:top w:val="single" w:color="D3DCE4" w:sz="4"/>
          <w:left w:val="single" w:color="D3DCE4" w:sz="4"/>
          <w:bottom w:val="single" w:color="D3DCE4" w:sz="4"/>
          <w:right w:val="single" w:color="D3DCE4" w:sz="4"/>
          <w:insideH w:val="single" w:color="D3DCE4" w:sz="4"/>
          <w:insideV w:val="single" w:color="D3DCE4" w:sz="4"/>
        </w:tblBorders>
      </w:tblPr>
      <w:tblGrid>
        <w:gridCol w:w="9360"/>
      </w:tblGrid>
      <w:tr>
        <w:tc>
          <w:tcPr>
            <w:tcW w:type="dxa" w:w="9360"/>
            <w:shd w:fill="FBF1E2" w:color="auto" w:val="clear"/>
            <w:tcMar>
              <w:top w:type="dxa" w:w="70"/>
              <w:left w:type="dxa" w:w="110"/>
              <w:bottom w:type="dxa" w:w="70"/>
              <w:right w:type="dxa" w:w="110"/>
            </w:tcMar>
            <w:vAlign w:val="top"/>
          </w:tcPr>
          <w:p>
            <w:pPr>
              <w:spacing w:after="120"/>
            </w:pPr>
            <w:r>
              <w:rPr>
                <w:b/>
                <w:bCs/>
                <w:color w:val="8E5008"/>
                <w:spacing w:val="20"/>
                <w:sz w:val="20"/>
                <w:szCs w:val="20"/>
              </w:rPr>
              <w:t xml:space="preserve">DRAFT — NOT RATIFIED CLINICAL POLICY</w:t>
            </w:r>
          </w:p>
          <w:p>
            <w:pPr>
              <w:spacing w:after="100" w:line="276"/>
            </w:pPr>
            <w:r>
              <w:rPr>
                <w:color w:val="15181F"/>
                <w:sz w:val="18"/>
                <w:szCs w:val="18"/>
              </w:rPr>
              <w:t xml:space="preserve">This document is a draft under active development, prepared for multidisciplinary and institutional governance review. It has not been approved by the specialties named in it, and it must not be used for patient care decisions.</w:t>
            </w:r>
          </w:p>
          <w:p>
            <w:pPr>
              <w:spacing w:after="0" w:line="276"/>
            </w:pPr>
            <w:r>
              <w:rPr>
                <w:color w:val="15181F"/>
                <w:sz w:val="18"/>
                <w:szCs w:val="18"/>
              </w:rPr>
              <w:t xml:space="preserve">The content is a decision-focused evidence synthesis, not a systematic review. Every criterion drawn from OPTN policy, drug labelling, NCCN or a device authorisation must be re-verified against the current source before any use. Clinical transplant candidacy and allocation eligibility are separate judgements.</w:t>
            </w:r>
          </w:p>
        </w:tc>
      </w:tr>
    </w:tbl>
    <w:p>
      <w:r>
        <w:br w:type="page"/>
      </w:r>
    </w:p>
    <w:p>
      <w:pPr>
        <w:pStyle w:val="Heading1"/>
        <w:keepNext/>
        <w:spacing w:after="110" w:before="320"/>
      </w:pPr>
      <w:r>
        <w:rPr>
          <w:rFonts w:ascii="Cambria" w:cs="Cambria" w:eastAsia="Cambria" w:hAnsi="Cambria"/>
          <w:b/>
          <w:bCs/>
          <w:color w:val="17365D"/>
          <w:sz w:val="32"/>
          <w:szCs w:val="32"/>
        </w:rPr>
        <w:t xml:space="preserve">What this roadmap answers</w:t>
      </w:r>
    </w:p>
    <w:p>
      <w:pPr>
        <w:spacing w:after="120" w:line="276"/>
      </w:pPr>
      <w:r>
        <w:rPr>
          <w:color w:val="15181F"/>
          <w:sz w:val="20"/>
          <w:szCs w:val="20"/>
        </w:rPr>
        <w:t xml:space="preserve">Whether every site of hepatic disease can be eradicated — now, after a defined course of conversion therapy, or only by replacing the liver — and what to do when the answer is no.</w:t>
      </w:r>
    </w:p>
    <w:p>
      <w:pPr>
        <w:spacing w:after="120" w:line="276"/>
      </w:pPr>
      <w:r>
        <w:rPr>
          <w:color w:val="15181F"/>
          <w:sz w:val="20"/>
          <w:szCs w:val="20"/>
        </w:rPr>
        <w:t xml:space="preserve">The gates below run in the order the roadmap asks them, and the order is the point: each one can foreclose the next. Each gate states what has to be in hand before it can be answered, the question it actually settles, and then the standard, the reasonable alternative and what to avoid — each carrying a recommendation label, an evidence grade and the sources behind it.</w:t>
      </w:r>
    </w:p>
    <w:p>
      <w:pPr>
        <w:pStyle w:val="Heading2"/>
        <w:keepNext/>
        <w:spacing w:after="110" w:before="240"/>
      </w:pPr>
      <w:r>
        <w:rPr>
          <w:rFonts w:ascii="Cambria" w:cs="Cambria" w:eastAsia="Cambria" w:hAnsi="Cambria"/>
          <w:b/>
          <w:bCs/>
          <w:color w:val="17365D"/>
          <w:sz w:val="26"/>
          <w:szCs w:val="26"/>
        </w:rPr>
        <w:t xml:space="preserve">How to read a recommendation</w:t>
      </w:r>
    </w:p>
    <w:p>
      <w:pPr>
        <w:spacing w:after="60" w:before="160"/>
      </w:pPr>
      <w:r>
        <w:rPr>
          <w:b/>
          <w:bCs/>
          <w:color w:val="176A87"/>
          <w:spacing w:val="24"/>
          <w:sz w:val="15"/>
          <w:szCs w:val="15"/>
        </w:rPr>
        <w:t xml:space="preserve">RECOMMENDATION LABEL — WHAT WE ADVISE</w:t>
      </w:r>
    </w:p>
    <w:tbl>
      <w:tblPr>
        <w:tblW w:type="dxa" w:w="9360"/>
        <w:tblBorders>
          <w:top w:val="single" w:color="D3DCE4" w:sz="4"/>
          <w:left w:val="single" w:color="D3DCE4" w:sz="4"/>
          <w:bottom w:val="single" w:color="D3DCE4" w:sz="4"/>
          <w:right w:val="single" w:color="D3DCE4" w:sz="4"/>
          <w:insideH w:val="single" w:color="D3DCE4" w:sz="4"/>
          <w:insideV w:val="single" w:color="D3DCE4" w:sz="4"/>
        </w:tblBorders>
      </w:tblPr>
      <w:tblGrid>
        <w:gridCol w:w="1500"/>
        <w:gridCol w:w="7860"/>
      </w:tblGrid>
      <w:tr>
        <w:trPr>
          <w:cantSplit/>
        </w:trPr>
        <w:tc>
          <w:tcPr>
            <w:tcW w:type="dxa" w:w="1500"/>
            <w:tcMar>
              <w:top w:type="dxa" w:w="70"/>
              <w:left w:type="dxa" w:w="110"/>
              <w:bottom w:type="dxa" w:w="70"/>
              <w:right w:type="dxa" w:w="110"/>
            </w:tcMar>
            <w:vAlign w:val="top"/>
          </w:tcPr>
          <w:p>
            <w:r>
              <w:rPr>
                <w:b/>
                <w:bCs/>
                <w:color w:val="17365D"/>
                <w:spacing w:val="16"/>
                <w:sz w:val="17"/>
                <w:szCs w:val="17"/>
              </w:rPr>
              <w:t xml:space="preserve">STANDARD</w:t>
            </w:r>
          </w:p>
        </w:tc>
        <w:tc>
          <w:tcPr>
            <w:tcW w:type="dxa" w:w="7860"/>
            <w:tcMar>
              <w:top w:type="dxa" w:w="70"/>
              <w:left w:type="dxa" w:w="110"/>
              <w:bottom w:type="dxa" w:w="70"/>
              <w:right w:type="dxa" w:w="110"/>
            </w:tcMar>
            <w:vAlign w:val="top"/>
          </w:tcPr>
          <w:p>
            <w:pPr>
              <w:spacing w:after="0" w:line="276"/>
            </w:pPr>
            <w:r>
              <w:rPr>
                <w:color w:val="15181F"/>
                <w:sz w:val="18"/>
                <w:szCs w:val="18"/>
              </w:rPr>
              <w:t xml:space="preserve">Default when eligibility is met; a departure needs a recorded reason.</w:t>
            </w:r>
          </w:p>
        </w:tc>
      </w:tr>
      <w:tr>
        <w:trPr>
          <w:cantSplit/>
        </w:trPr>
        <w:tc>
          <w:tcPr>
            <w:tcW w:type="dxa" w:w="1500"/>
            <w:tcMar>
              <w:top w:type="dxa" w:w="70"/>
              <w:left w:type="dxa" w:w="110"/>
              <w:bottom w:type="dxa" w:w="70"/>
              <w:right w:type="dxa" w:w="110"/>
            </w:tcMar>
            <w:vAlign w:val="top"/>
          </w:tcPr>
          <w:p>
            <w:r>
              <w:rPr>
                <w:b/>
                <w:bCs/>
                <w:color w:val="176A87"/>
                <w:spacing w:val="16"/>
                <w:sz w:val="17"/>
                <w:szCs w:val="17"/>
              </w:rPr>
              <w:t xml:space="preserve">REASONABLE</w:t>
            </w:r>
          </w:p>
        </w:tc>
        <w:tc>
          <w:tcPr>
            <w:tcW w:type="dxa" w:w="7860"/>
            <w:tcMar>
              <w:top w:type="dxa" w:w="70"/>
              <w:left w:type="dxa" w:w="110"/>
              <w:bottom w:type="dxa" w:w="70"/>
              <w:right w:type="dxa" w:w="110"/>
            </w:tcMar>
            <w:vAlign w:val="top"/>
          </w:tcPr>
          <w:p>
            <w:pPr>
              <w:spacing w:after="0" w:line="276"/>
            </w:pPr>
            <w:r>
              <w:rPr>
                <w:color w:val="15181F"/>
                <w:sz w:val="18"/>
                <w:szCs w:val="18"/>
              </w:rPr>
              <w:t xml:space="preserve">Acceptable after documented multidisciplinary review; the benefit is context dependent.</w:t>
            </w:r>
          </w:p>
        </w:tc>
      </w:tr>
      <w:tr>
        <w:trPr>
          <w:cantSplit/>
        </w:trPr>
        <w:tc>
          <w:tcPr>
            <w:tcW w:type="dxa" w:w="1500"/>
            <w:tcMar>
              <w:top w:type="dxa" w:w="70"/>
              <w:left w:type="dxa" w:w="110"/>
              <w:bottom w:type="dxa" w:w="70"/>
              <w:right w:type="dxa" w:w="110"/>
            </w:tcMar>
            <w:vAlign w:val="top"/>
          </w:tcPr>
          <w:p>
            <w:r>
              <w:rPr>
                <w:b/>
                <w:bCs/>
                <w:color w:val="8C2F26"/>
                <w:spacing w:val="16"/>
                <w:sz w:val="17"/>
                <w:szCs w:val="17"/>
              </w:rPr>
              <w:t xml:space="preserve">AVOID</w:t>
            </w:r>
          </w:p>
        </w:tc>
        <w:tc>
          <w:tcPr>
            <w:tcW w:type="dxa" w:w="7860"/>
            <w:tcMar>
              <w:top w:type="dxa" w:w="70"/>
              <w:left w:type="dxa" w:w="110"/>
              <w:bottom w:type="dxa" w:w="70"/>
              <w:right w:type="dxa" w:w="110"/>
            </w:tcMar>
            <w:vAlign w:val="top"/>
          </w:tcPr>
          <w:p>
            <w:pPr>
              <w:spacing w:after="0" w:line="276"/>
            </w:pPr>
            <w:r>
              <w:rPr>
                <w:color w:val="15181F"/>
                <w:sz w:val="18"/>
                <w:szCs w:val="18"/>
              </w:rPr>
              <w:t xml:space="preserve">Expected harm, futility, or absent benefit generally outweighs the benefit.</w:t>
            </w:r>
          </w:p>
        </w:tc>
      </w:tr>
    </w:tbl>
    <w:p>
      <w:pPr>
        <w:spacing w:after="120" w:line="276"/>
      </w:pPr>
      <w:r>
        <w:rPr>
          <w:color w:val="15181F"/>
          <w:sz w:val="20"/>
          <w:szCs w:val="20"/>
        </w:rPr>
        <w:t xml:space="preserve"/>
      </w:r>
    </w:p>
    <w:p>
      <w:pPr>
        <w:spacing w:after="60" w:before="160"/>
      </w:pPr>
      <w:r>
        <w:rPr>
          <w:b/>
          <w:bCs/>
          <w:color w:val="176A87"/>
          <w:spacing w:val="24"/>
          <w:sz w:val="15"/>
          <w:szCs w:val="15"/>
        </w:rPr>
        <w:t xml:space="preserve">EVIDENCE GRADE — HOW STRONG THE BASIS IS</w:t>
      </w:r>
    </w:p>
    <w:tbl>
      <w:tblPr>
        <w:tblW w:type="dxa" w:w="9360"/>
        <w:tblBorders>
          <w:top w:val="single" w:color="D3DCE4" w:sz="4"/>
          <w:left w:val="single" w:color="D3DCE4" w:sz="4"/>
          <w:bottom w:val="single" w:color="D3DCE4" w:sz="4"/>
          <w:right w:val="single" w:color="D3DCE4" w:sz="4"/>
          <w:insideH w:val="single" w:color="D3DCE4" w:sz="4"/>
          <w:insideV w:val="single" w:color="D3DCE4" w:sz="4"/>
        </w:tblBorders>
      </w:tblPr>
      <w:tblGrid>
        <w:gridCol w:w="1500"/>
        <w:gridCol w:w="7860"/>
      </w:tblGrid>
      <w:tr>
        <w:trPr>
          <w:cantSplit/>
        </w:trPr>
        <w:tc>
          <w:tcPr>
            <w:tcW w:type="dxa" w:w="1500"/>
            <w:tcMar>
              <w:top w:type="dxa" w:w="70"/>
              <w:left w:type="dxa" w:w="110"/>
              <w:bottom w:type="dxa" w:w="70"/>
              <w:right w:type="dxa" w:w="110"/>
            </w:tcMar>
            <w:vAlign w:val="top"/>
          </w:tcPr>
          <w:p>
            <w:r>
              <w:rPr>
                <w:b/>
                <w:bCs/>
                <w:color w:val="17365D"/>
                <w:sz w:val="20"/>
                <w:szCs w:val="20"/>
              </w:rPr>
              <w:t xml:space="preserve">A</w:t>
            </w:r>
          </w:p>
        </w:tc>
        <w:tc>
          <w:tcPr>
            <w:tcW w:type="dxa" w:w="7860"/>
            <w:tcMar>
              <w:top w:type="dxa" w:w="70"/>
              <w:left w:type="dxa" w:w="110"/>
              <w:bottom w:type="dxa" w:w="70"/>
              <w:right w:type="dxa" w:w="110"/>
            </w:tcMar>
            <w:vAlign w:val="top"/>
          </w:tcPr>
          <w:p>
            <w:pPr>
              <w:spacing w:after="0" w:line="276"/>
            </w:pPr>
            <w:r>
              <w:rPr>
                <w:color w:val="15181F"/>
                <w:sz w:val="18"/>
                <w:szCs w:val="18"/>
              </w:rPr>
              <w:t xml:space="preserve">Guideline supported by randomised trials or strong consistent comparative evidence.</w:t>
            </w:r>
          </w:p>
        </w:tc>
      </w:tr>
      <w:tr>
        <w:trPr>
          <w:cantSplit/>
        </w:trPr>
        <w:tc>
          <w:tcPr>
            <w:tcW w:type="dxa" w:w="1500"/>
            <w:tcMar>
              <w:top w:type="dxa" w:w="70"/>
              <w:left w:type="dxa" w:w="110"/>
              <w:bottom w:type="dxa" w:w="70"/>
              <w:right w:type="dxa" w:w="110"/>
            </w:tcMar>
            <w:vAlign w:val="top"/>
          </w:tcPr>
          <w:p>
            <w:r>
              <w:rPr>
                <w:b/>
                <w:bCs/>
                <w:color w:val="17365D"/>
                <w:sz w:val="20"/>
                <w:szCs w:val="20"/>
              </w:rPr>
              <w:t xml:space="preserve">B</w:t>
            </w:r>
          </w:p>
        </w:tc>
        <w:tc>
          <w:tcPr>
            <w:tcW w:type="dxa" w:w="7860"/>
            <w:tcMar>
              <w:top w:type="dxa" w:w="70"/>
              <w:left w:type="dxa" w:w="110"/>
              <w:bottom w:type="dxa" w:w="70"/>
              <w:right w:type="dxa" w:w="110"/>
            </w:tcMar>
            <w:vAlign w:val="top"/>
          </w:tcPr>
          <w:p>
            <w:pPr>
              <w:spacing w:after="0" w:line="276"/>
            </w:pPr>
            <w:r>
              <w:rPr>
                <w:color w:val="15181F"/>
                <w:sz w:val="18"/>
                <w:szCs w:val="18"/>
              </w:rPr>
              <w:t xml:space="preserve">One randomised trial, prospective comparative evidence, or strong prospective cohorts.</w:t>
            </w:r>
          </w:p>
        </w:tc>
      </w:tr>
      <w:tr>
        <w:trPr>
          <w:cantSplit/>
        </w:trPr>
        <w:tc>
          <w:tcPr>
            <w:tcW w:type="dxa" w:w="1500"/>
            <w:tcMar>
              <w:top w:type="dxa" w:w="70"/>
              <w:left w:type="dxa" w:w="110"/>
              <w:bottom w:type="dxa" w:w="70"/>
              <w:right w:type="dxa" w:w="110"/>
            </w:tcMar>
            <w:vAlign w:val="top"/>
          </w:tcPr>
          <w:p>
            <w:r>
              <w:rPr>
                <w:b/>
                <w:bCs/>
                <w:color w:val="17365D"/>
                <w:sz w:val="20"/>
                <w:szCs w:val="20"/>
              </w:rPr>
              <w:t xml:space="preserve">C</w:t>
            </w:r>
          </w:p>
        </w:tc>
        <w:tc>
          <w:tcPr>
            <w:tcW w:type="dxa" w:w="7860"/>
            <w:tcMar>
              <w:top w:type="dxa" w:w="70"/>
              <w:left w:type="dxa" w:w="110"/>
              <w:bottom w:type="dxa" w:w="70"/>
              <w:right w:type="dxa" w:w="110"/>
            </w:tcMar>
            <w:vAlign w:val="top"/>
          </w:tcPr>
          <w:p>
            <w:pPr>
              <w:spacing w:after="0" w:line="276"/>
            </w:pPr>
            <w:r>
              <w:rPr>
                <w:color w:val="15181F"/>
                <w:sz w:val="18"/>
                <w:szCs w:val="18"/>
              </w:rPr>
              <w:t xml:space="preserve">Single-arm prospective, retrospective comparative, or inconsistent evidence.</w:t>
            </w:r>
          </w:p>
        </w:tc>
      </w:tr>
      <w:tr>
        <w:trPr>
          <w:cantSplit/>
        </w:trPr>
        <w:tc>
          <w:tcPr>
            <w:tcW w:type="dxa" w:w="1500"/>
            <w:tcMar>
              <w:top w:type="dxa" w:w="70"/>
              <w:left w:type="dxa" w:w="110"/>
              <w:bottom w:type="dxa" w:w="70"/>
              <w:right w:type="dxa" w:w="110"/>
            </w:tcMar>
            <w:vAlign w:val="top"/>
          </w:tcPr>
          <w:p>
            <w:r>
              <w:rPr>
                <w:b/>
                <w:bCs/>
                <w:color w:val="17365D"/>
                <w:sz w:val="20"/>
                <w:szCs w:val="20"/>
              </w:rPr>
              <w:t xml:space="preserve">D</w:t>
            </w:r>
          </w:p>
        </w:tc>
        <w:tc>
          <w:tcPr>
            <w:tcW w:type="dxa" w:w="7860"/>
            <w:tcMar>
              <w:top w:type="dxa" w:w="70"/>
              <w:left w:type="dxa" w:w="110"/>
              <w:bottom w:type="dxa" w:w="70"/>
              <w:right w:type="dxa" w:w="110"/>
            </w:tcMar>
            <w:vAlign w:val="top"/>
          </w:tcPr>
          <w:p>
            <w:pPr>
              <w:spacing w:after="0" w:line="276"/>
            </w:pPr>
            <w:r>
              <w:rPr>
                <w:color w:val="15181F"/>
                <w:sz w:val="18"/>
                <w:szCs w:val="18"/>
              </w:rPr>
              <w:t xml:space="preserve">Expert consensus or local operational requirement, no comparative outcome data.</w:t>
            </w:r>
          </w:p>
        </w:tc>
      </w:tr>
    </w:tbl>
    <w:p>
      <w:pPr>
        <w:spacing w:after="160" w:line="276"/>
      </w:pPr>
      <w:r>
        <w:rPr>
          <w:i/>
          <w:iCs/>
          <w:color w:val="5A6069"/>
          <w:sz w:val="18"/>
          <w:szCs w:val="18"/>
        </w:rPr>
        <w:t xml:space="preserve">A strong label does not imply a high grade. Several operating requirements are deliberately Standard at grade D because they are local policy choices rather than evidence claims.</w:t>
      </w:r>
    </w:p>
    <w:p>
      <w:pPr>
        <w:spacing w:after="60" w:before="160"/>
      </w:pPr>
      <w:r>
        <w:rPr>
          <w:b/>
          <w:bCs/>
          <w:color w:val="176A87"/>
          <w:spacing w:val="24"/>
          <w:sz w:val="15"/>
          <w:szCs w:val="15"/>
        </w:rPr>
        <w:t xml:space="preserve">DEPENDENCY FLAGS — WHAT IT RESTS ON LOCALLY</w:t>
      </w:r>
    </w:p>
    <w:tbl>
      <w:tblPr>
        <w:tblW w:type="dxa" w:w="9360"/>
        <w:tblBorders>
          <w:top w:val="single" w:color="D3DCE4" w:sz="4"/>
          <w:left w:val="single" w:color="D3DCE4" w:sz="4"/>
          <w:bottom w:val="single" w:color="D3DCE4" w:sz="4"/>
          <w:right w:val="single" w:color="D3DCE4" w:sz="4"/>
          <w:insideH w:val="single" w:color="D3DCE4" w:sz="4"/>
          <w:insideV w:val="single" w:color="D3DCE4" w:sz="4"/>
        </w:tblBorders>
      </w:tblPr>
      <w:tblGrid>
        <w:gridCol w:w="1500"/>
        <w:gridCol w:w="7860"/>
      </w:tblGrid>
      <w:tr>
        <w:trPr>
          <w:cantSplit/>
        </w:trPr>
        <w:tc>
          <w:tcPr>
            <w:tcW w:type="dxa" w:w="1500"/>
            <w:tcMar>
              <w:top w:type="dxa" w:w="70"/>
              <w:left w:type="dxa" w:w="110"/>
              <w:bottom w:type="dxa" w:w="70"/>
              <w:right w:type="dxa" w:w="110"/>
            </w:tcMar>
            <w:vAlign w:val="top"/>
          </w:tcPr>
          <w:p>
            <w:r>
              <w:rPr>
                <w:b/>
                <w:bCs/>
                <w:color w:val="8E5008"/>
                <w:spacing w:val="14"/>
                <w:sz w:val="16"/>
                <w:szCs w:val="16"/>
              </w:rPr>
              <w:t xml:space="preserve">EXPERTISE</w:t>
            </w:r>
          </w:p>
        </w:tc>
        <w:tc>
          <w:tcPr>
            <w:tcW w:type="dxa" w:w="7860"/>
            <w:tcMar>
              <w:top w:type="dxa" w:w="70"/>
              <w:left w:type="dxa" w:w="110"/>
              <w:bottom w:type="dxa" w:w="70"/>
              <w:right w:type="dxa" w:w="110"/>
            </w:tcMar>
            <w:vAlign w:val="top"/>
          </w:tcPr>
          <w:p>
            <w:pPr>
              <w:spacing w:after="0" w:line="276"/>
            </w:pPr>
            <w:r>
              <w:rPr>
                <w:color w:val="15181F"/>
                <w:sz w:val="18"/>
                <w:szCs w:val="18"/>
              </w:rPr>
              <w:t xml:space="preserve">Demonstrated operator and team experience with this technique at this site.</w:t>
            </w:r>
          </w:p>
        </w:tc>
      </w:tr>
      <w:tr>
        <w:trPr>
          <w:cantSplit/>
        </w:trPr>
        <w:tc>
          <w:tcPr>
            <w:tcW w:type="dxa" w:w="1500"/>
            <w:tcMar>
              <w:top w:type="dxa" w:w="70"/>
              <w:left w:type="dxa" w:w="110"/>
              <w:bottom w:type="dxa" w:w="70"/>
              <w:right w:type="dxa" w:w="110"/>
            </w:tcMar>
            <w:vAlign w:val="top"/>
          </w:tcPr>
          <w:p>
            <w:r>
              <w:rPr>
                <w:b/>
                <w:bCs/>
                <w:color w:val="8E5008"/>
                <w:spacing w:val="14"/>
                <w:sz w:val="16"/>
                <w:szCs w:val="16"/>
              </w:rPr>
              <w:t xml:space="preserve">REGISTRY</w:t>
            </w:r>
          </w:p>
        </w:tc>
        <w:tc>
          <w:tcPr>
            <w:tcW w:type="dxa" w:w="7860"/>
            <w:tcMar>
              <w:top w:type="dxa" w:w="70"/>
              <w:left w:type="dxa" w:w="110"/>
              <w:bottom w:type="dxa" w:w="70"/>
              <w:right w:type="dxa" w:w="110"/>
            </w:tcMar>
            <w:vAlign w:val="top"/>
          </w:tcPr>
          <w:p>
            <w:pPr>
              <w:spacing w:after="0" w:line="276"/>
            </w:pPr>
            <w:r>
              <w:rPr>
                <w:color w:val="15181F"/>
                <w:sz w:val="18"/>
                <w:szCs w:val="18"/>
              </w:rPr>
              <w:t xml:space="preserve">Mandatory prospective outcomes registry; effectiveness evidence is immature.</w:t>
            </w:r>
          </w:p>
        </w:tc>
      </w:tr>
      <w:tr>
        <w:trPr>
          <w:cantSplit/>
        </w:trPr>
        <w:tc>
          <w:tcPr>
            <w:tcW w:type="dxa" w:w="1500"/>
            <w:tcMar>
              <w:top w:type="dxa" w:w="70"/>
              <w:left w:type="dxa" w:w="110"/>
              <w:bottom w:type="dxa" w:w="70"/>
              <w:right w:type="dxa" w:w="110"/>
            </w:tcMar>
            <w:vAlign w:val="top"/>
          </w:tcPr>
          <w:p>
            <w:r>
              <w:rPr>
                <w:b/>
                <w:bCs/>
                <w:color w:val="8E5008"/>
                <w:spacing w:val="14"/>
                <w:sz w:val="16"/>
                <w:szCs w:val="16"/>
              </w:rPr>
              <w:t xml:space="preserve">PROTOCOL</w:t>
            </w:r>
          </w:p>
        </w:tc>
        <w:tc>
          <w:tcPr>
            <w:tcW w:type="dxa" w:w="7860"/>
            <w:tcMar>
              <w:top w:type="dxa" w:w="70"/>
              <w:left w:type="dxa" w:w="110"/>
              <w:bottom w:type="dxa" w:w="70"/>
              <w:right w:type="dxa" w:w="110"/>
            </w:tcMar>
            <w:vAlign w:val="top"/>
          </w:tcPr>
          <w:p>
            <w:pPr>
              <w:spacing w:after="0" w:line="276"/>
            </w:pPr>
            <w:r>
              <w:rPr>
                <w:color w:val="15181F"/>
                <w:sz w:val="18"/>
                <w:szCs w:val="18"/>
              </w:rPr>
              <w:t xml:space="preserve">Only inside a clinical trial or an approved institutional protocol.</w:t>
            </w:r>
          </w:p>
        </w:tc>
      </w:tr>
    </w:tbl>
    <w:p>
      <w:pPr>
        <w:pStyle w:val="Heading1"/>
        <w:keepNext/>
        <w:pageBreakBefore/>
        <w:spacing w:after="110" w:before="320"/>
      </w:pPr>
      <w:r>
        <w:rPr>
          <w:rFonts w:ascii="Cambria" w:cs="Cambria" w:eastAsia="Cambria" w:hAnsi="Cambria"/>
          <w:b/>
          <w:bCs/>
          <w:color w:val="17365D"/>
          <w:sz w:val="32"/>
          <w:szCs w:val="32"/>
        </w:rPr>
        <w:t xml:space="preserve">The gates</w:t>
      </w:r>
    </w:p>
    <w:p>
      <w:pPr>
        <w:spacing w:after="200" w:line="276"/>
      </w:pPr>
      <w:r>
        <w:rPr>
          <w:i/>
          <w:iCs/>
          <w:color w:val="5A6069"/>
          <w:sz w:val="20"/>
          <w:szCs w:val="20"/>
        </w:rPr>
        <w:t xml:space="preserve">In the order the roadmap asks them.</w:t>
      </w:r>
    </w:p>
    <w:p>
      <w:pPr>
        <w:pStyle w:val="Heading2"/>
        <w:keepNext/>
        <w:pageBreakBefore/>
        <w:spacing w:after="110" w:before="240"/>
      </w:pPr>
      <w:r>
        <w:rPr>
          <w:rFonts w:ascii="Cambria" w:cs="Cambria" w:eastAsia="Cambria" w:hAnsi="Cambria"/>
          <w:b/>
          <w:bCs/>
          <w:color w:val="17365D"/>
          <w:sz w:val="26"/>
          <w:szCs w:val="26"/>
        </w:rPr>
        <w:t xml:space="preserve">1 · Staged and genotyped</w:t>
      </w:r>
    </w:p>
    <w:p>
      <w:pPr>
        <w:spacing w:after="140"/>
      </w:pPr>
      <w:r>
        <w:rPr>
          <w:b/>
          <w:bCs/>
          <w:color w:val="176A87"/>
          <w:sz w:val="19"/>
          <w:szCs w:val="19"/>
        </w:rPr>
        <w:t xml:space="preserve">The question. </w:t>
      </w:r>
      <w:r>
        <w:rPr>
          <w:sz w:val="19"/>
          <w:szCs w:val="19"/>
        </w:rPr>
        <w:t xml:space="preserve">Do I know the whole disease, the liver and the biology well enough to say which phase this patient is in?</w:t>
      </w:r>
    </w:p>
    <w:p>
      <w:pPr>
        <w:spacing w:after="60" w:before="160"/>
      </w:pPr>
      <w:r>
        <w:rPr>
          <w:b/>
          <w:bCs/>
          <w:color w:val="176A87"/>
          <w:spacing w:val="24"/>
          <w:sz w:val="15"/>
          <w:szCs w:val="15"/>
        </w:rPr>
        <w:t xml:space="preserve">ALL OF THE FOLLOWING HAVE TO BE IN HAND</w:t>
      </w:r>
    </w:p>
    <w:p>
      <w:pPr>
        <w:pStyle w:val="ListParagraph"/>
        <w:numPr>
          <w:ilvl w:val="0"/>
          <w:numId w:val="2"/>
        </w:numPr>
        <w:spacing w:after="60" w:line="268"/>
      </w:pPr>
      <w:r>
        <w:rPr>
          <w:color w:val="15181F"/>
          <w:sz w:val="18"/>
          <w:szCs w:val="18"/>
        </w:rPr>
        <w:t xml:space="preserve">Contrast CT of chest, abdomen and pelvis, plus liver MRI with hepatocyte-specific or diffusion-weighted sequences whenever local therapy is contemplated</w:t>
      </w:r>
    </w:p>
    <w:p>
      <w:pPr>
        <w:pStyle w:val="ListParagraph"/>
        <w:numPr>
          <w:ilvl w:val="0"/>
          <w:numId w:val="2"/>
        </w:numPr>
        <w:spacing w:after="60" w:line="268"/>
      </w:pPr>
      <w:r>
        <w:rPr>
          <w:color w:val="15181F"/>
          <w:sz w:val="18"/>
          <w:szCs w:val="18"/>
        </w:rPr>
        <w:t xml:space="preserve">PET/CT and colonoscopy added whenever transplantation is a possibility</w:t>
      </w:r>
    </w:p>
    <w:p>
      <w:pPr>
        <w:pStyle w:val="ListParagraph"/>
        <w:numPr>
          <w:ilvl w:val="0"/>
          <w:numId w:val="2"/>
        </w:numPr>
        <w:spacing w:after="60" w:line="268"/>
      </w:pPr>
      <w:r>
        <w:rPr>
          <w:color w:val="15181F"/>
          <w:sz w:val="18"/>
          <w:szCs w:val="18"/>
        </w:rPr>
        <w:t xml:space="preserve">RAS, BRAF, MMR/MSI and HER2 resulted before the first-line systemic decision</w:t>
      </w:r>
    </w:p>
    <w:p>
      <w:pPr>
        <w:pStyle w:val="ListParagraph"/>
        <w:numPr>
          <w:ilvl w:val="0"/>
          <w:numId w:val="2"/>
        </w:numPr>
        <w:spacing w:after="60" w:line="268"/>
      </w:pPr>
      <w:r>
        <w:rPr>
          <w:color w:val="15181F"/>
          <w:sz w:val="18"/>
          <w:szCs w:val="18"/>
        </w:rPr>
        <w:t xml:space="preserve">Primary tumour status recorded, with pelvic MRI and baseline bowel, urinary and sexual function for a rectal primary</w:t>
      </w:r>
    </w:p>
    <w:p>
      <w:pPr>
        <w:pStyle w:val="ListParagraph"/>
        <w:numPr>
          <w:ilvl w:val="0"/>
          <w:numId w:val="2"/>
        </w:numPr>
        <w:spacing w:after="60" w:line="268"/>
      </w:pPr>
      <w:r>
        <w:rPr>
          <w:color w:val="15181F"/>
          <w:sz w:val="18"/>
          <w:szCs w:val="18"/>
        </w:rPr>
        <w:t xml:space="preserve">Future liver remnant, prior treatment map including previous ablation zones, and the clinical risk score recorded</w:t>
      </w:r>
    </w:p>
    <w:p>
      <w:pPr>
        <w:spacing w:after="80" w:line="276"/>
      </w:pPr>
      <w:r>
        <w:rPr>
          <w:color w:val="15181F"/>
          <w:sz w:val="20"/>
          <w:szCs w:val="20"/>
        </w:rPr>
        <w:t xml:space="preserve"/>
      </w:r>
    </w:p>
    <w:p>
      <w:pPr>
        <w:spacing w:after="60" w:before="180"/>
      </w:pPr>
      <w:r>
        <w:rPr>
          <w:b/>
          <w:bCs/>
          <w:color w:val="17365D"/>
          <w:spacing w:val="16"/>
          <w:sz w:val="16"/>
          <w:szCs w:val="16"/>
        </w:rPr>
        <w:t xml:space="preserve">STANDARD</w:t>
      </w:r>
      <w:r>
        <w:rPr>
          <w:color w:val="5A6069"/>
          <w:sz w:val="16"/>
          <w:szCs w:val="16"/>
        </w:rPr>
        <w:t xml:space="preserve">   grade B</w:t>
      </w:r>
    </w:p>
    <w:p>
      <w:pPr>
        <w:spacing w:after="60" w:line="276"/>
      </w:pPr>
      <w:r>
        <w:rPr>
          <w:color w:val="15181F"/>
          <w:sz w:val="19"/>
          <w:szCs w:val="19"/>
        </w:rPr>
        <w:t xml:space="preserve">Stage with contrast CT of chest, abdomen and pelvis and add a liver MRI with hepatocyte-specific or diffusion-weighted sequences before any hepatectomy or ablation.</w:t>
      </w:r>
    </w:p>
    <w:p>
      <w:pPr>
        <w:spacing w:after="50" w:line="276"/>
        <w:ind w:left="240"/>
      </w:pPr>
      <w:r>
        <w:rPr>
          <w:color w:val="15181F"/>
          <w:sz w:val="18"/>
          <w:szCs w:val="18"/>
        </w:rPr>
        <w:t xml:space="preserve">Every patient in whom local therapy is contemplated: MRI detects lesions CT misses and changes the operative plan, and ESMO asks for liver contrast MRI with hepatobiliary agents in every candidate for locoregional therapy [II, A].</w:t>
      </w:r>
    </w:p>
    <w:p>
      <w:pPr>
        <w:spacing w:after="50"/>
        <w:ind w:left="240"/>
      </w:pPr>
      <w:r>
        <w:rPr>
          <w:b/>
          <w:bCs/>
          <w:color w:val="8C2F26"/>
          <w:sz w:val="18"/>
          <w:szCs w:val="18"/>
        </w:rPr>
        <w:t xml:space="preserve">Caveat. </w:t>
      </w:r>
      <w:r>
        <w:rPr>
          <w:color w:val="15181F"/>
          <w:sz w:val="18"/>
          <w:szCs w:val="18"/>
        </w:rPr>
        <w:t xml:space="preserve">Do not plan a hepatectomy or an ablation from CT alone; an incomplete map produces an incomplete operation. Image before the first dose of chemotherapy where possible, because lesions are easier to see untreated.</w:t>
      </w:r>
    </w:p>
    <w:p>
      <w:pPr>
        <w:spacing w:after="50" w:line="276"/>
        <w:ind w:left="240"/>
      </w:pPr>
      <w:r>
        <w:rPr>
          <w:i/>
          <w:iCs/>
          <w:color w:val="5A6069"/>
          <w:sz w:val="17"/>
          <w:szCs w:val="17"/>
        </w:rPr>
        <w:t xml:space="preserve">NCCN prefers hepatic MRI with extracellular or hepatobiliary contrast over CT to assess the exact number and distribution of foci for local treatment planning. The Chinese 2024 consensus makes liver-specific contrast MRI the preferred baseline study (Grade I) and does not use PET/CT first line.</w:t>
      </w:r>
    </w:p>
    <w:p>
      <w:pPr>
        <w:spacing w:after="60" w:line="276"/>
        <w:ind w:left="240"/>
      </w:pPr>
      <w:r>
        <w:rPr>
          <w:color w:val="5A6069"/>
          <w:sz w:val="16"/>
          <w:szCs w:val="16"/>
        </w:rPr>
        <w:t xml:space="preserve">Sources: ESMO 2026; Chinese 2024 consensus</w:t>
      </w:r>
    </w:p>
    <w:p>
      <w:pPr>
        <w:spacing w:after="60" w:before="180"/>
      </w:pPr>
      <w:r>
        <w:rPr>
          <w:b/>
          <w:bCs/>
          <w:color w:val="17365D"/>
          <w:spacing w:val="16"/>
          <w:sz w:val="16"/>
          <w:szCs w:val="16"/>
        </w:rPr>
        <w:t xml:space="preserve">STANDARD</w:t>
      </w:r>
      <w:r>
        <w:rPr>
          <w:color w:val="5A6069"/>
          <w:sz w:val="16"/>
          <w:szCs w:val="16"/>
        </w:rPr>
        <w:t xml:space="preserve">   grade D</w:t>
      </w:r>
    </w:p>
    <w:p>
      <w:pPr>
        <w:spacing w:after="60" w:line="276"/>
      </w:pPr>
      <w:r>
        <w:rPr>
          <w:color w:val="15181F"/>
          <w:sz w:val="19"/>
          <w:szCs w:val="19"/>
        </w:rPr>
        <w:t xml:space="preserve">If transplantation is a possibility, stage to the transplant standard: PET/CT and colonoscopy in addition, inside the OPTN time windows.</w:t>
      </w:r>
    </w:p>
    <w:p>
      <w:pPr>
        <w:spacing w:after="50" w:line="276"/>
        <w:ind w:left="240"/>
      </w:pPr>
      <w:r>
        <w:rPr>
          <w:color w:val="15181F"/>
          <w:sz w:val="18"/>
          <w:szCs w:val="18"/>
        </w:rPr>
        <w:t xml:space="preserve">Any patient who might reach Phase 3. The threshold for excluding extrahepatic disease is higher for transplantation than for resection, because graft scarcity and lifelong immunosuppression change the consequence of being wrong. IHPBA 2021 recommends FDG PET/CT to rule out extrahepatic disease and high-resolution chest CT to exclude pulmonary metastases.</w:t>
      </w:r>
    </w:p>
    <w:p>
      <w:pPr>
        <w:spacing w:after="50"/>
        <w:ind w:left="240"/>
      </w:pPr>
      <w:r>
        <w:rPr>
          <w:b/>
          <w:bCs/>
          <w:color w:val="8C2F26"/>
          <w:sz w:val="18"/>
          <w:szCs w:val="18"/>
        </w:rPr>
        <w:t xml:space="preserve">Caveat. </w:t>
      </w:r>
      <w:r>
        <w:rPr>
          <w:color w:val="15181F"/>
          <w:sz w:val="18"/>
          <w:szCs w:val="18"/>
        </w:rPr>
        <w:t xml:space="preserve">Do not treat resection-grade staging as evidence of transplant eligibility. Imaging adequate to plan a hepatectomy is not adequate to establish exception eligibility.</w:t>
      </w:r>
    </w:p>
    <w:p>
      <w:pPr>
        <w:spacing w:after="50" w:line="276"/>
        <w:ind w:left="240"/>
      </w:pPr>
      <w:r>
        <w:rPr>
          <w:i/>
          <w:iCs/>
          <w:color w:val="5A6069"/>
          <w:sz w:val="17"/>
          <w:szCs w:val="17"/>
        </w:rPr>
        <w:t xml:space="preserve">The OPTN guidance route requires CT/MRI of chest, abdomen and pelvis plus PET within one month before the initial request, with the PET performed at least four weeks after chemotherapy is stopped, and colonoscopy within 12 months before the request. IHPBA 2021 instead asks for colonoscopy within 3 months of transplant. Graded D rather than B: these are review-board guidance and consensus windows with no comparative evidence that any of them changes outcome, and the two documents already disagree on the colonoscopy interval.</w:t>
      </w:r>
    </w:p>
    <w:p>
      <w:pPr>
        <w:spacing w:after="60" w:line="276"/>
        <w:ind w:left="240"/>
      </w:pPr>
      <w:r>
        <w:rPr>
          <w:color w:val="5A6069"/>
          <w:sz w:val="16"/>
          <w:szCs w:val="16"/>
        </w:rPr>
        <w:t xml:space="preserve">Sources: IHPBA 2021</w:t>
      </w:r>
    </w:p>
    <w:p>
      <w:pPr>
        <w:spacing w:after="60" w:before="180"/>
      </w:pPr>
      <w:r>
        <w:rPr>
          <w:b/>
          <w:bCs/>
          <w:color w:val="17365D"/>
          <w:spacing w:val="16"/>
          <w:sz w:val="16"/>
          <w:szCs w:val="16"/>
        </w:rPr>
        <w:t xml:space="preserve">STANDARD</w:t>
      </w:r>
      <w:r>
        <w:rPr>
          <w:color w:val="5A6069"/>
          <w:sz w:val="16"/>
          <w:szCs w:val="16"/>
        </w:rPr>
        <w:t xml:space="preserve">   grade A</w:t>
      </w:r>
    </w:p>
    <w:p>
      <w:pPr>
        <w:spacing w:after="60" w:line="276"/>
      </w:pPr>
      <w:r>
        <w:rPr>
          <w:color w:val="15181F"/>
          <w:sz w:val="19"/>
          <w:szCs w:val="19"/>
        </w:rPr>
        <w:t xml:space="preserve">Resulted RAS, BRAF, mismatch-repair or microsatellite status and HER2 at diagnosis of metastatic disease, with broader profiling where a rare actionable alteration would change treatment.</w:t>
      </w:r>
    </w:p>
    <w:p>
      <w:pPr>
        <w:spacing w:after="50" w:line="276"/>
        <w:ind w:left="240"/>
      </w:pPr>
      <w:r>
        <w:rPr>
          <w:color w:val="15181F"/>
          <w:sz w:val="18"/>
          <w:szCs w:val="18"/>
        </w:rPr>
        <w:t xml:space="preserve">Before the first-line decision, every patient. ESMO asks for molecular work-up at diagnosis in all patients reported within 14 days [I, A]; the Chinese 2024 consensus tests RAS and BRAF in all patients before treatment (Grade I, Class 1A).</w:t>
      </w:r>
    </w:p>
    <w:p>
      <w:pPr>
        <w:spacing w:after="50"/>
        <w:ind w:left="240"/>
      </w:pPr>
      <w:r>
        <w:rPr>
          <w:b/>
          <w:bCs/>
          <w:color w:val="8C2F26"/>
          <w:sz w:val="18"/>
          <w:szCs w:val="18"/>
        </w:rPr>
        <w:t xml:space="preserve">Caveat. </w:t>
      </w:r>
      <w:r>
        <w:rPr>
          <w:color w:val="15181F"/>
          <w:sz w:val="18"/>
          <w:szCs w:val="18"/>
        </w:rPr>
        <w:t xml:space="preserve">Do not let a single mutation set margin width, the extent of parenchymal resection, or exclusion from otherwise feasible clearance. BRAF mutation carries an adverse prognosis after resection; it is not an operative contraindication.</w:t>
      </w:r>
    </w:p>
    <w:p>
      <w:pPr>
        <w:spacing w:after="50" w:line="276"/>
        <w:ind w:left="240"/>
      </w:pPr>
      <w:r>
        <w:rPr>
          <w:i/>
          <w:iCs/>
          <w:color w:val="5A6069"/>
          <w:sz w:val="17"/>
          <w:szCs w:val="17"/>
        </w:rPr>
        <w:t xml:space="preserve">A POLE or POLD1 variant needs variant-level and phenotype interpretation before it is used to justify checkpoint therapy. Mismatch-repair deficiency or a suggestive family history prompts hereditary cancer assessment. Genotype is prognostic; the direction and duration of response during effective therapy carry more decision weight.</w:t>
      </w:r>
    </w:p>
    <w:p>
      <w:pPr>
        <w:spacing w:after="60" w:line="276"/>
        <w:ind w:left="240"/>
      </w:pPr>
      <w:r>
        <w:rPr>
          <w:color w:val="5A6069"/>
          <w:sz w:val="16"/>
          <w:szCs w:val="16"/>
        </w:rPr>
        <w:t xml:space="preserve">Sources: ESMO 2026; Chinese 2024 consensus</w:t>
      </w:r>
    </w:p>
    <w:p>
      <w:pPr>
        <w:spacing w:after="60" w:before="180"/>
      </w:pPr>
      <w:r>
        <w:rPr>
          <w:b/>
          <w:bCs/>
          <w:color w:val="17365D"/>
          <w:spacing w:val="16"/>
          <w:sz w:val="16"/>
          <w:szCs w:val="16"/>
        </w:rPr>
        <w:t xml:space="preserve">STANDARD</w:t>
      </w:r>
      <w:r>
        <w:rPr>
          <w:color w:val="5A6069"/>
          <w:sz w:val="16"/>
          <w:szCs w:val="16"/>
        </w:rPr>
        <w:t xml:space="preserve">   grade A</w:t>
      </w:r>
    </w:p>
    <w:p>
      <w:pPr>
        <w:spacing w:after="100" w:line="276"/>
      </w:pPr>
      <w:r>
        <w:rPr>
          <w:i/>
          <w:iCs/>
          <w:color w:val="5A6069"/>
          <w:sz w:val="17"/>
          <w:szCs w:val="17"/>
        </w:rPr>
        <w:t xml:space="preserve">Molecular class decides first and sidedness second. This order reflects the guidelines' branching logic, not a survival ranking between classes — each option was tested only in its own molecular group.</w:t>
      </w:r>
    </w:p>
    <w:p>
      <w:pPr>
        <w:spacing w:after="50" w:before="120"/>
        <w:ind w:left="240"/>
      </w:pPr>
      <w:r>
        <w:rPr>
          <w:b/>
          <w:bCs/>
          <w:color w:val="15181F"/>
          <w:sz w:val="19"/>
          <w:szCs w:val="19"/>
        </w:rPr>
        <w:t xml:space="preserve">Doublet plus anti-EGFR</w:t>
      </w:r>
      <w:r>
        <w:rPr>
          <w:color w:val="5A6069"/>
          <w:sz w:val="15"/>
          <w:szCs w:val="15"/>
        </w:rPr>
        <w:t xml:space="preserve">   grade B</w:t>
      </w:r>
    </w:p>
    <w:p>
      <w:pPr>
        <w:spacing w:after="50" w:line="276"/>
        <w:ind w:left="240"/>
      </w:pPr>
      <w:r>
        <w:rPr>
          <w:color w:val="15181F"/>
          <w:sz w:val="18"/>
          <w:szCs w:val="18"/>
        </w:rPr>
        <w:t xml:space="preserve">ASCO 2023 recommends anti-EGFR plus doublet chemotherapy first line for left-sided RAS wild-type disease (strong recommendation) and not for right-sided tumours: versus bevacizumab, overall survival HR 0.71 (0.58–0.85) on the left and 1.35 (1.0–1.8) on the right.</w:t>
      </w:r>
    </w:p>
    <w:p>
      <w:pPr>
        <w:spacing w:after="50" w:line="276"/>
        <w:ind w:left="240"/>
      </w:pPr>
      <w:r>
        <w:rPr>
          <w:color w:val="15181F"/>
          <w:sz w:val="18"/>
          <w:szCs w:val="18"/>
        </w:rPr>
        <w:t xml:space="preserve">Left-sided, RAS and BRAF wild-type, mismatch-repair proficient disease when maximal shrinkage is the goal. In the final RAS wild-type FIRE-3 population centrally reviewed response was 72.0% versus 56.1% and early shrinkage of 20% or more 68.2% versus 49.1% with cetuximab — both post hoc, in a trial whose investigator-assessed response and progression-free survival did not differ and which did not analyse sidedness.</w:t>
      </w:r>
    </w:p>
    <w:p>
      <w:pPr>
        <w:spacing w:after="50"/>
        <w:ind w:left="240"/>
      </w:pPr>
      <w:r>
        <w:rPr>
          <w:b/>
          <w:bCs/>
          <w:color w:val="8C2F26"/>
          <w:sz w:val="18"/>
          <w:szCs w:val="18"/>
        </w:rPr>
        <w:t xml:space="preserve">Caveat. </w:t>
      </w:r>
      <w:r>
        <w:rPr>
          <w:color w:val="15181F"/>
          <w:sz w:val="18"/>
          <w:szCs w:val="18"/>
        </w:rPr>
        <w:t xml:space="preserve">Right-sided primary, or RAS or BRAF V600E mutation. Do not read a shrinkage advantage as a survival advantage: CALGB/SWOG 80405 found median overall survival 30.0 months with cetuximab versus 29.0 with bevacizumab, HR 0.88 (0.77–1.01), p=0.08, so the two biologics give similar survival in KRAS wild-type disease. Do not read it as a conversion advantage either: in the left-sided RAS and BRAF wild-type comparison of CAIRO5, panitumumab raised objective response from 53% to 80% (p&lt;0.0001) and median depth of response from 33% to 49% (p&lt;0.0001), yet complete local treatment was 58% in both arms (p=1.00) and those two groups were closed early for futility (progression-free survival HR 1.11, 0.84–1.48, p=0.46).</w:t>
      </w:r>
    </w:p>
    <w:p>
      <w:pPr>
        <w:spacing w:after="60" w:line="276"/>
        <w:ind w:left="240"/>
      </w:pPr>
      <w:r>
        <w:rPr>
          <w:color w:val="5A6069"/>
          <w:sz w:val="16"/>
          <w:szCs w:val="16"/>
        </w:rPr>
        <w:t xml:space="preserve">Sources: ASCO 2023; FIRE-3; CALGB/SWOG 80405; CAIRO5</w:t>
      </w:r>
    </w:p>
    <w:p>
      <w:pPr>
        <w:spacing w:after="50" w:before="120"/>
        <w:ind w:left="240"/>
      </w:pPr>
      <w:r>
        <w:rPr>
          <w:b/>
          <w:bCs/>
          <w:color w:val="15181F"/>
          <w:sz w:val="19"/>
          <w:szCs w:val="19"/>
        </w:rPr>
        <w:t xml:space="preserve">FOLFOXIRI plus bevacizumab</w:t>
      </w:r>
      <w:r>
        <w:rPr>
          <w:color w:val="5A6069"/>
          <w:sz w:val="15"/>
          <w:szCs w:val="15"/>
        </w:rPr>
        <w:t xml:space="preserve">   grade B</w:t>
      </w:r>
    </w:p>
    <w:p>
      <w:pPr>
        <w:spacing w:after="50" w:line="276"/>
        <w:ind w:left="240"/>
      </w:pPr>
      <w:r>
        <w:rPr>
          <w:color w:val="15181F"/>
          <w:sz w:val="18"/>
          <w:szCs w:val="18"/>
        </w:rPr>
        <w:t xml:space="preserve">CAIRO5 supported regimen choice by sidedness and molecular status. In right-sided or RAS/BRAF V600E-mutant initially unresectable liver-only disease, FOLFOXIRI–bevacizumab improved progression-free survival (median 10.6 versus 9.0 months, HR 0.76, 95% CI 0.60–0.98, p=0.032) and complete local treatment (51% versus 37%, p=0.013).</w:t>
      </w:r>
    </w:p>
    <w:p>
      <w:pPr>
        <w:spacing w:after="50" w:line="276"/>
        <w:ind w:left="240"/>
      </w:pPr>
      <w:r>
        <w:rPr>
          <w:color w:val="15181F"/>
          <w:sz w:val="18"/>
          <w:szCs w:val="18"/>
        </w:rPr>
        <w:t xml:space="preserve">A fit patient with right-sided or RAS/BRAF V600E-mutant disease in whom conversion response is the limiting factor. Preferred for that defined phenotype, not a general default.</w:t>
      </w:r>
    </w:p>
    <w:p>
      <w:pPr>
        <w:spacing w:after="50"/>
        <w:ind w:left="240"/>
      </w:pPr>
      <w:r>
        <w:rPr>
          <w:b/>
          <w:bCs/>
          <w:color w:val="8C2F26"/>
          <w:sz w:val="18"/>
          <w:szCs w:val="18"/>
        </w:rPr>
        <w:t xml:space="preserve">Caveat. </w:t>
      </w:r>
      <w:r>
        <w:rPr>
          <w:color w:val="15181F"/>
          <w:sz w:val="18"/>
          <w:szCs w:val="18"/>
        </w:rPr>
        <w:t xml:space="preserve">Unfit patients, and left-sided RAS/BRAF wild-type disease, where FOLFOXIRI was never tested in CAIRO5. Grade 3 or worse events were 76% versus 59% with dose reductions in 55% and seven treatment-related deaths in the triplet arm; overall survival is not yet reported.</w:t>
      </w:r>
    </w:p>
    <w:p>
      <w:pPr>
        <w:spacing w:after="60" w:line="276"/>
        <w:ind w:left="240"/>
      </w:pPr>
      <w:r>
        <w:rPr>
          <w:color w:val="5A6069"/>
          <w:sz w:val="16"/>
          <w:szCs w:val="16"/>
        </w:rPr>
        <w:t xml:space="preserve">Sources: CAIRO5</w:t>
      </w:r>
    </w:p>
    <w:p>
      <w:pPr>
        <w:spacing w:after="50" w:before="120"/>
        <w:ind w:left="240"/>
      </w:pPr>
      <w:r>
        <w:rPr>
          <w:b/>
          <w:bCs/>
          <w:color w:val="15181F"/>
          <w:sz w:val="19"/>
          <w:szCs w:val="19"/>
        </w:rPr>
        <w:t xml:space="preserve">Encorafenib, cetuximab and mFOLFOX6</w:t>
      </w:r>
      <w:r>
        <w:rPr>
          <w:color w:val="5A6069"/>
          <w:sz w:val="15"/>
          <w:szCs w:val="15"/>
        </w:rPr>
        <w:t xml:space="preserve">   grade A</w:t>
      </w:r>
    </w:p>
    <w:p>
      <w:pPr>
        <w:spacing w:after="50" w:line="276"/>
        <w:ind w:left="240"/>
      </w:pPr>
      <w:r>
        <w:rPr>
          <w:color w:val="15181F"/>
          <w:sz w:val="18"/>
          <w:szCs w:val="18"/>
        </w:rPr>
        <w:t xml:space="preserve">BREAKWATER met its primary endpoint in first-line BRAF V600E-mutant disease: median progression-free survival 12.8 versus 7.1 months, HR 0.53 (95% CI 0.41–0.68), with interim overall survival 30.3 versus 15.1 months, HR 0.49 (0.38–0.63).</w:t>
      </w:r>
    </w:p>
    <w:p>
      <w:pPr>
        <w:spacing w:after="50" w:line="276"/>
        <w:ind w:left="240"/>
      </w:pPr>
      <w:r>
        <w:rPr>
          <w:color w:val="15181F"/>
          <w:sz w:val="18"/>
          <w:szCs w:val="18"/>
        </w:rPr>
        <w:t xml:space="preserve">BRAF V600E mutation, first line. NCCN asks that these patients receive an encorafenib-containing regimen during one line of therapy, with a chemotherapy-containing option preferred first line.</w:t>
      </w:r>
    </w:p>
    <w:p>
      <w:pPr>
        <w:spacing w:after="50"/>
        <w:ind w:left="240"/>
      </w:pPr>
      <w:r>
        <w:rPr>
          <w:b/>
          <w:bCs/>
          <w:color w:val="8C2F26"/>
          <w:sz w:val="18"/>
          <w:szCs w:val="18"/>
        </w:rPr>
        <w:t xml:space="preserve">Caveat. </w:t>
      </w:r>
      <w:r>
        <w:rPr>
          <w:color w:val="15181F"/>
          <w:sz w:val="18"/>
          <w:szCs w:val="18"/>
        </w:rPr>
        <w:t xml:space="preserve">Do not read it as a conversion result: no resection, conversion or local-treatment endpoint was reported, and grade 3 or 4 toxicity in 81.5% with permanent discontinuation in 26.7% is demanding for a patient being worked up for liver surgery.</w:t>
      </w:r>
    </w:p>
    <w:p>
      <w:pPr>
        <w:spacing w:after="60" w:line="276"/>
        <w:ind w:left="240"/>
      </w:pPr>
      <w:r>
        <w:rPr>
          <w:color w:val="5A6069"/>
          <w:sz w:val="16"/>
          <w:szCs w:val="16"/>
        </w:rPr>
        <w:t xml:space="preserve">Sources: BREAKWATER</w:t>
      </w:r>
    </w:p>
    <w:p>
      <w:pPr>
        <w:spacing w:after="50" w:before="120"/>
        <w:ind w:left="240"/>
      </w:pPr>
      <w:r>
        <w:rPr>
          <w:b/>
          <w:bCs/>
          <w:color w:val="15181F"/>
          <w:sz w:val="19"/>
          <w:szCs w:val="19"/>
        </w:rPr>
        <w:t xml:space="preserve">Nivolumab plus ipilimumab</w:t>
      </w:r>
      <w:r>
        <w:rPr>
          <w:color w:val="5A6069"/>
          <w:sz w:val="15"/>
          <w:szCs w:val="15"/>
        </w:rPr>
        <w:t xml:space="preserve">   grade A</w:t>
      </w:r>
    </w:p>
    <w:p>
      <w:pPr>
        <w:spacing w:after="50" w:line="276"/>
        <w:ind w:left="240"/>
      </w:pPr>
      <w:r>
        <w:rPr>
          <w:color w:val="15181F"/>
          <w:sz w:val="18"/>
          <w:szCs w:val="18"/>
        </w:rPr>
        <w:t xml:space="preserve">CheckMate 8HW: progression-free survival favoured nivolumab plus ipilimumab over nivolumab alone in centrally confirmed MSI-high or dMMR disease, HR 0.62 (95% CI 0.48–0.81), and against chemotherapy first line median 54.1 versus 5.9 months, HR 0.21 (0.14–0.31).</w:t>
      </w:r>
    </w:p>
    <w:p>
      <w:pPr>
        <w:spacing w:after="50" w:line="276"/>
        <w:ind w:left="240"/>
      </w:pPr>
      <w:r>
        <w:rPr>
          <w:color w:val="15181F"/>
          <w:sz w:val="18"/>
          <w:szCs w:val="18"/>
        </w:rPr>
        <w:t xml:space="preserve">MSI-high or mismatch-repair deficient disease. Sustained molecular control may postpone, replace or change the role of liver-directed treatment, judged on serial cross-sectional imaging against a defined framework rather than on symptoms or a single scan.</w:t>
      </w:r>
    </w:p>
    <w:p>
      <w:pPr>
        <w:spacing w:after="50"/>
        <w:ind w:left="240"/>
      </w:pPr>
      <w:r>
        <w:rPr>
          <w:b/>
          <w:bCs/>
          <w:color w:val="8C2F26"/>
          <w:sz w:val="18"/>
          <w:szCs w:val="18"/>
        </w:rPr>
        <w:t xml:space="preserve">Caveat. </w:t>
      </w:r>
      <w:r>
        <w:rPr>
          <w:color w:val="15181F"/>
          <w:sz w:val="18"/>
          <w:szCs w:val="18"/>
        </w:rPr>
        <w:t xml:space="preserve">Do not list such a patient on the described OPTN exception route, which requires microsatellite stability; IHPBA 2021 excludes MSI-high and dMMR patients from transplantation altogether. Pre-transplant checkpoint exposure and post-transplant rejection risk must be addressed before the first dose.</w:t>
      </w:r>
    </w:p>
    <w:p>
      <w:pPr>
        <w:spacing w:after="60" w:line="276"/>
        <w:ind w:left="240"/>
      </w:pPr>
      <w:r>
        <w:rPr>
          <w:color w:val="5A6069"/>
          <w:sz w:val="16"/>
          <w:szCs w:val="16"/>
        </w:rPr>
        <w:t xml:space="preserve">Sources: CheckMate 8HW; KEYNOTE-177; IHPBA 2021</w:t>
      </w:r>
    </w:p>
    <w:p>
      <w:pPr>
        <w:spacing w:after="50" w:before="120"/>
        <w:ind w:left="240"/>
      </w:pPr>
      <w:r>
        <w:rPr>
          <w:b/>
          <w:bCs/>
          <w:color w:val="15181F"/>
          <w:sz w:val="19"/>
          <w:szCs w:val="19"/>
        </w:rPr>
        <w:t xml:space="preserve">Sotorasib plus panitumumab</w:t>
      </w:r>
      <w:r>
        <w:rPr>
          <w:color w:val="5A6069"/>
          <w:sz w:val="15"/>
          <w:szCs w:val="15"/>
        </w:rPr>
        <w:t xml:space="preserve">   grade B</w:t>
      </w:r>
    </w:p>
    <w:p>
      <w:pPr>
        <w:spacing w:after="50" w:line="276"/>
        <w:ind w:left="240"/>
      </w:pPr>
      <w:r>
        <w:rPr>
          <w:color w:val="15181F"/>
          <w:sz w:val="18"/>
          <w:szCs w:val="18"/>
        </w:rPr>
        <w:t xml:space="preserve">CodeBreaK 300, after chemorefractory progression in KRAS G12C disease: median progression-free survival 5.6 versus 2.0 months with sotorasib 960 mg plus panitumumab, HR 0.48 (95% CI 0.30–0.78), objective response 26.4% versus 0%.</w:t>
      </w:r>
    </w:p>
    <w:p>
      <w:pPr>
        <w:spacing w:after="50" w:line="276"/>
        <w:ind w:left="240"/>
      </w:pPr>
      <w:r>
        <w:rPr>
          <w:color w:val="15181F"/>
          <w:sz w:val="18"/>
          <w:szCs w:val="18"/>
        </w:rPr>
        <w:t xml:space="preserve">KRAS G12C mutation after chemorefractory progression — a reasonable consideration, not a conversion strategy.</w:t>
      </w:r>
    </w:p>
    <w:p>
      <w:pPr>
        <w:spacing w:after="50"/>
        <w:ind w:left="240"/>
      </w:pPr>
      <w:r>
        <w:rPr>
          <w:b/>
          <w:bCs/>
          <w:color w:val="8C2F26"/>
          <w:sz w:val="18"/>
          <w:szCs w:val="18"/>
        </w:rPr>
        <w:t xml:space="preserve">Caveat. </w:t>
      </w:r>
      <w:r>
        <w:rPr>
          <w:color w:val="15181F"/>
          <w:sz w:val="18"/>
          <w:szCs w:val="18"/>
        </w:rPr>
        <w:t xml:space="preserve">Do not promise survival: the trial was not powered for it and overall survival was immature with HR 0.77 (0.40–1.45) crossing 1. No resection or ablation outcomes were reported, and the standard-care comparator was overtaken by SUNLIGHT and FRESCO-2 during the trial.</w:t>
      </w:r>
    </w:p>
    <w:p>
      <w:pPr>
        <w:spacing w:after="60" w:line="276"/>
        <w:ind w:left="240"/>
      </w:pPr>
      <w:r>
        <w:rPr>
          <w:color w:val="5A6069"/>
          <w:sz w:val="16"/>
          <w:szCs w:val="16"/>
        </w:rPr>
        <w:t xml:space="preserve">Sources: CodeBreaK 300</w:t>
      </w:r>
    </w:p>
    <w:p>
      <w:pPr>
        <w:spacing w:after="60" w:line="276"/>
        <w:ind w:left="240"/>
      </w:pPr>
      <w:r>
        <w:rPr>
          <w:i/>
          <w:iCs/>
          <w:color w:val="5A6069"/>
          <w:sz w:val="16"/>
          <w:szCs w:val="16"/>
        </w:rPr>
        <w:t xml:space="preserve">Two alignment items are open. The roadmap grades first-line BRAF V600E therapy A on a single trial, which does not match its own §0 definition; and the worksheet asks whether the left-sided RAS wild-type default should be restated as anti-EGFR plus doublet on overall-survival grounds (ASCO 2023, strong), with bevacizumab an acceptable alternative.</w:t>
      </w:r>
    </w:p>
    <w:p>
      <w:pPr>
        <w:spacing w:after="60" w:before="180"/>
      </w:pPr>
      <w:r>
        <w:rPr>
          <w:b/>
          <w:bCs/>
          <w:color w:val="176A87"/>
          <w:spacing w:val="16"/>
          <w:sz w:val="16"/>
          <w:szCs w:val="16"/>
        </w:rPr>
        <w:t xml:space="preserve">REASONABLE</w:t>
      </w:r>
      <w:r>
        <w:rPr>
          <w:color w:val="5A6069"/>
          <w:sz w:val="16"/>
          <w:szCs w:val="16"/>
        </w:rPr>
        <w:t xml:space="preserve">   grade C</w:t>
      </w:r>
    </w:p>
    <w:p>
      <w:pPr>
        <w:spacing w:after="60" w:line="276"/>
      </w:pPr>
      <w:r>
        <w:rPr>
          <w:color w:val="15181F"/>
          <w:sz w:val="19"/>
          <w:szCs w:val="19"/>
        </w:rPr>
        <w:t xml:space="preserve">Record integrated clinical-molecular risk alongside the Fong score where the assay is available.</w:t>
      </w:r>
    </w:p>
    <w:p>
      <w:pPr>
        <w:spacing w:after="50" w:line="276"/>
        <w:ind w:left="240"/>
      </w:pPr>
      <w:r>
        <w:rPr>
          <w:color w:val="15181F"/>
          <w:sz w:val="18"/>
          <w:szCs w:val="18"/>
        </w:rPr>
        <w:t xml:space="preserve">A resected metastasis with tissue available for mRNA and miRNA profiling, used for prognosis and surveillance intensity. In the New EPOC validation cohort 5-year progression-free survival was 43% for the immune, 26% for the stromal and 14% for the canonical subtype (log-rank p=0.004), and integrated risk groups gave 5-year overall survival 78%, 56% and 43%.</w:t>
      </w:r>
    </w:p>
    <w:p>
      <w:pPr>
        <w:spacing w:after="50"/>
        <w:ind w:left="240"/>
      </w:pPr>
      <w:r>
        <w:rPr>
          <w:b/>
          <w:bCs/>
          <w:color w:val="8C2F26"/>
          <w:sz w:val="18"/>
          <w:szCs w:val="18"/>
        </w:rPr>
        <w:t xml:space="preserve">Caveat. </w:t>
      </w:r>
      <w:r>
        <w:rPr>
          <w:color w:val="15181F"/>
          <w:sz w:val="18"/>
          <w:szCs w:val="18"/>
        </w:rPr>
        <w:t xml:space="preserve">Do not use it to decide operability or to choose systemic therapy. It is prognostic only, the three-way overall survival comparison was not significant (p=0.08), the assay needs resected metastatic tissue so it cannot inform the preoperative decision, and the low-risk 78% rests on wide confidence intervals (44–93%).</w:t>
      </w:r>
    </w:p>
    <w:p>
      <w:pPr>
        <w:spacing w:after="50" w:line="276"/>
        <w:ind w:left="240"/>
      </w:pPr>
      <w:r>
        <w:rPr>
          <w:i/>
          <w:iCs/>
          <w:color w:val="5A6069"/>
          <w:sz w:val="17"/>
          <w:szCs w:val="17"/>
        </w:rPr>
        <w:t xml:space="preserve">Validated in a biomarker subset of a trial whose experimental arm harmed patients; subtypes predicted from the matched primary tumour were not prognostic. Adding subtype to the Fong score raised the Gonen and Heller concordance statistic only from 0.55 to 0.62 for progression-free survival and from 0.59 to 0.63 for overall survival, and the best-prognosis group rests on 28 immune metastases.</w:t>
      </w:r>
    </w:p>
    <w:p>
      <w:pPr>
        <w:spacing w:after="60" w:line="276"/>
        <w:ind w:left="240"/>
      </w:pPr>
      <w:r>
        <w:rPr>
          <w:color w:val="5A6069"/>
          <w:sz w:val="16"/>
          <w:szCs w:val="16"/>
        </w:rPr>
        <w:t xml:space="preserve">Sources: New EPOC biomarker</w:t>
      </w:r>
    </w:p>
    <w:p>
      <w:pPr>
        <w:spacing w:after="60" w:before="180"/>
      </w:pPr>
      <w:r>
        <w:rPr>
          <w:b/>
          <w:bCs/>
          <w:color w:val="176A87"/>
          <w:spacing w:val="16"/>
          <w:sz w:val="16"/>
          <w:szCs w:val="16"/>
        </w:rPr>
        <w:t xml:space="preserve">REASONABLE</w:t>
      </w:r>
      <w:r>
        <w:rPr>
          <w:color w:val="5A6069"/>
          <w:sz w:val="16"/>
          <w:szCs w:val="16"/>
        </w:rPr>
        <w:t xml:space="preserve">   grade D</w:t>
      </w:r>
    </w:p>
    <w:p>
      <w:pPr>
        <w:spacing w:after="60" w:line="276"/>
      </w:pPr>
      <w:r>
        <w:rPr>
          <w:color w:val="15181F"/>
          <w:sz w:val="19"/>
          <w:szCs w:val="19"/>
        </w:rPr>
        <w:t xml:space="preserve">Assess clinical-trial eligibility at every decision point, and record it.</w:t>
      </w:r>
    </w:p>
    <w:p>
      <w:pPr>
        <w:spacing w:after="50" w:line="276"/>
        <w:ind w:left="240"/>
      </w:pPr>
      <w:r>
        <w:rPr>
          <w:color w:val="15181F"/>
          <w:sz w:val="18"/>
          <w:szCs w:val="18"/>
        </w:rPr>
        <w:t xml:space="preserve">Every discussion, in both directions: a trial may be the best available option, and enrolment constraints may set the timing of local treatment.</w:t>
      </w:r>
    </w:p>
    <w:p>
      <w:pPr>
        <w:spacing w:after="50"/>
        <w:ind w:left="240"/>
      </w:pPr>
      <w:r>
        <w:rPr>
          <w:b/>
          <w:bCs/>
          <w:color w:val="8C2F26"/>
          <w:sz w:val="18"/>
          <w:szCs w:val="18"/>
        </w:rPr>
        <w:t xml:space="preserve">Caveat. </w:t>
      </w:r>
      <w:r>
        <w:rPr>
          <w:color w:val="15181F"/>
          <w:sz w:val="18"/>
          <w:szCs w:val="18"/>
        </w:rPr>
        <w:t xml:space="preserve">Do not let a trial screening window displace a feasible clearance operation that is ready to go.</w:t>
      </w:r>
    </w:p>
    <w:p>
      <w:pPr>
        <w:spacing w:after="60" w:before="180"/>
      </w:pPr>
      <w:r>
        <w:rPr>
          <w:b/>
          <w:bCs/>
          <w:color w:val="8C2F26"/>
          <w:spacing w:val="16"/>
          <w:sz w:val="16"/>
          <w:szCs w:val="16"/>
        </w:rPr>
        <w:t xml:space="preserve">AVOID</w:t>
      </w:r>
      <w:r>
        <w:rPr>
          <w:color w:val="5A6069"/>
          <w:sz w:val="16"/>
          <w:szCs w:val="16"/>
        </w:rPr>
        <w:t xml:space="preserve">   grade B</w:t>
      </w:r>
    </w:p>
    <w:p>
      <w:pPr>
        <w:spacing w:after="60" w:line="276"/>
      </w:pPr>
      <w:r>
        <w:rPr>
          <w:color w:val="15181F"/>
          <w:sz w:val="19"/>
          <w:szCs w:val="19"/>
        </w:rPr>
        <w:t xml:space="preserve">Indiscriminate triplet intensification, and triplet chemotherapy combined with an anti-EGFR antibody.</w:t>
      </w:r>
    </w:p>
    <w:p>
      <w:pPr>
        <w:spacing w:after="50" w:line="276"/>
        <w:ind w:left="240"/>
      </w:pPr>
      <w:r>
        <w:rPr>
          <w:color w:val="15181F"/>
          <w:sz w:val="18"/>
          <w:szCs w:val="18"/>
        </w:rPr>
        <w:t xml:space="preserve">Intensify only where conversion response is the limiting factor, in a fit patient, with a defined clearance endpoint and toxicity review recorded.</w:t>
      </w:r>
    </w:p>
    <w:p>
      <w:pPr>
        <w:spacing w:after="50"/>
        <w:ind w:left="240"/>
      </w:pPr>
      <w:r>
        <w:rPr>
          <w:b/>
          <w:bCs/>
          <w:color w:val="8C2F26"/>
          <w:sz w:val="18"/>
          <w:szCs w:val="18"/>
        </w:rPr>
        <w:t xml:space="preserve">Caveat. </w:t>
      </w:r>
      <w:r>
        <w:rPr>
          <w:color w:val="15181F"/>
          <w:sz w:val="18"/>
          <w:szCs w:val="18"/>
        </w:rPr>
        <w:t xml:space="preserve">Adding irinotecan to cetuximab–FOLFOX did not raise response in TRICE (84.7% versus 79.7%, odds ratio 0.70, p=0.42) and did not raise complete local treatment (54.2% versus 52.7%), while increasing grade 3 or worse neutropenia; progression-free survival numerically favoured the doublet, so harm from intensification is not excluded.</w:t>
      </w:r>
    </w:p>
    <w:p>
      <w:pPr>
        <w:spacing w:after="50" w:line="276"/>
        <w:ind w:left="240"/>
      </w:pPr>
      <w:r>
        <w:rPr>
          <w:i/>
          <w:iCs/>
          <w:color w:val="5A6069"/>
          <w:sz w:val="17"/>
          <w:szCs w:val="17"/>
        </w:rPr>
        <w:t xml:space="preserve">The roadmap's position is individualised consideration for fit patients rather than a blanket Avoid; the worksheet asks whether Avoid should be narrowed to triplet plus anti-EGFR only, with triplet plus bevacizumab relabelled a reasonable consideration. TRICE was powered on response at a two-sided alpha of 0.10 in 146 patients, judged resectability locally with no central review, and was an all-Asian cohort given irinotecan at 150 mg/m² with no UGT1A1 variants, so Western toxicity will be higher than the 5.9% grade 3 diarrhoea reported.</w:t>
      </w:r>
    </w:p>
    <w:p>
      <w:pPr>
        <w:spacing w:after="60" w:line="276"/>
        <w:ind w:left="240"/>
      </w:pPr>
      <w:r>
        <w:rPr>
          <w:color w:val="5A6069"/>
          <w:sz w:val="16"/>
          <w:szCs w:val="16"/>
        </w:rPr>
        <w:t xml:space="preserve">Sources: TRICE</w:t>
      </w:r>
    </w:p>
    <w:p>
      <w:pPr>
        <w:spacing w:after="60" w:before="180"/>
      </w:pPr>
      <w:r>
        <w:rPr>
          <w:b/>
          <w:bCs/>
          <w:color w:val="8C2F26"/>
          <w:spacing w:val="16"/>
          <w:sz w:val="16"/>
          <w:szCs w:val="16"/>
        </w:rPr>
        <w:t xml:space="preserve">AVOID</w:t>
      </w:r>
      <w:r>
        <w:rPr>
          <w:color w:val="5A6069"/>
          <w:sz w:val="16"/>
          <w:szCs w:val="16"/>
        </w:rPr>
        <w:t xml:space="preserve">   grade D</w:t>
      </w:r>
    </w:p>
    <w:p>
      <w:pPr>
        <w:spacing w:after="60" w:line="276"/>
      </w:pPr>
      <w:r>
        <w:rPr>
          <w:color w:val="15181F"/>
          <w:sz w:val="19"/>
          <w:szCs w:val="19"/>
        </w:rPr>
        <w:t xml:space="preserve">Using genotype alone to exclude a patient from a feasible clearance operation, or to set margin width.</w:t>
      </w:r>
    </w:p>
    <w:p>
      <w:pPr>
        <w:spacing w:after="50" w:line="276"/>
        <w:ind w:left="240"/>
      </w:pPr>
      <w:r>
        <w:rPr>
          <w:color w:val="15181F"/>
          <w:sz w:val="18"/>
          <w:szCs w:val="18"/>
        </w:rPr>
        <w:t xml:space="preserve">Let observed response on effective therapy carry the decision weight; a single mutation stratifies prognosis rather than determining operability.</w:t>
      </w:r>
    </w:p>
    <w:p>
      <w:pPr>
        <w:spacing w:after="50"/>
        <w:ind w:left="240"/>
      </w:pPr>
      <w:r>
        <w:rPr>
          <w:b/>
          <w:bCs/>
          <w:color w:val="8C2F26"/>
          <w:sz w:val="18"/>
          <w:szCs w:val="18"/>
        </w:rPr>
        <w:t xml:space="preserve">Caveat. </w:t>
      </w:r>
      <w:r>
        <w:rPr>
          <w:color w:val="15181F"/>
          <w:sz w:val="18"/>
          <w:szCs w:val="18"/>
        </w:rPr>
        <w:t xml:space="preserve">A larger resection, a wider margin or a refusal to operate justified by a BRAF or RAS result alone.</w:t>
      </w:r>
    </w:p>
    <w:p>
      <w:pPr>
        <w:pBdr>
          <w:bottom w:val="single" w:color="D3DCE4" w:sz="6" w:space="1"/>
        </w:pBdr>
        <w:spacing w:after="80"/>
      </w:pPr>
    </w:p>
    <w:p>
      <w:pPr>
        <w:pStyle w:val="Heading2"/>
        <w:keepNext/>
        <w:pageBreakBefore/>
        <w:spacing w:after="110" w:before="240"/>
      </w:pPr>
      <w:r>
        <w:rPr>
          <w:rFonts w:ascii="Cambria" w:cs="Cambria" w:eastAsia="Cambria" w:hAnsi="Cambria"/>
          <w:b/>
          <w:bCs/>
          <w:color w:val="17365D"/>
          <w:sz w:val="26"/>
          <w:szCs w:val="26"/>
        </w:rPr>
        <w:t xml:space="preserve">2 · Clearable now</w:t>
      </w:r>
    </w:p>
    <w:p>
      <w:pPr>
        <w:spacing w:after="140"/>
      </w:pPr>
      <w:r>
        <w:rPr>
          <w:b/>
          <w:bCs/>
          <w:color w:val="176A87"/>
          <w:sz w:val="19"/>
          <w:szCs w:val="19"/>
        </w:rPr>
        <w:t xml:space="preserve">The question. </w:t>
      </w:r>
      <w:r>
        <w:rPr>
          <w:sz w:val="19"/>
          <w:szCs w:val="19"/>
        </w:rPr>
        <w:t xml:space="preserve">Can I eradicate every deposit in this liver now, and prove the margin afterwards?</w:t>
      </w:r>
    </w:p>
    <w:p>
      <w:pPr>
        <w:spacing w:after="60" w:before="160"/>
      </w:pPr>
      <w:r>
        <w:rPr>
          <w:b/>
          <w:bCs/>
          <w:color w:val="176A87"/>
          <w:spacing w:val="24"/>
          <w:sz w:val="15"/>
          <w:szCs w:val="15"/>
        </w:rPr>
        <w:t xml:space="preserve">ALL OF THE FOLLOWING HAVE TO BE IN HAND</w:t>
      </w:r>
    </w:p>
    <w:p>
      <w:pPr>
        <w:pStyle w:val="ListParagraph"/>
        <w:numPr>
          <w:ilvl w:val="0"/>
          <w:numId w:val="2"/>
        </w:numPr>
        <w:spacing w:after="60" w:line="268"/>
      </w:pPr>
      <w:r>
        <w:rPr>
          <w:color w:val="15181F"/>
          <w:sz w:val="18"/>
          <w:szCs w:val="18"/>
        </w:rPr>
        <w:t xml:space="preserve">Every original site of hepatic disease treatable by resection, margin-verified thermal ablation, or the two combined</w:t>
      </w:r>
    </w:p>
    <w:p>
      <w:pPr>
        <w:pStyle w:val="ListParagraph"/>
        <w:numPr>
          <w:ilvl w:val="0"/>
          <w:numId w:val="2"/>
        </w:numPr>
        <w:spacing w:after="60" w:line="268"/>
      </w:pPr>
      <w:r>
        <w:rPr>
          <w:color w:val="15181F"/>
          <w:sz w:val="18"/>
          <w:szCs w:val="18"/>
        </w:rPr>
        <w:t xml:space="preserve">Adequate future liver remnant with preserved inflow, outflow and biliary drainage</w:t>
      </w:r>
    </w:p>
    <w:p>
      <w:pPr>
        <w:pStyle w:val="ListParagraph"/>
        <w:numPr>
          <w:ilvl w:val="0"/>
          <w:numId w:val="2"/>
        </w:numPr>
        <w:spacing w:after="60" w:line="268"/>
      </w:pPr>
      <w:r>
        <w:rPr>
          <w:color w:val="15181F"/>
          <w:sz w:val="18"/>
          <w:szCs w:val="18"/>
        </w:rPr>
        <w:t xml:space="preserve">No progression on an appropriate systemic regimen</w:t>
      </w:r>
    </w:p>
    <w:p>
      <w:pPr>
        <w:pStyle w:val="ListParagraph"/>
        <w:numPr>
          <w:ilvl w:val="0"/>
          <w:numId w:val="2"/>
        </w:numPr>
        <w:spacing w:after="60" w:line="268"/>
      </w:pPr>
      <w:r>
        <w:rPr>
          <w:color w:val="15181F"/>
          <w:sz w:val="18"/>
          <w:szCs w:val="18"/>
        </w:rPr>
        <w:t xml:space="preserve">No extrahepatic disease, or disease that is limited, controllable and itself completely treatable</w:t>
      </w:r>
    </w:p>
    <w:p>
      <w:pPr>
        <w:pStyle w:val="ListParagraph"/>
        <w:numPr>
          <w:ilvl w:val="0"/>
          <w:numId w:val="2"/>
        </w:numPr>
        <w:spacing w:after="60" w:line="268"/>
      </w:pPr>
      <w:r>
        <w:rPr>
          <w:color w:val="15181F"/>
          <w:sz w:val="18"/>
          <w:szCs w:val="18"/>
        </w:rPr>
        <w:t xml:space="preserve">Patient fit for the operation that clearance actually requires</w:t>
      </w:r>
    </w:p>
    <w:p>
      <w:pPr>
        <w:spacing w:after="80" w:line="276"/>
      </w:pPr>
      <w:r>
        <w:rPr>
          <w:color w:val="15181F"/>
          <w:sz w:val="20"/>
          <w:szCs w:val="20"/>
        </w:rPr>
        <w:t xml:space="preserve"/>
      </w:r>
    </w:p>
    <w:p>
      <w:pPr>
        <w:spacing w:after="60" w:before="180"/>
      </w:pPr>
      <w:r>
        <w:rPr>
          <w:b/>
          <w:bCs/>
          <w:color w:val="17365D"/>
          <w:spacing w:val="16"/>
          <w:sz w:val="16"/>
          <w:szCs w:val="16"/>
        </w:rPr>
        <w:t xml:space="preserve">STANDARD</w:t>
      </w:r>
      <w:r>
        <w:rPr>
          <w:color w:val="5A6069"/>
          <w:sz w:val="16"/>
          <w:szCs w:val="16"/>
        </w:rPr>
        <w:t xml:space="preserve">   grade B</w:t>
      </w:r>
    </w:p>
    <w:p>
      <w:pPr>
        <w:spacing w:after="60" w:line="276"/>
      </w:pPr>
      <w:r>
        <w:rPr>
          <w:color w:val="15181F"/>
          <w:sz w:val="19"/>
          <w:szCs w:val="19"/>
        </w:rPr>
        <w:t xml:space="preserve">Parenchymal-sparing resection is the reference clearance strategy, because it is the only route that permits pathologic margin assessment.</w:t>
      </w:r>
    </w:p>
    <w:p>
      <w:pPr>
        <w:spacing w:after="50" w:line="276"/>
        <w:ind w:left="240"/>
      </w:pPr>
      <w:r>
        <w:rPr>
          <w:color w:val="15181F"/>
          <w:sz w:val="18"/>
          <w:szCs w:val="18"/>
        </w:rPr>
        <w:t xml:space="preserve">Disease clearable with an adequate remnant and preserved inflow, outflow and biliary drainage. Use a minimally invasive or robotic approach where it does not compromise completeness. Preserve parenchyma deliberately: recurrence is common and repeat liver-directed treatment produces meaningful survival in selected patients.</w:t>
      </w:r>
    </w:p>
    <w:p>
      <w:pPr>
        <w:spacing w:after="50"/>
        <w:ind w:left="240"/>
      </w:pPr>
      <w:r>
        <w:rPr>
          <w:b/>
          <w:bCs/>
          <w:color w:val="8C2F26"/>
          <w:sz w:val="18"/>
          <w:szCs w:val="18"/>
        </w:rPr>
        <w:t xml:space="preserve">Caveat. </w:t>
      </w:r>
      <w:r>
        <w:rPr>
          <w:color w:val="15181F"/>
          <w:sz w:val="18"/>
          <w:szCs w:val="18"/>
        </w:rPr>
        <w:t xml:space="preserve">Inadequate remnant, prohibitive vascular or biliary anatomy, or progression on appropriate therapy. A positive margin and extrahepatic disease were the two most influential adverse factors in the 1001-patient Fong series (5-year survival 20% and 18%) and the authors treat both as contraindications to resection.</w:t>
      </w:r>
    </w:p>
    <w:p>
      <w:pPr>
        <w:spacing w:after="50" w:line="276"/>
        <w:ind w:left="240"/>
      </w:pPr>
      <w:r>
        <w:rPr>
          <w:i/>
          <w:iCs/>
          <w:color w:val="5A6069"/>
          <w:sz w:val="17"/>
          <w:szCs w:val="17"/>
        </w:rPr>
        <w:t xml:space="preserve">Needs demonstrated team experience with the specific operation. Graded B rather than A: no randomised trial compares hepatectomy with non-operative management, and the cited series is a single tertiary centre, retrospective, pre-oxaliplatin and pre-PET, describing outcome after resection rather than comparing resection with anything. What holds the recommendation up is that resection is the only route that yields a pathologic margin, not the strength of the comparative evidence.</w:t>
      </w:r>
    </w:p>
    <w:p>
      <w:pPr>
        <w:spacing w:after="60" w:line="276"/>
        <w:ind w:left="240"/>
      </w:pPr>
      <w:r>
        <w:rPr>
          <w:color w:val="5A6069"/>
          <w:sz w:val="16"/>
          <w:szCs w:val="16"/>
        </w:rPr>
        <w:t xml:space="preserve">Sources: Fong CRS</w:t>
      </w:r>
    </w:p>
    <w:p>
      <w:pPr>
        <w:spacing w:after="60" w:before="180"/>
      </w:pPr>
      <w:r>
        <w:rPr>
          <w:b/>
          <w:bCs/>
          <w:color w:val="17365D"/>
          <w:spacing w:val="16"/>
          <w:sz w:val="16"/>
          <w:szCs w:val="16"/>
        </w:rPr>
        <w:t xml:space="preserve">STANDARD</w:t>
      </w:r>
      <w:r>
        <w:rPr>
          <w:color w:val="5A6069"/>
          <w:sz w:val="16"/>
          <w:szCs w:val="16"/>
        </w:rPr>
        <w:t xml:space="preserve">   grade B</w:t>
      </w:r>
    </w:p>
    <w:p>
      <w:pPr>
        <w:spacing w:after="60" w:line="276"/>
      </w:pPr>
      <w:r>
        <w:rPr>
          <w:color w:val="15181F"/>
          <w:sz w:val="19"/>
          <w:szCs w:val="19"/>
        </w:rPr>
        <w:t xml:space="preserve">Thermal ablation alone or with resection is a curative-intent clearance option for small lesions, provided every original site is treated and a circumferential margin is confirmed.</w:t>
      </w:r>
    </w:p>
    <w:p>
      <w:pPr>
        <w:spacing w:after="50" w:line="276"/>
        <w:ind w:left="240"/>
      </w:pPr>
      <w:r>
        <w:rPr>
          <w:color w:val="15181F"/>
          <w:sz w:val="18"/>
          <w:szCs w:val="18"/>
        </w:rPr>
        <w:t xml:space="preserve">Lesions of 3 cm or less, up to ten, where all sites are treatable and a margin beyond 5 mm is achievable — an initial option in that phenotype, not a consolation after surgical failure. NCCN prioritises feasible thermal ablation in selected lesions of 3 cm or less and ESMO goes further, recommending thermal ablation over resection for metastases under 3 cm [II, B]. COLLISION randomised 300 patients, analysed 148 against 146, and stopped early when the conditional likelihood of proving non-inferiority reached 90.5%: adverse events of any grade 19% versus 46%, serious events 7% versus 20%, median stay 1 versus 4 days, no treatment-related deaths versus three, and 5-year overall survival 51.2% versus 58.0%.</w:t>
      </w:r>
    </w:p>
    <w:p>
      <w:pPr>
        <w:spacing w:after="50"/>
        <w:ind w:left="240"/>
      </w:pPr>
      <w:r>
        <w:rPr>
          <w:b/>
          <w:bCs/>
          <w:color w:val="8C2F26"/>
          <w:sz w:val="18"/>
          <w:szCs w:val="18"/>
        </w:rPr>
        <w:t xml:space="preserve">Caveat. </w:t>
      </w:r>
      <w:r>
        <w:rPr>
          <w:color w:val="15181F"/>
          <w:sz w:val="18"/>
          <w:szCs w:val="18"/>
        </w:rPr>
        <w:t xml:space="preserve">Within 1 cm of a major bile duct, where a heat sink is expected, where the target is not reliably visible, or where only a margin under 5 mm is achievable. In the 233-tumour Memorial Sloan Kettering series local recurrence was 90% at a 0 mm margin, 60% at 1–5 mm, 15% beyond 5–10 mm and 5% beyond 10 mm, and a margin of 5 mm or less carried HR 9.9 (4.9–20) for shorter local progression-free survival.</w:t>
      </w:r>
    </w:p>
    <w:p>
      <w:pPr>
        <w:spacing w:after="50" w:line="276"/>
        <w:ind w:left="240"/>
      </w:pPr>
      <w:r>
        <w:rPr>
          <w:i/>
          <w:iCs/>
          <w:color w:val="5A6069"/>
          <w:sz w:val="17"/>
          <w:szCs w:val="17"/>
        </w:rPr>
        <w:t xml:space="preserve">Graded B rather than A. COLLISION stopped at interim on conditional power rather than a confidence interval excluding its margin: the overall survival HR was 1.05 with a 95% CI of 0.69–1.58, whose upper bound crosses the prespecified non-inferiority limit of 1.30, and the authors say definitive non-inferiority conclusions are difficult, especially in the under-represented intermediate (n=91) and high (n=21) burden subgroups. The arms were not clean — 18% of the ablation arm also had a lesion resected and 35% of the resection arm had a non-target lesion ablated, only 57% of ablations were percutaneous — a mid-trial amendment removed solitary deep lesions needing major hepatectomy, the cases where resection carries most risk, and the trial was funded by an ablation device manufacturer. This is clearance, not debulking: treat every original site.</w:t>
      </w:r>
    </w:p>
    <w:p>
      <w:pPr>
        <w:spacing w:after="60" w:line="276"/>
        <w:ind w:left="240"/>
      </w:pPr>
      <w:r>
        <w:rPr>
          <w:color w:val="5A6069"/>
          <w:sz w:val="16"/>
          <w:szCs w:val="16"/>
        </w:rPr>
        <w:t xml:space="preserve">Sources: COLLISION; Shady ablation margins</w:t>
      </w:r>
    </w:p>
    <w:p>
      <w:pPr>
        <w:spacing w:after="60" w:before="180"/>
      </w:pPr>
      <w:r>
        <w:rPr>
          <w:b/>
          <w:bCs/>
          <w:color w:val="17365D"/>
          <w:spacing w:val="16"/>
          <w:sz w:val="16"/>
          <w:szCs w:val="16"/>
        </w:rPr>
        <w:t xml:space="preserve">STANDARD</w:t>
      </w:r>
      <w:r>
        <w:rPr>
          <w:color w:val="5A6069"/>
          <w:sz w:val="16"/>
          <w:szCs w:val="16"/>
        </w:rPr>
        <w:t xml:space="preserve">   grade C</w:t>
      </w:r>
    </w:p>
    <w:p>
      <w:pPr>
        <w:spacing w:after="100" w:line="276"/>
      </w:pPr>
      <w:r>
        <w:rPr>
          <w:i/>
          <w:iCs/>
          <w:color w:val="5A6069"/>
          <w:sz w:val="17"/>
          <w:szCs w:val="17"/>
        </w:rPr>
        <w:t xml:space="preserve">The order is by dominant oncologic threat, not by survival: no randomised comparison of these sequences exists, the Adam 2015 recommendations are Delphi expert opinion in the panel's own acknowledged absence of randomised trials, and the LiverMetSurvey comparisons behind them are non-randomised and selection-confounded, with 5-year survival no better for chemotherapy first than for primary surgery first (42% versus 47% in resectable and 31% versus 33% in unresectable disease). Graded C for that reason.</w:t>
      </w:r>
    </w:p>
    <w:p>
      <w:pPr>
        <w:spacing w:after="50" w:before="120"/>
        <w:ind w:left="240"/>
      </w:pPr>
      <w:r>
        <w:rPr>
          <w:b/>
          <w:bCs/>
          <w:color w:val="15181F"/>
          <w:sz w:val="19"/>
          <w:szCs w:val="19"/>
        </w:rPr>
        <w:t xml:space="preserve">Simultaneous resection of liver and primary</w:t>
      </w:r>
      <w:r>
        <w:rPr>
          <w:color w:val="5A6069"/>
          <w:sz w:val="15"/>
          <w:szCs w:val="15"/>
        </w:rPr>
        <w:t xml:space="preserve">   grade C</w:t>
      </w:r>
    </w:p>
    <w:p>
      <w:pPr>
        <w:spacing w:after="50" w:line="276"/>
        <w:ind w:left="240"/>
      </w:pPr>
      <w:r>
        <w:rPr>
          <w:color w:val="15181F"/>
          <w:sz w:val="18"/>
          <w:szCs w:val="18"/>
        </w:rPr>
        <w:t xml:space="preserve">NCCN states that patients with resectable metastatic disease and a primary tumour in place should have both sites resected with curative intent, and that staged procedures can be liver-first or primary-first.</w:t>
      </w:r>
    </w:p>
    <w:p>
      <w:pPr>
        <w:spacing w:after="50" w:line="276"/>
        <w:ind w:left="240"/>
      </w:pPr>
      <w:r>
        <w:rPr>
          <w:color w:val="15181F"/>
          <w:sz w:val="18"/>
          <w:szCs w:val="18"/>
        </w:rPr>
        <w:t xml:space="preserve">Both operations limited: a minor hepatectomy with an uncomplicated colonic primary.</w:t>
      </w:r>
    </w:p>
    <w:p>
      <w:pPr>
        <w:spacing w:after="50"/>
        <w:ind w:left="240"/>
      </w:pPr>
      <w:r>
        <w:rPr>
          <w:b/>
          <w:bCs/>
          <w:color w:val="8C2F26"/>
          <w:sz w:val="18"/>
          <w:szCs w:val="18"/>
        </w:rPr>
        <w:t xml:space="preserve">Caveat. </w:t>
      </w:r>
      <w:r>
        <w:rPr>
          <w:color w:val="15181F"/>
          <w:sz w:val="18"/>
          <w:szCs w:val="18"/>
        </w:rPr>
        <w:t xml:space="preserve">Adam 2015 does not advocate one-stage surgery for a major hepatectomy of three or more segments, a complex colonic tumour or a low rectal primary; one-stage resection is more risky than two separate resections.</w:t>
      </w:r>
    </w:p>
    <w:p>
      <w:pPr>
        <w:spacing w:after="60" w:line="276"/>
        <w:ind w:left="240"/>
      </w:pPr>
      <w:r>
        <w:rPr>
          <w:color w:val="5A6069"/>
          <w:sz w:val="16"/>
          <w:szCs w:val="16"/>
        </w:rPr>
        <w:t xml:space="preserve">Sources: Adam 2015 consensus</w:t>
      </w:r>
    </w:p>
    <w:p>
      <w:pPr>
        <w:spacing w:after="50" w:before="120"/>
        <w:ind w:left="240"/>
      </w:pPr>
      <w:r>
        <w:rPr>
          <w:b/>
          <w:bCs/>
          <w:color w:val="15181F"/>
          <w:sz w:val="19"/>
          <w:szCs w:val="19"/>
        </w:rPr>
        <w:t xml:space="preserve">Liver-first</w:t>
      </w:r>
      <w:r>
        <w:rPr>
          <w:color w:val="5A6069"/>
          <w:sz w:val="15"/>
          <w:szCs w:val="15"/>
        </w:rPr>
        <w:t xml:space="preserve">   grade C</w:t>
      </w:r>
    </w:p>
    <w:p>
      <w:pPr>
        <w:spacing w:after="50" w:line="276"/>
        <w:ind w:left="240"/>
      </w:pPr>
      <w:r>
        <w:rPr>
          <w:color w:val="15181F"/>
          <w:sz w:val="18"/>
          <w:szCs w:val="18"/>
        </w:rPr>
        <w:t xml:space="preserve">Useful when rectal therapy would otherwise delay control of substantial hepatic disease. Sequence by the dominant oncologic threat rather than by chronology.</w:t>
      </w:r>
    </w:p>
    <w:p>
      <w:pPr>
        <w:spacing w:after="50" w:line="276"/>
        <w:ind w:left="240"/>
      </w:pPr>
      <w:r>
        <w:rPr>
          <w:color w:val="15181F"/>
          <w:sz w:val="18"/>
          <w:szCs w:val="18"/>
        </w:rPr>
        <w:t xml:space="preserve">Hepatic burden drives the risk, particularly with a rectal primary whose pelvic treatment will take months.</w:t>
      </w:r>
    </w:p>
    <w:p>
      <w:pPr>
        <w:spacing w:after="50"/>
        <w:ind w:left="240"/>
      </w:pPr>
      <w:r>
        <w:rPr>
          <w:b/>
          <w:bCs/>
          <w:color w:val="8C2F26"/>
          <w:sz w:val="18"/>
          <w:szCs w:val="18"/>
        </w:rPr>
        <w:t xml:space="preserve">Caveat. </w:t>
      </w:r>
      <w:r>
        <w:rPr>
          <w:color w:val="15181F"/>
          <w:sz w:val="18"/>
          <w:szCs w:val="18"/>
        </w:rPr>
        <w:t xml:space="preserve">A primary that threatens obstruction, substantial bleeding or perforation — that threat is treated first.</w:t>
      </w:r>
    </w:p>
    <w:p>
      <w:pPr>
        <w:spacing w:after="60" w:line="276"/>
        <w:ind w:left="240"/>
      </w:pPr>
      <w:r>
        <w:rPr>
          <w:color w:val="5A6069"/>
          <w:sz w:val="16"/>
          <w:szCs w:val="16"/>
        </w:rPr>
        <w:t xml:space="preserve">Sources: Adam 2015 consensus</w:t>
      </w:r>
    </w:p>
    <w:p>
      <w:pPr>
        <w:spacing w:after="50" w:before="120"/>
        <w:ind w:left="240"/>
      </w:pPr>
      <w:r>
        <w:rPr>
          <w:b/>
          <w:bCs/>
          <w:color w:val="15181F"/>
          <w:sz w:val="19"/>
          <w:szCs w:val="19"/>
        </w:rPr>
        <w:t xml:space="preserve">Primary-first</w:t>
      </w:r>
      <w:r>
        <w:rPr>
          <w:color w:val="5A6069"/>
          <w:sz w:val="15"/>
          <w:szCs w:val="15"/>
        </w:rPr>
        <w:t xml:space="preserve">   grade C</w:t>
      </w:r>
    </w:p>
    <w:p>
      <w:pPr>
        <w:spacing w:after="50" w:line="276"/>
        <w:ind w:left="240"/>
      </w:pPr>
      <w:r>
        <w:rPr>
          <w:color w:val="15181F"/>
          <w:sz w:val="18"/>
          <w:szCs w:val="18"/>
        </w:rPr>
        <w:t xml:space="preserve">Appropriate where the primary is the dominant threat, or where it must be cleared before transplant consideration.</w:t>
      </w:r>
    </w:p>
    <w:p>
      <w:pPr>
        <w:spacing w:after="50" w:line="276"/>
        <w:ind w:left="240"/>
      </w:pPr>
      <w:r>
        <w:rPr>
          <w:color w:val="15181F"/>
          <w:sz w:val="18"/>
          <w:szCs w:val="18"/>
        </w:rPr>
        <w:t xml:space="preserve">Symptomatic or obstructing primary; and in a possible transplant candidate, where the primary is resected after a favourable response to systemic therapy.</w:t>
      </w:r>
    </w:p>
    <w:p>
      <w:pPr>
        <w:spacing w:after="50"/>
        <w:ind w:left="240"/>
      </w:pPr>
      <w:r>
        <w:rPr>
          <w:b/>
          <w:bCs/>
          <w:color w:val="8C2F26"/>
          <w:sz w:val="18"/>
          <w:szCs w:val="18"/>
        </w:rPr>
        <w:t xml:space="preserve">Caveat. </w:t>
      </w:r>
      <w:r>
        <w:rPr>
          <w:color w:val="15181F"/>
          <w:sz w:val="18"/>
          <w:szCs w:val="18"/>
        </w:rPr>
        <w:t xml:space="preserve">An asymptomatic primary with broadly unresectable liver disease: resecting it first delays the systemic therapy that is also the biological test.</w:t>
      </w:r>
    </w:p>
    <w:p>
      <w:pPr>
        <w:spacing w:after="60" w:line="276"/>
        <w:ind w:left="240"/>
      </w:pPr>
      <w:r>
        <w:rPr>
          <w:color w:val="5A6069"/>
          <w:sz w:val="16"/>
          <w:szCs w:val="16"/>
        </w:rPr>
        <w:t xml:space="preserve">Sources: Adam 2015 consensus; ESMO 2026</w:t>
      </w:r>
    </w:p>
    <w:p>
      <w:pPr>
        <w:spacing w:after="60" w:line="276"/>
        <w:ind w:left="240"/>
      </w:pPr>
      <w:r>
        <w:rPr>
          <w:i/>
          <w:iCs/>
          <w:color w:val="5A6069"/>
          <w:sz w:val="16"/>
          <w:szCs w:val="16"/>
        </w:rPr>
        <w:t xml:space="preserve">Colorectal surgery must ratify the criteria for simultaneous versus liver-first, and the pelvic radiotherapy schedule for a rectal primary with synchronous liver metastases is set by pelvic local-risk features by colorectal surgery and radiation oncology together — not chosen to suit the liver plan. Short-course radiotherapy is not interchangeable for every high-risk presentation.</w:t>
      </w:r>
    </w:p>
    <w:p>
      <w:pPr>
        <w:spacing w:after="60" w:before="180"/>
      </w:pPr>
      <w:r>
        <w:rPr>
          <w:b/>
          <w:bCs/>
          <w:color w:val="17365D"/>
          <w:spacing w:val="16"/>
          <w:sz w:val="16"/>
          <w:szCs w:val="16"/>
        </w:rPr>
        <w:t xml:space="preserve">STANDARD</w:t>
      </w:r>
      <w:r>
        <w:rPr>
          <w:color w:val="5A6069"/>
          <w:sz w:val="16"/>
          <w:szCs w:val="16"/>
        </w:rPr>
        <w:t xml:space="preserve">   grade C</w:t>
      </w:r>
    </w:p>
    <w:p>
      <w:pPr>
        <w:spacing w:after="60" w:line="276"/>
      </w:pPr>
      <w:r>
        <w:rPr>
          <w:color w:val="15181F"/>
          <w:sz w:val="19"/>
          <w:szCs w:val="19"/>
        </w:rPr>
        <w:t xml:space="preserve">Perioperative chemotherapy for clearly resectable disease is optional, not mandatory; where it is used, state the six-month total framework.</w:t>
      </w:r>
    </w:p>
    <w:p>
      <w:pPr>
        <w:spacing w:after="50" w:line="276"/>
        <w:ind w:left="240"/>
      </w:pPr>
      <w:r>
        <w:rPr>
          <w:color w:val="15181F"/>
          <w:sz w:val="18"/>
          <w:szCs w:val="18"/>
        </w:rPr>
        <w:t xml:space="preserve">More or larger metastases, a clinical risk score above 2, or a need to observe biology before operating. ASCO recommends a total perioperative duration of six months on the basis of EORTC 40983.</w:t>
      </w:r>
    </w:p>
    <w:p>
      <w:pPr>
        <w:spacing w:after="50"/>
        <w:ind w:left="240"/>
      </w:pPr>
      <w:r>
        <w:rPr>
          <w:b/>
          <w:bCs/>
          <w:color w:val="8C2F26"/>
          <w:sz w:val="18"/>
          <w:szCs w:val="18"/>
        </w:rPr>
        <w:t xml:space="preserve">Caveat. </w:t>
      </w:r>
      <w:r>
        <w:rPr>
          <w:color w:val="15181F"/>
          <w:sz w:val="18"/>
          <w:szCs w:val="18"/>
        </w:rPr>
        <w:t xml:space="preserve">Do not treat it as automatic for every patient. EORTC 40983 missed its primary endpoint as randomised: 3-year progression-free survival 35.4% versus 28.1%, HR 0.79 (0.62–1.02), p=0.058, significant only in eligible (HR 0.77, p=0.041) and resected (HR 0.73, p=0.025) patients, and at 8.5 years there was no overall survival difference (median 61.3 versus 54.3 months, HR 0.88, p=0.34). It did not raise the resection rate (83% versus 84%), and reversible postoperative complications were more frequent after chemotherapy, 25% versus 16%, p=0.04.</w:t>
      </w:r>
    </w:p>
    <w:p>
      <w:pPr>
        <w:spacing w:after="50" w:line="276"/>
        <w:ind w:left="240"/>
      </w:pPr>
      <w:r>
        <w:rPr>
          <w:i/>
          <w:iCs/>
          <w:color w:val="5A6069"/>
          <w:sz w:val="17"/>
          <w:szCs w:val="17"/>
        </w:rPr>
        <w:t xml:space="preserve">Graded C rather than B. Only 63% of patients started the postoperative half and 44% completed it, so what the trial really tested was six cycles of FOLFOX4 before surgery. It enrolled one to four metastases with 52% solitary — the best-prognosis population — which is not the population this page directs the regimen at; the extrapolation to more or larger metastases and a risk score above 2 is judgement, not trial evidence. ASCO's six-month duration is taken from this same trial, and the one other randomised adjuvant trial it cites, JCOG0603, improved disease-free survival (HR 0.67, 0.50–0.92) without improving overall survival (HR 1.25, 0.78–2.0). Do not assume adjuvant biologics are interchangeable.</w:t>
      </w:r>
    </w:p>
    <w:p>
      <w:pPr>
        <w:spacing w:after="60" w:line="276"/>
        <w:ind w:left="240"/>
      </w:pPr>
      <w:r>
        <w:rPr>
          <w:color w:val="5A6069"/>
          <w:sz w:val="16"/>
          <w:szCs w:val="16"/>
        </w:rPr>
        <w:t xml:space="preserve">Sources: EORTC 40983; EORTC 40983 long-term; ASCO 2023</w:t>
      </w:r>
    </w:p>
    <w:p>
      <w:pPr>
        <w:spacing w:after="60" w:before="180"/>
      </w:pPr>
      <w:r>
        <w:rPr>
          <w:b/>
          <w:bCs/>
          <w:color w:val="17365D"/>
          <w:spacing w:val="16"/>
          <w:sz w:val="16"/>
          <w:szCs w:val="16"/>
        </w:rPr>
        <w:t xml:space="preserve">STANDARD</w:t>
      </w:r>
      <w:r>
        <w:rPr>
          <w:color w:val="5A6069"/>
          <w:sz w:val="16"/>
          <w:szCs w:val="16"/>
        </w:rPr>
        <w:t xml:space="preserve">   grade C</w:t>
      </w:r>
    </w:p>
    <w:p>
      <w:pPr>
        <w:spacing w:after="60" w:line="276"/>
      </w:pPr>
      <w:r>
        <w:rPr>
          <w:color w:val="15181F"/>
          <w:sz w:val="19"/>
          <w:szCs w:val="19"/>
        </w:rPr>
        <w:t xml:space="preserve">After clearance, run the longitudinal loop: imaging and CEA at 3–6 months then by risk, ablation margins re-read at 4–8 weeks, colonoscopic follow-up, over a two-year and five-year framework.</w:t>
      </w:r>
    </w:p>
    <w:p>
      <w:pPr>
        <w:spacing w:after="50" w:line="276"/>
        <w:ind w:left="240"/>
      </w:pPr>
      <w:r>
        <w:rPr>
          <w:color w:val="15181F"/>
          <w:sz w:val="18"/>
          <w:szCs w:val="18"/>
        </w:rPr>
        <w:t xml:space="preserve">Every cleared patient. After resection the return question is the recurrence pattern and whether repeat clearance is feasible — recurrence is part of the treatment course, not automatic failure of the first operation. After ablation treat the site as incompletely treated unless a circumferential margin is confirmed; local progression risk is high when the margin is under 5 mm.</w:t>
      </w:r>
    </w:p>
    <w:p>
      <w:pPr>
        <w:spacing w:after="50"/>
        <w:ind w:left="240"/>
      </w:pPr>
      <w:r>
        <w:rPr>
          <w:b/>
          <w:bCs/>
          <w:color w:val="8C2F26"/>
          <w:sz w:val="18"/>
          <w:szCs w:val="18"/>
        </w:rPr>
        <w:t xml:space="preserve">Caveat. </w:t>
      </w:r>
      <w:r>
        <w:rPr>
          <w:color w:val="15181F"/>
          <w:sz w:val="18"/>
          <w:szCs w:val="18"/>
        </w:rPr>
        <w:t xml:space="preserve">Do not equate persistent enhancement after SBRT or transarterial therapy with failure: expect delayed and partial radiographic change at 8–12 weeks.</w:t>
      </w:r>
    </w:p>
    <w:p>
      <w:pPr>
        <w:spacing w:after="50" w:line="276"/>
        <w:ind w:left="240"/>
      </w:pPr>
      <w:r>
        <w:rPr>
          <w:i/>
          <w:iCs/>
          <w:color w:val="5A6069"/>
          <w:sz w:val="17"/>
          <w:szCs w:val="17"/>
        </w:rPr>
        <w:t xml:space="preserve">Graded C: the intervals are guideline and consensus positions with no comparative evidence that any schedule changes outcome in CRLM. The Chinese 2024 consensus would fix the post-clearance schedule at 3-monthly CEA and cross-sectional imaging including liver MRI for the first two years (Grade I); the worksheet asks whether to adopt that in place of '3–6 months, then per risk'. The 4–8-week ablation re-read is the one element with a derivation behind it, from the margin series. Where a rectum is retained after organ preservation, add frequent local examination, endoscopy and pelvic imaging.</w:t>
      </w:r>
    </w:p>
    <w:p>
      <w:pPr>
        <w:spacing w:after="60" w:line="276"/>
        <w:ind w:left="240"/>
      </w:pPr>
      <w:r>
        <w:rPr>
          <w:color w:val="5A6069"/>
          <w:sz w:val="16"/>
          <w:szCs w:val="16"/>
        </w:rPr>
        <w:t xml:space="preserve">Sources: Chinese 2024 consensus</w:t>
      </w:r>
    </w:p>
    <w:p>
      <w:pPr>
        <w:spacing w:after="60" w:before="180"/>
      </w:pPr>
      <w:r>
        <w:rPr>
          <w:b/>
          <w:bCs/>
          <w:color w:val="176A87"/>
          <w:spacing w:val="16"/>
          <w:sz w:val="16"/>
          <w:szCs w:val="16"/>
        </w:rPr>
        <w:t xml:space="preserve">REASONABLE</w:t>
      </w:r>
      <w:r>
        <w:rPr>
          <w:color w:val="5A6069"/>
          <w:sz w:val="16"/>
          <w:szCs w:val="16"/>
        </w:rPr>
        <w:t xml:space="preserve">   grade B</w:t>
      </w:r>
    </w:p>
    <w:p>
      <w:pPr>
        <w:spacing w:after="60" w:line="276"/>
      </w:pPr>
      <w:r>
        <w:rPr>
          <w:color w:val="15181F"/>
          <w:sz w:val="19"/>
          <w:szCs w:val="19"/>
        </w:rPr>
        <w:t xml:space="preserve">Clear the liver with ablation plus resection when resection alone cannot reach every site.</w:t>
      </w:r>
    </w:p>
    <w:p>
      <w:pPr>
        <w:spacing w:after="50" w:line="276"/>
        <w:ind w:left="240"/>
      </w:pPr>
      <w:r>
        <w:rPr>
          <w:color w:val="15181F"/>
          <w:sz w:val="18"/>
          <w:szCs w:val="18"/>
        </w:rPr>
        <w:t xml:space="preserve">Liver-only disease judged unresectable by distribution rather than by biology, where ablation plus resection can treat every deposit alongside systemic therapy. In EORTC 40004 (CLOCC) overall survival favoured combined local treatment plus systemic therapy over systemic therapy alone, HR 0.58 (0.38–0.88), with 5- and 8-year survival 43.1% and 35.9% versus 30.3% and 8.9%, and progression-free survival 16.8 versus 9.9 months, HR 0.57.</w:t>
      </w:r>
    </w:p>
    <w:p>
      <w:pPr>
        <w:spacing w:after="50"/>
        <w:ind w:left="240"/>
      </w:pPr>
      <w:r>
        <w:rPr>
          <w:b/>
          <w:bCs/>
          <w:color w:val="8C2F26"/>
          <w:sz w:val="18"/>
          <w:szCs w:val="18"/>
        </w:rPr>
        <w:t xml:space="preserve">Caveat. </w:t>
      </w:r>
      <w:r>
        <w:rPr>
          <w:color w:val="15181F"/>
          <w:sz w:val="18"/>
          <w:szCs w:val="18"/>
        </w:rPr>
        <w:t xml:space="preserve">Do not read it as evidence for ablation on its own: nearly half the combined arm (26 of 57) also needed resection, so the gain belongs to complete liver clearance. The trial was downsized to randomised phase 2, closed early for poor accrual at 119 patients with overall survival a secondary endpoint, and its control arm had no anti-EGFR therapy and no RAS or BRAF selection.</w:t>
      </w:r>
    </w:p>
    <w:p>
      <w:pPr>
        <w:spacing w:after="50" w:line="276"/>
        <w:ind w:left="240"/>
      </w:pPr>
      <w:r>
        <w:rPr>
          <w:i/>
          <w:iCs/>
          <w:color w:val="5A6069"/>
          <w:sz w:val="17"/>
          <w:szCs w:val="17"/>
        </w:rPr>
        <w:t xml:space="preserve">The survival curves separate only after 3 years; unresectability was decided locally with no central review.</w:t>
      </w:r>
    </w:p>
    <w:p>
      <w:pPr>
        <w:spacing w:after="60" w:line="276"/>
        <w:ind w:left="240"/>
      </w:pPr>
      <w:r>
        <w:rPr>
          <w:color w:val="5A6069"/>
          <w:sz w:val="16"/>
          <w:szCs w:val="16"/>
        </w:rPr>
        <w:t xml:space="preserve">Sources: EORTC 40004 (CLOCC)</w:t>
      </w:r>
    </w:p>
    <w:p>
      <w:pPr>
        <w:spacing w:after="60" w:before="180"/>
      </w:pPr>
      <w:r>
        <w:rPr>
          <w:b/>
          <w:bCs/>
          <w:color w:val="176A87"/>
          <w:spacing w:val="16"/>
          <w:sz w:val="16"/>
          <w:szCs w:val="16"/>
        </w:rPr>
        <w:t xml:space="preserve">REASONABLE</w:t>
      </w:r>
      <w:r>
        <w:rPr>
          <w:color w:val="5A6069"/>
          <w:sz w:val="16"/>
          <w:szCs w:val="16"/>
        </w:rPr>
        <w:t xml:space="preserve">   grade C</w:t>
      </w:r>
    </w:p>
    <w:p>
      <w:pPr>
        <w:spacing w:after="60" w:line="276"/>
      </w:pPr>
      <w:r>
        <w:rPr>
          <w:color w:val="15181F"/>
          <w:sz w:val="19"/>
          <w:szCs w:val="19"/>
        </w:rPr>
        <w:t xml:space="preserve">SBRT with definitive local intent when resection and margin-verified ablation are both unsuitable.</w:t>
      </w:r>
    </w:p>
    <w:p>
      <w:pPr>
        <w:spacing w:after="50" w:line="276"/>
        <w:ind w:left="240"/>
      </w:pPr>
      <w:r>
        <w:rPr>
          <w:color w:val="15181F"/>
          <w:sz w:val="18"/>
          <w:szCs w:val="18"/>
        </w:rPr>
        <w:t xml:space="preserve">Selected oligometastatic disease where all disease can be addressed and safe ablative dosing is feasible, or where the patient prefers a non-invasive approach. NCCN favours BED10 above 100 Gy for oligometastases when organ-at-risk limits allow; ASCO supports selected use after systemic therapy in unresectable liver oligometastases. In the multi-institution phase I/II trial in-field local control was 95% at 1 year and 92% at 2 years, and 100% at 2 years for lesions of 3 cm or less versus 77% above 3 cm.</w:t>
      </w:r>
    </w:p>
    <w:p>
      <w:pPr>
        <w:spacing w:after="50"/>
        <w:ind w:left="240"/>
      </w:pPr>
      <w:r>
        <w:rPr>
          <w:b/>
          <w:bCs/>
          <w:color w:val="8C2F26"/>
          <w:sz w:val="18"/>
          <w:szCs w:val="18"/>
        </w:rPr>
        <w:t xml:space="preserve">Caveat. </w:t>
      </w:r>
      <w:r>
        <w:rPr>
          <w:color w:val="15181F"/>
          <w:sz w:val="18"/>
          <w:szCs w:val="18"/>
        </w:rPr>
        <w:t xml:space="preserve">Do not claim equivalence to margin-verified clearance, and do not use it without full staging, with insufficient uninvolved liver or with an unsafe normal-organ dose. Imaging response is not margin-verified clearance.</w:t>
      </w:r>
    </w:p>
    <w:p>
      <w:pPr>
        <w:spacing w:after="50" w:line="276"/>
        <w:ind w:left="240"/>
      </w:pPr>
      <w:r>
        <w:rPr>
          <w:i/>
          <w:iCs/>
          <w:color w:val="5A6069"/>
          <w:sz w:val="17"/>
          <w:szCs w:val="17"/>
        </w:rPr>
        <w:t xml:space="preserve">Graded C: the cure evidence is much weaker than the local-control evidence. Only 15 of 47 patients in the phase I/II trial had colorectal metastases, colorectal-specific outcomes were not reported, 13 patients were treated below 60 Gy, control was scored in only 49 of 63 lesions and the authors note the competing risk of death may exaggerate it. ASCO's recommendation rests on 18 non-randomised studies (1-year overall survival 67%, 2-year local control 59%) and is graded low quality, weak. SABR-COMET is a 99-patient phase 2 screening design run at a two-sided alpha of 0.20 — its primary report gave median overall survival 41 versus 28 months, HR 0.57 (0.30–1.10), p=0.090 — and in the long-term analysis 5-year overall survival was 42.3% versus 17.7%, falling to p=0.085 once prostate-cancer patients are excluded; only 18 of 99 patients had a colorectal primary and one of 12 five-year survivors, liver lesional control was the worst of any site at 50%, and treatment-related mortality was 4.5%.</w:t>
      </w:r>
    </w:p>
    <w:p>
      <w:pPr>
        <w:spacing w:after="60" w:line="276"/>
        <w:ind w:left="240"/>
      </w:pPr>
      <w:r>
        <w:rPr>
          <w:color w:val="5A6069"/>
          <w:sz w:val="16"/>
          <w:szCs w:val="16"/>
        </w:rPr>
        <w:t xml:space="preserve">Sources: Rusthoven SBRT; SABR-COMET primary; SABR-COMET long-term; ASCO 2023</w:t>
      </w:r>
    </w:p>
    <w:p>
      <w:pPr>
        <w:spacing w:after="60" w:before="180"/>
      </w:pPr>
      <w:r>
        <w:rPr>
          <w:b/>
          <w:bCs/>
          <w:color w:val="176A87"/>
          <w:spacing w:val="16"/>
          <w:sz w:val="16"/>
          <w:szCs w:val="16"/>
        </w:rPr>
        <w:t xml:space="preserve">REASONABLE</w:t>
      </w:r>
      <w:r>
        <w:rPr>
          <w:color w:val="5A6069"/>
          <w:sz w:val="16"/>
          <w:szCs w:val="16"/>
        </w:rPr>
        <w:t xml:space="preserve">   grade B</w:t>
      </w:r>
    </w:p>
    <w:p>
      <w:pPr>
        <w:spacing w:after="60" w:line="276"/>
      </w:pPr>
      <w:r>
        <w:rPr>
          <w:color w:val="15181F"/>
          <w:sz w:val="19"/>
          <w:szCs w:val="19"/>
        </w:rPr>
        <w:t xml:space="preserve">Cytoreductive surgery with systemic chemotherapy for peritoneal metastases, in a specialised centre and only where complete cytoreduction is feasible.</w:t>
      </w:r>
    </w:p>
    <w:p>
      <w:pPr>
        <w:spacing w:after="50" w:line="276"/>
        <w:ind w:left="240"/>
      </w:pPr>
      <w:r>
        <w:rPr>
          <w:color w:val="15181F"/>
          <w:sz w:val="18"/>
          <w:szCs w:val="18"/>
        </w:rPr>
        <w:t xml:space="preserve">Peritoneal disease assessed by a peritoneal surface malignancy team rather than routed through this liver pathway. ESMO recommends cytoreductive surgery for peritoneal-only disease [II, A].</w:t>
      </w:r>
    </w:p>
    <w:p>
      <w:pPr>
        <w:spacing w:after="50"/>
        <w:ind w:left="240"/>
      </w:pPr>
      <w:r>
        <w:rPr>
          <w:b/>
          <w:bCs/>
          <w:color w:val="8C2F26"/>
          <w:sz w:val="18"/>
          <w:szCs w:val="18"/>
        </w:rPr>
        <w:t xml:space="preserve">Caveat. </w:t>
      </w:r>
      <w:r>
        <w:rPr>
          <w:color w:val="15181F"/>
          <w:sz w:val="18"/>
          <w:szCs w:val="18"/>
        </w:rPr>
        <w:t xml:space="preserve">Incomplete cytoreduction, or managing peritoneal disease as an extension of the hepatic clearance plan. Any peritoneal disease ends transplant intent.</w:t>
      </w:r>
    </w:p>
    <w:p>
      <w:pPr>
        <w:spacing w:after="50" w:line="276"/>
        <w:ind w:left="240"/>
      </w:pPr>
      <w:r>
        <w:rPr>
          <w:i/>
          <w:iCs/>
          <w:color w:val="5A6069"/>
          <w:sz w:val="17"/>
          <w:szCs w:val="17"/>
        </w:rPr>
        <w:t xml:space="preserve">Needs demonstrated team experience. ASCO's cytoreduction recommendation requires no extraperitoneal metastases, so combined liver and peritoneal disease sits outside it and is a systemic-therapy-first, case-by-case decision.</w:t>
      </w:r>
    </w:p>
    <w:p>
      <w:pPr>
        <w:spacing w:after="60" w:line="276"/>
        <w:ind w:left="240"/>
      </w:pPr>
      <w:r>
        <w:rPr>
          <w:color w:val="5A6069"/>
          <w:sz w:val="16"/>
          <w:szCs w:val="16"/>
        </w:rPr>
        <w:t xml:space="preserve">Sources: ESMO 2026; ASCO 2023</w:t>
      </w:r>
    </w:p>
    <w:p>
      <w:pPr>
        <w:spacing w:after="60" w:before="180"/>
      </w:pPr>
      <w:r>
        <w:rPr>
          <w:b/>
          <w:bCs/>
          <w:color w:val="8C2F26"/>
          <w:spacing w:val="16"/>
          <w:sz w:val="16"/>
          <w:szCs w:val="16"/>
        </w:rPr>
        <w:t xml:space="preserve">AVOID</w:t>
      </w:r>
      <w:r>
        <w:rPr>
          <w:color w:val="5A6069"/>
          <w:sz w:val="16"/>
          <w:szCs w:val="16"/>
        </w:rPr>
        <w:t xml:space="preserve">   grade B</w:t>
      </w:r>
    </w:p>
    <w:p>
      <w:pPr>
        <w:spacing w:after="60" w:line="276"/>
      </w:pPr>
      <w:r>
        <w:rPr>
          <w:color w:val="15181F"/>
          <w:sz w:val="19"/>
          <w:szCs w:val="19"/>
        </w:rPr>
        <w:t xml:space="preserve">Adding cetuximab to perioperative chemotherapy in resectable KRAS wild-type liver metastases.</w:t>
      </w:r>
    </w:p>
    <w:p>
      <w:pPr>
        <w:spacing w:after="50" w:line="276"/>
        <w:ind w:left="240"/>
      </w:pPr>
      <w:r>
        <w:rPr>
          <w:color w:val="15181F"/>
          <w:sz w:val="18"/>
          <w:szCs w:val="18"/>
        </w:rPr>
        <w:t xml:space="preserve">Nothing. There is no perioperative phenotype in which the roadmap accepts it, and no evidence supports other anti-EGFR agents perioperatively.</w:t>
      </w:r>
    </w:p>
    <w:p>
      <w:pPr>
        <w:spacing w:after="50"/>
        <w:ind w:left="240"/>
      </w:pPr>
      <w:r>
        <w:rPr>
          <w:b/>
          <w:bCs/>
          <w:color w:val="8C2F26"/>
          <w:sz w:val="18"/>
          <w:szCs w:val="18"/>
        </w:rPr>
        <w:t xml:space="preserve">Caveat. </w:t>
      </w:r>
      <w:r>
        <w:rPr>
          <w:color w:val="15181F"/>
          <w:sz w:val="18"/>
          <w:szCs w:val="18"/>
        </w:rPr>
        <w:t xml:space="preserve">New EPOC found median overall survival 81.0 months with chemotherapy alone versus 55.4 months with added cetuximab, HR 1.45 (1.02–2.05), p=0.036, with worse post-progression survival (HR 1.55) and the harm falling on good-prognosis patients (no adverse feature HR 2.35, 1.37–4.03). Preoperative response and resection rates did not differ, so there was no offsetting surgical gain.</w:t>
      </w:r>
    </w:p>
    <w:p>
      <w:pPr>
        <w:spacing w:after="50" w:line="276"/>
        <w:ind w:left="240"/>
      </w:pPr>
      <w:r>
        <w:rPr>
          <w:i/>
          <w:iCs/>
          <w:color w:val="5A6069"/>
          <w:sz w:val="17"/>
          <w:szCs w:val="17"/>
        </w:rPr>
        <w:t xml:space="preserve">Both halves: the interim progression-free survival detriment (HR 1.48, p=0.030) was no longer significant on long-term follow-up (HR 1.17, p=0.304), overall survival was a secondary endpoint without multiplicity adjustment or correction for the earlier interim look, and the trial closed early for futility at 58% of planned events — which is why this is graded B and not A, even though the practice message is not in doubt. Entry tested KRAS exon 2 only, with no NRAS, BRAF, mismatch-repair or sidedness data, so the harm has never been studied in a modern biomarker-selected population and no mechanism has been identified. This is also why the roadmap separates the resectable and unresectable settings: an agent that helps in unresectable disease shortened survival given perioperatively.</w:t>
      </w:r>
    </w:p>
    <w:p>
      <w:pPr>
        <w:spacing w:after="60" w:line="276"/>
        <w:ind w:left="240"/>
      </w:pPr>
      <w:r>
        <w:rPr>
          <w:color w:val="5A6069"/>
          <w:sz w:val="16"/>
          <w:szCs w:val="16"/>
        </w:rPr>
        <w:t xml:space="preserve">Sources: New EPOC; New EPOC long-term</w:t>
      </w:r>
    </w:p>
    <w:p>
      <w:pPr>
        <w:spacing w:after="60" w:before="180"/>
      </w:pPr>
      <w:r>
        <w:rPr>
          <w:b/>
          <w:bCs/>
          <w:color w:val="8C2F26"/>
          <w:spacing w:val="16"/>
          <w:sz w:val="16"/>
          <w:szCs w:val="16"/>
        </w:rPr>
        <w:t xml:space="preserve">AVOID</w:t>
      </w:r>
      <w:r>
        <w:rPr>
          <w:color w:val="5A6069"/>
          <w:sz w:val="16"/>
          <w:szCs w:val="16"/>
        </w:rPr>
        <w:t xml:space="preserve">   grade B</w:t>
      </w:r>
    </w:p>
    <w:p>
      <w:pPr>
        <w:spacing w:after="60" w:line="276"/>
      </w:pPr>
      <w:r>
        <w:rPr>
          <w:color w:val="15181F"/>
          <w:sz w:val="19"/>
          <w:szCs w:val="19"/>
        </w:rPr>
        <w:t xml:space="preserve">Oxaliplatin-based HIPEC added to cytoreduction.</w:t>
      </w:r>
    </w:p>
    <w:p>
      <w:pPr>
        <w:spacing w:after="50" w:line="276"/>
        <w:ind w:left="240"/>
      </w:pPr>
      <w:r>
        <w:rPr>
          <w:color w:val="15181F"/>
          <w:sz w:val="18"/>
          <w:szCs w:val="18"/>
        </w:rPr>
        <w:t xml:space="preserve">Nothing outside a trial. ESMO does not recommend HIPEC outside trials [II, D].</w:t>
      </w:r>
    </w:p>
    <w:p>
      <w:pPr>
        <w:spacing w:after="50"/>
        <w:ind w:left="240"/>
      </w:pPr>
      <w:r>
        <w:rPr>
          <w:b/>
          <w:bCs/>
          <w:color w:val="8C2F26"/>
          <w:sz w:val="18"/>
          <w:szCs w:val="18"/>
        </w:rPr>
        <w:t xml:space="preserve">Caveat. </w:t>
      </w:r>
      <w:r>
        <w:rPr>
          <w:color w:val="15181F"/>
          <w:sz w:val="18"/>
          <w:szCs w:val="18"/>
        </w:rPr>
        <w:t xml:space="preserve">Adding it to complete cytoreduction as routine practice.</w:t>
      </w:r>
    </w:p>
    <w:p>
      <w:pPr>
        <w:spacing w:after="60" w:line="276"/>
        <w:ind w:left="240"/>
      </w:pPr>
      <w:r>
        <w:rPr>
          <w:color w:val="5A6069"/>
          <w:sz w:val="16"/>
          <w:szCs w:val="16"/>
        </w:rPr>
        <w:t xml:space="preserve">Sources: ESMO 2026</w:t>
      </w:r>
    </w:p>
    <w:p>
      <w:pPr>
        <w:spacing w:after="60" w:before="180"/>
      </w:pPr>
      <w:r>
        <w:rPr>
          <w:b/>
          <w:bCs/>
          <w:color w:val="8C2F26"/>
          <w:spacing w:val="16"/>
          <w:sz w:val="16"/>
          <w:szCs w:val="16"/>
        </w:rPr>
        <w:t xml:space="preserve">AVOID</w:t>
      </w:r>
      <w:r>
        <w:rPr>
          <w:color w:val="5A6069"/>
          <w:sz w:val="16"/>
          <w:szCs w:val="16"/>
        </w:rPr>
        <w:t xml:space="preserve">   grade D</w:t>
      </w:r>
    </w:p>
    <w:p>
      <w:pPr>
        <w:spacing w:after="60" w:line="276"/>
      </w:pPr>
      <w:r>
        <w:rPr>
          <w:color w:val="15181F"/>
          <w:sz w:val="19"/>
          <w:szCs w:val="19"/>
        </w:rPr>
        <w:t xml:space="preserve">Partial debulking, and accumulating regional-control procedures as a route to cure.</w:t>
      </w:r>
    </w:p>
    <w:p>
      <w:pPr>
        <w:spacing w:after="50" w:line="276"/>
        <w:ind w:left="240"/>
      </w:pPr>
      <w:r>
        <w:rPr>
          <w:color w:val="15181F"/>
          <w:sz w:val="18"/>
          <w:szCs w:val="18"/>
        </w:rPr>
        <w:t xml:space="preserve">Nothing. NCCN states that partial debulking of less than an R0 resection is not recommended.</w:t>
      </w:r>
    </w:p>
    <w:p>
      <w:pPr>
        <w:spacing w:after="50"/>
        <w:ind w:left="240"/>
      </w:pPr>
      <w:r>
        <w:rPr>
          <w:b/>
          <w:bCs/>
          <w:color w:val="8C2F26"/>
          <w:sz w:val="18"/>
          <w:szCs w:val="18"/>
        </w:rPr>
        <w:t xml:space="preserve">Caveat. </w:t>
      </w:r>
      <w:r>
        <w:rPr>
          <w:color w:val="15181F"/>
          <w:sz w:val="18"/>
          <w:szCs w:val="18"/>
        </w:rPr>
        <w:t xml:space="preserve">A treatment that achieves regional control is not a substitute for clearance when clearance is achievable, and a succession of control procedures is not a route to cure. The roadmap calls this the single most common source of error in multidisciplinary discussion of this disease.</w:t>
      </w:r>
    </w:p>
    <w:p>
      <w:pPr>
        <w:spacing w:after="60" w:before="180"/>
      </w:pPr>
      <w:r>
        <w:rPr>
          <w:b/>
          <w:bCs/>
          <w:color w:val="8C2F26"/>
          <w:spacing w:val="16"/>
          <w:sz w:val="16"/>
          <w:szCs w:val="16"/>
        </w:rPr>
        <w:t xml:space="preserve">AVOID</w:t>
      </w:r>
      <w:r>
        <w:rPr>
          <w:color w:val="5A6069"/>
          <w:sz w:val="16"/>
          <w:szCs w:val="16"/>
        </w:rPr>
        <w:t xml:space="preserve">   grade B</w:t>
      </w:r>
    </w:p>
    <w:p>
      <w:pPr>
        <w:spacing w:after="60" w:line="276"/>
      </w:pPr>
      <w:r>
        <w:rPr>
          <w:color w:val="15181F"/>
          <w:sz w:val="19"/>
          <w:szCs w:val="19"/>
        </w:rPr>
        <w:t xml:space="preserve">De-escalating or shortening treatment and surveillance on the strength of a negative circulating tumour DNA result.</w:t>
      </w:r>
    </w:p>
    <w:p>
      <w:pPr>
        <w:spacing w:after="50" w:line="276"/>
        <w:ind w:left="240"/>
      </w:pPr>
      <w:r>
        <w:rPr>
          <w:color w:val="15181F"/>
          <w:sz w:val="18"/>
          <w:szCs w:val="18"/>
        </w:rPr>
        <w:t xml:space="preserve">Keep ctDNA inside a defined research or prospective registry role; IHPBA 2021 places circulating biomarker profiling within research.</w:t>
      </w:r>
    </w:p>
    <w:p>
      <w:pPr>
        <w:spacing w:after="50"/>
        <w:ind w:left="240"/>
      </w:pPr>
      <w:r>
        <w:rPr>
          <w:b/>
          <w:bCs/>
          <w:color w:val="8C2F26"/>
          <w:sz w:val="18"/>
          <w:szCs w:val="18"/>
        </w:rPr>
        <w:t xml:space="preserve">Caveat. </w:t>
      </w:r>
      <w:r>
        <w:rPr>
          <w:color w:val="15181F"/>
          <w:sz w:val="18"/>
          <w:szCs w:val="18"/>
        </w:rPr>
        <w:t xml:space="preserve">NCCN states there is currently insufficient evidence to recommend routine ctDNA use outside a clinical trial and that de-escalation decisions should not be based on ctDNA results. It is prognostic; it cannot replace imaging or justify clearance on its own.</w:t>
      </w:r>
    </w:p>
    <w:p>
      <w:pPr>
        <w:spacing w:after="60" w:line="276"/>
        <w:ind w:left="240"/>
      </w:pPr>
      <w:r>
        <w:rPr>
          <w:color w:val="5A6069"/>
          <w:sz w:val="16"/>
          <w:szCs w:val="16"/>
        </w:rPr>
        <w:t xml:space="preserve">Sources: IHPBA 2021</w:t>
      </w:r>
    </w:p>
    <w:p>
      <w:pPr>
        <w:pBdr>
          <w:bottom w:val="single" w:color="D3DCE4" w:sz="6" w:space="1"/>
        </w:pBdr>
        <w:spacing w:after="80"/>
      </w:pPr>
    </w:p>
    <w:p>
      <w:pPr>
        <w:pStyle w:val="Heading2"/>
        <w:keepNext/>
        <w:pageBreakBefore/>
        <w:spacing w:after="110" w:before="240"/>
      </w:pPr>
      <w:r>
        <w:rPr>
          <w:rFonts w:ascii="Cambria" w:cs="Cambria" w:eastAsia="Cambria" w:hAnsi="Cambria"/>
          <w:b/>
          <w:bCs/>
          <w:color w:val="17365D"/>
          <w:sz w:val="26"/>
          <w:szCs w:val="26"/>
        </w:rPr>
        <w:t xml:space="preserve">3 · Clearable after conversion</w:t>
      </w:r>
    </w:p>
    <w:p>
      <w:pPr>
        <w:spacing w:after="140"/>
      </w:pPr>
      <w:r>
        <w:rPr>
          <w:b/>
          <w:bCs/>
          <w:color w:val="176A87"/>
          <w:sz w:val="19"/>
          <w:szCs w:val="19"/>
        </w:rPr>
        <w:t xml:space="preserve">The question. </w:t>
      </w:r>
      <w:r>
        <w:rPr>
          <w:sz w:val="19"/>
          <w:szCs w:val="19"/>
        </w:rPr>
        <w:t xml:space="preserve">If I cannot clear this liver today, what specific step would make clearance possible, who owns it, and by when?</w:t>
      </w:r>
    </w:p>
    <w:p>
      <w:pPr>
        <w:spacing w:after="60" w:before="160"/>
      </w:pPr>
      <w:r>
        <w:rPr>
          <w:b/>
          <w:bCs/>
          <w:color w:val="176A87"/>
          <w:spacing w:val="24"/>
          <w:sz w:val="15"/>
          <w:szCs w:val="15"/>
        </w:rPr>
        <w:t xml:space="preserve">ANY ONE OF THE FOLLOWING HAS TO BE IN HAND</w:t>
      </w:r>
    </w:p>
    <w:p>
      <w:pPr>
        <w:pStyle w:val="ListParagraph"/>
        <w:numPr>
          <w:ilvl w:val="0"/>
          <w:numId w:val="2"/>
        </w:numPr>
        <w:spacing w:after="60" w:line="268"/>
      </w:pPr>
      <w:r>
        <w:rPr>
          <w:color w:val="15181F"/>
          <w:sz w:val="18"/>
          <w:szCs w:val="18"/>
        </w:rPr>
        <w:t xml:space="preserve">Anatomic unresectability only — remnant too small or vascular and biliary relations prohibitive — with biology controlled</w:t>
      </w:r>
    </w:p>
    <w:p>
      <w:pPr>
        <w:pStyle w:val="ListParagraph"/>
        <w:numPr>
          <w:ilvl w:val="0"/>
          <w:numId w:val="2"/>
        </w:numPr>
        <w:spacing w:after="60" w:line="268"/>
      </w:pPr>
      <w:r>
        <w:rPr>
          <w:color w:val="15181F"/>
          <w:sz w:val="18"/>
          <w:szCs w:val="18"/>
        </w:rPr>
        <w:t xml:space="preserve">Liver-dominant or liver-only disease where a high hepatic response could convert to clearance</w:t>
      </w:r>
    </w:p>
    <w:p>
      <w:pPr>
        <w:pStyle w:val="ListParagraph"/>
        <w:numPr>
          <w:ilvl w:val="0"/>
          <w:numId w:val="2"/>
        </w:numPr>
        <w:spacing w:after="60" w:line="268"/>
      </w:pPr>
      <w:r>
        <w:rPr>
          <w:color w:val="15181F"/>
          <w:sz w:val="18"/>
          <w:szCs w:val="18"/>
        </w:rPr>
        <w:t xml:space="preserve">Functional limitation from parenchymal quality or reserve that may recover with a chemotherapy holiday and nutritional recovery</w:t>
      </w:r>
    </w:p>
    <w:p>
      <w:pPr>
        <w:pStyle w:val="ListParagraph"/>
        <w:numPr>
          <w:ilvl w:val="0"/>
          <w:numId w:val="2"/>
        </w:numPr>
        <w:spacing w:after="60" w:line="268"/>
      </w:pPr>
      <w:r>
        <w:rPr>
          <w:color w:val="15181F"/>
          <w:sz w:val="18"/>
          <w:szCs w:val="18"/>
        </w:rPr>
        <w:t xml:space="preserve">Hepatic burden drives the risk and liver-first sequencing would bring clearance forward</w:t>
      </w:r>
    </w:p>
    <w:p>
      <w:pPr>
        <w:pStyle w:val="ListParagraph"/>
        <w:numPr>
          <w:ilvl w:val="0"/>
          <w:numId w:val="2"/>
        </w:numPr>
        <w:spacing w:after="60" w:line="268"/>
      </w:pPr>
      <w:r>
        <w:rPr>
          <w:color w:val="15181F"/>
          <w:sz w:val="18"/>
          <w:szCs w:val="18"/>
        </w:rPr>
        <w:t xml:space="preserve">Disease in the planned future remnant that a defined course of therapy could clear</w:t>
      </w:r>
    </w:p>
    <w:p>
      <w:pPr>
        <w:spacing w:after="80" w:line="276"/>
      </w:pPr>
      <w:r>
        <w:rPr>
          <w:color w:val="15181F"/>
          <w:sz w:val="20"/>
          <w:szCs w:val="20"/>
        </w:rPr>
        <w:t xml:space="preserve"/>
      </w:r>
    </w:p>
    <w:p>
      <w:pPr>
        <w:spacing w:after="60" w:before="180"/>
      </w:pPr>
      <w:r>
        <w:rPr>
          <w:b/>
          <w:bCs/>
          <w:color w:val="17365D"/>
          <w:spacing w:val="16"/>
          <w:sz w:val="16"/>
          <w:szCs w:val="16"/>
        </w:rPr>
        <w:t xml:space="preserve">STANDARD</w:t>
      </w:r>
      <w:r>
        <w:rPr>
          <w:color w:val="5A6069"/>
          <w:sz w:val="16"/>
          <w:szCs w:val="16"/>
        </w:rPr>
        <w:t xml:space="preserve">   grade D</w:t>
      </w:r>
    </w:p>
    <w:p>
      <w:pPr>
        <w:spacing w:after="60" w:line="276"/>
      </w:pPr>
      <w:r>
        <w:rPr>
          <w:color w:val="15181F"/>
          <w:sz w:val="19"/>
          <w:szCs w:val="19"/>
        </w:rPr>
        <w:t xml:space="preserve">Give conversion therapy against a defined surgical endpoint, and reassess resectability with a surgeon in the room every 8 weeks.</w:t>
      </w:r>
    </w:p>
    <w:p>
      <w:pPr>
        <w:spacing w:after="50" w:line="276"/>
        <w:ind w:left="240"/>
      </w:pPr>
      <w:r>
        <w:rPr>
          <w:color w:val="15181F"/>
          <w:sz w:val="18"/>
          <w:szCs w:val="18"/>
        </w:rPr>
        <w:t xml:space="preserve">Every patient treated with conversion intent. Choose the regimen by sidedness and molecular status as in Phase 1; in CAIRO5 complete local treatment of all metastases was reached in 51% versus 37% of right-sided or RAS/BRAF-mutant patients with the triplet. ESMO asks for resectability to be redefined at baseline on imaging under four weeks old, every 2–3 months on first-line treatment and again in later lines in very good responders [IV, A].</w:t>
      </w:r>
    </w:p>
    <w:p>
      <w:pPr>
        <w:spacing w:after="50"/>
        <w:ind w:left="240"/>
      </w:pPr>
      <w:r>
        <w:rPr>
          <w:b/>
          <w:bCs/>
          <w:color w:val="8C2F26"/>
          <w:sz w:val="18"/>
          <w:szCs w:val="18"/>
        </w:rPr>
        <w:t xml:space="preserve">Caveat. </w:t>
      </w:r>
      <w:r>
        <w:rPr>
          <w:color w:val="15181F"/>
          <w:sz w:val="18"/>
          <w:szCs w:val="18"/>
        </w:rPr>
        <w:t xml:space="preserve">Do not let conversion therapy become chemotherapy continued until progression or cumulative liver injury. When response has made safe complete clearance possible, operate now rather than continue.</w:t>
      </w:r>
    </w:p>
    <w:p>
      <w:pPr>
        <w:spacing w:after="50" w:line="276"/>
        <w:ind w:left="240"/>
      </w:pPr>
      <w:r>
        <w:rPr>
          <w:i/>
          <w:iCs/>
          <w:color w:val="5A6069"/>
          <w:sz w:val="17"/>
          <w:szCs w:val="17"/>
        </w:rPr>
        <w:t xml:space="preserve">The 8-week interval is an operating judgement with no comparative evidence; the Chinese 2024 consensus asks for surgical reassessment every 1.5–2.0 months and operation as soon as the disease is resectable, 6–8 weeks after the last bevacizumab dose.</w:t>
      </w:r>
    </w:p>
    <w:p>
      <w:pPr>
        <w:spacing w:after="60" w:line="276"/>
        <w:ind w:left="240"/>
      </w:pPr>
      <w:r>
        <w:rPr>
          <w:color w:val="5A6069"/>
          <w:sz w:val="16"/>
          <w:szCs w:val="16"/>
        </w:rPr>
        <w:t xml:space="preserve">Sources: CAIRO5; ESMO 2026; Chinese 2024 consensus</w:t>
      </w:r>
    </w:p>
    <w:p>
      <w:pPr>
        <w:spacing w:after="60" w:before="180"/>
      </w:pPr>
      <w:r>
        <w:rPr>
          <w:b/>
          <w:bCs/>
          <w:color w:val="176A87"/>
          <w:spacing w:val="16"/>
          <w:sz w:val="16"/>
          <w:szCs w:val="16"/>
        </w:rPr>
        <w:t xml:space="preserve">REASONABLE</w:t>
      </w:r>
      <w:r>
        <w:rPr>
          <w:color w:val="5A6069"/>
          <w:sz w:val="16"/>
          <w:szCs w:val="16"/>
        </w:rPr>
        <w:t xml:space="preserve">   grade B</w:t>
      </w:r>
    </w:p>
    <w:p>
      <w:pPr>
        <w:spacing w:after="100" w:line="276"/>
      </w:pPr>
      <w:r>
        <w:rPr>
          <w:i/>
          <w:iCs/>
          <w:color w:val="5A6069"/>
          <w:sz w:val="17"/>
          <w:szCs w:val="17"/>
        </w:rPr>
        <w:t xml:space="preserve">Least invasive first: embolisation, then a staged resection, with ALPPS in reserve. The order reflects morbidity and the LIGRO rescue finding, not a survival advantage — no augmentation strategy has been compared for long-term oncologic outcome.</w:t>
      </w:r>
    </w:p>
    <w:p>
      <w:pPr>
        <w:spacing w:after="50" w:before="120"/>
        <w:ind w:left="240"/>
      </w:pPr>
      <w:r>
        <w:rPr>
          <w:b/>
          <w:bCs/>
          <w:color w:val="15181F"/>
          <w:sz w:val="19"/>
          <w:szCs w:val="19"/>
        </w:rPr>
        <w:t xml:space="preserve">Portal vein embolisation or liver venous deprivation</w:t>
      </w:r>
      <w:r>
        <w:rPr>
          <w:color w:val="5A6069"/>
          <w:sz w:val="15"/>
          <w:szCs w:val="15"/>
        </w:rPr>
        <w:t xml:space="preserve">   grade B</w:t>
      </w:r>
      <w:r>
        <w:rPr>
          <w:b/>
          <w:bCs/>
          <w:color w:val="8E5008"/>
          <w:spacing w:val="12"/>
          <w:sz w:val="14"/>
          <w:szCs w:val="14"/>
        </w:rPr>
        <w:t xml:space="preserve">   EXPERTISE</w:t>
      </w:r>
    </w:p>
    <w:p>
      <w:pPr>
        <w:spacing w:after="50" w:line="276"/>
        <w:ind w:left="240"/>
      </w:pPr>
      <w:r>
        <w:rPr>
          <w:color w:val="15181F"/>
          <w:sz w:val="18"/>
          <w:szCs w:val="18"/>
        </w:rPr>
        <w:t xml:space="preserve">Remnant augmentation enables clearance; it does not itself clear disease in the remnant.</w:t>
      </w:r>
    </w:p>
    <w:p>
      <w:pPr>
        <w:spacing w:after="50" w:line="276"/>
        <w:ind w:left="240"/>
      </w:pPr>
      <w:r>
        <w:rPr>
          <w:color w:val="15181F"/>
          <w:sz w:val="18"/>
          <w:szCs w:val="18"/>
        </w:rPr>
        <w:t xml:space="preserve">Anticipated remnant too small but disease otherwise clearable and biology controlled. Rescue ALPPS after failed portal vein occlusion closed most of the resection-rate gap in LIGRO (82% versus 92%, not significant), so an embolisation-first strategy with ALPPS held in reserve is not excluded by that trial.</w:t>
      </w:r>
    </w:p>
    <w:p>
      <w:pPr>
        <w:spacing w:after="50"/>
        <w:ind w:left="240"/>
      </w:pPr>
      <w:r>
        <w:rPr>
          <w:b/>
          <w:bCs/>
          <w:color w:val="8C2F26"/>
          <w:sz w:val="18"/>
          <w:szCs w:val="18"/>
        </w:rPr>
        <w:t xml:space="preserve">Caveat. </w:t>
      </w:r>
      <w:r>
        <w:rPr>
          <w:color w:val="15181F"/>
          <w:sz w:val="18"/>
          <w:szCs w:val="18"/>
        </w:rPr>
        <w:t xml:space="preserve">Disease in the future remnant left unaddressed, progressing biology, or a dropout and morbidity risk exceeding the realistic chance of clearance.</w:t>
      </w:r>
    </w:p>
    <w:p>
      <w:pPr>
        <w:spacing w:after="60" w:line="276"/>
        <w:ind w:left="240"/>
      </w:pPr>
      <w:r>
        <w:rPr>
          <w:color w:val="5A6069"/>
          <w:sz w:val="16"/>
          <w:szCs w:val="16"/>
        </w:rPr>
        <w:t xml:space="preserve">Sources: LIGRO</w:t>
      </w:r>
    </w:p>
    <w:p>
      <w:pPr>
        <w:spacing w:after="50" w:before="120"/>
        <w:ind w:left="240"/>
      </w:pPr>
      <w:r>
        <w:rPr>
          <w:b/>
          <w:bCs/>
          <w:color w:val="15181F"/>
          <w:sz w:val="19"/>
          <w:szCs w:val="19"/>
        </w:rPr>
        <w:t xml:space="preserve">Two-stage hepatectomy</w:t>
      </w:r>
      <w:r>
        <w:rPr>
          <w:color w:val="5A6069"/>
          <w:sz w:val="15"/>
          <w:szCs w:val="15"/>
        </w:rPr>
        <w:t xml:space="preserve">   grade B</w:t>
      </w:r>
      <w:r>
        <w:rPr>
          <w:b/>
          <w:bCs/>
          <w:color w:val="8E5008"/>
          <w:spacing w:val="12"/>
          <w:sz w:val="14"/>
          <w:szCs w:val="14"/>
        </w:rPr>
        <w:t xml:space="preserve">   EXPERTISE</w:t>
      </w:r>
    </w:p>
    <w:p>
      <w:pPr>
        <w:spacing w:after="50" w:line="276"/>
        <w:ind w:left="240"/>
      </w:pPr>
      <w:r>
        <w:rPr>
          <w:color w:val="15181F"/>
          <w:sz w:val="18"/>
          <w:szCs w:val="18"/>
        </w:rPr>
        <w:t xml:space="preserve">The conventional staged route to an adequate remnant.</w:t>
      </w:r>
    </w:p>
    <w:p>
      <w:pPr>
        <w:spacing w:after="50" w:line="276"/>
        <w:ind w:left="240"/>
      </w:pPr>
      <w:r>
        <w:rPr>
          <w:color w:val="15181F"/>
          <w:sz w:val="18"/>
          <w:szCs w:val="18"/>
        </w:rPr>
        <w:t xml:space="preserve">Bilobar disease where the remnant can be cleared first and hypertrophy awaited; tolerable where the interval can be covered by systemic therapy.</w:t>
      </w:r>
    </w:p>
    <w:p>
      <w:pPr>
        <w:spacing w:after="50"/>
        <w:ind w:left="240"/>
      </w:pPr>
      <w:r>
        <w:rPr>
          <w:b/>
          <w:bCs/>
          <w:color w:val="8C2F26"/>
          <w:sz w:val="18"/>
          <w:szCs w:val="18"/>
        </w:rPr>
        <w:t xml:space="preserve">Caveat. </w:t>
      </w:r>
      <w:r>
        <w:rPr>
          <w:color w:val="15181F"/>
          <w:sz w:val="18"/>
          <w:szCs w:val="18"/>
        </w:rPr>
        <w:t xml:space="preserve">High dropout risk between stages. In LIGRO the two-stage arm completed resection in only 57% (28 of 49) against a strict 30% remnant threshold, below published rates of 60–75%.</w:t>
      </w:r>
    </w:p>
    <w:p>
      <w:pPr>
        <w:spacing w:after="60" w:line="276"/>
        <w:ind w:left="240"/>
      </w:pPr>
      <w:r>
        <w:rPr>
          <w:color w:val="5A6069"/>
          <w:sz w:val="16"/>
          <w:szCs w:val="16"/>
        </w:rPr>
        <w:t xml:space="preserve">Sources: LIGRO</w:t>
      </w:r>
    </w:p>
    <w:p>
      <w:pPr>
        <w:spacing w:after="50" w:before="120"/>
        <w:ind w:left="240"/>
      </w:pPr>
      <w:r>
        <w:rPr>
          <w:b/>
          <w:bCs/>
          <w:color w:val="15181F"/>
          <w:sz w:val="19"/>
          <w:szCs w:val="19"/>
        </w:rPr>
        <w:t xml:space="preserve">ALPPS</w:t>
      </w:r>
      <w:r>
        <w:rPr>
          <w:color w:val="5A6069"/>
          <w:sz w:val="15"/>
          <w:szCs w:val="15"/>
        </w:rPr>
        <w:t xml:space="preserve">   grade B</w:t>
      </w:r>
      <w:r>
        <w:rPr>
          <w:b/>
          <w:bCs/>
          <w:color w:val="8E5008"/>
          <w:spacing w:val="12"/>
          <w:sz w:val="14"/>
          <w:szCs w:val="14"/>
        </w:rPr>
        <w:t xml:space="preserve">   EXPERTISE</w:t>
      </w:r>
    </w:p>
    <w:p>
      <w:pPr>
        <w:spacing w:after="50" w:line="276"/>
        <w:ind w:left="240"/>
      </w:pPr>
      <w:r>
        <w:rPr>
          <w:color w:val="15181F"/>
          <w:sz w:val="18"/>
          <w:szCs w:val="18"/>
        </w:rPr>
        <w:t xml:space="preserve">LIGRO randomised 100 patients with a standardised future remnant under 30% and analysed 97: resection rate 92% (44 of 48) versus 57% (28 of 49) with two-stage hepatectomy, rate ratio 8.25 (2.6–26.6), p&lt;0.0001, with faster hypertrophy (day-7 remnant 37.1% versus 26.1%) and an 11-day rather than 43-day interval.</w:t>
      </w:r>
    </w:p>
    <w:p>
      <w:pPr>
        <w:spacing w:after="50" w:line="276"/>
        <w:ind w:left="240"/>
      </w:pPr>
      <w:r>
        <w:rPr>
          <w:color w:val="15181F"/>
          <w:sz w:val="18"/>
          <w:szCs w:val="18"/>
        </w:rPr>
        <w:t xml:space="preserve">A remnant that will not reach threshold in time by embolisation alone, in a fit patient, at a centre that does this operation regularly.</w:t>
      </w:r>
    </w:p>
    <w:p>
      <w:pPr>
        <w:spacing w:after="50"/>
        <w:ind w:left="240"/>
      </w:pPr>
      <w:r>
        <w:rPr>
          <w:b/>
          <w:bCs/>
          <w:color w:val="8C2F26"/>
          <w:sz w:val="18"/>
          <w:szCs w:val="18"/>
        </w:rPr>
        <w:t xml:space="preserve">Caveat. </w:t>
      </w:r>
      <w:r>
        <w:rPr>
          <w:color w:val="15181F"/>
          <w:sz w:val="18"/>
          <w:szCs w:val="18"/>
        </w:rPr>
        <w:t xml:space="preserve">Marginal fitness or progressing biology. The endpoint was resectability, not survival — the authors state the oncologic role is therefore uncertain and report long-term outcome in a separate paper. Grade 3a or worse complications were 43% in both arms and 90-day mortality 8.3% versus 6.1%, with postoperative liver failure in all seven deaths. Resectability assessment, volumetry and the embolisation technique were all left to local practice and not standardised.</w:t>
      </w:r>
    </w:p>
    <w:p>
      <w:pPr>
        <w:spacing w:after="60" w:line="276"/>
        <w:ind w:left="240"/>
      </w:pPr>
      <w:r>
        <w:rPr>
          <w:color w:val="5A6069"/>
          <w:sz w:val="16"/>
          <w:szCs w:val="16"/>
        </w:rPr>
        <w:t xml:space="preserve">Sources: LIGRO</w:t>
      </w:r>
    </w:p>
    <w:p>
      <w:pPr>
        <w:spacing w:after="60" w:line="276"/>
        <w:ind w:left="240"/>
      </w:pPr>
      <w:r>
        <w:rPr>
          <w:i/>
          <w:iCs/>
          <w:color w:val="5A6069"/>
          <w:sz w:val="16"/>
          <w:szCs w:val="16"/>
        </w:rPr>
        <w:t xml:space="preserve">Remnant-volume thresholds, the augmentation hierarchy and who decides between its steps are modality-specific local policy (grade D) and require hepatobiliary and interventional radiology approval, together with the embolisation-to-surgery interval.</w:t>
      </w:r>
    </w:p>
    <w:p>
      <w:pPr>
        <w:spacing w:after="60" w:before="180"/>
      </w:pPr>
      <w:r>
        <w:rPr>
          <w:b/>
          <w:bCs/>
          <w:color w:val="17365D"/>
          <w:spacing w:val="16"/>
          <w:sz w:val="16"/>
          <w:szCs w:val="16"/>
        </w:rPr>
        <w:t xml:space="preserve">STANDARD</w:t>
      </w:r>
      <w:r>
        <w:rPr>
          <w:color w:val="5A6069"/>
          <w:sz w:val="16"/>
          <w:szCs w:val="16"/>
        </w:rPr>
        <w:t xml:space="preserve">   grade C</w:t>
      </w:r>
      <w:r>
        <w:rPr>
          <w:b/>
          <w:bCs/>
          <w:color w:val="8E5008"/>
          <w:spacing w:val="12"/>
          <w:sz w:val="14"/>
          <w:szCs w:val="14"/>
        </w:rPr>
        <w:t xml:space="preserve">   EXPERTISE</w:t>
      </w:r>
    </w:p>
    <w:p>
      <w:pPr>
        <w:spacing w:after="60" w:line="276"/>
      </w:pPr>
      <w:r>
        <w:rPr>
          <w:color w:val="15181F"/>
          <w:sz w:val="19"/>
          <w:szCs w:val="19"/>
        </w:rPr>
        <w:t xml:space="preserve">Hepatic arterial infusion plus systemic therapy to convert liver-dominant or liver-only disease to clearance, planned early rather than kept as terminal salvage.</w:t>
      </w:r>
    </w:p>
    <w:p>
      <w:pPr>
        <w:spacing w:after="50" w:line="276"/>
        <w:ind w:left="240"/>
      </w:pPr>
      <w:r>
        <w:rPr>
          <w:color w:val="15181F"/>
          <w:sz w:val="18"/>
          <w:szCs w:val="18"/>
        </w:rPr>
        <w:t xml:space="preserve">Liver-dominant or liver-only disease where a high hepatic response could convert to clearance, with parallel transplant review when relevant, at a centre with an established pump programme. The Memorial Sloan Kettering phase I experience converted 47% (23 of 49) of technically unresectable patients to resection with 92% radiologic response; a two-centre Dutch phase II study met its feasibility endpoint with 90% receiving at least two combined cycles, partial response in 34% and hepatic disease control in 93% at first evaluation.</w:t>
      </w:r>
    </w:p>
    <w:p>
      <w:pPr>
        <w:spacing w:after="50"/>
        <w:ind w:left="240"/>
      </w:pPr>
      <w:r>
        <w:rPr>
          <w:b/>
          <w:bCs/>
          <w:color w:val="8C2F26"/>
          <w:sz w:val="18"/>
          <w:szCs w:val="18"/>
        </w:rPr>
        <w:t xml:space="preserve">Caveat. </w:t>
      </w:r>
      <w:r>
        <w:rPr>
          <w:color w:val="15181F"/>
          <w:sz w:val="18"/>
          <w:szCs w:val="18"/>
        </w:rPr>
        <w:t xml:space="preserve">No dedicated pump programme; unsuitable arterial anatomy; extrahepatic disease; portal hypertension; prior liver radiation; direct bilirubin above 1.5 mg/dL or alkaline phosphatase at or above twice the upper limit of normal. NCCN also requires at least one prior systemic line and operative fitness, and HAI cannot be delivered with concurrent bevacizumab or other VEGF inhibitors.</w:t>
      </w:r>
    </w:p>
    <w:p>
      <w:pPr>
        <w:spacing w:after="50" w:line="276"/>
        <w:ind w:left="240"/>
      </w:pPr>
      <w:r>
        <w:rPr>
          <w:i/>
          <w:iCs/>
          <w:color w:val="5A6069"/>
          <w:sz w:val="17"/>
          <w:szCs w:val="17"/>
        </w:rPr>
        <w:t xml:space="preserve">Conversion is a surrogate and the evidence is single-arm and centre-concentrated: median disease-free survival after R0 resection was only 7.6 months, 12 of 23 resected patients needed portal vein embolisation and 10 needed intraoperative ablation, and response in that series was scored by WHO-type criteria rather than RECIST, which inflates the 92% figure against modern trials. The only baseline factor that predicted conversion was female sex (81% versus 30%), from an uncorrected univariate scan in 49 patients, so nothing here lets a surgeon predict who converts. Toxicity rises with exposure — grade 3 or worse chemotherapy toxicity in 38% during the first two cycles and 66% by six months in the Dutch study, with late biliary sclerosis unresolved at six months and expected later. Biliary toxicity and pump complications are not occasional-case risks, and delivery depends on payer authorisation in a clinically useful interval.</w:t>
      </w:r>
    </w:p>
    <w:p>
      <w:pPr>
        <w:spacing w:after="60" w:line="276"/>
        <w:ind w:left="240"/>
      </w:pPr>
      <w:r>
        <w:rPr>
          <w:color w:val="5A6069"/>
          <w:sz w:val="16"/>
          <w:szCs w:val="16"/>
        </w:rPr>
        <w:t xml:space="preserve">Sources: Kemeny HAI conversion; Dutch HAI phase II</w:t>
      </w:r>
    </w:p>
    <w:p>
      <w:pPr>
        <w:spacing w:after="60" w:before="180"/>
      </w:pPr>
      <w:r>
        <w:rPr>
          <w:b/>
          <w:bCs/>
          <w:color w:val="17365D"/>
          <w:spacing w:val="16"/>
          <w:sz w:val="16"/>
          <w:szCs w:val="16"/>
        </w:rPr>
        <w:t xml:space="preserve">STANDARD</w:t>
      </w:r>
      <w:r>
        <w:rPr>
          <w:color w:val="5A6069"/>
          <w:sz w:val="16"/>
          <w:szCs w:val="16"/>
        </w:rPr>
        <w:t xml:space="preserve">   grade B</w:t>
      </w:r>
    </w:p>
    <w:p>
      <w:pPr>
        <w:spacing w:after="60" w:line="276"/>
      </w:pPr>
      <w:r>
        <w:rPr>
          <w:color w:val="15181F"/>
          <w:sz w:val="19"/>
          <w:szCs w:val="19"/>
        </w:rPr>
        <w:t xml:space="preserve">Leave an asymptomatic primary in situ during systemic therapy when liver disease is broadly unresectable; resect it for a defined local threat, and before transplantation after a favourable response.</w:t>
      </w:r>
    </w:p>
    <w:p>
      <w:pPr>
        <w:spacing w:after="50" w:line="276"/>
        <w:ind w:left="240"/>
      </w:pPr>
      <w:r>
        <w:rPr>
          <w:color w:val="15181F"/>
          <w:sz w:val="18"/>
          <w:szCs w:val="18"/>
        </w:rPr>
        <w:t xml:space="preserve">An asymptomatic primary with unresectable metastases — the whole Adam 2015 panel agreed on optimal chemotherapy first to achieve resectability, and ESMO states that primary resection cannot be recommended for an asymptomatic primary with unresectable synchronous metastases [I, D]. Where transplantation is contemplated, the primary is resected after a favourable response, with clear margins and a circumferential margin of at least 1 mm for a rectal cancer.</w:t>
      </w:r>
    </w:p>
    <w:p>
      <w:pPr>
        <w:spacing w:after="50"/>
        <w:ind w:left="240"/>
      </w:pPr>
      <w:r>
        <w:rPr>
          <w:b/>
          <w:bCs/>
          <w:color w:val="8C2F26"/>
          <w:sz w:val="18"/>
          <w:szCs w:val="18"/>
        </w:rPr>
        <w:t xml:space="preserve">Caveat. </w:t>
      </w:r>
      <w:r>
        <w:rPr>
          <w:color w:val="15181F"/>
          <w:sz w:val="18"/>
          <w:szCs w:val="18"/>
        </w:rPr>
        <w:t xml:space="preserve">Imminent obstruction, substantial bleeding, perforation or another local threat: resect first. NCCN advises colon resection only in that situation.</w:t>
      </w:r>
    </w:p>
    <w:p>
      <w:pPr>
        <w:spacing w:after="50" w:line="276"/>
        <w:ind w:left="240"/>
      </w:pPr>
      <w:r>
        <w:rPr>
          <w:i/>
          <w:iCs/>
          <w:color w:val="5A6069"/>
          <w:sz w:val="17"/>
          <w:szCs w:val="17"/>
        </w:rPr>
        <w:t xml:space="preserve">A rectal primary managed by watch-and-wait after a clinical complete response does not meet the transplant requirement for a resected primary — a clinical complete response is not proof that every tumour cell is gone — and must be resolved before listing.</w:t>
      </w:r>
    </w:p>
    <w:p>
      <w:pPr>
        <w:spacing w:after="60" w:line="276"/>
        <w:ind w:left="240"/>
      </w:pPr>
      <w:r>
        <w:rPr>
          <w:color w:val="5A6069"/>
          <w:sz w:val="16"/>
          <w:szCs w:val="16"/>
        </w:rPr>
        <w:t xml:space="preserve">Sources: Adam 2015 consensus; ESMO 2026</w:t>
      </w:r>
    </w:p>
    <w:p>
      <w:pPr>
        <w:spacing w:after="60" w:before="180"/>
      </w:pPr>
      <w:r>
        <w:rPr>
          <w:b/>
          <w:bCs/>
          <w:color w:val="176A87"/>
          <w:spacing w:val="16"/>
          <w:sz w:val="16"/>
          <w:szCs w:val="16"/>
        </w:rPr>
        <w:t xml:space="preserve">REASONABLE</w:t>
      </w:r>
      <w:r>
        <w:rPr>
          <w:color w:val="5A6069"/>
          <w:sz w:val="16"/>
          <w:szCs w:val="16"/>
        </w:rPr>
        <w:t xml:space="preserve">   grade C</w:t>
      </w:r>
    </w:p>
    <w:p>
      <w:pPr>
        <w:spacing w:after="60" w:line="276"/>
      </w:pPr>
      <w:r>
        <w:rPr>
          <w:color w:val="15181F"/>
          <w:sz w:val="19"/>
          <w:szCs w:val="19"/>
        </w:rPr>
        <w:t xml:space="preserve">Selected Y90 radiation lobectomy to grow the future remnant, with the operation supplying the curative step.</w:t>
      </w:r>
    </w:p>
    <w:p>
      <w:pPr>
        <w:spacing w:after="50" w:line="276"/>
        <w:ind w:left="240"/>
      </w:pPr>
      <w:r>
        <w:rPr>
          <w:color w:val="15181F"/>
          <w:sz w:val="18"/>
          <w:szCs w:val="18"/>
        </w:rPr>
        <w:t xml:space="preserve">A patient whose remnant will not come up by embolisation and in whom lobar radioembolisation is technically attractive, planned as a route to an operation.</w:t>
      </w:r>
    </w:p>
    <w:p>
      <w:pPr>
        <w:spacing w:after="50"/>
        <w:ind w:left="240"/>
      </w:pPr>
      <w:r>
        <w:rPr>
          <w:b/>
          <w:bCs/>
          <w:color w:val="8C2F26"/>
          <w:sz w:val="18"/>
          <w:szCs w:val="18"/>
        </w:rPr>
        <w:t xml:space="preserve">Caveat. Do not present it as the curative treatment, and do not extrapolate HCC segmentectomy cure claims to CRLM. Assess any future HAI pathway before liver irradiation, because the existing NCCN eligibility restriction requires review before treatment sequencing.</w:t>
      </w:r>
      <w:r>
        <w:rPr>
          <w:color w:val="15181F"/>
          <w:sz w:val="18"/>
          <w:szCs w:val="18"/>
        </w:rPr>
        <w:t xml:space="preserve"/>
      </w:r>
    </w:p>
    <w:p>
      <w:pPr>
        <w:spacing w:after="50" w:line="276"/>
        <w:ind w:left="240"/>
      </w:pPr>
      <w:r>
        <w:rPr>
          <w:i/>
          <w:iCs/>
          <w:color w:val="5A6069"/>
          <w:sz w:val="17"/>
          <w:szCs w:val="17"/>
        </w:rPr>
        <w:t xml:space="preserve">Depends on personalised dosimetry planning and radiation-safety review; the CRLM hypertrophy evidence is a small part of mixed series.</w:t>
      </w:r>
    </w:p>
    <w:p>
      <w:pPr>
        <w:spacing w:after="60" w:before="180"/>
      </w:pPr>
      <w:r>
        <w:rPr>
          <w:b/>
          <w:bCs/>
          <w:color w:val="176A87"/>
          <w:spacing w:val="16"/>
          <w:sz w:val="16"/>
          <w:szCs w:val="16"/>
        </w:rPr>
        <w:t xml:space="preserve">REASONABLE</w:t>
      </w:r>
      <w:r>
        <w:rPr>
          <w:color w:val="5A6069"/>
          <w:sz w:val="16"/>
          <w:szCs w:val="16"/>
        </w:rPr>
        <w:t xml:space="preserve">   grade C</w:t>
      </w:r>
      <w:r>
        <w:rPr>
          <w:b/>
          <w:bCs/>
          <w:color w:val="8E5008"/>
          <w:spacing w:val="12"/>
          <w:sz w:val="14"/>
          <w:szCs w:val="14"/>
        </w:rPr>
        <w:t xml:space="preserve">   EXPERTISE</w:t>
      </w:r>
    </w:p>
    <w:p>
      <w:pPr>
        <w:spacing w:after="60" w:line="276"/>
      </w:pPr>
      <w:r>
        <w:rPr>
          <w:color w:val="15181F"/>
          <w:sz w:val="19"/>
          <w:szCs w:val="19"/>
        </w:rPr>
        <w:t xml:space="preserve">Adjuvant hepatic arterial infusion after resection, as a separate expert-centre indication.</w:t>
      </w:r>
    </w:p>
    <w:p>
      <w:pPr>
        <w:spacing w:after="50" w:line="276"/>
        <w:ind w:left="240"/>
      </w:pPr>
      <w:r>
        <w:rPr>
          <w:color w:val="15181F"/>
          <w:sz w:val="18"/>
          <w:szCs w:val="18"/>
        </w:rPr>
        <w:t xml:space="preserve">A completely resected patient at a credentialed pump centre. The randomised Memorial Sloan Kettering trial gave 2-year survival free of hepatic progression of 90% versus 60% (p&lt;0.001) and 2-year overall survival 86% versus 72% (p=0.03).</w:t>
      </w:r>
    </w:p>
    <w:p>
      <w:pPr>
        <w:spacing w:after="50"/>
        <w:ind w:left="240"/>
      </w:pPr>
      <w:r>
        <w:rPr>
          <w:b/>
          <w:bCs/>
          <w:color w:val="8C2F26"/>
          <w:sz w:val="18"/>
          <w:szCs w:val="18"/>
        </w:rPr>
        <w:t xml:space="preserve">Caveat. </w:t>
      </w:r>
      <w:r>
        <w:rPr>
          <w:color w:val="15181F"/>
          <w:sz w:val="18"/>
          <w:szCs w:val="18"/>
        </w:rPr>
        <w:t xml:space="preserve">Extrahepatic disease or a positive margin, where the propensity-matched series found no benefit (37 versus 33 months and 37 versus 28 months). Do not offer it outside a programme with credentialed surgeons, oncologists and pump management.</w:t>
      </w:r>
    </w:p>
    <w:p>
      <w:pPr>
        <w:spacing w:after="50" w:line="276"/>
        <w:ind w:left="240"/>
      </w:pPr>
      <w:r>
        <w:rPr>
          <w:i/>
          <w:iCs/>
          <w:color w:val="5A6069"/>
          <w:sz w:val="17"/>
          <w:szCs w:val="17"/>
        </w:rPr>
        <w:t xml:space="preserve">Both halves: in that trial the whole overall survival curves were not significantly different (p=0.21 by log-rank) and the positive result is the prespecified two-year landmark, against an obsolete bolus fluorouracil comparator, with only 26% of patients receiving more than half the planned floxuridine because of biliary toxicity. The 2368-patient propensity analysis (median overall survival 67 versus 44 months, adjusted HR 0.67, 0.59–0.76) is retrospective across 21 years in patients six years younger and more recently treated, a published letter argued the propensity model and covariate balance were reported in too little detail to assess, and its largest effects fell in node-negative and low-risk patients — the opposite of where a regional therapy should help most. Dutch PUMP (ASCO 2026 LBA3506; DOI 10.1200/JCO.2026.44.17_suppl.LBA3506) has reported randomized conference results: in low-risk resected CRLM (CRS 0–2), adjuvant HAIP alone did not significantly improve PFS versus resection alone (HR 0.88, 95% CI 0.62–1.25; P=.48). Neither arm received adjuvant systemic chemotherapy. Overall survival is immature. This does not test HAI plus modern systemic therapy or the unresectable conversion setting.</w:t>
      </w:r>
    </w:p>
    <w:p>
      <w:pPr>
        <w:spacing w:after="60" w:line="276"/>
        <w:ind w:left="240"/>
      </w:pPr>
      <w:r>
        <w:rPr>
          <w:color w:val="5A6069"/>
          <w:sz w:val="16"/>
          <w:szCs w:val="16"/>
        </w:rPr>
        <w:t xml:space="preserve">Sources: Kemeny adjuvant HAI; MSKCC HAI propensity; PUMP protocol and ASCO 2026 LBA3506 results</w:t>
      </w:r>
    </w:p>
    <w:p>
      <w:pPr>
        <w:spacing w:after="60" w:before="180"/>
      </w:pPr>
      <w:r>
        <w:rPr>
          <w:b/>
          <w:bCs/>
          <w:color w:val="8C2F26"/>
          <w:spacing w:val="16"/>
          <w:sz w:val="16"/>
          <w:szCs w:val="16"/>
        </w:rPr>
        <w:t xml:space="preserve">AVOID</w:t>
      </w:r>
      <w:r>
        <w:rPr>
          <w:color w:val="5A6069"/>
          <w:sz w:val="16"/>
          <w:szCs w:val="16"/>
        </w:rPr>
        <w:t xml:space="preserve">   grade D</w:t>
      </w:r>
    </w:p>
    <w:p>
      <w:pPr>
        <w:spacing w:after="60" w:line="276"/>
      </w:pPr>
      <w:r>
        <w:rPr>
          <w:color w:val="15181F"/>
          <w:sz w:val="19"/>
          <w:szCs w:val="19"/>
        </w:rPr>
        <w:t xml:space="preserve">A larger operation as the answer to disease progressing on an appropriate systemic regimen.</w:t>
      </w:r>
    </w:p>
    <w:p>
      <w:pPr>
        <w:spacing w:after="50" w:line="276"/>
        <w:ind w:left="240"/>
      </w:pPr>
      <w:r>
        <w:rPr>
          <w:color w:val="15181F"/>
          <w:sz w:val="18"/>
          <w:szCs w:val="18"/>
        </w:rPr>
        <w:t xml:space="preserve">Redirect. Biologic unresectability is not reversible by surgery; restage and reconsider complete treatment rather than escalating the operation.</w:t>
      </w:r>
    </w:p>
    <w:p>
      <w:pPr>
        <w:spacing w:after="50"/>
        <w:ind w:left="240"/>
      </w:pPr>
      <w:r>
        <w:rPr>
          <w:b/>
          <w:bCs/>
          <w:color w:val="8C2F26"/>
          <w:sz w:val="18"/>
          <w:szCs w:val="18"/>
        </w:rPr>
        <w:t xml:space="preserve">Caveat. </w:t>
      </w:r>
      <w:r>
        <w:rPr>
          <w:color w:val="15181F"/>
          <w:sz w:val="18"/>
          <w:szCs w:val="18"/>
        </w:rPr>
        <w:t xml:space="preserve">Escalating from resection to augmentation, staged surgery or ALPPS in a patient whose disease is growing through therapy. Progression or new extrahepatic disease at any phase ends transplant intent and redirects care.</w:t>
      </w:r>
    </w:p>
    <w:p>
      <w:pPr>
        <w:spacing w:after="60" w:before="180"/>
      </w:pPr>
      <w:r>
        <w:rPr>
          <w:b/>
          <w:bCs/>
          <w:color w:val="8C2F26"/>
          <w:spacing w:val="16"/>
          <w:sz w:val="16"/>
          <w:szCs w:val="16"/>
        </w:rPr>
        <w:t xml:space="preserve">AVOID</w:t>
      </w:r>
      <w:r>
        <w:rPr>
          <w:color w:val="5A6069"/>
          <w:sz w:val="16"/>
          <w:szCs w:val="16"/>
        </w:rPr>
        <w:t xml:space="preserve">   grade B</w:t>
      </w:r>
    </w:p>
    <w:p>
      <w:pPr>
        <w:spacing w:after="60" w:line="276"/>
      </w:pPr>
      <w:r>
        <w:rPr>
          <w:color w:val="15181F"/>
          <w:sz w:val="19"/>
          <w:szCs w:val="19"/>
        </w:rPr>
        <w:t xml:space="preserve">Adding Y90 radioembolisation to first-line chemotherapy expecting a survival benefit.</w:t>
      </w:r>
    </w:p>
    <w:p>
      <w:pPr>
        <w:spacing w:after="50" w:line="276"/>
        <w:ind w:left="240"/>
      </w:pPr>
      <w:r>
        <w:rPr>
          <w:color w:val="15181F"/>
          <w:sz w:val="18"/>
          <w:szCs w:val="18"/>
        </w:rPr>
        <w:t xml:space="preserve">Nothing in the first line. If hepatic control is the goal, say so and label it control, not conversion.</w:t>
      </w:r>
    </w:p>
    <w:p>
      <w:pPr>
        <w:spacing w:after="50"/>
        <w:ind w:left="240"/>
      </w:pPr>
      <w:r>
        <w:rPr>
          <w:b/>
          <w:bCs/>
          <w:color w:val="8C2F26"/>
          <w:sz w:val="18"/>
          <w:szCs w:val="18"/>
        </w:rPr>
        <w:t xml:space="preserve">Caveat. </w:t>
      </w:r>
      <w:r>
        <w:rPr>
          <w:color w:val="15181F"/>
          <w:sz w:val="18"/>
          <w:szCs w:val="18"/>
        </w:rPr>
        <w:t xml:space="preserve">The prospectively planned combined analysis of FOXFIRE, SIRFLOX and FOXFIRE-Global in 1103 patients found median overall survival 22.6 versus 23.3 months, pooled HR 1.04 (0.90–1.19), p=0.61, with no benefit in the liver-only subgroup (HR 1.00) and identical hepatic resection rates (17% versus 16%), at the cost of grade 3 or worse events in 74% versus 67%.</w:t>
      </w:r>
    </w:p>
    <w:p>
      <w:pPr>
        <w:spacing w:after="50" w:line="276"/>
        <w:ind w:left="240"/>
      </w:pPr>
      <w:r>
        <w:rPr>
          <w:i/>
          <w:iCs/>
          <w:color w:val="5A6069"/>
          <w:sz w:val="17"/>
          <w:szCs w:val="17"/>
        </w:rPr>
        <w:t xml:space="preserve">Both halves: liver control did improve — first progression in the liver 31% versus 49%, subdistribution HR 0.51 — but non-liver progression rose (HR 1.76), and in SIRFLOX the primary endpoint of progression-free survival at any site was negative (10.7 versus 10.2 months, HR 0.93) while liver progression-free survival improved from 12.6 to 20.5 months. Resection rates did not move in either trial.</w:t>
      </w:r>
    </w:p>
    <w:p>
      <w:pPr>
        <w:spacing w:after="60" w:line="276"/>
        <w:ind w:left="240"/>
      </w:pPr>
      <w:r>
        <w:rPr>
          <w:color w:val="5A6069"/>
          <w:sz w:val="16"/>
          <w:szCs w:val="16"/>
        </w:rPr>
        <w:t xml:space="preserve">Sources: FOXFIRE / SIRFLOX / FOXFIRE-Global; SIRFLOX</w:t>
      </w:r>
    </w:p>
    <w:p>
      <w:pPr>
        <w:pBdr>
          <w:bottom w:val="single" w:color="D3DCE4" w:sz="6" w:space="1"/>
        </w:pBdr>
        <w:spacing w:after="80"/>
      </w:pPr>
    </w:p>
    <w:p>
      <w:pPr>
        <w:pStyle w:val="Heading2"/>
        <w:keepNext/>
        <w:pageBreakBefore/>
        <w:spacing w:after="110" w:before="240"/>
      </w:pPr>
      <w:r>
        <w:rPr>
          <w:rFonts w:ascii="Cambria" w:cs="Cambria" w:eastAsia="Cambria" w:hAnsi="Cambria"/>
          <w:b/>
          <w:bCs/>
          <w:color w:val="17365D"/>
          <w:sz w:val="26"/>
          <w:szCs w:val="26"/>
        </w:rPr>
        <w:t xml:space="preserve">4 · Transplant candidate</w:t>
      </w:r>
    </w:p>
    <w:p>
      <w:pPr>
        <w:spacing w:after="140"/>
      </w:pPr>
      <w:r>
        <w:rPr>
          <w:b/>
          <w:bCs/>
          <w:color w:val="176A87"/>
          <w:sz w:val="19"/>
          <w:szCs w:val="19"/>
        </w:rPr>
        <w:t xml:space="preserve">The question. </w:t>
      </w:r>
      <w:r>
        <w:rPr>
          <w:sz w:val="19"/>
          <w:szCs w:val="19"/>
        </w:rPr>
        <w:t xml:space="preserve">Is this permanently unresectable, liver-only, biologically controlled disease that this programme can actually list — and under whose criteria?</w:t>
      </w:r>
    </w:p>
    <w:p>
      <w:pPr>
        <w:spacing w:after="60" w:before="160"/>
      </w:pPr>
      <w:r>
        <w:rPr>
          <w:b/>
          <w:bCs/>
          <w:color w:val="176A87"/>
          <w:spacing w:val="24"/>
          <w:sz w:val="15"/>
          <w:szCs w:val="15"/>
        </w:rPr>
        <w:t xml:space="preserve">ALL OF THE FOLLOWING HAVE TO BE IN HAND</w:t>
      </w:r>
    </w:p>
    <w:p>
      <w:pPr>
        <w:pStyle w:val="ListParagraph"/>
        <w:numPr>
          <w:ilvl w:val="0"/>
          <w:numId w:val="2"/>
        </w:numPr>
        <w:spacing w:after="60" w:line="268"/>
      </w:pPr>
      <w:r>
        <w:rPr>
          <w:color w:val="15181F"/>
          <w:sz w:val="18"/>
          <w:szCs w:val="18"/>
        </w:rPr>
        <w:t xml:space="preserve">Permanent unresectability formally determined, with a written record of why resection, margin-verified ablation, portal vein embolisation or liver venous deprivation, staged hepatectomy, ALPPS and hepatic arterial infusion each cannot clear the liver at acceptable functional risk</w:t>
      </w:r>
    </w:p>
    <w:p>
      <w:pPr>
        <w:pStyle w:val="ListParagraph"/>
        <w:numPr>
          <w:ilvl w:val="0"/>
          <w:numId w:val="2"/>
        </w:numPr>
        <w:spacing w:after="60" w:line="268"/>
      </w:pPr>
      <w:r>
        <w:rPr>
          <w:color w:val="15181F"/>
          <w:sz w:val="18"/>
          <w:szCs w:val="18"/>
        </w:rPr>
        <w:t xml:space="preserve">Unequivocally liver-only on CT/MRI and PET/CT, with no extrahepatic, nodal or peritoneal disease at any time</w:t>
      </w:r>
    </w:p>
    <w:p>
      <w:pPr>
        <w:pStyle w:val="ListParagraph"/>
        <w:numPr>
          <w:ilvl w:val="0"/>
          <w:numId w:val="2"/>
        </w:numPr>
        <w:spacing w:after="60" w:line="268"/>
      </w:pPr>
      <w:r>
        <w:rPr>
          <w:color w:val="15181F"/>
          <w:sz w:val="18"/>
          <w:szCs w:val="18"/>
        </w:rPr>
        <w:t xml:space="preserve">Histologically confirmed colorectal adenocarcinoma, BRAF wild type and microsatellite stable, with R0 primary resection and colonoscopy within 12 months excluding local recurrence</w:t>
      </w:r>
    </w:p>
    <w:p>
      <w:pPr>
        <w:pStyle w:val="ListParagraph"/>
        <w:numPr>
          <w:ilvl w:val="0"/>
          <w:numId w:val="2"/>
        </w:numPr>
        <w:spacing w:after="60" w:line="268"/>
      </w:pPr>
      <w:r>
        <w:rPr>
          <w:color w:val="15181F"/>
          <w:sz w:val="18"/>
          <w:szCs w:val="18"/>
        </w:rPr>
        <w:t xml:space="preserve">At least 12 months from CRLM diagnosis and at least six months of stability or regression on systemic or locoregional therapy; CEA not above 80 µg/L; no hepatic lesion above 10 cm before treatment</w:t>
      </w:r>
    </w:p>
    <w:p>
      <w:pPr>
        <w:pStyle w:val="ListParagraph"/>
        <w:numPr>
          <w:ilvl w:val="0"/>
          <w:numId w:val="2"/>
        </w:numPr>
        <w:spacing w:after="60" w:line="268"/>
      </w:pPr>
      <w:r>
        <w:rPr>
          <w:color w:val="15181F"/>
          <w:sz w:val="18"/>
          <w:szCs w:val="18"/>
        </w:rPr>
        <w:t xml:space="preserve">ECOG 0–1 with adequate organ function and low frailty, under a written protocol with a transplant-oncology MDT, a defined graft strategy, a prospective registry and an agreed recurrence plan</w:t>
      </w:r>
    </w:p>
    <w:p>
      <w:pPr>
        <w:spacing w:after="80" w:line="276"/>
      </w:pPr>
      <w:r>
        <w:rPr>
          <w:color w:val="15181F"/>
          <w:sz w:val="20"/>
          <w:szCs w:val="20"/>
        </w:rPr>
        <w:t xml:space="preserve"/>
      </w:r>
    </w:p>
    <w:p>
      <w:pPr>
        <w:spacing w:after="60" w:before="180"/>
      </w:pPr>
      <w:r>
        <w:rPr>
          <w:b/>
          <w:bCs/>
          <w:color w:val="17365D"/>
          <w:spacing w:val="16"/>
          <w:sz w:val="16"/>
          <w:szCs w:val="16"/>
        </w:rPr>
        <w:t xml:space="preserve">STANDARD</w:t>
      </w:r>
      <w:r>
        <w:rPr>
          <w:color w:val="5A6069"/>
          <w:sz w:val="16"/>
          <w:szCs w:val="16"/>
        </w:rPr>
        <w:t xml:space="preserve">   grade B</w:t>
      </w:r>
    </w:p>
    <w:p>
      <w:pPr>
        <w:spacing w:after="100" w:line="276"/>
      </w:pPr>
      <w:r>
        <w:rPr>
          <w:i/>
          <w:iCs/>
          <w:color w:val="5A6069"/>
          <w:sz w:val="17"/>
          <w:szCs w:val="17"/>
        </w:rPr>
        <w:t xml:space="preserve">Deceased-donor listing under the review-board route first, because that is where the randomised evidence and the allocation pathway sit; living donation is a graft-supply answer to waiting time, not a separate indication, and carries only single-arm short-term data.</w:t>
      </w:r>
    </w:p>
    <w:p>
      <w:pPr>
        <w:spacing w:after="50" w:before="120"/>
        <w:ind w:left="240"/>
      </w:pPr>
      <w:r>
        <w:rPr>
          <w:b/>
          <w:bCs/>
          <w:color w:val="15181F"/>
          <w:sz w:val="19"/>
          <w:szCs w:val="19"/>
        </w:rPr>
        <w:t xml:space="preserve">Deceased-donor transplantation under the nonstandard review route</w:t>
      </w:r>
      <w:r>
        <w:rPr>
          <w:color w:val="5A6069"/>
          <w:sz w:val="15"/>
          <w:szCs w:val="15"/>
        </w:rPr>
        <w:t xml:space="preserve">   grade B</w:t>
      </w:r>
      <w:r>
        <w:rPr>
          <w:b/>
          <w:bCs/>
          <w:color w:val="8E5008"/>
          <w:spacing w:val="12"/>
          <w:sz w:val="14"/>
          <w:szCs w:val="14"/>
        </w:rPr>
        <w:t xml:space="preserve">   PROTOCOL</w:t>
      </w:r>
      <w:r>
        <w:rPr>
          <w:b/>
          <w:bCs/>
          <w:color w:val="8E5008"/>
          <w:spacing w:val="12"/>
          <w:sz w:val="14"/>
          <w:szCs w:val="14"/>
        </w:rPr>
        <w:t xml:space="preserve">   REGISTRY</w:t>
      </w:r>
    </w:p>
    <w:p>
      <w:pPr>
        <w:spacing w:after="50" w:line="276"/>
        <w:ind w:left="240"/>
      </w:pPr>
      <w:r>
        <w:rPr>
          <w:color w:val="15181F"/>
          <w:sz w:val="18"/>
          <w:szCs w:val="18"/>
        </w:rPr>
        <w:t xml:space="preserve">TransMet randomised 94 patients with permanently unresectable liver-only disease controlled on chemotherapy: intention-to-treat 5-year overall survival 56.6% versus 12.6% with chemotherapy alone, HR 0.37 (95% CI 0.21–0.65), p=0.0003; per protocol 73.3% versus 9.3%, HR 0.16. CRLM is not a standardised OPTN exception, so listing goes through nonstandard Adult Transplant Oncology Review Board review with the CRLM diagnosis form and a written narrative requesting consideration at MMaT-20, with Policy 9.4.E setting a floor of 15.</w:t>
      </w:r>
    </w:p>
    <w:p>
      <w:pPr>
        <w:spacing w:after="50" w:line="276"/>
        <w:ind w:left="240"/>
      </w:pPr>
      <w:r>
        <w:rPr>
          <w:color w:val="15181F"/>
          <w:sz w:val="18"/>
          <w:szCs w:val="18"/>
        </w:rPr>
        <w:t xml:space="preserve">A patient inside both the OPTN guidance gates and the local protocol: BRAF wild type, microsatellite stable, 12 months from CRLM diagnosis, six months of stability or regression, CEA at or below 80 µg/L, no pretreatment lesion above 10 cm, primary resected R0 with a clear colonoscopy, ECOG 0–1, age considered with physiologic reserve rather than alone.</w:t>
      </w:r>
    </w:p>
    <w:p>
      <w:pPr>
        <w:spacing w:after="50"/>
        <w:ind w:left="240"/>
      </w:pPr>
      <w:r>
        <w:rPr>
          <w:b/>
          <w:bCs/>
          <w:color w:val="8C2F26"/>
          <w:sz w:val="18"/>
          <w:szCs w:val="18"/>
        </w:rPr>
        <w:t xml:space="preserve">Caveat. Any uncontrolled or non-curable extrahepatic disease, progression on an appropriate regimen, new lesions, declining reserve, prohibitive comorbidity, active infection or psychosocial risk. Prioritize feasible complete resection/ablation, including augmentation or staged surgery. HAI may enable clearance, but its availability alone does not preclude parallel transplant evaluation for persistently unresectable disease.</w:t>
      </w:r>
      <w:r>
        <w:rPr>
          <w:color w:val="15181F"/>
          <w:sz w:val="18"/>
          <w:szCs w:val="18"/>
        </w:rPr>
        <w:t xml:space="preserve"/>
      </w:r>
    </w:p>
    <w:p>
      <w:pPr>
        <w:spacing w:after="60" w:line="276"/>
        <w:ind w:left="240"/>
      </w:pPr>
      <w:r>
        <w:rPr>
          <w:color w:val="5A6069"/>
          <w:sz w:val="16"/>
          <w:szCs w:val="16"/>
        </w:rPr>
        <w:t xml:space="preserve">Sources: TransMet</w:t>
      </w:r>
    </w:p>
    <w:p>
      <w:pPr>
        <w:spacing w:after="50" w:before="120"/>
        <w:ind w:left="240"/>
      </w:pPr>
      <w:r>
        <w:rPr>
          <w:b/>
          <w:bCs/>
          <w:color w:val="15181F"/>
          <w:sz w:val="19"/>
          <w:szCs w:val="19"/>
        </w:rPr>
        <w:t xml:space="preserve">Living-donor or RAPID graft strategy</w:t>
      </w:r>
      <w:r>
        <w:rPr>
          <w:color w:val="5A6069"/>
          <w:sz w:val="15"/>
          <w:szCs w:val="15"/>
        </w:rPr>
        <w:t xml:space="preserve">   grade C</w:t>
      </w:r>
      <w:r>
        <w:rPr>
          <w:b/>
          <w:bCs/>
          <w:color w:val="8E5008"/>
          <w:spacing w:val="12"/>
          <w:sz w:val="14"/>
          <w:szCs w:val="14"/>
        </w:rPr>
        <w:t xml:space="preserve">   PROTOCOL</w:t>
      </w:r>
      <w:r>
        <w:rPr>
          <w:b/>
          <w:bCs/>
          <w:color w:val="8E5008"/>
          <w:spacing w:val="12"/>
          <w:sz w:val="14"/>
          <w:szCs w:val="14"/>
        </w:rPr>
        <w:t xml:space="preserve">   REGISTRY</w:t>
      </w:r>
      <w:r>
        <w:rPr>
          <w:b/>
          <w:bCs/>
          <w:color w:val="8E5008"/>
          <w:spacing w:val="12"/>
          <w:sz w:val="14"/>
          <w:szCs w:val="14"/>
        </w:rPr>
        <w:t xml:space="preserve">   EXPERTISE</w:t>
      </w:r>
    </w:p>
    <w:p>
      <w:pPr>
        <w:spacing w:after="50" w:line="276"/>
        <w:ind w:left="240"/>
      </w:pPr>
      <w:r>
        <w:rPr>
          <w:color w:val="15181F"/>
          <w:sz w:val="18"/>
          <w:szCs w:val="18"/>
        </w:rPr>
        <w:t xml:space="preserve">IHPBA 2021 permits extended-criteria grafts, machine perfusion and deceased- or living-donor RAPID, with living donation only in centres meeting international benchmarks and preferably within a trial, and no re-transplantation for recurrent metastases.</w:t>
      </w:r>
    </w:p>
    <w:p>
      <w:pPr>
        <w:spacing w:after="50" w:line="276"/>
        <w:ind w:left="240"/>
      </w:pPr>
      <w:r>
        <w:rPr>
          <w:color w:val="15181F"/>
          <w:sz w:val="18"/>
          <w:szCs w:val="18"/>
        </w:rPr>
        <w:t xml:space="preserve">A protocol-eligible candidate at a benchmark-meeting living-donor programme, entered prospectively, where waiting for a deceased-donor graft would cost the window. The three-centre North American series transplanted 10 of 91 evaluated patients, with 1.5-year overall survival 100% and recurrence-free survival 62% and full donor recovery.</w:t>
      </w:r>
    </w:p>
    <w:p>
      <w:pPr>
        <w:spacing w:after="50"/>
        <w:ind w:left="240"/>
      </w:pPr>
      <w:r>
        <w:rPr>
          <w:b/>
          <w:bCs/>
          <w:color w:val="8C2F26"/>
          <w:sz w:val="18"/>
          <w:szCs w:val="18"/>
        </w:rPr>
        <w:t xml:space="preserve">Caveat. </w:t>
      </w:r>
      <w:r>
        <w:rPr>
          <w:color w:val="15181F"/>
          <w:sz w:val="18"/>
          <w:szCs w:val="18"/>
        </w:rPr>
        <w:t xml:space="preserve">Do not use a living donor to get around the exception criteria. Any research or living-donor pathway outside the guidance needs its own approved protocol and must not be represented as qualifying for this exception route.</w:t>
      </w:r>
    </w:p>
    <w:p>
      <w:pPr>
        <w:spacing w:after="60" w:line="276"/>
        <w:ind w:left="240"/>
      </w:pPr>
      <w:r>
        <w:rPr>
          <w:color w:val="5A6069"/>
          <w:sz w:val="16"/>
          <w:szCs w:val="16"/>
        </w:rPr>
        <w:t xml:space="preserve">Sources: North American LDLT</w:t>
      </w:r>
    </w:p>
    <w:p>
      <w:pPr>
        <w:spacing w:after="60" w:line="276"/>
        <w:ind w:left="240"/>
      </w:pPr>
      <w:r>
        <w:rPr>
          <w:i/>
          <w:iCs/>
          <w:color w:val="5A6069"/>
          <w:sz w:val="16"/>
          <w:szCs w:val="16"/>
        </w:rPr>
        <w:t xml:space="preserve">The two documents the board will be handed do not agree, and the difference decides real patients. IHPBA 2021 requires at least six months of response and at least one year from diagnosis of non-resectable disease, excludes BRAF V600E, excludes MSI-high and dMMR patients outright, and excludes a metabolic tumour volume above 70 cm³ with total lesion glycolysis above 260 g. ESMO 2026 recommends transplantation [II, A] on stabilisation of three months or more no later than third line, with BRAF wild type, CEA under 80 ng/mL, never any extrahepatic disease, a resected primary, performance status under 2 and age 18–65 — and sets no MSI or PET-volume exclusion at all. A dMMR patient with four months of stability and a metabolic tumour volume of 90 cm³ is transplantable under ESMO and barred under IHPBA. The roadmap's position is that where the randomised evidence, the consensus and the institution's own protocol conflict, the stricter governs; the local decisions still open are whether MSI-high and dMMR disease is excluded outright rather than left to 'separate consideration', and whether the BRAF exclusion is limited to V600E (IHPBA) or extends to any BRAF mutation (the OPTN 'BRAF wild type' wording, which would also exclude the non-V600 BRAF-mutant patients in whom IHPBA reports long survival).</w:t>
      </w:r>
    </w:p>
    <w:p>
      <w:pPr>
        <w:spacing w:after="60" w:before="180"/>
      </w:pPr>
      <w:r>
        <w:rPr>
          <w:b/>
          <w:bCs/>
          <w:color w:val="17365D"/>
          <w:spacing w:val="16"/>
          <w:sz w:val="16"/>
          <w:szCs w:val="16"/>
        </w:rPr>
        <w:t xml:space="preserve">STANDARD</w:t>
      </w:r>
      <w:r>
        <w:rPr>
          <w:color w:val="5A6069"/>
          <w:sz w:val="16"/>
          <w:szCs w:val="16"/>
        </w:rPr>
        <w:t xml:space="preserve">   grade D</w:t>
      </w:r>
    </w:p>
    <w:p>
      <w:pPr>
        <w:spacing w:after="60" w:line="276"/>
      </w:pPr>
      <w:r>
        <w:rPr>
          <w:color w:val="15181F"/>
          <w:sz w:val="19"/>
          <w:szCs w:val="19"/>
        </w:rPr>
        <w:t xml:space="preserve">Declare permanent unresectability formally, in writing, after dedicated hepatobiliary and transplant review of every alternative.</w:t>
      </w:r>
    </w:p>
    <w:p>
      <w:pPr>
        <w:spacing w:after="50" w:line="276"/>
        <w:ind w:left="240"/>
      </w:pPr>
      <w:r>
        <w:rPr>
          <w:color w:val="15181F"/>
          <w:sz w:val="18"/>
          <w:szCs w:val="18"/>
        </w:rPr>
        <w:t xml:space="preserve">Before any transplant referral. Permanent unresectability is a formal determination, not an impression: record why resection, margin-verified ablation, portal vein embolisation or liver venous deprivation, staged hepatectomy, ALPPS and hepatic arterial infusion each cannot achieve clearance at acceptable functional risk.</w:t>
      </w:r>
    </w:p>
    <w:p>
      <w:pPr>
        <w:spacing w:after="50"/>
        <w:ind w:left="240"/>
      </w:pPr>
      <w:r>
        <w:rPr>
          <w:b/>
          <w:bCs/>
          <w:color w:val="8C2F26"/>
          <w:sz w:val="18"/>
          <w:szCs w:val="18"/>
        </w:rPr>
        <w:t xml:space="preserve">Caveat. </w:t>
      </w:r>
      <w:r>
        <w:rPr>
          <w:color w:val="15181F"/>
          <w:sz w:val="18"/>
          <w:szCs w:val="18"/>
        </w:rPr>
        <w:t xml:space="preserve">Referring on an impression, or treating a local complete response as an automatic transplant exception. Functional unresectability that may recover with a chemotherapy holiday and nutritional recovery is not yet permanent.</w:t>
      </w:r>
    </w:p>
    <w:p>
      <w:pPr>
        <w:spacing w:after="50" w:line="276"/>
        <w:ind w:left="240"/>
      </w:pPr>
      <w:r>
        <w:rPr>
          <w:i/>
          <w:iCs/>
          <w:color w:val="5A6069"/>
          <w:sz w:val="17"/>
          <w:szCs w:val="17"/>
        </w:rPr>
        <w:t xml:space="preserve">This is the roadmap's central claim and the quality dashboard measures it: at least 95% of non-clearance treatment decisions should record why each clearance route was unsuitable.</w:t>
      </w:r>
    </w:p>
    <w:p>
      <w:pPr>
        <w:spacing w:after="60" w:before="180"/>
      </w:pPr>
      <w:r>
        <w:rPr>
          <w:b/>
          <w:bCs/>
          <w:color w:val="17365D"/>
          <w:spacing w:val="16"/>
          <w:sz w:val="16"/>
          <w:szCs w:val="16"/>
        </w:rPr>
        <w:t xml:space="preserve">STANDARD</w:t>
      </w:r>
      <w:r>
        <w:rPr>
          <w:color w:val="5A6069"/>
          <w:sz w:val="16"/>
          <w:szCs w:val="16"/>
        </w:rPr>
        <w:t xml:space="preserve">   grade D</w:t>
      </w:r>
    </w:p>
    <w:p>
      <w:pPr>
        <w:spacing w:after="60" w:line="276"/>
      </w:pPr>
      <w:r>
        <w:rPr>
          <w:color w:val="15181F"/>
          <w:sz w:val="19"/>
          <w:szCs w:val="19"/>
        </w:rPr>
        <w:t xml:space="preserve">Keep the candidate inside protocol while waiting: review every 2–3 months and renew the exception every three months with CT/MRI of chest, abdomen and pelvis and CEA.</w:t>
      </w:r>
    </w:p>
    <w:p>
      <w:pPr>
        <w:spacing w:after="50" w:line="276"/>
        <w:ind w:left="240"/>
      </w:pPr>
      <w:r>
        <w:rPr>
          <w:color w:val="15181F"/>
          <w:sz w:val="18"/>
          <w:szCs w:val="18"/>
        </w:rPr>
        <w:t xml:space="preserve">Every listed or referred patient. Renewal requires no hepatic progression, no extrahepatic disease and CEA below 80 µg/L; exceptions generally need 90-day extensions, and the coordinator records source version, eligibility dates, request and extension dates, imaging, laboratory values and a named renewal owner, with transplant leadership signing the allocation assessment. Agree the surveillance and recurrence plan during selection, not after — recurrence after transplantation is common and predominantly pulmonary, often indolent and amenable to further local treatment.</w:t>
      </w:r>
    </w:p>
    <w:p>
      <w:pPr>
        <w:spacing w:after="50"/>
        <w:ind w:left="240"/>
      </w:pPr>
      <w:r>
        <w:rPr>
          <w:b/>
          <w:bCs/>
          <w:color w:val="8C2F26"/>
          <w:sz w:val="18"/>
          <w:szCs w:val="18"/>
        </w:rPr>
        <w:t xml:space="preserve">Caveat. </w:t>
      </w:r>
      <w:r>
        <w:rPr>
          <w:color w:val="15181F"/>
          <w:sz w:val="18"/>
          <w:szCs w:val="18"/>
        </w:rPr>
        <w:t xml:space="preserve">Do not let indefinite chemotherapy run while a candidate waits: it erodes nutrition, marrow, neurologic function and liver quality. Sustained control should prompt coordinated timing of definitive clearance rather than drift.</w:t>
      </w:r>
    </w:p>
    <w:p>
      <w:pPr>
        <w:spacing w:after="50" w:line="276"/>
        <w:ind w:left="240"/>
      </w:pPr>
      <w:r>
        <w:rPr>
          <w:i/>
          <w:iCs/>
          <w:color w:val="5A6069"/>
          <w:sz w:val="17"/>
          <w:szCs w:val="17"/>
        </w:rPr>
        <w:t xml:space="preserve">Two boundaries in the guidance need clarifying before filing: the initial exclusion is CEA above 80 while the renewal wording is below 80, so an exact value of 80 requires explicit review rather than an assumed pass; and footnotes 20–21 describe progression as a 10% increase in diameter or new lesions while labelling this RECIST 1.1, which differs from the usual target-lesion threshold. Preserve the source wording and flag it — do not silently substitute 20%.</w:t>
      </w:r>
    </w:p>
    <w:p>
      <w:pPr>
        <w:spacing w:after="60" w:line="276"/>
        <w:ind w:left="240"/>
      </w:pPr>
      <w:r>
        <w:rPr>
          <w:color w:val="5A6069"/>
          <w:sz w:val="16"/>
          <w:szCs w:val="16"/>
        </w:rPr>
        <w:t xml:space="preserve">Sources: TransMet</w:t>
      </w:r>
    </w:p>
    <w:p>
      <w:pPr>
        <w:spacing w:after="60" w:before="180"/>
      </w:pPr>
      <w:r>
        <w:rPr>
          <w:b/>
          <w:bCs/>
          <w:color w:val="176A87"/>
          <w:spacing w:val="16"/>
          <w:sz w:val="16"/>
          <w:szCs w:val="16"/>
        </w:rPr>
        <w:t xml:space="preserve">REASONABLE</w:t>
      </w:r>
      <w:r>
        <w:rPr>
          <w:color w:val="5A6069"/>
          <w:sz w:val="16"/>
          <w:szCs w:val="16"/>
        </w:rPr>
        <w:t xml:space="preserve">   grade D</w:t>
      </w:r>
    </w:p>
    <w:p>
      <w:pPr>
        <w:spacing w:after="60" w:line="276"/>
      </w:pPr>
      <w:r>
        <w:rPr>
          <w:color w:val="15181F"/>
          <w:sz w:val="19"/>
          <w:szCs w:val="19"/>
        </w:rPr>
        <w:t xml:space="preserve">Use the Oslo score, the largest lesion diameter and PET metabolic tumour volume as prognostic refinements inside the eligibility gates, not as substitutes for them.</w:t>
      </w:r>
    </w:p>
    <w:p>
      <w:pPr>
        <w:spacing w:after="50" w:line="276"/>
        <w:ind w:left="240"/>
      </w:pPr>
      <w:r>
        <w:rPr>
          <w:color w:val="15181F"/>
          <w:sz w:val="18"/>
          <w:szCs w:val="18"/>
        </w:rPr>
        <w:t xml:space="preserve">Counselling and protocol stratification. In the 61-patient Oslo cohort median overall survival was 60.3 months, with an Oslo score of 0 giving 5- and 10-year survival of 88.9% while a score of 3–4 gave 8.3% and 0%; a largest lesion of 5.5 cm or more gave 25.3 versus 92.0 months and CEA above 80 µg/L 26.6 versus 90.5 months. Metabolic tumour volume below 70 cm³ on PET gave 5- and 10-year survival of 76% and 50% versus 21% and 7%, and the signal held only when the scan was within 90 days of transplant. The SECA-II 10-year report gives median overall survival 128.2 months with 5-year 77.8% and 10-year 51.5% in 25 patients.</w:t>
      </w:r>
    </w:p>
    <w:p>
      <w:pPr>
        <w:spacing w:after="50"/>
        <w:ind w:left="240"/>
      </w:pPr>
      <w:r>
        <w:rPr>
          <w:b/>
          <w:bCs/>
          <w:color w:val="8C2F26"/>
          <w:sz w:val="18"/>
          <w:szCs w:val="18"/>
        </w:rPr>
        <w:t xml:space="preserve">Caveat. </w:t>
      </w:r>
      <w:r>
        <w:rPr>
          <w:color w:val="15181F"/>
          <w:sz w:val="18"/>
          <w:szCs w:val="18"/>
        </w:rPr>
        <w:t xml:space="preserve">Do not relax the allocation gates because the prognostic scores look good, and do not use a favourable score to justify listing outside the protocol. These are separate prognostic considerations and do not replace the pretreatment 10-cm limit or the CEA exclusion.</w:t>
      </w:r>
    </w:p>
    <w:p>
      <w:pPr>
        <w:spacing w:after="50" w:line="276"/>
        <w:ind w:left="240"/>
      </w:pPr>
      <w:r>
        <w:rPr>
          <w:i/>
          <w:iCs/>
          <w:color w:val="5A6069"/>
          <w:sz w:val="17"/>
          <w:szCs w:val="17"/>
        </w:rPr>
        <w:t xml:space="preserve">Graded D: these are one centre's thresholds tested in the patients they were derived from. The Oslo score was derived from the first 21 SECA-I patients, the 70 cm³ cut-off was defined by ROC analysis in the same 40-patient cohort in which it is then tested, the CEA 80 µg/L bar comes from SECA-I, and prognostic factors were tested one at a time by log-rank in 60 patients with no multivariable model and no correction for multiple testing. In the 19-patient score comparison every patient with a Fong score of 0–2 also had a metabolic tumour volume below 70 cm³ and an Oslo score of 0–2, so the three scores cannot be separated, and the PET signal held only when the scan was within 90 days of transplant. The SECA-II survival figures come from 25 highly selected patients at one centre — the authors' own simulation found only 2 to 3 eligible patients per year in a population of 5.5 million — with relapse in 48% at a median relapse-free survival of 24.3 months and one death from hepatic artery thrombosis (4% operative mortality). Survival calculated from transplant excludes the 11 of 72 listed patients never grafted; from listing, median overall survival for all 72 was 50.8 months with 5-year survival 42.6%.</w:t>
      </w:r>
    </w:p>
    <w:p>
      <w:pPr>
        <w:spacing w:after="60" w:line="276"/>
        <w:ind w:left="240"/>
      </w:pPr>
      <w:r>
        <w:rPr>
          <w:color w:val="5A6069"/>
          <w:sz w:val="16"/>
          <w:szCs w:val="16"/>
        </w:rPr>
        <w:t xml:space="preserve">Sources: Oslo cohort; Grut metabolic tumour volume; SECA-II 10-year; SECA-II; Oslo selection criteria</w:t>
      </w:r>
    </w:p>
    <w:p>
      <w:pPr>
        <w:spacing w:after="60" w:before="180"/>
      </w:pPr>
      <w:r>
        <w:rPr>
          <w:b/>
          <w:bCs/>
          <w:color w:val="8C2F26"/>
          <w:spacing w:val="16"/>
          <w:sz w:val="16"/>
          <w:szCs w:val="16"/>
        </w:rPr>
        <w:t xml:space="preserve">AVOID</w:t>
      </w:r>
      <w:r>
        <w:rPr>
          <w:color w:val="5A6069"/>
          <w:sz w:val="16"/>
          <w:szCs w:val="16"/>
        </w:rPr>
        <w:t xml:space="preserve">   grade D</w:t>
      </w:r>
    </w:p>
    <w:p>
      <w:pPr>
        <w:spacing w:after="60" w:line="276"/>
      </w:pPr>
      <w:r>
        <w:rPr>
          <w:color w:val="15181F"/>
          <w:sz w:val="19"/>
          <w:szCs w:val="19"/>
        </w:rPr>
        <w:t xml:space="preserve">Listing an MSI-high or mismatch-repair deficient patient on this exception route, even after a checkpoint response.</w:t>
      </w:r>
    </w:p>
    <w:p>
      <w:pPr>
        <w:spacing w:after="50" w:line="276"/>
        <w:ind w:left="240"/>
      </w:pPr>
      <w:r>
        <w:rPr>
          <w:color w:val="15181F"/>
          <w:sz w:val="18"/>
          <w:szCs w:val="18"/>
        </w:rPr>
        <w:t xml:space="preserve">If such a patient is to be considered at all, it requires a separate approved protocol with a written pre-transplant checkpoint-inhibitor policy, including washout and the approval route, agreed before any such patient is listed.</w:t>
      </w:r>
    </w:p>
    <w:p>
      <w:pPr>
        <w:spacing w:after="50"/>
        <w:ind w:left="240"/>
      </w:pPr>
      <w:r>
        <w:rPr>
          <w:b/>
          <w:bCs/>
          <w:color w:val="8C2F26"/>
          <w:sz w:val="18"/>
          <w:szCs w:val="18"/>
        </w:rPr>
        <w:t xml:space="preserve">Caveat. </w:t>
      </w:r>
      <w:r>
        <w:rPr>
          <w:color w:val="15181F"/>
          <w:sz w:val="18"/>
          <w:szCs w:val="18"/>
        </w:rPr>
        <w:t xml:space="preserve">The supplied exception route requires microsatellite stability, and IHPBA 2021 states that MSI-high and dMMR patients should not currently be considered for transplantation. Sustained checkpoint response does not create eligibility.</w:t>
      </w:r>
    </w:p>
    <w:p>
      <w:pPr>
        <w:spacing w:after="50" w:line="276"/>
        <w:ind w:left="240"/>
      </w:pPr>
      <w:r>
        <w:rPr>
          <w:i/>
          <w:iCs/>
          <w:color w:val="5A6069"/>
          <w:sz w:val="17"/>
          <w:szCs w:val="17"/>
        </w:rPr>
        <w:t xml:space="preserve">Graded D: the IHPBA exclusion rests on the risk of graft rejection if immunotherapy were needed after transplant rather than on transplant outcome data in these patients, its own reviewers call it the statement most likely to be overtaken, and ESMO 2026 sets no MSI exclusion at all. The checkpoint evidence does not settle it either: overall survival in CheckMate 8HW is still masked, treatment lines are masked, and no trial reports what happens to liver-limited dMMR disease taken to clearance.</w:t>
      </w:r>
    </w:p>
    <w:p>
      <w:pPr>
        <w:spacing w:after="60" w:line="276"/>
        <w:ind w:left="240"/>
      </w:pPr>
      <w:r>
        <w:rPr>
          <w:color w:val="5A6069"/>
          <w:sz w:val="16"/>
          <w:szCs w:val="16"/>
        </w:rPr>
        <w:t xml:space="preserve">Sources: IHPBA 2021; CheckMate 8HW</w:t>
      </w:r>
    </w:p>
    <w:p>
      <w:pPr>
        <w:spacing w:after="60" w:before="180"/>
      </w:pPr>
      <w:r>
        <w:rPr>
          <w:b/>
          <w:bCs/>
          <w:color w:val="8C2F26"/>
          <w:spacing w:val="16"/>
          <w:sz w:val="16"/>
          <w:szCs w:val="16"/>
        </w:rPr>
        <w:t xml:space="preserve">AVOID</w:t>
      </w:r>
      <w:r>
        <w:rPr>
          <w:color w:val="5A6069"/>
          <w:sz w:val="16"/>
          <w:szCs w:val="16"/>
        </w:rPr>
        <w:t xml:space="preserve">   grade D</w:t>
      </w:r>
    </w:p>
    <w:p>
      <w:pPr>
        <w:spacing w:after="60" w:line="276"/>
      </w:pPr>
      <w:r>
        <w:rPr>
          <w:color w:val="15181F"/>
          <w:sz w:val="19"/>
          <w:szCs w:val="19"/>
        </w:rPr>
        <w:t xml:space="preserve">Transplanting with any extrahepatic, nodal or peritoneal disease, or with an uncontrolled primary.</w:t>
      </w:r>
    </w:p>
    <w:p>
      <w:pPr>
        <w:spacing w:after="50" w:line="276"/>
        <w:ind w:left="240"/>
      </w:pPr>
      <w:r>
        <w:rPr>
          <w:color w:val="15181F"/>
          <w:sz w:val="18"/>
          <w:szCs w:val="18"/>
        </w:rPr>
        <w:t xml:space="preserve">Nothing. Treatable lung disease may still permit resection; it does not permit transplantation under current pathways.</w:t>
      </w:r>
    </w:p>
    <w:p>
      <w:pPr>
        <w:spacing w:after="50"/>
        <w:ind w:left="240"/>
      </w:pPr>
      <w:r>
        <w:rPr>
          <w:b/>
          <w:bCs/>
          <w:color w:val="8C2F26"/>
          <w:sz w:val="18"/>
          <w:szCs w:val="18"/>
        </w:rPr>
        <w:t xml:space="preserve">Caveat. </w:t>
      </w:r>
      <w:r>
        <w:rPr>
          <w:color w:val="15181F"/>
          <w:sz w:val="18"/>
          <w:szCs w:val="18"/>
        </w:rPr>
        <w:t xml:space="preserve">IHPBA 2021 finds no evidence to support transplantation in patients who present with extrahepatic disease, and the OPTN exclusions cover extrahepatic disease after primary resection, nodes outside the original primary nodal resection, local primary relapse and CEA above 80 µg/L. Undifferentiated or signet-ring histology excludes and N2 nodal disease is a relative exclusion. Any peritoneal disease ends transplant intent.</w:t>
      </w:r>
    </w:p>
    <w:p>
      <w:pPr>
        <w:spacing w:after="50" w:line="276"/>
        <w:ind w:left="240"/>
      </w:pPr>
      <w:r>
        <w:rPr>
          <w:i/>
          <w:iCs/>
          <w:color w:val="5A6069"/>
          <w:sz w:val="17"/>
          <w:szCs w:val="17"/>
        </w:rPr>
        <w:t xml:space="preserve">Graded D: this is a policy and consensus boundary, not a measured outcome difference. IHPBA 2021 records that it found no evidence to support transplantation in patients presenting with extrahepatic disease — an absence of evidence rather than evidence of harm — and every randomised and cohort series that reports survival excluded these patients by design, so no comparison exists.</w:t>
      </w:r>
    </w:p>
    <w:p>
      <w:pPr>
        <w:spacing w:after="60" w:line="276"/>
        <w:ind w:left="240"/>
      </w:pPr>
      <w:r>
        <w:rPr>
          <w:color w:val="5A6069"/>
          <w:sz w:val="16"/>
          <w:szCs w:val="16"/>
        </w:rPr>
        <w:t xml:space="preserve">Sources: IHPBA 2021</w:t>
      </w:r>
    </w:p>
    <w:p>
      <w:pPr>
        <w:spacing w:after="60" w:before="180"/>
      </w:pPr>
      <w:r>
        <w:rPr>
          <w:b/>
          <w:bCs/>
          <w:color w:val="8C2F26"/>
          <w:spacing w:val="16"/>
          <w:sz w:val="16"/>
          <w:szCs w:val="16"/>
        </w:rPr>
        <w:t xml:space="preserve">AVOID</w:t>
      </w:r>
      <w:r>
        <w:rPr>
          <w:color w:val="5A6069"/>
          <w:sz w:val="16"/>
          <w:szCs w:val="16"/>
        </w:rPr>
        <w:t xml:space="preserve">   grade D</w:t>
      </w:r>
    </w:p>
    <w:p>
      <w:pPr>
        <w:spacing w:after="60" w:line="276"/>
      </w:pPr>
      <w:r>
        <w:rPr>
          <w:color w:val="15181F"/>
          <w:sz w:val="19"/>
          <w:szCs w:val="19"/>
        </w:rPr>
        <w:t xml:space="preserve">Ad hoc listing without auditable criteria, a defined graft strategy or a recurrence plan.</w:t>
      </w:r>
    </w:p>
    <w:p>
      <w:pPr>
        <w:spacing w:after="50" w:line="276"/>
        <w:ind w:left="240"/>
      </w:pPr>
      <w:r>
        <w:rPr>
          <w:color w:val="15181F"/>
          <w:sz w:val="18"/>
          <w:szCs w:val="18"/>
        </w:rPr>
        <w:t xml:space="preserve">A written protocol, a transplant-oncology MDT, a prospective registry and an agreed recurrence plan — the programme domain of the selection table.</w:t>
      </w:r>
    </w:p>
    <w:p>
      <w:pPr>
        <w:spacing w:after="50"/>
        <w:ind w:left="240"/>
      </w:pPr>
      <w:r>
        <w:rPr>
          <w:b/>
          <w:bCs/>
          <w:color w:val="8C2F26"/>
          <w:sz w:val="18"/>
          <w:szCs w:val="18"/>
        </w:rPr>
        <w:t xml:space="preserve">Caveat. </w:t>
      </w:r>
      <w:r>
        <w:rPr>
          <w:color w:val="15181F"/>
          <w:sz w:val="18"/>
          <w:szCs w:val="18"/>
        </w:rPr>
        <w:t xml:space="preserve">The roadmap names this the failure mode to avoid. A research or living-donor pathway outside the guidance criteria needs its own approved protocol and must not imply eligibility for this exception route.</w:t>
      </w:r>
    </w:p>
    <w:p>
      <w:pPr>
        <w:pBdr>
          <w:bottom w:val="single" w:color="D3DCE4" w:sz="6" w:space="1"/>
        </w:pBdr>
        <w:spacing w:after="80"/>
      </w:pPr>
    </w:p>
    <w:p>
      <w:pPr>
        <w:pStyle w:val="Heading2"/>
        <w:keepNext/>
        <w:pageBreakBefore/>
        <w:spacing w:after="110" w:before="240"/>
      </w:pPr>
      <w:r>
        <w:rPr>
          <w:rFonts w:ascii="Cambria" w:cs="Cambria" w:eastAsia="Cambria" w:hAnsi="Cambria"/>
          <w:b/>
          <w:bCs/>
          <w:color w:val="17365D"/>
          <w:sz w:val="26"/>
          <w:szCs w:val="26"/>
        </w:rPr>
        <w:t xml:space="preserve">5 · Control, not clearance</w:t>
      </w:r>
    </w:p>
    <w:p>
      <w:pPr>
        <w:spacing w:after="140"/>
      </w:pPr>
      <w:r>
        <w:rPr>
          <w:b/>
          <w:bCs/>
          <w:color w:val="176A87"/>
          <w:sz w:val="19"/>
          <w:szCs w:val="19"/>
        </w:rPr>
        <w:t xml:space="preserve">The question. </w:t>
      </w:r>
      <w:r>
        <w:rPr>
          <w:sz w:val="19"/>
          <w:szCs w:val="19"/>
        </w:rPr>
        <w:t xml:space="preserve">If clearance is off the table, what keeps this liver quiet without burning the next option?</w:t>
      </w:r>
    </w:p>
    <w:p>
      <w:pPr>
        <w:spacing w:after="60" w:before="160"/>
      </w:pPr>
      <w:r>
        <w:rPr>
          <w:b/>
          <w:bCs/>
          <w:color w:val="176A87"/>
          <w:spacing w:val="24"/>
          <w:sz w:val="15"/>
          <w:szCs w:val="15"/>
        </w:rPr>
        <w:t xml:space="preserve">ANY ONE OF THE FOLLOWING HAS TO BE IN HAND</w:t>
      </w:r>
    </w:p>
    <w:p>
      <w:pPr>
        <w:pStyle w:val="ListParagraph"/>
        <w:numPr>
          <w:ilvl w:val="0"/>
          <w:numId w:val="2"/>
        </w:numPr>
        <w:spacing w:after="60" w:line="268"/>
      </w:pPr>
      <w:r>
        <w:rPr>
          <w:color w:val="15181F"/>
          <w:sz w:val="18"/>
          <w:szCs w:val="18"/>
        </w:rPr>
        <w:t xml:space="preserve">Progression despite an appropriate systemic regimen — biologic unresectability, which surgery cannot correct</w:t>
      </w:r>
    </w:p>
    <w:p>
      <w:pPr>
        <w:pStyle w:val="ListParagraph"/>
        <w:numPr>
          <w:ilvl w:val="0"/>
          <w:numId w:val="2"/>
        </w:numPr>
        <w:spacing w:after="60" w:line="268"/>
      </w:pPr>
      <w:r>
        <w:rPr>
          <w:color w:val="15181F"/>
          <w:sz w:val="18"/>
          <w:szCs w:val="18"/>
        </w:rPr>
        <w:t xml:space="preserve">Liver-dominant refractory disease after at least one systemic line, where hepatic control rather than clearance is the goal</w:t>
      </w:r>
    </w:p>
    <w:p>
      <w:pPr>
        <w:pStyle w:val="ListParagraph"/>
        <w:numPr>
          <w:ilvl w:val="0"/>
          <w:numId w:val="2"/>
        </w:numPr>
        <w:spacing w:after="60" w:line="268"/>
      </w:pPr>
      <w:r>
        <w:rPr>
          <w:color w:val="15181F"/>
          <w:sz w:val="18"/>
          <w:szCs w:val="18"/>
        </w:rPr>
        <w:t xml:space="preserve">Oligoprogression in a patient otherwise controlled on systemic therapy</w:t>
      </w:r>
    </w:p>
    <w:p>
      <w:pPr>
        <w:pStyle w:val="ListParagraph"/>
        <w:numPr>
          <w:ilvl w:val="0"/>
          <w:numId w:val="2"/>
        </w:numPr>
        <w:spacing w:after="60" w:line="268"/>
      </w:pPr>
      <w:r>
        <w:rPr>
          <w:color w:val="15181F"/>
          <w:sz w:val="18"/>
          <w:szCs w:val="18"/>
        </w:rPr>
        <w:t xml:space="preserve">Reserve, parenchymal quality or frailty makes any clearance operation intolerable and recovery is not expected</w:t>
      </w:r>
    </w:p>
    <w:p>
      <w:pPr>
        <w:spacing w:after="80" w:line="276"/>
      </w:pPr>
      <w:r>
        <w:rPr>
          <w:color w:val="15181F"/>
          <w:sz w:val="20"/>
          <w:szCs w:val="20"/>
        </w:rPr>
        <w:t xml:space="preserve"/>
      </w:r>
    </w:p>
    <w:p>
      <w:pPr>
        <w:spacing w:after="60" w:before="180"/>
      </w:pPr>
      <w:r>
        <w:rPr>
          <w:b/>
          <w:bCs/>
          <w:color w:val="17365D"/>
          <w:spacing w:val="16"/>
          <w:sz w:val="16"/>
          <w:szCs w:val="16"/>
        </w:rPr>
        <w:t xml:space="preserve">STANDARD</w:t>
      </w:r>
      <w:r>
        <w:rPr>
          <w:color w:val="5A6069"/>
          <w:sz w:val="16"/>
          <w:szCs w:val="16"/>
        </w:rPr>
        <w:t xml:space="preserve">   grade D</w:t>
      </w:r>
    </w:p>
    <w:p>
      <w:pPr>
        <w:spacing w:after="60" w:line="276"/>
      </w:pPr>
      <w:r>
        <w:rPr>
          <w:color w:val="15181F"/>
          <w:sz w:val="19"/>
          <w:szCs w:val="19"/>
        </w:rPr>
        <w:t xml:space="preserve">Record the intent as control, name the reassessment date, and restage before repeating any procedure.</w:t>
      </w:r>
    </w:p>
    <w:p>
      <w:pPr>
        <w:spacing w:after="50" w:line="276"/>
        <w:ind w:left="240"/>
      </w:pPr>
      <w:r>
        <w:rPr>
          <w:color w:val="15181F"/>
          <w:sz w:val="18"/>
          <w:szCs w:val="18"/>
        </w:rPr>
        <w:t xml:space="preserve">Every control-intent decision: record the intended outcome, why the clearance alternatives do not fit, the systemic-treatment plan, the reassessment date and the next action. After progression or toxicity, restage and reconsider complete treatment rather than automatically repeating the same procedure.</w:t>
      </w:r>
    </w:p>
    <w:p>
      <w:pPr>
        <w:spacing w:after="50"/>
        <w:ind w:left="240"/>
      </w:pPr>
      <w:r>
        <w:rPr>
          <w:b/>
          <w:bCs/>
          <w:color w:val="8C2F26"/>
          <w:sz w:val="18"/>
          <w:szCs w:val="18"/>
        </w:rPr>
        <w:t xml:space="preserve">Caveat. </w:t>
      </w:r>
      <w:r>
        <w:rPr>
          <w:color w:val="15181F"/>
          <w:sz w:val="18"/>
          <w:szCs w:val="18"/>
        </w:rPr>
        <w:t xml:space="preserve">Do not run a universal ablation, SBRT, Y90, TACE, HAI, histotripsy ladder. An upfront alternative chosen for anatomy or organ reserve is not a post-progression second line, and there is no established priority between the transarterial options.</w:t>
      </w:r>
    </w:p>
    <w:p>
      <w:pPr>
        <w:spacing w:after="50" w:line="276"/>
        <w:ind w:left="240"/>
      </w:pPr>
      <w:r>
        <w:rPr>
          <w:i/>
          <w:iCs/>
          <w:color w:val="5A6069"/>
          <w:sz w:val="17"/>
          <w:szCs w:val="17"/>
        </w:rPr>
        <w:t xml:space="preserve">Protect what is left: remnant volume, vascular and biliary integrity, prior ablation zones, marrow and nutritional reserve, and the ability to treat recurrence. Clinical-trial eligibility is reassessed here too.</w:t>
      </w:r>
    </w:p>
    <w:p>
      <w:pPr>
        <w:spacing w:after="60" w:before="180"/>
      </w:pPr>
      <w:r>
        <w:rPr>
          <w:b/>
          <w:bCs/>
          <w:color w:val="176A87"/>
          <w:spacing w:val="16"/>
          <w:sz w:val="16"/>
          <w:szCs w:val="16"/>
        </w:rPr>
        <w:t xml:space="preserve">REASONABLE</w:t>
      </w:r>
      <w:r>
        <w:rPr>
          <w:color w:val="5A6069"/>
          <w:sz w:val="16"/>
          <w:szCs w:val="16"/>
        </w:rPr>
        <w:t xml:space="preserve">   grade B</w:t>
      </w:r>
    </w:p>
    <w:p>
      <w:pPr>
        <w:spacing w:after="100" w:line="276"/>
      </w:pPr>
      <w:r>
        <w:rPr>
          <w:i/>
          <w:iCs/>
          <w:color w:val="5A6069"/>
          <w:sz w:val="17"/>
          <w:szCs w:val="17"/>
        </w:rPr>
        <w:t xml:space="preserve">There is no established ladder and no proven priority between these options; sequence by what the liver and the arterial anatomy will tolerate, by whether a future clearance or transplant route must be protected, and by what the patient wants. Only Y90 in the second line and HAI against an obsolete comparator have randomised support, and neither improved overall survival in a modern control arm.</w:t>
      </w:r>
    </w:p>
    <w:p>
      <w:pPr>
        <w:spacing w:after="50" w:before="120"/>
        <w:ind w:left="240"/>
      </w:pPr>
      <w:r>
        <w:rPr>
          <w:b/>
          <w:bCs/>
          <w:color w:val="15181F"/>
          <w:sz w:val="19"/>
          <w:szCs w:val="19"/>
        </w:rPr>
        <w:t xml:space="preserve">Y90 radioembolisation, second line</w:t>
      </w:r>
      <w:r>
        <w:rPr>
          <w:color w:val="5A6069"/>
          <w:sz w:val="15"/>
          <w:szCs w:val="15"/>
        </w:rPr>
        <w:t xml:space="preserve">   grade B</w:t>
      </w:r>
    </w:p>
    <w:p>
      <w:pPr>
        <w:spacing w:after="50" w:line="276"/>
        <w:ind w:left="240"/>
      </w:pPr>
      <w:r>
        <w:rPr>
          <w:color w:val="15181F"/>
          <w:sz w:val="18"/>
          <w:szCs w:val="18"/>
        </w:rPr>
        <w:t xml:space="preserve">EPOCH randomised 428 patients with disease progressing on first-line therapy: progression-free survival 8.0 versus 7.2 months, HR 0.69 (0.54–0.88), and hepatic progression-free survival 9.1 versus 7.2 months, HR 0.59 (0.46–0.77), both co-primary endpoints met.</w:t>
      </w:r>
    </w:p>
    <w:p>
      <w:pPr>
        <w:spacing w:after="50" w:line="276"/>
        <w:ind w:left="240"/>
      </w:pPr>
      <w:r>
        <w:rPr>
          <w:color w:val="15181F"/>
          <w:sz w:val="18"/>
          <w:szCs w:val="18"/>
        </w:rPr>
        <w:t xml:space="preserve">Chemotherapy-resistant or refractory liver-dominant disease, after review of the systemic and complete-treatment options, where hepatic control is the goal.</w:t>
      </w:r>
    </w:p>
    <w:p>
      <w:pPr>
        <w:spacing w:after="50"/>
        <w:ind w:left="240"/>
      </w:pPr>
      <w:r>
        <w:rPr>
          <w:b/>
          <w:bCs/>
          <w:color w:val="8C2F26"/>
          <w:sz w:val="18"/>
          <w:szCs w:val="18"/>
        </w:rPr>
        <w:t xml:space="preserve">Caveat. </w:t>
      </w:r>
      <w:r>
        <w:rPr>
          <w:color w:val="15181F"/>
          <w:sz w:val="18"/>
          <w:szCs w:val="18"/>
        </w:rPr>
        <w:t xml:space="preserve">Do not offer it for survival: median overall survival was 14.0 versus 14.4 months, HR 1.07 (0.86–1.32). Grade 3 or worse events were 68.4% versus 49.3%, with three possibly related deaths from radiation-induced liver disease, hepatic failure and portal hypertension at 3 to 5 months — a real cost in hepatic reserve if later resection, ablation or transplantation is still conceivable. Assess any future HAI pathway before liver irradiation.</w:t>
      </w:r>
    </w:p>
    <w:p>
      <w:pPr>
        <w:spacing w:after="60" w:line="276"/>
        <w:ind w:left="240"/>
      </w:pPr>
      <w:r>
        <w:rPr>
          <w:color w:val="5A6069"/>
          <w:sz w:val="16"/>
          <w:szCs w:val="16"/>
        </w:rPr>
        <w:t xml:space="preserve">Sources: EPOCH; Hendlisz Y90; ASCO 2023</w:t>
      </w:r>
    </w:p>
    <w:p>
      <w:pPr>
        <w:spacing w:after="50" w:before="120"/>
        <w:ind w:left="240"/>
      </w:pPr>
      <w:r>
        <w:rPr>
          <w:b/>
          <w:bCs/>
          <w:color w:val="15181F"/>
          <w:sz w:val="19"/>
          <w:szCs w:val="19"/>
        </w:rPr>
        <w:t xml:space="preserve">TACE or DEBIRI</w:t>
      </w:r>
      <w:r>
        <w:rPr>
          <w:color w:val="5A6069"/>
          <w:sz w:val="15"/>
          <w:szCs w:val="15"/>
        </w:rPr>
        <w:t xml:space="preserve">   grade D</w:t>
      </w:r>
    </w:p>
    <w:p>
      <w:pPr>
        <w:spacing w:after="50" w:line="276"/>
        <w:ind w:left="240"/>
      </w:pPr>
      <w:r>
        <w:rPr>
          <w:color w:val="15181F"/>
          <w:sz w:val="18"/>
          <w:szCs w:val="18"/>
        </w:rPr>
        <w:t xml:space="preserve">May be considered in selected liver-dominant refractory CRLM by an experienced MDT. The only randomised data are a two-centre trial in 74 patients after two or three prior lines, which reported median overall survival 22 versus 15 months with DEBIRI against FOLFIRI (p=0.031) and progression-free survival 7 versus 4 months (p=0.006).</w:t>
      </w:r>
    </w:p>
    <w:p>
      <w:pPr>
        <w:spacing w:after="50" w:line="276"/>
        <w:ind w:left="240"/>
      </w:pPr>
      <w:r>
        <w:rPr>
          <w:color w:val="15181F"/>
          <w:sz w:val="18"/>
          <w:szCs w:val="18"/>
        </w:rPr>
        <w:t xml:space="preserve">Later-line selected hepatic control, or a trial, where reserve and biliary anatomy allow.</w:t>
      </w:r>
    </w:p>
    <w:p>
      <w:pPr>
        <w:spacing w:after="50"/>
        <w:ind w:left="240"/>
      </w:pPr>
      <w:r>
        <w:rPr>
          <w:b/>
          <w:bCs/>
          <w:color w:val="8C2F26"/>
          <w:sz w:val="18"/>
          <w:szCs w:val="18"/>
        </w:rPr>
        <w:t xml:space="preserve">Caveat. </w:t>
      </w:r>
      <w:r>
        <w:rPr>
          <w:color w:val="15181F"/>
          <w:sz w:val="18"/>
          <w:szCs w:val="18"/>
        </w:rPr>
        <w:t xml:space="preserve">It should not substitute for feasible resection or margin-complete ablation, and neither technical response nor debulking establishes curative benefit. Reserve and biliary infection risk matter.</w:t>
      </w:r>
    </w:p>
    <w:p>
      <w:pPr>
        <w:spacing w:after="60" w:line="276"/>
        <w:ind w:left="240"/>
      </w:pPr>
      <w:r>
        <w:rPr>
          <w:color w:val="5A6069"/>
          <w:sz w:val="16"/>
          <w:szCs w:val="16"/>
        </w:rPr>
        <w:t xml:space="preserve">Sources: DEBIRI</w:t>
      </w:r>
    </w:p>
    <w:p>
      <w:pPr>
        <w:spacing w:after="50" w:before="120"/>
        <w:ind w:left="240"/>
      </w:pPr>
      <w:r>
        <w:rPr>
          <w:b/>
          <w:bCs/>
          <w:color w:val="15181F"/>
          <w:sz w:val="19"/>
          <w:szCs w:val="19"/>
        </w:rPr>
        <w:t xml:space="preserve">SBRT for oligoprogression</w:t>
      </w:r>
      <w:r>
        <w:rPr>
          <w:color w:val="5A6069"/>
          <w:sz w:val="15"/>
          <w:szCs w:val="15"/>
        </w:rPr>
        <w:t xml:space="preserve">   grade C</w:t>
      </w:r>
    </w:p>
    <w:p>
      <w:pPr>
        <w:spacing w:after="50" w:line="276"/>
        <w:ind w:left="240"/>
      </w:pPr>
      <w:r>
        <w:rPr>
          <w:color w:val="15181F"/>
          <w:sz w:val="18"/>
          <w:szCs w:val="18"/>
        </w:rPr>
        <w:t xml:space="preserve">SBRT can also treat oligoprogression with a control goal, and is not restricted to use after failed embolisation.</w:t>
      </w:r>
    </w:p>
    <w:p>
      <w:pPr>
        <w:spacing w:after="50" w:line="276"/>
        <w:ind w:left="240"/>
      </w:pPr>
      <w:r>
        <w:rPr>
          <w:color w:val="15181F"/>
          <w:sz w:val="18"/>
          <w:szCs w:val="18"/>
        </w:rPr>
        <w:t xml:space="preserve">One or a few progressing deposits in a patient otherwise controlled, where safe ablative dosing is feasible and the rest of the disease is quiet.</w:t>
      </w:r>
    </w:p>
    <w:p>
      <w:pPr>
        <w:spacing w:after="50"/>
        <w:ind w:left="240"/>
      </w:pPr>
      <w:r>
        <w:rPr>
          <w:b/>
          <w:bCs/>
          <w:color w:val="8C2F26"/>
          <w:sz w:val="18"/>
          <w:szCs w:val="18"/>
        </w:rPr>
        <w:t xml:space="preserve">Caveat. </w:t>
      </w:r>
      <w:r>
        <w:rPr>
          <w:color w:val="15181F"/>
          <w:sz w:val="18"/>
          <w:szCs w:val="18"/>
        </w:rPr>
        <w:t xml:space="preserve">Insufficient uninvolved liver or an unsafe normal-organ dose; and do not label the result clearance.</w:t>
      </w:r>
    </w:p>
    <w:p>
      <w:pPr>
        <w:spacing w:after="60" w:line="276"/>
        <w:ind w:left="240"/>
      </w:pPr>
      <w:r>
        <w:rPr>
          <w:color w:val="5A6069"/>
          <w:sz w:val="16"/>
          <w:szCs w:val="16"/>
        </w:rPr>
        <w:t xml:space="preserve">Sources: SABR-COMET long-term</w:t>
      </w:r>
    </w:p>
    <w:p>
      <w:pPr>
        <w:spacing w:after="50" w:before="120"/>
        <w:ind w:left="240"/>
      </w:pPr>
      <w:r>
        <w:rPr>
          <w:b/>
          <w:bCs/>
          <w:color w:val="15181F"/>
          <w:sz w:val="19"/>
          <w:szCs w:val="19"/>
        </w:rPr>
        <w:t xml:space="preserve">Hepatic arterial infusion for unresectable liver-only disease</w:t>
      </w:r>
      <w:r>
        <w:rPr>
          <w:color w:val="5A6069"/>
          <w:sz w:val="15"/>
          <w:szCs w:val="15"/>
        </w:rPr>
        <w:t xml:space="preserve">   grade C</w:t>
      </w:r>
      <w:r>
        <w:rPr>
          <w:b/>
          <w:bCs/>
          <w:color w:val="8E5008"/>
          <w:spacing w:val="12"/>
          <w:sz w:val="14"/>
          <w:szCs w:val="14"/>
        </w:rPr>
        <w:t xml:space="preserve">   EXPERTISE</w:t>
      </w:r>
    </w:p>
    <w:p>
      <w:pPr>
        <w:spacing w:after="50" w:line="276"/>
        <w:ind w:left="240"/>
      </w:pPr>
      <w:r>
        <w:rPr>
          <w:color w:val="15181F"/>
          <w:sz w:val="18"/>
          <w:szCs w:val="18"/>
        </w:rPr>
        <w:t xml:space="preserve">CALGB 9481 randomised 135 patients with unresectable liver-only disease: median overall survival 24.4 versus 20.0 months (p=0.0034), hepatic response 47% versus 24% and time to hepatic progression 9.8 versus 7.3 months.</w:t>
      </w:r>
    </w:p>
    <w:p>
      <w:pPr>
        <w:spacing w:after="50" w:line="276"/>
        <w:ind w:left="240"/>
      </w:pPr>
      <w:r>
        <w:rPr>
          <w:color w:val="15181F"/>
          <w:sz w:val="18"/>
          <w:szCs w:val="18"/>
        </w:rPr>
        <w:t xml:space="preserve">Liver-only disease at a credentialed pump centre where hepatic control is the objective and conversion has not been achieved.</w:t>
      </w:r>
    </w:p>
    <w:p>
      <w:pPr>
        <w:spacing w:after="50"/>
        <w:ind w:left="240"/>
      </w:pPr>
      <w:r>
        <w:rPr>
          <w:b/>
          <w:bCs/>
          <w:color w:val="8C2F26"/>
          <w:sz w:val="18"/>
          <w:szCs w:val="18"/>
        </w:rPr>
        <w:t xml:space="preserve">Caveat. </w:t>
      </w:r>
      <w:r>
        <w:rPr>
          <w:color w:val="15181F"/>
          <w:sz w:val="18"/>
          <w:szCs w:val="18"/>
        </w:rPr>
        <w:t xml:space="preserve">No pump programme, extrahepatic disease, prior liver radiation or concurrent VEGF inhibition. Time to extrahepatic progression was shorter with HAI (7.7 versus 14.8 months) and overall time to progression did not differ, so the survival claim rests entirely on hepatic control.</w:t>
      </w:r>
    </w:p>
    <w:p>
      <w:pPr>
        <w:spacing w:after="60" w:line="276"/>
        <w:ind w:left="240"/>
      </w:pPr>
      <w:r>
        <w:rPr>
          <w:color w:val="5A6069"/>
          <w:sz w:val="16"/>
          <w:szCs w:val="16"/>
        </w:rPr>
        <w:t xml:space="preserve">Sources: CALGB 9481</w:t>
      </w:r>
    </w:p>
    <w:p>
      <w:pPr>
        <w:spacing w:after="60" w:line="276"/>
        <w:ind w:left="240"/>
      </w:pPr>
      <w:r>
        <w:rPr>
          <w:i/>
          <w:iCs/>
          <w:color w:val="5A6069"/>
          <w:sz w:val="16"/>
          <w:szCs w:val="16"/>
        </w:rPr>
        <w:t xml:space="preserve">Interventional radiology must ratify that transarterial therapy is labelled regional control rather than clearance and is not first line, and radiation oncology must define response interpretation, cumulative radiation records and review of HAI eligibility before liver radiation.</w:t>
      </w:r>
    </w:p>
    <w:p>
      <w:pPr>
        <w:spacing w:after="60" w:before="180"/>
      </w:pPr>
      <w:r>
        <w:rPr>
          <w:b/>
          <w:bCs/>
          <w:color w:val="8C2F26"/>
          <w:spacing w:val="16"/>
          <w:sz w:val="16"/>
          <w:szCs w:val="16"/>
        </w:rPr>
        <w:t xml:space="preserve">AVOID</w:t>
      </w:r>
      <w:r>
        <w:rPr>
          <w:color w:val="5A6069"/>
          <w:sz w:val="16"/>
          <w:szCs w:val="16"/>
        </w:rPr>
        <w:t xml:space="preserve">   grade D</w:t>
      </w:r>
    </w:p>
    <w:p>
      <w:pPr>
        <w:spacing w:after="60" w:line="276"/>
      </w:pPr>
      <w:r>
        <w:rPr>
          <w:color w:val="15181F"/>
          <w:sz w:val="19"/>
          <w:szCs w:val="19"/>
        </w:rPr>
        <w:t xml:space="preserve">Histotripsy outside a prospective trial or institutional registry.</w:t>
      </w:r>
    </w:p>
    <w:p>
      <w:pPr>
        <w:spacing w:after="50" w:line="276"/>
        <w:ind w:left="240"/>
      </w:pPr>
      <w:r>
        <w:rPr>
          <w:color w:val="15181F"/>
          <w:sz w:val="18"/>
          <w:szCs w:val="18"/>
        </w:rPr>
        <w:t xml:space="preserve">Only under a protocol or mandatory outcomes registry, with explicit consent about oncologic uncertainty, suitable ultrasound visibility and acoustic access, a device-compliant target size and depth, and an independent standard-treatment review.</w:t>
      </w:r>
    </w:p>
    <w:p>
      <w:pPr>
        <w:spacing w:after="50"/>
        <w:ind w:left="240"/>
      </w:pPr>
      <w:r>
        <w:rPr>
          <w:b/>
          <w:bCs/>
          <w:color w:val="8C2F26"/>
          <w:sz w:val="18"/>
          <w:szCs w:val="18"/>
        </w:rPr>
        <w:t xml:space="preserve">Caveat. </w:t>
      </w:r>
      <w:r>
        <w:rPr>
          <w:color w:val="15181F"/>
          <w:sz w:val="18"/>
          <w:szCs w:val="18"/>
        </w:rPr>
        <w:t xml:space="preserve">There is no tumour-specific curative evidence in CRLM. FDA device clearance for tumour destruction does not establish survival benefit or equivalence to established ablation; the HOPE4LIVER one-year update in 47 patients with 52 tumours reported local control of 63.4% on its prespecified primary core-laboratory assessment against 90% on a post hoc read made once all one-year imaging was available, with the two reads agreeing only 71–84% of the time. Median treated tumour diameter was 1.3 cm, 88% of tumours lay in segments II to IV and none in VII or VIII, 12-month overall survival among the metastatic patients was 48.6%, and treatments after day 30 were not tracked so no progression-free survival exists. A bridge-to-transplant use remains protocol-based, and a technical response does not establish transplant eligibility.</w:t>
      </w:r>
    </w:p>
    <w:p>
      <w:pPr>
        <w:spacing w:after="50" w:line="276"/>
        <w:ind w:left="240"/>
      </w:pPr>
      <w:r>
        <w:rPr>
          <w:i/>
          <w:iCs/>
          <w:color w:val="5A6069"/>
          <w:sz w:val="17"/>
          <w:szCs w:val="17"/>
        </w:rPr>
        <w:t xml:space="preserve">Do not count technical success as proven complete oncologic clearance. Single-arm with no comparator, funded by the device manufacturer, in a population that was 94% multifocal with half the metastatic patients carrying extrahepatic disease.</w:t>
      </w:r>
    </w:p>
    <w:p>
      <w:pPr>
        <w:spacing w:after="60" w:line="276"/>
        <w:ind w:left="240"/>
      </w:pPr>
      <w:r>
        <w:rPr>
          <w:color w:val="5A6069"/>
          <w:sz w:val="16"/>
          <w:szCs w:val="16"/>
        </w:rPr>
        <w:t xml:space="preserve">Sources: #HOPE4LIVER one-year</w:t>
      </w:r>
    </w:p>
    <w:p>
      <w:pPr>
        <w:spacing w:after="60" w:before="180"/>
      </w:pPr>
      <w:r>
        <w:rPr>
          <w:b/>
          <w:bCs/>
          <w:color w:val="8C2F26"/>
          <w:spacing w:val="16"/>
          <w:sz w:val="16"/>
          <w:szCs w:val="16"/>
        </w:rPr>
        <w:t xml:space="preserve">AVOID</w:t>
      </w:r>
      <w:r>
        <w:rPr>
          <w:color w:val="5A6069"/>
          <w:sz w:val="16"/>
          <w:szCs w:val="16"/>
        </w:rPr>
        <w:t xml:space="preserve">   grade D</w:t>
      </w:r>
    </w:p>
    <w:p>
      <w:pPr>
        <w:spacing w:after="60" w:line="276"/>
      </w:pPr>
      <w:r>
        <w:rPr>
          <w:color w:val="15181F"/>
          <w:sz w:val="19"/>
          <w:szCs w:val="19"/>
        </w:rPr>
        <w:t xml:space="preserve">Extrapolating HCC segmentectomy cure claims, or any complete radiographic response, to oncologic clearance in CRLM.</w:t>
      </w:r>
    </w:p>
    <w:p>
      <w:pPr>
        <w:spacing w:after="50" w:line="276"/>
        <w:ind w:left="240"/>
      </w:pPr>
      <w:r>
        <w:rPr>
          <w:color w:val="15181F"/>
          <w:sz w:val="18"/>
          <w:szCs w:val="18"/>
        </w:rPr>
        <w:t xml:space="preserve">Nothing. Local control, complete radiographic response, complete pathologic necrosis in a treated lesion and overall survival are different outcomes, and bridge or downstaging treatment is recorded separately from definitive local treatment.</w:t>
      </w:r>
    </w:p>
    <w:p>
      <w:pPr>
        <w:spacing w:after="50"/>
        <w:ind w:left="240"/>
      </w:pPr>
      <w:r>
        <w:rPr>
          <w:b/>
          <w:bCs/>
          <w:color w:val="8C2F26"/>
          <w:sz w:val="18"/>
          <w:szCs w:val="18"/>
        </w:rPr>
        <w:t xml:space="preserve">Caveat. </w:t>
      </w:r>
      <w:r>
        <w:rPr>
          <w:color w:val="15181F"/>
          <w:sz w:val="18"/>
          <w:szCs w:val="18"/>
        </w:rPr>
        <w:t xml:space="preserve">Curative segmentectomy evidence is not established in CRLM, and a local complete response is not an automatic transplant exception.</w:t>
      </w:r>
    </w:p>
    <w:p>
      <w:pPr>
        <w:pBdr>
          <w:bottom w:val="single" w:color="D3DCE4" w:sz="6" w:space="1"/>
        </w:pBdr>
        <w:spacing w:after="80"/>
      </w:pPr>
    </w:p>
    <w:p>
      <w:pPr>
        <w:pStyle w:val="Heading1"/>
        <w:keepNext/>
        <w:pageBreakBefore/>
        <w:spacing w:after="110" w:before="320"/>
      </w:pPr>
      <w:r>
        <w:rPr>
          <w:rFonts w:ascii="Cambria" w:cs="Cambria" w:eastAsia="Cambria" w:hAnsi="Cambria"/>
          <w:b/>
          <w:bCs/>
          <w:color w:val="17365D"/>
          <w:sz w:val="32"/>
          <w:szCs w:val="32"/>
        </w:rPr>
        <w:t xml:space="preserve">Quick reference</w:t>
      </w:r>
    </w:p>
    <w:p>
      <w:pPr>
        <w:pStyle w:val="Heading3"/>
        <w:keepNext/>
        <w:spacing w:after="110" w:before="240"/>
      </w:pPr>
      <w:r>
        <w:rPr>
          <w:rFonts w:ascii="Cambria" w:cs="Cambria" w:eastAsia="Cambria" w:hAnsi="Cambria"/>
          <w:b/>
          <w:bCs/>
          <w:color w:val="17365D"/>
          <w:sz w:val="22"/>
          <w:szCs w:val="22"/>
        </w:rPr>
        <w:t xml:space="preserve">Fong clinical risk score</w:t>
      </w:r>
    </w:p>
    <w:p>
      <w:pPr>
        <w:spacing w:after="120" w:line="276"/>
      </w:pPr>
      <w:r>
        <w:rPr>
          <w:i/>
          <w:iCs/>
          <w:color w:val="5A6069"/>
          <w:sz w:val="18"/>
          <w:szCs w:val="18"/>
        </w:rPr>
        <w:t xml:space="preserve">Five preoperative factors, one point each, for stratifying outcome after resection of colorectal liver metastases.</w:t>
      </w:r>
    </w:p>
    <w:tbl>
      <w:tblPr>
        <w:tblW w:type="dxa" w:w="9360"/>
        <w:tblBorders>
          <w:top w:val="single" w:color="D3DCE4" w:sz="4"/>
          <w:left w:val="single" w:color="D3DCE4" w:sz="4"/>
          <w:bottom w:val="single" w:color="D3DCE4" w:sz="4"/>
          <w:right w:val="single" w:color="D3DCE4" w:sz="4"/>
          <w:insideH w:val="single" w:color="D3DCE4" w:sz="4"/>
          <w:insideV w:val="single" w:color="D3DCE4" w:sz="4"/>
        </w:tblBorders>
      </w:tblPr>
      <w:tblGrid>
        <w:gridCol w:w="4100"/>
        <w:gridCol w:w="5260"/>
      </w:tblGrid>
      <w:tr>
        <w:trPr>
          <w:cantSplit/>
        </w:trPr>
        <w:tc>
          <w:tcPr>
            <w:tcW w:type="dxa" w:w="4100"/>
            <w:tcMar>
              <w:top w:type="dxa" w:w="70"/>
              <w:left w:type="dxa" w:w="110"/>
              <w:bottom w:type="dxa" w:w="70"/>
              <w:right w:type="dxa" w:w="110"/>
            </w:tcMar>
            <w:vAlign w:val="top"/>
          </w:tcPr>
          <w:p>
            <w:pPr>
              <w:spacing w:after="0" w:line="276"/>
            </w:pPr>
            <w:r>
              <w:rPr>
                <w:b/>
                <w:bCs/>
                <w:color w:val="15181F"/>
                <w:sz w:val="17"/>
                <w:szCs w:val="17"/>
              </w:rPr>
              <w:t xml:space="preserve">Node-positive primary</w:t>
            </w:r>
          </w:p>
        </w:tc>
        <w:tc>
          <w:tcPr>
            <w:tcW w:type="dxa" w:w="5260"/>
            <w:tcMar>
              <w:top w:type="dxa" w:w="70"/>
              <w:left w:type="dxa" w:w="110"/>
              <w:bottom w:type="dxa" w:w="70"/>
              <w:right w:type="dxa" w:w="110"/>
            </w:tcMar>
            <w:vAlign w:val="top"/>
          </w:tcPr>
          <w:p>
            <w:pPr>
              <w:spacing w:after="0" w:line="276"/>
            </w:pPr>
            <w:r>
              <w:rPr>
                <w:color w:val="15181F"/>
                <w:sz w:val="17"/>
                <w:szCs w:val="17"/>
              </w:rPr>
              <w:t xml:space="preserve">1</w:t>
            </w:r>
          </w:p>
        </w:tc>
      </w:tr>
      <w:tr>
        <w:trPr>
          <w:cantSplit/>
        </w:trPr>
        <w:tc>
          <w:tcPr>
            <w:tcW w:type="dxa" w:w="4100"/>
            <w:shd w:fill="F1F4F8" w:color="auto" w:val="clear"/>
            <w:tcMar>
              <w:top w:type="dxa" w:w="70"/>
              <w:left w:type="dxa" w:w="110"/>
              <w:bottom w:type="dxa" w:w="70"/>
              <w:right w:type="dxa" w:w="110"/>
            </w:tcMar>
            <w:vAlign w:val="top"/>
          </w:tcPr>
          <w:p>
            <w:pPr>
              <w:spacing w:after="0" w:line="276"/>
            </w:pPr>
            <w:r>
              <w:rPr>
                <w:b/>
                <w:bCs/>
                <w:color w:val="15181F"/>
                <w:sz w:val="17"/>
                <w:szCs w:val="17"/>
              </w:rPr>
              <w:t xml:space="preserve">Disease-free interval under 12 months</w:t>
            </w:r>
          </w:p>
        </w:tc>
        <w:tc>
          <w:tcPr>
            <w:tcW w:type="dxa" w:w="5260"/>
            <w:shd w:fill="F1F4F8" w:color="auto" w:val="clear"/>
            <w:tcMar>
              <w:top w:type="dxa" w:w="70"/>
              <w:left w:type="dxa" w:w="110"/>
              <w:bottom w:type="dxa" w:w="70"/>
              <w:right w:type="dxa" w:w="110"/>
            </w:tcMar>
            <w:vAlign w:val="top"/>
          </w:tcPr>
          <w:p>
            <w:pPr>
              <w:spacing w:after="0" w:line="276"/>
            </w:pPr>
            <w:r>
              <w:rPr>
                <w:color w:val="15181F"/>
                <w:sz w:val="17"/>
                <w:szCs w:val="17"/>
              </w:rPr>
              <w:t xml:space="preserve">1</w:t>
            </w:r>
          </w:p>
        </w:tc>
      </w:tr>
      <w:tr>
        <w:trPr>
          <w:cantSplit/>
        </w:trPr>
        <w:tc>
          <w:tcPr>
            <w:tcW w:type="dxa" w:w="4100"/>
            <w:tcMar>
              <w:top w:type="dxa" w:w="70"/>
              <w:left w:type="dxa" w:w="110"/>
              <w:bottom w:type="dxa" w:w="70"/>
              <w:right w:type="dxa" w:w="110"/>
            </w:tcMar>
            <w:vAlign w:val="top"/>
          </w:tcPr>
          <w:p>
            <w:pPr>
              <w:spacing w:after="0" w:line="276"/>
            </w:pPr>
            <w:r>
              <w:rPr>
                <w:b/>
                <w:bCs/>
                <w:color w:val="15181F"/>
                <w:sz w:val="17"/>
                <w:szCs w:val="17"/>
              </w:rPr>
              <w:t xml:space="preserve">More than one hepatic tumour</w:t>
            </w:r>
          </w:p>
        </w:tc>
        <w:tc>
          <w:tcPr>
            <w:tcW w:type="dxa" w:w="5260"/>
            <w:tcMar>
              <w:top w:type="dxa" w:w="70"/>
              <w:left w:type="dxa" w:w="110"/>
              <w:bottom w:type="dxa" w:w="70"/>
              <w:right w:type="dxa" w:w="110"/>
            </w:tcMar>
            <w:vAlign w:val="top"/>
          </w:tcPr>
          <w:p>
            <w:pPr>
              <w:spacing w:after="0" w:line="276"/>
            </w:pPr>
            <w:r>
              <w:rPr>
                <w:color w:val="15181F"/>
                <w:sz w:val="17"/>
                <w:szCs w:val="17"/>
              </w:rPr>
              <w:t xml:space="preserve">1</w:t>
            </w:r>
          </w:p>
        </w:tc>
      </w:tr>
      <w:tr>
        <w:trPr>
          <w:cantSplit/>
        </w:trPr>
        <w:tc>
          <w:tcPr>
            <w:tcW w:type="dxa" w:w="4100"/>
            <w:shd w:fill="F1F4F8" w:color="auto" w:val="clear"/>
            <w:tcMar>
              <w:top w:type="dxa" w:w="70"/>
              <w:left w:type="dxa" w:w="110"/>
              <w:bottom w:type="dxa" w:w="70"/>
              <w:right w:type="dxa" w:w="110"/>
            </w:tcMar>
            <w:vAlign w:val="top"/>
          </w:tcPr>
          <w:p>
            <w:pPr>
              <w:spacing w:after="0" w:line="276"/>
            </w:pPr>
            <w:r>
              <w:rPr>
                <w:b/>
                <w:bCs/>
                <w:color w:val="15181F"/>
                <w:sz w:val="17"/>
                <w:szCs w:val="17"/>
              </w:rPr>
              <w:t xml:space="preserve">Largest tumour over 5 cm</w:t>
            </w:r>
          </w:p>
        </w:tc>
        <w:tc>
          <w:tcPr>
            <w:tcW w:type="dxa" w:w="5260"/>
            <w:shd w:fill="F1F4F8" w:color="auto" w:val="clear"/>
            <w:tcMar>
              <w:top w:type="dxa" w:w="70"/>
              <w:left w:type="dxa" w:w="110"/>
              <w:bottom w:type="dxa" w:w="70"/>
              <w:right w:type="dxa" w:w="110"/>
            </w:tcMar>
            <w:vAlign w:val="top"/>
          </w:tcPr>
          <w:p>
            <w:pPr>
              <w:spacing w:after="0" w:line="276"/>
            </w:pPr>
            <w:r>
              <w:rPr>
                <w:color w:val="15181F"/>
                <w:sz w:val="17"/>
                <w:szCs w:val="17"/>
              </w:rPr>
              <w:t xml:space="preserve">1</w:t>
            </w:r>
          </w:p>
        </w:tc>
      </w:tr>
      <w:tr>
        <w:trPr>
          <w:cantSplit/>
        </w:trPr>
        <w:tc>
          <w:tcPr>
            <w:tcW w:type="dxa" w:w="4100"/>
            <w:tcMar>
              <w:top w:type="dxa" w:w="70"/>
              <w:left w:type="dxa" w:w="110"/>
              <w:bottom w:type="dxa" w:w="70"/>
              <w:right w:type="dxa" w:w="110"/>
            </w:tcMar>
            <w:vAlign w:val="top"/>
          </w:tcPr>
          <w:p>
            <w:pPr>
              <w:spacing w:after="0" w:line="276"/>
            </w:pPr>
            <w:r>
              <w:rPr>
                <w:b/>
                <w:bCs/>
                <w:color w:val="15181F"/>
                <w:sz w:val="17"/>
                <w:szCs w:val="17"/>
              </w:rPr>
              <w:t xml:space="preserve">CEA over 200 ng/mL</w:t>
            </w:r>
          </w:p>
        </w:tc>
        <w:tc>
          <w:tcPr>
            <w:tcW w:type="dxa" w:w="5260"/>
            <w:tcMar>
              <w:top w:type="dxa" w:w="70"/>
              <w:left w:type="dxa" w:w="110"/>
              <w:bottom w:type="dxa" w:w="70"/>
              <w:right w:type="dxa" w:w="110"/>
            </w:tcMar>
            <w:vAlign w:val="top"/>
          </w:tcPr>
          <w:p>
            <w:pPr>
              <w:spacing w:after="0" w:line="276"/>
            </w:pPr>
            <w:r>
              <w:rPr>
                <w:color w:val="15181F"/>
                <w:sz w:val="17"/>
                <w:szCs w:val="17"/>
              </w:rPr>
              <w:t xml:space="preserve">1</w:t>
            </w:r>
          </w:p>
        </w:tc>
      </w:tr>
    </w:tbl>
    <w:p>
      <w:pPr>
        <w:spacing w:after="200" w:line="276"/>
      </w:pPr>
      <w:r>
        <w:rPr>
          <w:i/>
          <w:iCs/>
          <w:color w:val="5A6069"/>
          <w:sz w:val="16"/>
          <w:szCs w:val="16"/>
        </w:rPr>
        <w:t xml:space="preserve">Five-year survival falls from 60% at score 0 (n=52) to 44% at 1, 40% at 2, 20% at 3, 25% at 4 and 14% at 5 (n=14); median survival 74, 51, 47, 33, 20 and 22 months. No patient scoring 5 survived five years. Positive margin and extrahepatic disease were deliberately left out — they are not known preoperatively — and the authors treat both as contraindications to resection (5-year survival 20% and 18%). The score stratifies outcome; it does not by itself determine operability, and in the published discussion Bismuth and Blumgart both noted that about 20% five-year survival with three or more factors still beats the alternative. The five factors are weighted equally although their hazard ratios ranged from 1.3 to 1.5, the score is non-monotonic between 3 and 4 points, and the extreme groups hold 52 and 14 patients, so those two estimates are imprecise. A discussant in the same issue argued that CEA and nodal status double-count tumour burden and disease-free interval.</w:t>
      </w:r>
    </w:p>
    <w:p>
      <w:pPr>
        <w:pStyle w:val="Heading3"/>
        <w:keepNext/>
        <w:spacing w:after="110" w:before="240"/>
      </w:pPr>
      <w:r>
        <w:rPr>
          <w:rFonts w:ascii="Cambria" w:cs="Cambria" w:eastAsia="Cambria" w:hAnsi="Cambria"/>
          <w:b/>
          <w:bCs/>
          <w:color w:val="17365D"/>
          <w:sz w:val="22"/>
          <w:szCs w:val="22"/>
        </w:rPr>
        <w:t xml:space="preserve">The three axes of unresectability</w:t>
      </w:r>
    </w:p>
    <w:p>
      <w:pPr>
        <w:spacing w:after="120" w:line="276"/>
      </w:pPr>
      <w:r>
        <w:rPr>
          <w:i/>
          <w:iCs/>
          <w:color w:val="5A6069"/>
          <w:sz w:val="18"/>
          <w:szCs w:val="18"/>
        </w:rPr>
        <w:t xml:space="preserve">The roadmap's governing definition: the three axes are assessed separately because they differ in reversibility, and an operation may be anatomically feasible yet oncologically futile or physiologically intolerable.</w:t>
      </w:r>
    </w:p>
    <w:tbl>
      <w:tblPr>
        <w:tblW w:type="dxa" w:w="9360"/>
        <w:tblBorders>
          <w:top w:val="single" w:color="D3DCE4" w:sz="4"/>
          <w:left w:val="single" w:color="D3DCE4" w:sz="4"/>
          <w:bottom w:val="single" w:color="D3DCE4" w:sz="4"/>
          <w:right w:val="single" w:color="D3DCE4" w:sz="4"/>
          <w:insideH w:val="single" w:color="D3DCE4" w:sz="4"/>
          <w:insideV w:val="single" w:color="D3DCE4" w:sz="4"/>
        </w:tblBorders>
      </w:tblPr>
      <w:tblGrid>
        <w:gridCol w:w="4100"/>
        <w:gridCol w:w="5260"/>
      </w:tblGrid>
      <w:tr>
        <w:trPr>
          <w:cantSplit/>
        </w:trPr>
        <w:tc>
          <w:tcPr>
            <w:tcW w:type="dxa" w:w="4100"/>
            <w:tcMar>
              <w:top w:type="dxa" w:w="70"/>
              <w:left w:type="dxa" w:w="110"/>
              <w:bottom w:type="dxa" w:w="70"/>
              <w:right w:type="dxa" w:w="110"/>
            </w:tcMar>
            <w:vAlign w:val="top"/>
          </w:tcPr>
          <w:p>
            <w:pPr>
              <w:spacing w:after="0" w:line="276"/>
            </w:pPr>
            <w:r>
              <w:rPr>
                <w:b/>
                <w:bCs/>
                <w:color w:val="15181F"/>
                <w:sz w:val="17"/>
                <w:szCs w:val="17"/>
              </w:rPr>
              <w:t xml:space="preserve">Anatomic — disease cannot be cleared while preserving inflow, outflow, biliary drainage and an adequate functional remnant</w:t>
            </w:r>
          </w:p>
        </w:tc>
        <w:tc>
          <w:tcPr>
            <w:tcW w:type="dxa" w:w="5260"/>
            <w:tcMar>
              <w:top w:type="dxa" w:w="70"/>
              <w:left w:type="dxa" w:w="110"/>
              <w:bottom w:type="dxa" w:w="70"/>
              <w:right w:type="dxa" w:w="110"/>
            </w:tcMar>
            <w:vAlign w:val="top"/>
          </w:tcPr>
          <w:p>
            <w:pPr>
              <w:spacing w:after="0" w:line="276"/>
            </w:pPr>
            <w:r>
              <w:rPr>
                <w:color w:val="15181F"/>
                <w:sz w:val="17"/>
                <w:szCs w:val="17"/>
              </w:rPr>
              <w:t xml:space="preserve">Often reversible, by augmentation, conversion therapy or staged surgery. Pursue Phase 2 strategies before concluding unresectability.</w:t>
            </w:r>
          </w:p>
        </w:tc>
      </w:tr>
      <w:tr>
        <w:trPr>
          <w:cantSplit/>
        </w:trPr>
        <w:tc>
          <w:tcPr>
            <w:tcW w:type="dxa" w:w="4100"/>
            <w:shd w:fill="F1F4F8" w:color="auto" w:val="clear"/>
            <w:tcMar>
              <w:top w:type="dxa" w:w="70"/>
              <w:left w:type="dxa" w:w="110"/>
              <w:bottom w:type="dxa" w:w="70"/>
              <w:right w:type="dxa" w:w="110"/>
            </w:tcMar>
            <w:vAlign w:val="top"/>
          </w:tcPr>
          <w:p>
            <w:pPr>
              <w:spacing w:after="0" w:line="276"/>
            </w:pPr>
            <w:r>
              <w:rPr>
                <w:b/>
                <w:bCs/>
                <w:color w:val="15181F"/>
                <w:sz w:val="17"/>
                <w:szCs w:val="17"/>
              </w:rPr>
              <w:t xml:space="preserve">Biologic — progression despite an appropriate systemic regimen</w:t>
            </w:r>
          </w:p>
        </w:tc>
        <w:tc>
          <w:tcPr>
            <w:tcW w:type="dxa" w:w="5260"/>
            <w:shd w:fill="F1F4F8" w:color="auto" w:val="clear"/>
            <w:tcMar>
              <w:top w:type="dxa" w:w="70"/>
              <w:left w:type="dxa" w:w="110"/>
              <w:bottom w:type="dxa" w:w="70"/>
              <w:right w:type="dxa" w:w="110"/>
            </w:tcMar>
            <w:vAlign w:val="top"/>
          </w:tcPr>
          <w:p>
            <w:pPr>
              <w:spacing w:after="0" w:line="276"/>
            </w:pPr>
            <w:r>
              <w:rPr>
                <w:color w:val="15181F"/>
                <w:sz w:val="17"/>
                <w:szCs w:val="17"/>
              </w:rPr>
              <w:t xml:space="preserve">Not reversible: surgery cannot correct biology. Redirect; a larger operation is not the answer to progressive disease.</w:t>
            </w:r>
          </w:p>
        </w:tc>
      </w:tr>
      <w:tr>
        <w:trPr>
          <w:cantSplit/>
        </w:trPr>
        <w:tc>
          <w:tcPr>
            <w:tcW w:type="dxa" w:w="4100"/>
            <w:tcMar>
              <w:top w:type="dxa" w:w="70"/>
              <w:left w:type="dxa" w:w="110"/>
              <w:bottom w:type="dxa" w:w="70"/>
              <w:right w:type="dxa" w:w="110"/>
            </w:tcMar>
            <w:vAlign w:val="top"/>
          </w:tcPr>
          <w:p>
            <w:pPr>
              <w:spacing w:after="0" w:line="276"/>
            </w:pPr>
            <w:r>
              <w:rPr>
                <w:b/>
                <w:bCs/>
                <w:color w:val="15181F"/>
                <w:sz w:val="17"/>
                <w:szCs w:val="17"/>
              </w:rPr>
              <w:t xml:space="preserve">Functional — parenchymal quality or reserve, not tumour distribution, is the limiting factor</w:t>
            </w:r>
          </w:p>
        </w:tc>
        <w:tc>
          <w:tcPr>
            <w:tcW w:type="dxa" w:w="5260"/>
            <w:tcMar>
              <w:top w:type="dxa" w:w="70"/>
              <w:left w:type="dxa" w:w="110"/>
              <w:bottom w:type="dxa" w:w="70"/>
              <w:right w:type="dxa" w:w="110"/>
            </w:tcMar>
            <w:vAlign w:val="top"/>
          </w:tcPr>
          <w:p>
            <w:pPr>
              <w:spacing w:after="0" w:line="276"/>
            </w:pPr>
            <w:r>
              <w:rPr>
                <w:color w:val="15181F"/>
                <w:sz w:val="17"/>
                <w:szCs w:val="17"/>
              </w:rPr>
              <w:t xml:space="preserve">Sometimes reversible with a chemotherapy holiday and nutritional recovery; may be permanent. If permanent with favourable biology, this is the transplant question.</w:t>
            </w:r>
          </w:p>
        </w:tc>
      </w:tr>
    </w:tbl>
    <w:p>
      <w:pPr>
        <w:spacing w:after="200" w:line="276"/>
      </w:pPr>
      <w:r>
        <w:rPr>
          <w:i/>
          <w:iCs/>
          <w:color w:val="5A6069"/>
          <w:sz w:val="16"/>
          <w:szCs w:val="16"/>
        </w:rPr>
        <w:t xml:space="preserve">Permanent unresectability is a formal determination, not an impression. It requires dedicated hepatobiliary and transplant review and an explicit written record of why each alternative — resection, margin-verified ablation, portal vein embolisation or liver venous deprivation, staged hepatectomy, ALPPS and hepatic arterial infusion — cannot achieve clearance at acceptable functional risk. Clearance means a pathologic margin (resection or explant) or a confirmed circumferential ablative margin on imaging; radiographic response or stability after transarterial therapy is regional control and must not be called margin-verified clearance.</w:t>
      </w:r>
    </w:p>
    <w:p>
      <w:pPr>
        <w:pStyle w:val="Heading3"/>
        <w:keepNext/>
        <w:spacing w:after="110" w:before="240"/>
      </w:pPr>
      <w:r>
        <w:rPr>
          <w:rFonts w:ascii="Cambria" w:cs="Cambria" w:eastAsia="Cambria" w:hAnsi="Cambria"/>
          <w:b/>
          <w:bCs/>
          <w:color w:val="17365D"/>
          <w:sz w:val="22"/>
          <w:szCs w:val="22"/>
        </w:rPr>
        <w:t xml:space="preserve">Transplant: the Oslo score and the eligibility gates</w:t>
      </w:r>
    </w:p>
    <w:p>
      <w:pPr>
        <w:spacing w:after="120" w:line="276"/>
      </w:pPr>
      <w:r>
        <w:rPr>
          <w:i/>
          <w:iCs/>
          <w:color w:val="5A6069"/>
          <w:sz w:val="18"/>
          <w:szCs w:val="18"/>
        </w:rPr>
        <w:t xml:space="preserve">The Oslo score is prognostic and the allocation gates are binary. Keep them apart — a good score does not relax a gate, and the three documents a board will be handed do not agree with each other.</w:t>
      </w:r>
    </w:p>
    <w:tbl>
      <w:tblPr>
        <w:tblW w:type="dxa" w:w="9360"/>
        <w:tblBorders>
          <w:top w:val="single" w:color="D3DCE4" w:sz="4"/>
          <w:left w:val="single" w:color="D3DCE4" w:sz="4"/>
          <w:bottom w:val="single" w:color="D3DCE4" w:sz="4"/>
          <w:right w:val="single" w:color="D3DCE4" w:sz="4"/>
          <w:insideH w:val="single" w:color="D3DCE4" w:sz="4"/>
          <w:insideV w:val="single" w:color="D3DCE4" w:sz="4"/>
        </w:tblBorders>
      </w:tblPr>
      <w:tblGrid>
        <w:gridCol w:w="4100"/>
        <w:gridCol w:w="5260"/>
      </w:tblGrid>
      <w:tr>
        <w:trPr>
          <w:cantSplit/>
        </w:trPr>
        <w:tc>
          <w:tcPr>
            <w:tcW w:type="dxa" w:w="4100"/>
            <w:tcMar>
              <w:top w:type="dxa" w:w="70"/>
              <w:left w:type="dxa" w:w="110"/>
              <w:bottom w:type="dxa" w:w="70"/>
              <w:right w:type="dxa" w:w="110"/>
            </w:tcMar>
            <w:vAlign w:val="top"/>
          </w:tcPr>
          <w:p>
            <w:pPr>
              <w:spacing w:after="0" w:line="276"/>
            </w:pPr>
            <w:r>
              <w:rPr>
                <w:b/>
                <w:bCs/>
                <w:color w:val="15181F"/>
                <w:sz w:val="17"/>
                <w:szCs w:val="17"/>
              </w:rPr>
              <w:t xml:space="preserve">Oslo score — largest lesion over 5.5 cm</w:t>
            </w:r>
          </w:p>
        </w:tc>
        <w:tc>
          <w:tcPr>
            <w:tcW w:type="dxa" w:w="5260"/>
            <w:tcMar>
              <w:top w:type="dxa" w:w="70"/>
              <w:left w:type="dxa" w:w="110"/>
              <w:bottom w:type="dxa" w:w="70"/>
              <w:right w:type="dxa" w:w="110"/>
            </w:tcMar>
            <w:vAlign w:val="top"/>
          </w:tcPr>
          <w:p>
            <w:pPr>
              <w:spacing w:after="0" w:line="276"/>
            </w:pPr>
            <w:r>
              <w:rPr>
                <w:color w:val="15181F"/>
                <w:sz w:val="17"/>
                <w:szCs w:val="17"/>
              </w:rPr>
              <w:t xml:space="preserve">1</w:t>
            </w:r>
          </w:p>
        </w:tc>
      </w:tr>
      <w:tr>
        <w:trPr>
          <w:cantSplit/>
        </w:trPr>
        <w:tc>
          <w:tcPr>
            <w:tcW w:type="dxa" w:w="4100"/>
            <w:shd w:fill="F1F4F8" w:color="auto" w:val="clear"/>
            <w:tcMar>
              <w:top w:type="dxa" w:w="70"/>
              <w:left w:type="dxa" w:w="110"/>
              <w:bottom w:type="dxa" w:w="70"/>
              <w:right w:type="dxa" w:w="110"/>
            </w:tcMar>
            <w:vAlign w:val="top"/>
          </w:tcPr>
          <w:p>
            <w:pPr>
              <w:spacing w:after="0" w:line="276"/>
            </w:pPr>
            <w:r>
              <w:rPr>
                <w:b/>
                <w:bCs/>
                <w:color w:val="15181F"/>
                <w:sz w:val="17"/>
                <w:szCs w:val="17"/>
              </w:rPr>
              <w:t xml:space="preserve">Oslo score — CEA over 80 µg/L</w:t>
            </w:r>
          </w:p>
        </w:tc>
        <w:tc>
          <w:tcPr>
            <w:tcW w:type="dxa" w:w="5260"/>
            <w:shd w:fill="F1F4F8" w:color="auto" w:val="clear"/>
            <w:tcMar>
              <w:top w:type="dxa" w:w="70"/>
              <w:left w:type="dxa" w:w="110"/>
              <w:bottom w:type="dxa" w:w="70"/>
              <w:right w:type="dxa" w:w="110"/>
            </w:tcMar>
            <w:vAlign w:val="top"/>
          </w:tcPr>
          <w:p>
            <w:pPr>
              <w:spacing w:after="0" w:line="276"/>
            </w:pPr>
            <w:r>
              <w:rPr>
                <w:color w:val="15181F"/>
                <w:sz w:val="17"/>
                <w:szCs w:val="17"/>
              </w:rPr>
              <w:t xml:space="preserve">1</w:t>
            </w:r>
          </w:p>
        </w:tc>
      </w:tr>
      <w:tr>
        <w:trPr>
          <w:cantSplit/>
        </w:trPr>
        <w:tc>
          <w:tcPr>
            <w:tcW w:type="dxa" w:w="4100"/>
            <w:tcMar>
              <w:top w:type="dxa" w:w="70"/>
              <w:left w:type="dxa" w:w="110"/>
              <w:bottom w:type="dxa" w:w="70"/>
              <w:right w:type="dxa" w:w="110"/>
            </w:tcMar>
            <w:vAlign w:val="top"/>
          </w:tcPr>
          <w:p>
            <w:pPr>
              <w:spacing w:after="0" w:line="276"/>
            </w:pPr>
            <w:r>
              <w:rPr>
                <w:b/>
                <w:bCs/>
                <w:color w:val="15181F"/>
                <w:sz w:val="17"/>
                <w:szCs w:val="17"/>
              </w:rPr>
              <w:t xml:space="preserve">Oslo score — under 2 years from primary resection to transplant</w:t>
            </w:r>
          </w:p>
        </w:tc>
        <w:tc>
          <w:tcPr>
            <w:tcW w:type="dxa" w:w="5260"/>
            <w:tcMar>
              <w:top w:type="dxa" w:w="70"/>
              <w:left w:type="dxa" w:w="110"/>
              <w:bottom w:type="dxa" w:w="70"/>
              <w:right w:type="dxa" w:w="110"/>
            </w:tcMar>
            <w:vAlign w:val="top"/>
          </w:tcPr>
          <w:p>
            <w:pPr>
              <w:spacing w:after="0" w:line="276"/>
            </w:pPr>
            <w:r>
              <w:rPr>
                <w:color w:val="15181F"/>
                <w:sz w:val="17"/>
                <w:szCs w:val="17"/>
              </w:rPr>
              <w:t xml:space="preserve">1</w:t>
            </w:r>
          </w:p>
        </w:tc>
      </w:tr>
      <w:tr>
        <w:trPr>
          <w:cantSplit/>
        </w:trPr>
        <w:tc>
          <w:tcPr>
            <w:tcW w:type="dxa" w:w="4100"/>
            <w:shd w:fill="F1F4F8" w:color="auto" w:val="clear"/>
            <w:tcMar>
              <w:top w:type="dxa" w:w="70"/>
              <w:left w:type="dxa" w:w="110"/>
              <w:bottom w:type="dxa" w:w="70"/>
              <w:right w:type="dxa" w:w="110"/>
            </w:tcMar>
            <w:vAlign w:val="top"/>
          </w:tcPr>
          <w:p>
            <w:pPr>
              <w:spacing w:after="0" w:line="276"/>
            </w:pPr>
            <w:r>
              <w:rPr>
                <w:b/>
                <w:bCs/>
                <w:color w:val="15181F"/>
                <w:sz w:val="17"/>
                <w:szCs w:val="17"/>
              </w:rPr>
              <w:t xml:space="preserve">Oslo score — progressive disease on chemotherapy at transplant</w:t>
            </w:r>
          </w:p>
        </w:tc>
        <w:tc>
          <w:tcPr>
            <w:tcW w:type="dxa" w:w="5260"/>
            <w:shd w:fill="F1F4F8" w:color="auto" w:val="clear"/>
            <w:tcMar>
              <w:top w:type="dxa" w:w="70"/>
              <w:left w:type="dxa" w:w="110"/>
              <w:bottom w:type="dxa" w:w="70"/>
              <w:right w:type="dxa" w:w="110"/>
            </w:tcMar>
            <w:vAlign w:val="top"/>
          </w:tcPr>
          <w:p>
            <w:pPr>
              <w:spacing w:after="0" w:line="276"/>
            </w:pPr>
            <w:r>
              <w:rPr>
                <w:color w:val="15181F"/>
                <w:sz w:val="17"/>
                <w:szCs w:val="17"/>
              </w:rPr>
              <w:t xml:space="preserve">1</w:t>
            </w:r>
          </w:p>
        </w:tc>
      </w:tr>
      <w:tr>
        <w:trPr>
          <w:cantSplit/>
        </w:trPr>
        <w:tc>
          <w:tcPr>
            <w:tcW w:type="dxa" w:w="4100"/>
            <w:tcMar>
              <w:top w:type="dxa" w:w="70"/>
              <w:left w:type="dxa" w:w="110"/>
              <w:bottom w:type="dxa" w:w="70"/>
              <w:right w:type="dxa" w:w="110"/>
            </w:tcMar>
            <w:vAlign w:val="top"/>
          </w:tcPr>
          <w:p>
            <w:pPr>
              <w:spacing w:after="0" w:line="276"/>
            </w:pPr>
            <w:r>
              <w:rPr>
                <w:b/>
                <w:bCs/>
                <w:color w:val="15181F"/>
                <w:sz w:val="17"/>
                <w:szCs w:val="17"/>
              </w:rPr>
              <w:t xml:space="preserve">OPTN guidance (Dec 2025): diagnosis and molecular gates</w:t>
            </w:r>
          </w:p>
        </w:tc>
        <w:tc>
          <w:tcPr>
            <w:tcW w:type="dxa" w:w="5260"/>
            <w:tcMar>
              <w:top w:type="dxa" w:w="70"/>
              <w:left w:type="dxa" w:w="110"/>
              <w:bottom w:type="dxa" w:w="70"/>
              <w:right w:type="dxa" w:w="110"/>
            </w:tcMar>
            <w:vAlign w:val="top"/>
          </w:tcPr>
          <w:p>
            <w:pPr>
              <w:spacing w:after="0" w:line="276"/>
            </w:pPr>
            <w:r>
              <w:rPr>
                <w:color w:val="15181F"/>
                <w:sz w:val="17"/>
                <w:szCs w:val="17"/>
              </w:rPr>
              <w:t xml:space="preserve">Colorectal adenocarcinoma, BRAF wild type, microsatellite stable; R0 primary resection and colonoscopy within 12 months before the request; KRAS mutation is a negative prognostic footnote, not an exclusion</w:t>
            </w:r>
          </w:p>
        </w:tc>
      </w:tr>
      <w:tr>
        <w:trPr>
          <w:cantSplit/>
        </w:trPr>
        <w:tc>
          <w:tcPr>
            <w:tcW w:type="dxa" w:w="4100"/>
            <w:shd w:fill="F1F4F8" w:color="auto" w:val="clear"/>
            <w:tcMar>
              <w:top w:type="dxa" w:w="70"/>
              <w:left w:type="dxa" w:w="110"/>
              <w:bottom w:type="dxa" w:w="70"/>
              <w:right w:type="dxa" w:w="110"/>
            </w:tcMar>
            <w:vAlign w:val="top"/>
          </w:tcPr>
          <w:p>
            <w:pPr>
              <w:spacing w:after="0" w:line="276"/>
            </w:pPr>
            <w:r>
              <w:rPr>
                <w:b/>
                <w:bCs/>
                <w:color w:val="15181F"/>
                <w:sz w:val="17"/>
                <w:szCs w:val="17"/>
              </w:rPr>
              <w:t xml:space="preserve">OPTN guidance: clocks</w:t>
            </w:r>
          </w:p>
        </w:tc>
        <w:tc>
          <w:tcPr>
            <w:tcW w:type="dxa" w:w="5260"/>
            <w:shd w:fill="F1F4F8" w:color="auto" w:val="clear"/>
            <w:tcMar>
              <w:top w:type="dxa" w:w="70"/>
              <w:left w:type="dxa" w:w="110"/>
              <w:bottom w:type="dxa" w:w="70"/>
              <w:right w:type="dxa" w:w="110"/>
            </w:tcMar>
            <w:vAlign w:val="top"/>
          </w:tcPr>
          <w:p>
            <w:pPr>
              <w:spacing w:after="0" w:line="276"/>
            </w:pPr>
            <w:r>
              <w:rPr>
                <w:color w:val="15181F"/>
                <w:sz w:val="17"/>
                <w:szCs w:val="17"/>
              </w:rPr>
              <w:t xml:space="preserve">At least 12 months from CRLM diagnosis to the initial request; at least six months of stability or regression on systemic or locoregional therapy. For a synchronous colon primary: primary resection more than 6 months after initial diagnosis, at least six months of chemotherapy after that resection, and at least 12 months total stability</w:t>
            </w:r>
          </w:p>
        </w:tc>
      </w:tr>
      <w:tr>
        <w:trPr>
          <w:cantSplit/>
        </w:trPr>
        <w:tc>
          <w:tcPr>
            <w:tcW w:type="dxa" w:w="4100"/>
            <w:tcMar>
              <w:top w:type="dxa" w:w="70"/>
              <w:left w:type="dxa" w:w="110"/>
              <w:bottom w:type="dxa" w:w="70"/>
              <w:right w:type="dxa" w:w="110"/>
            </w:tcMar>
            <w:vAlign w:val="top"/>
          </w:tcPr>
          <w:p>
            <w:pPr>
              <w:spacing w:after="0" w:line="276"/>
            </w:pPr>
            <w:r>
              <w:rPr>
                <w:b/>
                <w:bCs/>
                <w:color w:val="15181F"/>
                <w:sz w:val="17"/>
                <w:szCs w:val="17"/>
              </w:rPr>
              <w:t xml:space="preserve">OPTN guidance: burden and staging</w:t>
            </w:r>
          </w:p>
        </w:tc>
        <w:tc>
          <w:tcPr>
            <w:tcW w:type="dxa" w:w="5260"/>
            <w:tcMar>
              <w:top w:type="dxa" w:w="70"/>
              <w:left w:type="dxa" w:w="110"/>
              <w:bottom w:type="dxa" w:w="70"/>
              <w:right w:type="dxa" w:w="110"/>
            </w:tcMar>
            <w:vAlign w:val="top"/>
          </w:tcPr>
          <w:p>
            <w:pPr>
              <w:spacing w:after="0" w:line="276"/>
            </w:pPr>
            <w:r>
              <w:rPr>
                <w:color w:val="15181F"/>
                <w:sz w:val="17"/>
                <w:szCs w:val="17"/>
              </w:rPr>
              <w:t xml:space="preserve">No hepatic lesion above 10 cm before treatment; CEA above 80 µg/L excludes; CT/MRI chest, abdomen and pelvis plus PET within one month before the request, the PET at least four weeks after chemotherapy stops</w:t>
            </w:r>
          </w:p>
        </w:tc>
      </w:tr>
      <w:tr>
        <w:trPr>
          <w:cantSplit/>
        </w:trPr>
        <w:tc>
          <w:tcPr>
            <w:tcW w:type="dxa" w:w="4100"/>
            <w:shd w:fill="F1F4F8" w:color="auto" w:val="clear"/>
            <w:tcMar>
              <w:top w:type="dxa" w:w="70"/>
              <w:left w:type="dxa" w:w="110"/>
              <w:bottom w:type="dxa" w:w="70"/>
              <w:right w:type="dxa" w:w="110"/>
            </w:tcMar>
            <w:vAlign w:val="top"/>
          </w:tcPr>
          <w:p>
            <w:pPr>
              <w:spacing w:after="0" w:line="276"/>
            </w:pPr>
            <w:r>
              <w:rPr>
                <w:b/>
                <w:bCs/>
                <w:color w:val="15181F"/>
                <w:sz w:val="17"/>
                <w:szCs w:val="17"/>
              </w:rPr>
              <w:t xml:space="preserve">OPTN guidance: score and renewal</w:t>
            </w:r>
          </w:p>
        </w:tc>
        <w:tc>
          <w:tcPr>
            <w:tcW w:type="dxa" w:w="5260"/>
            <w:shd w:fill="F1F4F8" w:color="auto" w:val="clear"/>
            <w:tcMar>
              <w:top w:type="dxa" w:w="70"/>
              <w:left w:type="dxa" w:w="110"/>
              <w:bottom w:type="dxa" w:w="70"/>
              <w:right w:type="dxa" w:w="110"/>
            </w:tcMar>
            <w:vAlign w:val="top"/>
          </w:tcPr>
          <w:p>
            <w:pPr>
              <w:spacing w:after="0" w:line="276"/>
            </w:pPr>
            <w:r>
              <w:rPr>
                <w:color w:val="15181F"/>
                <w:sz w:val="17"/>
                <w:szCs w:val="17"/>
              </w:rPr>
              <w:t xml:space="preserve">Nonstandard Adult Transplant Oncology Review Board review at MMaT-20, with a floor of 15 under Policy 9.4.E; renew every three months with CT/MRI and CEA below 80 µg/L</w:t>
            </w:r>
          </w:p>
        </w:tc>
      </w:tr>
      <w:tr>
        <w:trPr>
          <w:cantSplit/>
        </w:trPr>
        <w:tc>
          <w:tcPr>
            <w:tcW w:type="dxa" w:w="4100"/>
            <w:tcMar>
              <w:top w:type="dxa" w:w="70"/>
              <w:left w:type="dxa" w:w="110"/>
              <w:bottom w:type="dxa" w:w="70"/>
              <w:right w:type="dxa" w:w="110"/>
            </w:tcMar>
            <w:vAlign w:val="top"/>
          </w:tcPr>
          <w:p>
            <w:pPr>
              <w:spacing w:after="0" w:line="276"/>
            </w:pPr>
            <w:r>
              <w:rPr>
                <w:b/>
                <w:bCs/>
                <w:color w:val="15181F"/>
                <w:sz w:val="17"/>
                <w:szCs w:val="17"/>
              </w:rPr>
              <w:t xml:space="preserve">IHPBA 2021, additional exclusions</w:t>
            </w:r>
          </w:p>
        </w:tc>
        <w:tc>
          <w:tcPr>
            <w:tcW w:type="dxa" w:w="5260"/>
            <w:tcMar>
              <w:top w:type="dxa" w:w="70"/>
              <w:left w:type="dxa" w:w="110"/>
              <w:bottom w:type="dxa" w:w="70"/>
              <w:right w:type="dxa" w:w="110"/>
            </w:tcMar>
            <w:vAlign w:val="top"/>
          </w:tcPr>
          <w:p>
            <w:pPr>
              <w:spacing w:after="0" w:line="276"/>
            </w:pPr>
            <w:r>
              <w:rPr>
                <w:color w:val="15181F"/>
                <w:sz w:val="17"/>
                <w:szCs w:val="17"/>
              </w:rPr>
              <w:t xml:space="preserve">BRAF V600E excludes; MSI-high or dMMR should not be considered at present; metabolic tumour volume above 70 cm³ with total lesion glycolysis above 260 g excludes; at least six months of response and at least one year from diagnosis of non-resectable disease; undifferentiated or signet-ring histology excludes, N2 a relative exclusion; colonoscopy within 3 months of transplant</w:t>
            </w:r>
          </w:p>
        </w:tc>
      </w:tr>
      <w:tr>
        <w:trPr>
          <w:cantSplit/>
        </w:trPr>
        <w:tc>
          <w:tcPr>
            <w:tcW w:type="dxa" w:w="4100"/>
            <w:shd w:fill="F1F4F8" w:color="auto" w:val="clear"/>
            <w:tcMar>
              <w:top w:type="dxa" w:w="70"/>
              <w:left w:type="dxa" w:w="110"/>
              <w:bottom w:type="dxa" w:w="70"/>
              <w:right w:type="dxa" w:w="110"/>
            </w:tcMar>
            <w:vAlign w:val="top"/>
          </w:tcPr>
          <w:p>
            <w:pPr>
              <w:spacing w:after="0" w:line="276"/>
            </w:pPr>
            <w:r>
              <w:rPr>
                <w:b/>
                <w:bCs/>
                <w:color w:val="15181F"/>
                <w:sz w:val="17"/>
                <w:szCs w:val="17"/>
              </w:rPr>
              <w:t xml:space="preserve">ESMO 2026 [II, A], for comparison</w:t>
            </w:r>
          </w:p>
        </w:tc>
        <w:tc>
          <w:tcPr>
            <w:tcW w:type="dxa" w:w="5260"/>
            <w:shd w:fill="F1F4F8" w:color="auto" w:val="clear"/>
            <w:tcMar>
              <w:top w:type="dxa" w:w="70"/>
              <w:left w:type="dxa" w:w="110"/>
              <w:bottom w:type="dxa" w:w="70"/>
              <w:right w:type="dxa" w:w="110"/>
            </w:tcMar>
            <w:vAlign w:val="top"/>
          </w:tcPr>
          <w:p>
            <w:pPr>
              <w:spacing w:after="0" w:line="276"/>
            </w:pPr>
            <w:r>
              <w:rPr>
                <w:color w:val="15181F"/>
                <w:sz w:val="17"/>
                <w:szCs w:val="17"/>
              </w:rPr>
              <w:t xml:space="preserve">BRAF wild type, CEA under 80 ng/mL, stabilisation of three months or more no later than third line, never any extrahepatic disease, resected primary, performance status under 2, age 18–65 — no MSI and no PET tumour-volume exclusion</w:t>
            </w:r>
          </w:p>
        </w:tc>
      </w:tr>
    </w:tbl>
    <w:p>
      <w:pPr>
        <w:spacing w:after="200" w:line="276"/>
      </w:pPr>
      <w:r>
        <w:rPr>
          <w:i/>
          <w:iCs/>
          <w:color w:val="5A6069"/>
          <w:sz w:val="16"/>
          <w:szCs w:val="16"/>
        </w:rPr>
        <w:t xml:space="preserve">Oslo score 0 gave median overall survival 151.6 months with 5- and 10-year survival both 88.9% in the 61-patient Oslo cohort, against 8.3% and 0% for a score of 3–4; a Fong score of 0–2 gave 5-year survival 75.4% versus 39.7% for 3–5, and metabolic tumour volume below 70 cm³ gave 66.7% versus 23.3%. These are prognostic refinements from small, internally derived, non-randomised cohorts and they do not replace the guidance gates. Note the contradiction the board must settle: ESMO 2026 asks only for three months of stabilisation up to third line and sets no MSI or PET-volume bar, so a dMMR patient with four months of stability, or a patient with a metabolic tumour volume of 90 cm³, is transplantable under ESMO and excluded under IHPBA 2021 and the OPTN route. The roadmap's rule is that where the randomised evidence (TransMet), the consensus (IHPBA 2021) and the institution's own protocol conflict, the stricter governs. Two numeric boundaries still need clarification before filing: the initial CEA exclusion is above 80 while renewal wording is below 80, so an exact 80 needs explicit review; and the guidance defines progression as a 10% increase in diameter or new lesions while labelling it RECIST 1.1.</w:t>
      </w:r>
    </w:p>
    <w:p>
      <w:pPr>
        <w:pStyle w:val="Heading3"/>
        <w:keepNext/>
        <w:spacing w:after="110" w:before="240"/>
      </w:pPr>
      <w:r>
        <w:rPr>
          <w:rFonts w:ascii="Cambria" w:cs="Cambria" w:eastAsia="Cambria" w:hAnsi="Cambria"/>
          <w:b/>
          <w:bCs/>
          <w:color w:val="17365D"/>
          <w:sz w:val="22"/>
          <w:szCs w:val="22"/>
        </w:rPr>
        <w:t xml:space="preserve">Molecular groups that change first-line therapy</w:t>
      </w:r>
    </w:p>
    <w:p>
      <w:pPr>
        <w:spacing w:after="120" w:line="276"/>
      </w:pPr>
      <w:r>
        <w:rPr>
          <w:i/>
          <w:iCs/>
          <w:color w:val="5A6069"/>
          <w:sz w:val="18"/>
          <w:szCs w:val="18"/>
        </w:rPr>
        <w:t xml:space="preserve">The four results that fork the pathway before any liver-directed decision, with what each one changes.</w:t>
      </w:r>
    </w:p>
    <w:tbl>
      <w:tblPr>
        <w:tblW w:type="dxa" w:w="9360"/>
        <w:tblBorders>
          <w:top w:val="single" w:color="D3DCE4" w:sz="4"/>
          <w:left w:val="single" w:color="D3DCE4" w:sz="4"/>
          <w:bottom w:val="single" w:color="D3DCE4" w:sz="4"/>
          <w:right w:val="single" w:color="D3DCE4" w:sz="4"/>
          <w:insideH w:val="single" w:color="D3DCE4" w:sz="4"/>
          <w:insideV w:val="single" w:color="D3DCE4" w:sz="4"/>
        </w:tblBorders>
      </w:tblPr>
      <w:tblGrid>
        <w:gridCol w:w="4100"/>
        <w:gridCol w:w="5260"/>
      </w:tblGrid>
      <w:tr>
        <w:trPr>
          <w:cantSplit/>
        </w:trPr>
        <w:tc>
          <w:tcPr>
            <w:tcW w:type="dxa" w:w="4100"/>
            <w:tcMar>
              <w:top w:type="dxa" w:w="70"/>
              <w:left w:type="dxa" w:w="110"/>
              <w:bottom w:type="dxa" w:w="70"/>
              <w:right w:type="dxa" w:w="110"/>
            </w:tcMar>
            <w:vAlign w:val="top"/>
          </w:tcPr>
          <w:p>
            <w:pPr>
              <w:spacing w:after="0" w:line="276"/>
            </w:pPr>
            <w:r>
              <w:rPr>
                <w:b/>
                <w:bCs/>
                <w:color w:val="15181F"/>
                <w:sz w:val="17"/>
                <w:szCs w:val="17"/>
              </w:rPr>
              <w:t xml:space="preserve">BRAF V600E</w:t>
            </w:r>
          </w:p>
        </w:tc>
        <w:tc>
          <w:tcPr>
            <w:tcW w:type="dxa" w:w="5260"/>
            <w:tcMar>
              <w:top w:type="dxa" w:w="70"/>
              <w:left w:type="dxa" w:w="110"/>
              <w:bottom w:type="dxa" w:w="70"/>
              <w:right w:type="dxa" w:w="110"/>
            </w:tcMar>
            <w:vAlign w:val="top"/>
          </w:tcPr>
          <w:p>
            <w:pPr>
              <w:spacing w:after="0" w:line="276"/>
            </w:pPr>
            <w:r>
              <w:rPr>
                <w:color w:val="15181F"/>
                <w:sz w:val="17"/>
                <w:szCs w:val="17"/>
              </w:rPr>
              <w:t xml:space="preserve">Encorafenib, cetuximab and mFOLFOX6 first line — progression-free survival 12.8 versus 7.1 months, HR 0.53; interim overall survival 30.3 versus 15.1 months, HR 0.49. Excluded from current transplant protocols.</w:t>
            </w:r>
          </w:p>
        </w:tc>
      </w:tr>
      <w:tr>
        <w:trPr>
          <w:cantSplit/>
        </w:trPr>
        <w:tc>
          <w:tcPr>
            <w:tcW w:type="dxa" w:w="4100"/>
            <w:shd w:fill="F1F4F8" w:color="auto" w:val="clear"/>
            <w:tcMar>
              <w:top w:type="dxa" w:w="70"/>
              <w:left w:type="dxa" w:w="110"/>
              <w:bottom w:type="dxa" w:w="70"/>
              <w:right w:type="dxa" w:w="110"/>
            </w:tcMar>
            <w:vAlign w:val="top"/>
          </w:tcPr>
          <w:p>
            <w:pPr>
              <w:spacing w:after="0" w:line="276"/>
            </w:pPr>
            <w:r>
              <w:rPr>
                <w:b/>
                <w:bCs/>
                <w:color w:val="15181F"/>
                <w:sz w:val="17"/>
                <w:szCs w:val="17"/>
              </w:rPr>
              <w:t xml:space="preserve">dMMR or MSI-high</w:t>
            </w:r>
          </w:p>
        </w:tc>
        <w:tc>
          <w:tcPr>
            <w:tcW w:type="dxa" w:w="5260"/>
            <w:shd w:fill="F1F4F8" w:color="auto" w:val="clear"/>
            <w:tcMar>
              <w:top w:type="dxa" w:w="70"/>
              <w:left w:type="dxa" w:w="110"/>
              <w:bottom w:type="dxa" w:w="70"/>
              <w:right w:type="dxa" w:w="110"/>
            </w:tcMar>
            <w:vAlign w:val="top"/>
          </w:tcPr>
          <w:p>
            <w:pPr>
              <w:spacing w:after="0" w:line="276"/>
            </w:pPr>
            <w:r>
              <w:rPr>
                <w:color w:val="15181F"/>
                <w:sz w:val="17"/>
                <w:szCs w:val="17"/>
              </w:rPr>
              <w:t xml:space="preserve">Checkpoint blockade — nivolumab plus ipilimumab over nivolumab alone, progression-free survival HR 0.62 with survival still masked; against chemotherapy first line 54.1 versus 5.9 months, HR 0.21. Does not meet the microsatellite-stable OPTN exception route, and IHPBA excludes it from transplantation.</w:t>
            </w:r>
          </w:p>
        </w:tc>
      </w:tr>
      <w:tr>
        <w:trPr>
          <w:cantSplit/>
        </w:trPr>
        <w:tc>
          <w:tcPr>
            <w:tcW w:type="dxa" w:w="4100"/>
            <w:tcMar>
              <w:top w:type="dxa" w:w="70"/>
              <w:left w:type="dxa" w:w="110"/>
              <w:bottom w:type="dxa" w:w="70"/>
              <w:right w:type="dxa" w:w="110"/>
            </w:tcMar>
            <w:vAlign w:val="top"/>
          </w:tcPr>
          <w:p>
            <w:pPr>
              <w:spacing w:after="0" w:line="276"/>
            </w:pPr>
            <w:r>
              <w:rPr>
                <w:b/>
                <w:bCs/>
                <w:color w:val="15181F"/>
                <w:sz w:val="17"/>
                <w:szCs w:val="17"/>
              </w:rPr>
              <w:t xml:space="preserve">RAS and BRAF wild type, left-sided primary</w:t>
            </w:r>
          </w:p>
        </w:tc>
        <w:tc>
          <w:tcPr>
            <w:tcW w:type="dxa" w:w="5260"/>
            <w:tcMar>
              <w:top w:type="dxa" w:w="70"/>
              <w:left w:type="dxa" w:w="110"/>
              <w:bottom w:type="dxa" w:w="70"/>
              <w:right w:type="dxa" w:w="110"/>
            </w:tcMar>
            <w:vAlign w:val="top"/>
          </w:tcPr>
          <w:p>
            <w:pPr>
              <w:spacing w:after="0" w:line="276"/>
            </w:pPr>
            <w:r>
              <w:rPr>
                <w:color w:val="15181F"/>
                <w:sz w:val="17"/>
                <w:szCs w:val="17"/>
              </w:rPr>
              <w:t xml:space="preserve">Doublet plus anti-EGFR when maximal shrinkage is the goal — overall survival HR 0.71 versus bevacizumab on the left, 1.35 on the right; centrally reviewed response 72% versus 56% in FIRE-3, post hoc. Cetuximab and bevacizumab give similar overall survival overall (30.0 versus 29.0 months).</w:t>
            </w:r>
          </w:p>
        </w:tc>
      </w:tr>
      <w:tr>
        <w:trPr>
          <w:cantSplit/>
        </w:trPr>
        <w:tc>
          <w:tcPr>
            <w:tcW w:type="dxa" w:w="4100"/>
            <w:shd w:fill="F1F4F8" w:color="auto" w:val="clear"/>
            <w:tcMar>
              <w:top w:type="dxa" w:w="70"/>
              <w:left w:type="dxa" w:w="110"/>
              <w:bottom w:type="dxa" w:w="70"/>
              <w:right w:type="dxa" w:w="110"/>
            </w:tcMar>
            <w:vAlign w:val="top"/>
          </w:tcPr>
          <w:p>
            <w:pPr>
              <w:spacing w:after="0" w:line="276"/>
            </w:pPr>
            <w:r>
              <w:rPr>
                <w:b/>
                <w:bCs/>
                <w:color w:val="15181F"/>
                <w:sz w:val="17"/>
                <w:szCs w:val="17"/>
              </w:rPr>
              <w:t xml:space="preserve">RAS or BRAF mutant, or right-sided primary</w:t>
            </w:r>
          </w:p>
        </w:tc>
        <w:tc>
          <w:tcPr>
            <w:tcW w:type="dxa" w:w="5260"/>
            <w:shd w:fill="F1F4F8" w:color="auto" w:val="clear"/>
            <w:tcMar>
              <w:top w:type="dxa" w:w="70"/>
              <w:left w:type="dxa" w:w="110"/>
              <w:bottom w:type="dxa" w:w="70"/>
              <w:right w:type="dxa" w:w="110"/>
            </w:tcMar>
            <w:vAlign w:val="top"/>
          </w:tcPr>
          <w:p>
            <w:pPr>
              <w:spacing w:after="0" w:line="276"/>
            </w:pPr>
            <w:r>
              <w:rPr>
                <w:color w:val="15181F"/>
                <w:sz w:val="17"/>
                <w:szCs w:val="17"/>
              </w:rPr>
              <w:t xml:space="preserve">FOLFOXIRI–bevacizumab for fit patients — progression-free survival HR 0.76 and complete local treatment 51% versus 37% in CAIRO5, with grade 3 or worse events 76% versus 59% and overall survival not yet reported. Anti-EGFR is not used for right-sided tumours.</w:t>
            </w:r>
          </w:p>
        </w:tc>
      </w:tr>
      <w:tr>
        <w:trPr>
          <w:cantSplit/>
        </w:trPr>
        <w:tc>
          <w:tcPr>
            <w:tcW w:type="dxa" w:w="4100"/>
            <w:tcMar>
              <w:top w:type="dxa" w:w="70"/>
              <w:left w:type="dxa" w:w="110"/>
              <w:bottom w:type="dxa" w:w="70"/>
              <w:right w:type="dxa" w:w="110"/>
            </w:tcMar>
            <w:vAlign w:val="top"/>
          </w:tcPr>
          <w:p>
            <w:pPr>
              <w:spacing w:after="0" w:line="276"/>
            </w:pPr>
            <w:r>
              <w:rPr>
                <w:b/>
                <w:bCs/>
                <w:color w:val="15181F"/>
                <w:sz w:val="17"/>
                <w:szCs w:val="17"/>
              </w:rPr>
              <w:t xml:space="preserve">KRAS G12C</w:t>
            </w:r>
          </w:p>
        </w:tc>
        <w:tc>
          <w:tcPr>
            <w:tcW w:type="dxa" w:w="5260"/>
            <w:tcMar>
              <w:top w:type="dxa" w:w="70"/>
              <w:left w:type="dxa" w:w="110"/>
              <w:bottom w:type="dxa" w:w="70"/>
              <w:right w:type="dxa" w:w="110"/>
            </w:tcMar>
            <w:vAlign w:val="top"/>
          </w:tcPr>
          <w:p>
            <w:pPr>
              <w:spacing w:after="0" w:line="276"/>
            </w:pPr>
            <w:r>
              <w:rPr>
                <w:color w:val="15181F"/>
                <w:sz w:val="17"/>
                <w:szCs w:val="17"/>
              </w:rPr>
              <w:t xml:space="preserve">Sotorasib plus panitumumab after chemorefractory progression — progression-free survival 5.6 versus 2.0 months, HR 0.48; survival immature (HR 0.77, CI crossing 1). A later-line option, not a conversion strategy.</w:t>
            </w:r>
          </w:p>
        </w:tc>
      </w:tr>
      <w:tr>
        <w:trPr>
          <w:cantSplit/>
        </w:trPr>
        <w:tc>
          <w:tcPr>
            <w:tcW w:type="dxa" w:w="4100"/>
            <w:shd w:fill="F1F4F8" w:color="auto" w:val="clear"/>
            <w:tcMar>
              <w:top w:type="dxa" w:w="70"/>
              <w:left w:type="dxa" w:w="110"/>
              <w:bottom w:type="dxa" w:w="70"/>
              <w:right w:type="dxa" w:w="110"/>
            </w:tcMar>
            <w:vAlign w:val="top"/>
          </w:tcPr>
          <w:p>
            <w:pPr>
              <w:spacing w:after="0" w:line="276"/>
            </w:pPr>
            <w:r>
              <w:rPr>
                <w:b/>
                <w:bCs/>
                <w:color w:val="15181F"/>
                <w:sz w:val="17"/>
                <w:szCs w:val="17"/>
              </w:rPr>
              <w:t xml:space="preserve">HER2, POLE or POLD1, other rare alterations</w:t>
            </w:r>
          </w:p>
        </w:tc>
        <w:tc>
          <w:tcPr>
            <w:tcW w:type="dxa" w:w="5260"/>
            <w:shd w:fill="F1F4F8" w:color="auto" w:val="clear"/>
            <w:tcMar>
              <w:top w:type="dxa" w:w="70"/>
              <w:left w:type="dxa" w:w="110"/>
              <w:bottom w:type="dxa" w:w="70"/>
              <w:right w:type="dxa" w:w="110"/>
            </w:tcMar>
            <w:vAlign w:val="top"/>
          </w:tcPr>
          <w:p>
            <w:pPr>
              <w:spacing w:after="0" w:line="276"/>
            </w:pPr>
            <w:r>
              <w:rPr>
                <w:color w:val="15181F"/>
                <w:sz w:val="17"/>
                <w:szCs w:val="17"/>
              </w:rPr>
              <w:t xml:space="preserve">Tested at diagnosis of metastatic disease with broader profiling where the result would change treatment. A POLE or POLD1 variant needs variant-level and phenotype interpretation before it justifies checkpoint therapy.</w:t>
            </w:r>
          </w:p>
        </w:tc>
      </w:tr>
    </w:tbl>
    <w:p>
      <w:pPr>
        <w:spacing w:after="200" w:line="276"/>
      </w:pPr>
      <w:r>
        <w:rPr>
          <w:i/>
          <w:iCs/>
          <w:color w:val="5A6069"/>
          <w:sz w:val="16"/>
          <w:szCs w:val="16"/>
        </w:rPr>
        <w:t xml:space="preserve">Genotype is prognostic; observed response is the stronger signal, and the direction and duration of response during effective therapy carry more decision weight than genotype alone. A single mutation should not set margin width, the extent of parenchymal resection, or exclusion from otherwise feasible clearance. Two molecular results do close a door, but it is the transplant door: BRAF mutation and MSI-high or dMMR status both fall outside the described exception route.</w:t>
      </w:r>
    </w:p>
    <w:p>
      <w:pPr>
        <w:pStyle w:val="Heading1"/>
        <w:keepNext/>
        <w:pageBreakBefore/>
        <w:spacing w:after="110" w:before="320"/>
      </w:pPr>
      <w:r>
        <w:rPr>
          <w:rFonts w:ascii="Cambria" w:cs="Cambria" w:eastAsia="Cambria" w:hAnsi="Cambria"/>
          <w:b/>
          <w:bCs/>
          <w:color w:val="17365D"/>
          <w:sz w:val="32"/>
          <w:szCs w:val="32"/>
        </w:rPr>
        <w:t xml:space="preserve">What we are not sure about</w:t>
      </w:r>
    </w:p>
    <w:p>
      <w:pPr>
        <w:spacing w:after="200" w:line="276"/>
      </w:pPr>
      <w:r>
        <w:rPr>
          <w:i/>
          <w:iCs/>
          <w:color w:val="5A6069"/>
          <w:sz w:val="20"/>
          <w:szCs w:val="20"/>
        </w:rPr>
        <w:t xml:space="preserve">Every statement below is a limit on what this page can claim. They come from reading each cited paper in full, including the limitations the authors state themselves and the objections the text supports but the authors do not raise.</w:t>
      </w:r>
    </w:p>
    <w:p>
      <w:pPr>
        <w:spacing w:after="60" w:before="160"/>
      </w:pPr>
      <w:r>
        <w:rPr>
          <w:b/>
          <w:bCs/>
          <w:color w:val="8E5008"/>
          <w:sz w:val="19"/>
          <w:szCs w:val="19"/>
        </w:rPr>
        <w:t xml:space="preserve">1. </w:t>
      </w:r>
      <w:r>
        <w:rPr>
          <w:b/>
          <w:bCs/>
          <w:sz w:val="19"/>
          <w:szCs w:val="19"/>
        </w:rPr>
        <w:t xml:space="preserve">Hepatic arterial infusion converts unresectable disease.</w:t>
      </w:r>
    </w:p>
    <w:p>
      <w:pPr>
        <w:spacing w:after="40" w:line="276"/>
        <w:ind w:left="260"/>
      </w:pPr>
      <w:r>
        <w:rPr>
          <w:color w:val="15181F"/>
          <w:sz w:val="18"/>
          <w:szCs w:val="18"/>
        </w:rPr>
        <w:t xml:space="preserve">What is actually known is high hepatic response in single-arm, centre-concentrated series with no randomised conversion endpoint. The 47% conversion rate comes from a 49-patient phase I experience at one high-volume pump centre, where resectability was adjudicated by the surgeons who then operated, response was scored by WHO-type criteria rather than RECIST, median disease-free survival after R0 resection was 7.6 months, and more than half the resected patients needed portal vein embolisation or intraoperative ablation. The Dutch phase II study met a feasibility endpoint, not an efficacy one, and its 83% disease control rate is not comparable with the 37–58% complete local treatment CAIRO5 achieved on systemic therapy alone. Selection turns on liver-dominant burden, arterial anatomy, prior therapy and pump programme maturity, and the programme commits to tracking the conversion-to-resection rate, biliary toxicity and 6-month grade 3 or worse toxicity.</w:t>
      </w:r>
    </w:p>
    <w:p>
      <w:pPr>
        <w:spacing w:after="40" w:line="276"/>
        <w:ind w:left="260"/>
      </w:pPr>
      <w:r>
        <w:rPr>
          <w:color w:val="5A6069"/>
          <w:sz w:val="16"/>
          <w:szCs w:val="16"/>
        </w:rPr>
        <w:t xml:space="preserve">Sources: Kemeny HAI conversion; Dutch HAI phase II; CAIRO5</w:t>
      </w:r>
    </w:p>
    <w:p>
      <w:pPr>
        <w:spacing w:after="60" w:before="160"/>
      </w:pPr>
      <w:r>
        <w:rPr>
          <w:b/>
          <w:bCs/>
          <w:color w:val="8E5008"/>
          <w:sz w:val="19"/>
          <w:szCs w:val="19"/>
        </w:rPr>
        <w:t xml:space="preserve">2. </w:t>
      </w:r>
      <w:r>
        <w:rPr>
          <w:b/>
          <w:bCs/>
          <w:sz w:val="19"/>
          <w:szCs w:val="19"/>
        </w:rPr>
        <w:t xml:space="preserve">Ablation and resection are equivalent for small lesions.</w:t>
      </w:r>
    </w:p>
    <w:p>
      <w:pPr>
        <w:spacing w:after="40" w:line="276"/>
        <w:ind w:left="260"/>
      </w:pPr>
      <w:r>
        <w:rPr>
          <w:color w:val="15181F"/>
          <w:sz w:val="18"/>
          <w:szCs w:val="18"/>
        </w:rPr>
        <w:t xml:space="preserve">For lesions of 3 cm or less in selected patients, COLLISION's early stopping satisfied its own prespecified rule — a 90.5% conditional likelihood of proving non-inferiority — but formal overall-survival non-inferiority was not shown: the HR was 1.05 with a 95% CI of 0.69–1.58, whose upper bound crosses the trial's own 1.30 margin, and 5-year survival was 51.2% after ablation against 58.0% after resection. It enrolled few high-burden patients (intermediate n=91, high n=21), allowed combined ablation and resection in both arms, excluded solitary deep lesions needing major hepatectomy by mid-trial amendment, and was funded by an ablation device manufacturer. ESMO 2026 nevertheless recommends ablation over resection below 3 cm [II, B] without qualifying for lesion position or achievable margin. Selection turns on lesion size and location, achievable margin, remnant considerations and operator experience, and the programme tracks local progression by achieved margin band and salvage feasibility after ablation failure.</w:t>
      </w:r>
    </w:p>
    <w:p>
      <w:pPr>
        <w:spacing w:after="40" w:line="276"/>
        <w:ind w:left="260"/>
      </w:pPr>
      <w:r>
        <w:rPr>
          <w:color w:val="5A6069"/>
          <w:sz w:val="16"/>
          <w:szCs w:val="16"/>
        </w:rPr>
        <w:t xml:space="preserve">Sources: COLLISION; Shady ablation margins; ESMO 2026</w:t>
      </w:r>
    </w:p>
    <w:p>
      <w:pPr>
        <w:spacing w:after="60" w:before="160"/>
      </w:pPr>
      <w:r>
        <w:rPr>
          <w:b/>
          <w:bCs/>
          <w:color w:val="8E5008"/>
          <w:sz w:val="19"/>
          <w:szCs w:val="19"/>
        </w:rPr>
        <w:t xml:space="preserve">3. </w:t>
      </w:r>
      <w:r>
        <w:rPr>
          <w:b/>
          <w:bCs/>
          <w:sz w:val="19"/>
          <w:szCs w:val="19"/>
        </w:rPr>
        <w:t xml:space="preserve">ALPPS expands curative options.</w:t>
      </w:r>
    </w:p>
    <w:p>
      <w:pPr>
        <w:spacing w:after="40" w:line="276"/>
        <w:ind w:left="260"/>
      </w:pPr>
      <w:r>
        <w:rPr>
          <w:color w:val="15181F"/>
          <w:sz w:val="18"/>
          <w:szCs w:val="18"/>
        </w:rPr>
        <w:t xml:space="preserve">LIGRO randomised 100 patients and analysed 97, showing a higher resection rate (92% versus 57%); long-term oncologic outcome was not the endpoint and is reported in a separate paper, and the authors state the oncologic role is therefore uncertain. Rescue ALPPS after failed portal vein occlusion closed most of the gap (82% versus 92%, not significant), so the trial does not rule out an embolisation-first strategy. Ninety-day mortality was 8.3% versus 6.1% with liver failure in all seven deaths, severe complications were 43% in both arms, and resectability assessment, volumetry and embolisation technique were all left to local practice. Selection turns on remnant volume, biology, fitness and dropout risk in a staged approach, and the programme tracks resection rate, 90-day mortality, R0 rate and 2-year recurrence.</w:t>
      </w:r>
    </w:p>
    <w:p>
      <w:pPr>
        <w:spacing w:after="40" w:line="276"/>
        <w:ind w:left="260"/>
      </w:pPr>
      <w:r>
        <w:rPr>
          <w:color w:val="5A6069"/>
          <w:sz w:val="16"/>
          <w:szCs w:val="16"/>
        </w:rPr>
        <w:t xml:space="preserve">Sources: LIGRO</w:t>
      </w:r>
    </w:p>
    <w:p>
      <w:pPr>
        <w:spacing w:after="60" w:before="160"/>
      </w:pPr>
      <w:r>
        <w:rPr>
          <w:b/>
          <w:bCs/>
          <w:color w:val="8E5008"/>
          <w:sz w:val="19"/>
          <w:szCs w:val="19"/>
        </w:rPr>
        <w:t xml:space="preserve">4. </w:t>
      </w:r>
      <w:r>
        <w:rPr>
          <w:b/>
          <w:bCs/>
          <w:sz w:val="19"/>
          <w:szCs w:val="19"/>
        </w:rPr>
        <w:t xml:space="preserve">Transplantation should be offered beyond TransMet criteria.</w:t>
      </w:r>
    </w:p>
    <w:p>
      <w:pPr>
        <w:spacing w:after="40" w:line="276"/>
        <w:ind w:left="260"/>
      </w:pPr>
      <w:r>
        <w:rPr>
          <w:color w:val="15181F"/>
          <w:sz w:val="18"/>
          <w:szCs w:val="18"/>
        </w:rPr>
        <w:t xml:space="preserve">There is no randomised evidence outside that population, and the single randomised trial recruited 94 patients in 5.5 years across 20 centres after an independent panel rejected 40% of those local boards thought eligible. Selection turns on the Oslo score, CEA, largest lesion, metabolic tumour volume, interval from the primary and donor strategy — all of them one centre's prognostic work rather than validated gates — and the commitment is a mandatory registry recording whether criteria were met or exceeded, recurrence site and post-recurrence survival.</w:t>
      </w:r>
    </w:p>
    <w:p>
      <w:pPr>
        <w:spacing w:after="40" w:line="276"/>
        <w:ind w:left="260"/>
      </w:pPr>
      <w:r>
        <w:rPr>
          <w:color w:val="5A6069"/>
          <w:sz w:val="16"/>
          <w:szCs w:val="16"/>
        </w:rPr>
        <w:t xml:space="preserve">Sources: TransMet; Oslo cohort; SECA-II 10-year</w:t>
      </w:r>
    </w:p>
    <w:p>
      <w:pPr>
        <w:spacing w:after="60" w:before="160"/>
      </w:pPr>
      <w:r>
        <w:rPr>
          <w:b/>
          <w:bCs/>
          <w:color w:val="8E5008"/>
          <w:sz w:val="19"/>
          <w:szCs w:val="19"/>
        </w:rPr>
        <w:t xml:space="preserve">5. </w:t>
      </w:r>
      <w:r>
        <w:rPr>
          <w:b/>
          <w:bCs/>
          <w:sz w:val="19"/>
          <w:szCs w:val="19"/>
        </w:rPr>
        <w:t xml:space="preserve">Surgical reassessment every 8 weeks improves outcome.</w:t>
      </w:r>
    </w:p>
    <w:p>
      <w:pPr>
        <w:spacing w:after="40" w:line="276"/>
        <w:ind w:left="260"/>
      </w:pPr>
      <w:r>
        <w:rPr>
          <w:color w:val="15181F"/>
          <w:sz w:val="18"/>
          <w:szCs w:val="18"/>
        </w:rPr>
        <w:t xml:space="preserve">It is an operating judgement with no comparative evidence for the interval. ESMO asks for reassessment every 2–3 months on first-line treatment and the Chinese 2024 consensus every 1.5–2.0 months; neither interval was derived or tested. Selection turns on regimen, tempo of response, patient tolerance and scheduling capacity, and the programme tracks the conversion rate and the time from first response to operation.</w:t>
      </w:r>
    </w:p>
    <w:p>
      <w:pPr>
        <w:spacing w:after="40" w:line="276"/>
        <w:ind w:left="260"/>
      </w:pPr>
      <w:r>
        <w:rPr>
          <w:color w:val="5A6069"/>
          <w:sz w:val="16"/>
          <w:szCs w:val="16"/>
        </w:rPr>
        <w:t xml:space="preserve">Sources: ESMO 2026; Chinese 2024 consensus</w:t>
      </w:r>
    </w:p>
    <w:p>
      <w:pPr>
        <w:spacing w:after="60" w:before="160"/>
      </w:pPr>
      <w:r>
        <w:rPr>
          <w:b/>
          <w:bCs/>
          <w:color w:val="8E5008"/>
          <w:sz w:val="19"/>
          <w:szCs w:val="19"/>
        </w:rPr>
        <w:t xml:space="preserve">6. </w:t>
      </w:r>
      <w:r>
        <w:rPr>
          <w:b/>
          <w:bCs/>
          <w:sz w:val="19"/>
          <w:szCs w:val="19"/>
        </w:rPr>
        <w:t xml:space="preserve">There is one set of criteria for transplanting colorectal liver metastases.</w:t>
      </w:r>
    </w:p>
    <w:p>
      <w:pPr>
        <w:spacing w:after="40" w:line="276"/>
        <w:ind w:left="260"/>
      </w:pPr>
      <w:r>
        <w:rPr>
          <w:color w:val="15181F"/>
          <w:sz w:val="18"/>
          <w:szCs w:val="18"/>
        </w:rPr>
        <w:t xml:space="preserve">There are at least four, and they disagree on gates that decide individual patients. The OPTN guidance route requires BRAF wild type, microsatellite stability, 12 months from CRLM diagnosis, six months of stability or regression, CEA at or below 80 µg/L and no pretreatment lesion above 10 cm. IHPBA 2021 adds exclusion for metabolic tumour volume above 70 cm³ with total lesion glycolysis above 260 g, bars MSI-high and mismatch-repair-deficient patients outright, limits the BRAF exclusion to V600E, and excludes undifferentiated and signet-ring histology. ESMO 2026 asks only for stabilisation of three months or more no later than third line and sets no MSI and no PET-volume bar at all. TransMet's own entry criteria are a fifth filter again. A dMMR patient with four months of stability and a metabolic tumour volume of 90 cm³ is transplantable under ESMO and barred under IHPBA and the OPTN route; a non-V600E BRAF-mutant patient is eligible under IHPBA and excluded by the OPTN wording. The roadmap's rule that the stricter governs is a defensible institutional choice, but it is a choice, not a finding — no study compares these filters against each other, and none of the thresholds was derived in a cohort large enough to validate it.</w:t>
      </w:r>
    </w:p>
    <w:p>
      <w:pPr>
        <w:spacing w:after="40" w:line="276"/>
        <w:ind w:left="260"/>
      </w:pPr>
      <w:r>
        <w:rPr>
          <w:color w:val="5A6069"/>
          <w:sz w:val="16"/>
          <w:szCs w:val="16"/>
        </w:rPr>
        <w:t xml:space="preserve">Sources: IHPBA 2021; ESMO 2026; TransMet; SECA-II 10-year</w:t>
      </w:r>
    </w:p>
    <w:p>
      <w:pPr>
        <w:spacing w:after="60" w:before="160"/>
      </w:pPr>
      <w:r>
        <w:rPr>
          <w:b/>
          <w:bCs/>
          <w:color w:val="8E5008"/>
          <w:sz w:val="19"/>
          <w:szCs w:val="19"/>
        </w:rPr>
        <w:t xml:space="preserve">7. </w:t>
      </w:r>
      <w:r>
        <w:rPr>
          <w:b/>
          <w:bCs/>
          <w:sz w:val="19"/>
          <w:szCs w:val="19"/>
        </w:rPr>
        <w:t xml:space="preserve">The Oslo score, the 70 cm³ metabolic tumour volume cut-off and the CEA 80 µg/L bar are validated selection tools.</w:t>
      </w:r>
    </w:p>
    <w:p>
      <w:pPr>
        <w:spacing w:after="40" w:line="276"/>
        <w:ind w:left="260"/>
      </w:pPr>
      <w:r>
        <w:rPr>
          <w:color w:val="15181F"/>
          <w:sz w:val="18"/>
          <w:szCs w:val="18"/>
        </w:rPr>
        <w:t xml:space="preserve">They are one programme's numbers, tested largely in the patients from which they were derived. The Oslo score was derived from the first 21 SECA-I patients who then reappear in every later analysis; the 70 cm³ threshold was set by ROC analysis in the same 40-patient cohort in which it is tested; the CEA 80 µg/L cutoff comes from SECA-I. In the 19-patient score comparison, every patient with a Fong score of 0–2 also had a metabolic tumour volume below 70 cm³ and an Oslo score of 0–2, so the three scores cannot be told apart and no multivariable model exists; in the 61-patient cohort, factors were tested one at a time by log-rank with no correction for multiple testing. The PET signal held only when the scan was within 90 days of transplant and was not significant beyond that. None of this has been reproduced at another centre, and IHPBA 2021 nonetheless carries 70 cm³ and 260 g forward as binary exclusions.</w:t>
      </w:r>
    </w:p>
    <w:p>
      <w:pPr>
        <w:spacing w:after="40" w:line="276"/>
        <w:ind w:left="260"/>
      </w:pPr>
      <w:r>
        <w:rPr>
          <w:color w:val="5A6069"/>
          <w:sz w:val="16"/>
          <w:szCs w:val="16"/>
        </w:rPr>
        <w:t xml:space="preserve">Sources: Oslo selection criteria; Grut metabolic tumour volume; Oslo cohort; SECA-II 10-year; IHPBA 2021</w:t>
      </w:r>
    </w:p>
    <w:p>
      <w:pPr>
        <w:spacing w:after="60" w:before="160"/>
      </w:pPr>
      <w:r>
        <w:rPr>
          <w:b/>
          <w:bCs/>
          <w:color w:val="8E5008"/>
          <w:sz w:val="19"/>
          <w:szCs w:val="19"/>
        </w:rPr>
        <w:t xml:space="preserve">8. </w:t>
      </w:r>
      <w:r>
        <w:rPr>
          <w:b/>
          <w:bCs/>
          <w:sz w:val="19"/>
          <w:szCs w:val="19"/>
        </w:rPr>
        <w:t xml:space="preserve">Permanent unresectability is a determination this pathway can make reliably.</w:t>
      </w:r>
    </w:p>
    <w:p>
      <w:pPr>
        <w:spacing w:after="40" w:line="276"/>
        <w:ind w:left="260"/>
      </w:pPr>
      <w:r>
        <w:rPr>
          <w:color w:val="15181F"/>
          <w:sz w:val="18"/>
          <w:szCs w:val="18"/>
        </w:rPr>
        <w:t xml:space="preserve">It is the least reproducible step in the pathway, and the page makes it load-bearing. In CAIRO5 an expert panel agreed unanimously on resectability in only 66% of baseline and 42% of follow-up assessments, and only 12–18% of those patients were judged permanently unresectable. In CLOCC unresectability was decided by each local multidisciplinary team with no central review. In TransMet an independent panel rejected 40% of the patients local boards had declared eligible. In the HAI conversion series resectability was adjudicated by the same surgeons who then operated, and the authors note that the criteria differ between trials so resection rates cannot be compared. The written record the roadmap requires is the right response to this, but it documents a judgement, not a measurement.</w:t>
      </w:r>
    </w:p>
    <w:p>
      <w:pPr>
        <w:spacing w:after="40" w:line="276"/>
        <w:ind w:left="260"/>
      </w:pPr>
      <w:r>
        <w:rPr>
          <w:color w:val="5A6069"/>
          <w:sz w:val="16"/>
          <w:szCs w:val="16"/>
        </w:rPr>
        <w:t xml:space="preserve">Sources: CAIRO5; EORTC 40004 (CLOCC); TransMet; Kemeny HAI conversion</w:t>
      </w:r>
    </w:p>
    <w:p>
      <w:pPr>
        <w:spacing w:after="60" w:before="160"/>
      </w:pPr>
      <w:r>
        <w:rPr>
          <w:b/>
          <w:bCs/>
          <w:color w:val="8E5008"/>
          <w:sz w:val="19"/>
          <w:szCs w:val="19"/>
        </w:rPr>
        <w:t xml:space="preserve">9. </w:t>
      </w:r>
      <w:r>
        <w:rPr>
          <w:b/>
          <w:bCs/>
          <w:sz w:val="19"/>
          <w:szCs w:val="19"/>
        </w:rPr>
        <w:t xml:space="preserve">Conversion and complete-local-treatment rates can be compared between studies.</w:t>
      </w:r>
    </w:p>
    <w:p>
      <w:pPr>
        <w:spacing w:after="40" w:line="276"/>
        <w:ind w:left="260"/>
      </w:pPr>
      <w:r>
        <w:rPr>
          <w:color w:val="15181F"/>
          <w:sz w:val="18"/>
          <w:szCs w:val="18"/>
        </w:rPr>
        <w:t xml:space="preserve">They cannot. Each study defines its own unresectability and scores its own endpoint: 51% versus 37% complete local treatment in CAIRO5 by panel judgement, 54% versus 53% R0/R1 with ablation or SBRT in TRICE judged locally, 47% conversion in a single-centre HAI series adjudicated by the operating surgeons, 17% versus 16% hepatic resection in the pooled radioembolisation analysis. None of these is the same observation, and a programme that benchmarks itself against one of them is measuring its own selection as much as its results.</w:t>
      </w:r>
    </w:p>
    <w:p>
      <w:pPr>
        <w:spacing w:after="40" w:line="276"/>
        <w:ind w:left="260"/>
      </w:pPr>
      <w:r>
        <w:rPr>
          <w:color w:val="5A6069"/>
          <w:sz w:val="16"/>
          <w:szCs w:val="16"/>
        </w:rPr>
        <w:t xml:space="preserve">Sources: CAIRO5; TRICE; Kemeny HAI conversion; FOXFIRE / SIRFLOX / FOXFIRE-Global</w:t>
      </w:r>
    </w:p>
    <w:p>
      <w:pPr>
        <w:spacing w:after="60" w:before="160"/>
      </w:pPr>
      <w:r>
        <w:rPr>
          <w:b/>
          <w:bCs/>
          <w:color w:val="8E5008"/>
          <w:sz w:val="19"/>
          <w:szCs w:val="19"/>
        </w:rPr>
        <w:t xml:space="preserve">10. </w:t>
      </w:r>
      <w:r>
        <w:rPr>
          <w:b/>
          <w:bCs/>
          <w:sz w:val="19"/>
          <w:szCs w:val="19"/>
        </w:rPr>
        <w:t xml:space="preserve">A deeper radiological response produces more clearance.</w:t>
      </w:r>
    </w:p>
    <w:p>
      <w:pPr>
        <w:spacing w:after="40" w:line="276"/>
        <w:ind w:left="260"/>
      </w:pPr>
      <w:r>
        <w:rPr>
          <w:color w:val="15181F"/>
          <w:sz w:val="18"/>
          <w:szCs w:val="18"/>
        </w:rPr>
        <w:t xml:space="preserve">In the only randomised comparisons that measured both, it did not. In CAIRO5's left-sided RAS and BRAF wild-type comparison, panitumumab raised objective response from 53% to 80% and median depth of response from 33% to 49%, yet complete local treatment was 58% in both arms (p=1.00) and both groups were closed early for futility. TRICE deepened response (median 59.6% versus 55.0%, p=0.039) without raising resection (54.2% versus 52.7%). SIRFLOX raised liver response and complete response without changing the resection rate (13.7% versus 14.2%), and the pooled radioembolisation analysis raised objective response from 63% to 72% with identical resection rates (17% versus 16%). FIRE-3's shrinkage advantage was never tested against a resection endpoint. Shrinkage is less often the limiting factor than the pathway's conversion language implies; anatomy, remnant and surgical willingness usually are.</w:t>
      </w:r>
    </w:p>
    <w:p>
      <w:pPr>
        <w:spacing w:after="40" w:line="276"/>
        <w:ind w:left="260"/>
      </w:pPr>
      <w:r>
        <w:rPr>
          <w:color w:val="5A6069"/>
          <w:sz w:val="16"/>
          <w:szCs w:val="16"/>
        </w:rPr>
        <w:t xml:space="preserve">Sources: CAIRO5; TRICE; SIRFLOX; FOXFIRE / SIRFLOX / FOXFIRE-Global; FIRE-3</w:t>
      </w:r>
    </w:p>
    <w:p>
      <w:pPr>
        <w:spacing w:after="60" w:before="160"/>
      </w:pPr>
      <w:r>
        <w:rPr>
          <w:b/>
          <w:bCs/>
          <w:color w:val="8E5008"/>
          <w:sz w:val="19"/>
          <w:szCs w:val="19"/>
        </w:rPr>
        <w:t xml:space="preserve">11. </w:t>
      </w:r>
      <w:r>
        <w:rPr>
          <w:b/>
          <w:bCs/>
          <w:sz w:val="19"/>
          <w:szCs w:val="19"/>
        </w:rPr>
        <w:t xml:space="preserve">Perioperative chemotherapy for resectable disease is supported by EORTC 40983.</w:t>
      </w:r>
    </w:p>
    <w:p>
      <w:pPr>
        <w:spacing w:after="40" w:line="276"/>
        <w:ind w:left="260"/>
      </w:pPr>
      <w:r>
        <w:rPr>
          <w:color w:val="15181F"/>
          <w:sz w:val="18"/>
          <w:szCs w:val="18"/>
        </w:rPr>
        <w:t xml:space="preserve">That trial missed its primary endpoint as randomised (3-year progression-free survival HR 0.79, p=0.058), reached significance only in eligible and resected subsets, showed no overall survival difference at 8.5 years (HR 0.88, p=0.34), did not raise the resection rate (83% versus 84%), and raised reversible postoperative complications from 16% to 25%. Only 63% of patients started the postoperative half, so the regimen actually tested was six preoperative cycles of FOLFOX4. It enrolled one to four metastases with 52% solitary — the most favourable population — while this page directs the regimen at more or larger metastases and a risk score above 2, where it was never tested. ASCO's six-month duration is taken from the same trial, and the one other randomised adjuvant trial ASCO cites, JCOG0603, improved disease-free survival without improving overall survival.</w:t>
      </w:r>
    </w:p>
    <w:p>
      <w:pPr>
        <w:spacing w:after="40" w:line="276"/>
        <w:ind w:left="260"/>
      </w:pPr>
      <w:r>
        <w:rPr>
          <w:color w:val="5A6069"/>
          <w:sz w:val="16"/>
          <w:szCs w:val="16"/>
        </w:rPr>
        <w:t xml:space="preserve">Sources: EORTC 40983; EORTC 40983 long-term; ASCO 2023</w:t>
      </w:r>
    </w:p>
    <w:p>
      <w:pPr>
        <w:spacing w:after="60" w:before="160"/>
      </w:pPr>
      <w:r>
        <w:rPr>
          <w:b/>
          <w:bCs/>
          <w:color w:val="8E5008"/>
          <w:sz w:val="19"/>
          <w:szCs w:val="19"/>
        </w:rPr>
        <w:t xml:space="preserve">12. </w:t>
      </w:r>
      <w:r>
        <w:rPr>
          <w:b/>
          <w:bCs/>
          <w:sz w:val="19"/>
          <w:szCs w:val="19"/>
        </w:rPr>
        <w:t xml:space="preserve">Anti-EGFR therapy is the clear first-line choice for left-sided RAS wild-type disease.</w:t>
      </w:r>
    </w:p>
    <w:p>
      <w:pPr>
        <w:spacing w:after="40" w:line="276"/>
        <w:ind w:left="260"/>
      </w:pPr>
      <w:r>
        <w:rPr>
          <w:color w:val="15181F"/>
          <w:sz w:val="18"/>
          <w:szCs w:val="18"/>
        </w:rPr>
        <w:t xml:space="preserve">The guideline recommendation is strong, but the trial evidence behind it is inconsistent and was not designed to answer the question. FIRE-3's prespecified primary endpoint, investigator-assessed response, was negative and progression-free survival was identical; the 72% versus 56% response figure comes from a blinded central review performed after the survival difference was known, and FIRE-3 reported no sidedness analysis and no secondary resection data. CALGB/SWOG 80405 found no survival difference (30.0 versus 29.0 months, HR 0.88, p=0.08), collected sidedness post hoc by chart review, and did not randomise the chemotherapy backbone, so the mFOLFOX6 subgroup favouring cetuximab is an unplanned subgroup of a non-randomised comparison. ASCO's HR 0.71 on the left and 1.35 on the right is a synthesis of retrospectively defined subgroups. The linked editorial's point stands: absence of a difference does not make the two antibodies interchangeable, and a difference in subgroups does not make the choice settled.</w:t>
      </w:r>
    </w:p>
    <w:p>
      <w:pPr>
        <w:spacing w:after="40" w:line="276"/>
        <w:ind w:left="260"/>
      </w:pPr>
      <w:r>
        <w:rPr>
          <w:color w:val="5A6069"/>
          <w:sz w:val="16"/>
          <w:szCs w:val="16"/>
        </w:rPr>
        <w:t xml:space="preserve">Sources: FIRE-3; CALGB/SWOG 80405; ASCO 2023</w:t>
      </w:r>
    </w:p>
    <w:p>
      <w:pPr>
        <w:spacing w:after="60" w:before="160"/>
      </w:pPr>
      <w:r>
        <w:rPr>
          <w:b/>
          <w:bCs/>
          <w:color w:val="8E5008"/>
          <w:sz w:val="19"/>
          <w:szCs w:val="19"/>
        </w:rPr>
        <w:t xml:space="preserve">13. </w:t>
      </w:r>
      <w:r>
        <w:rPr>
          <w:b/>
          <w:bCs/>
          <w:sz w:val="19"/>
          <w:szCs w:val="19"/>
        </w:rPr>
        <w:t xml:space="preserve">Second-line radioembolisation benefits patients with liver-dominant disease.</w:t>
      </w:r>
    </w:p>
    <w:p>
      <w:pPr>
        <w:spacing w:after="40" w:line="276"/>
        <w:ind w:left="260"/>
      </w:pPr>
      <w:r>
        <w:rPr>
          <w:color w:val="15181F"/>
          <w:sz w:val="18"/>
          <w:szCs w:val="18"/>
        </w:rPr>
        <w:t xml:space="preserve">EPOCH met both co-primary surrogate endpoints and neither reflects survival: progression-free survival gained 0.8 months, hepatic progression-free survival about 1.9 months, and overall survival was 14.0 versus 14.4 months (HR 1.07, 0.86–1.32) in a trial not powered for it. Grade 3 or worse events were 68.4% versus 49.3%, with three possibly related deaths from radiation-induced liver disease, hepatic failure and portal hypertension at 3 to 5 months — hepatic reserve spent on a surrogate. Thirteen per cent of those assigned never received the treatment, the control arm gave a first-line EGFR inhibitor to only 17% of patients, and the device manufacturer sponsored the trial and co-authored the report. ASCO does not recommend SIRT routinely at all, judging harms to outweigh benefits. The roadmap keeps it as a control option, which is defensible; describing it as treatment that lengthens life is not.</w:t>
      </w:r>
    </w:p>
    <w:p>
      <w:pPr>
        <w:spacing w:after="40" w:line="276"/>
        <w:ind w:left="260"/>
      </w:pPr>
      <w:r>
        <w:rPr>
          <w:color w:val="5A6069"/>
          <w:sz w:val="16"/>
          <w:szCs w:val="16"/>
        </w:rPr>
        <w:t xml:space="preserve">Sources: EPOCH; ASCO 2023; Hendlisz Y90</w:t>
      </w:r>
    </w:p>
    <w:p>
      <w:pPr>
        <w:spacing w:after="60" w:before="160"/>
      </w:pPr>
      <w:r>
        <w:rPr>
          <w:b/>
          <w:bCs/>
          <w:color w:val="8E5008"/>
          <w:sz w:val="19"/>
          <w:szCs w:val="19"/>
        </w:rPr>
        <w:t xml:space="preserve">14. </w:t>
      </w:r>
      <w:r>
        <w:rPr>
          <w:b/>
          <w:bCs/>
          <w:sz w:val="19"/>
          <w:szCs w:val="19"/>
        </w:rPr>
        <w:t xml:space="preserve">Sidedness or RAS status identifies the patients who benefit from radioembolisation.</w:t>
      </w:r>
    </w:p>
    <w:p>
      <w:pPr>
        <w:spacing w:after="40" w:line="276"/>
        <w:ind w:left="260"/>
      </w:pPr>
      <w:r>
        <w:rPr>
          <w:color w:val="15181F"/>
          <w:sz w:val="18"/>
          <w:szCs w:val="18"/>
        </w:rPr>
        <w:t xml:space="preserve">The two datasets point in opposite directions. EPOCH's progression-free survival benefit sat in KRAS-mutant (HR 0.57) and left-sided (HR 0.65) disease with none for right-sided primaries; the pooled FOXFIRE, SIRFLOX and FOXFIRE-Global analysis found its only favourable subgroup in right-sided primaries (overall survival HR 0.67), the mirror image. Both are post hoc, in different microsphere types, different lines and different chemotherapy backbones, and the pooled analysis also reduced oxaliplatin dose around the radioembolisation by protocol. Neither signal should be used to select a patient.</w:t>
      </w:r>
    </w:p>
    <w:p>
      <w:pPr>
        <w:spacing w:after="40" w:line="276"/>
        <w:ind w:left="260"/>
      </w:pPr>
      <w:r>
        <w:rPr>
          <w:color w:val="5A6069"/>
          <w:sz w:val="16"/>
          <w:szCs w:val="16"/>
        </w:rPr>
        <w:t xml:space="preserve">Sources: EPOCH; FOXFIRE / SIRFLOX / FOXFIRE-Global</w:t>
      </w:r>
    </w:p>
    <w:p>
      <w:pPr>
        <w:spacing w:after="60" w:before="160"/>
      </w:pPr>
      <w:r>
        <w:rPr>
          <w:b/>
          <w:bCs/>
          <w:color w:val="8E5008"/>
          <w:sz w:val="19"/>
          <w:szCs w:val="19"/>
        </w:rPr>
        <w:t xml:space="preserve">15. </w:t>
      </w:r>
      <w:r>
        <w:rPr>
          <w:b/>
          <w:bCs/>
          <w:sz w:val="19"/>
          <w:szCs w:val="19"/>
        </w:rPr>
        <w:t xml:space="preserve">DEBIRI prolongs survival in refractory liver-dominant disease.</w:t>
      </w:r>
    </w:p>
    <w:p>
      <w:pPr>
        <w:spacing w:after="40" w:line="276"/>
        <w:ind w:left="260"/>
      </w:pPr>
      <w:r>
        <w:rPr>
          <w:color w:val="15181F"/>
          <w:sz w:val="18"/>
          <w:szCs w:val="18"/>
        </w:rPr>
        <w:t xml:space="preserve">The 22-versus-15-month figure comes from a single two-centre trial of 74 patients against FOLFIRI containing no oxaliplatin, bevacizumab or anti-EGFR agent and capped at eight cycles, while DEBIRI patients could be retreated; the arms therefore differ in treatment intensity (70 procedures against 277 cycles) as well as route. Response was scored by RECIST or EASL at investigator discretion in an open-label trial, DEBIRI patients received prophylactic morphine, steroids and antibiotics before symptom scoring, the report contradicts itself on two p values, and the authors present the work as sizing an effect for a larger trial that has not reproduced this magnitude.</w:t>
      </w:r>
    </w:p>
    <w:p>
      <w:pPr>
        <w:spacing w:after="40" w:line="276"/>
        <w:ind w:left="260"/>
      </w:pPr>
      <w:r>
        <w:rPr>
          <w:color w:val="5A6069"/>
          <w:sz w:val="16"/>
          <w:szCs w:val="16"/>
        </w:rPr>
        <w:t xml:space="preserve">Sources: DEBIRI</w:t>
      </w:r>
    </w:p>
    <w:p>
      <w:pPr>
        <w:spacing w:after="60" w:before="160"/>
      </w:pPr>
      <w:r>
        <w:rPr>
          <w:b/>
          <w:bCs/>
          <w:color w:val="8E5008"/>
          <w:sz w:val="19"/>
          <w:szCs w:val="19"/>
        </w:rPr>
        <w:t xml:space="preserve">16. </w:t>
      </w:r>
      <w:r>
        <w:rPr>
          <w:b/>
          <w:bCs/>
          <w:sz w:val="19"/>
          <w:szCs w:val="19"/>
        </w:rPr>
        <w:t xml:space="preserve">Adjuvant hepatic arterial infusion after resection is established.</w:t>
      </w:r>
    </w:p>
    <w:p>
      <w:pPr>
        <w:spacing w:after="40" w:line="276"/>
        <w:ind w:left="260"/>
      </w:pPr>
      <w:r>
        <w:rPr>
          <w:color w:val="15181F"/>
          <w:sz w:val="18"/>
          <w:szCs w:val="18"/>
        </w:rPr>
        <w:t xml:space="preserve">The randomised evidence is one 1999 single-centre trial in which the whole overall survival curves did not differ (p=0.21); the positive result is a prespecified two-year landmark against bolus fluorouracil, and biliary toxicity meant only 26% of patients received more than half the planned floxuridine, so the regimen tested is not the regimen designed. The 2368-patient propensity series spans 21 years, its hepatic arterial infusion patients were six years younger and more recently treated, a published letter argued the propensity model and post-adjustment balance were reported in too little detail to assess, and the largest effects fell in node-negative and low-risk patients — the opposite of where a regional therapy should help most, and with no benefit at all with extrahepatic disease or a positive margin. Dutch PUMP (ASCO 2026 LBA3506; DOI 10.1200/JCO.2026.44.17_suppl.LBA3506) has reported randomized conference results: in low-risk resected CRLM (CRS 0–2), adjuvant HAIP alone did not significantly improve PFS versus resection alone (HR 0.88, 95% CI 0.62–1.25; P=.48). Neither arm received adjuvant systemic chemotherapy. Overall survival is immature. This does not test HAI plus modern systemic therapy or the unresectable conversion setting.</w:t>
      </w:r>
    </w:p>
    <w:p>
      <w:pPr>
        <w:spacing w:after="40" w:line="276"/>
        <w:ind w:left="260"/>
      </w:pPr>
      <w:r>
        <w:rPr>
          <w:color w:val="5A6069"/>
          <w:sz w:val="16"/>
          <w:szCs w:val="16"/>
        </w:rPr>
        <w:t xml:space="preserve">Sources: Kemeny adjuvant HAI; MSKCC HAI propensity; PUMP protocol and ASCO 2026 LBA3506 results</w:t>
      </w:r>
    </w:p>
    <w:p>
      <w:pPr>
        <w:spacing w:after="60" w:before="160"/>
      </w:pPr>
      <w:r>
        <w:rPr>
          <w:b/>
          <w:bCs/>
          <w:color w:val="8E5008"/>
          <w:sz w:val="19"/>
          <w:szCs w:val="19"/>
        </w:rPr>
        <w:t xml:space="preserve">17. </w:t>
      </w:r>
      <w:r>
        <w:rPr>
          <w:b/>
          <w:bCs/>
          <w:sz w:val="19"/>
          <w:szCs w:val="19"/>
        </w:rPr>
        <w:t xml:space="preserve">SBRT is a definitive local treatment for colorectal liver metastases.</w:t>
      </w:r>
    </w:p>
    <w:p>
      <w:pPr>
        <w:spacing w:after="40" w:line="276"/>
        <w:ind w:left="260"/>
      </w:pPr>
      <w:r>
        <w:rPr>
          <w:color w:val="15181F"/>
          <w:sz w:val="18"/>
          <w:szCs w:val="18"/>
        </w:rPr>
        <w:t xml:space="preserve">Its local-control evidence is better than its cure evidence, and almost none of it is colorectal. The 95% and 92% in-field control figures come from a 47-patient single-arm phase I/II trial in which 15 patients had colorectal metastases, colorectal outcomes were never reported separately, 13 patients were treated below 60 Gy, control was scored in only 49 of 63 lesions, and the authors say the competing risk of death may exaggerate it. SABR-COMET is a 99-patient phase 2 screening trial run at a two-sided alpha of 0.20 whose primary report gave p=0.090 for survival; 18 of 99 patients had a colorectal primary and one of the 12 five-year survivors, the survival effect falls to p=0.085 when prostate cancers are removed, liver lesional control was 50% — the lowest of any treated site — and treatment-related mortality was 4.5%. ASCO graded its own SBRT recommendation low quality, weak. Imaging response after SBRT is not a margin.</w:t>
      </w:r>
    </w:p>
    <w:p>
      <w:pPr>
        <w:spacing w:after="40" w:line="276"/>
        <w:ind w:left="260"/>
      </w:pPr>
      <w:r>
        <w:rPr>
          <w:color w:val="5A6069"/>
          <w:sz w:val="16"/>
          <w:szCs w:val="16"/>
        </w:rPr>
        <w:t xml:space="preserve">Sources: Rusthoven SBRT; SABR-COMET primary; SABR-COMET long-term; ASCO 2023</w:t>
      </w:r>
    </w:p>
    <w:p>
      <w:pPr>
        <w:spacing w:after="60" w:before="160"/>
      </w:pPr>
      <w:r>
        <w:rPr>
          <w:b/>
          <w:bCs/>
          <w:color w:val="8E5008"/>
          <w:sz w:val="19"/>
          <w:szCs w:val="19"/>
        </w:rPr>
        <w:t xml:space="preserve">18. </w:t>
      </w:r>
      <w:r>
        <w:rPr>
          <w:b/>
          <w:bCs/>
          <w:sz w:val="19"/>
          <w:szCs w:val="19"/>
        </w:rPr>
        <w:t xml:space="preserve">A confirmed ablative margin is the same clearance as a pathologic margin.</w:t>
      </w:r>
    </w:p>
    <w:p>
      <w:pPr>
        <w:spacing w:after="40" w:line="276"/>
        <w:ind w:left="260"/>
      </w:pPr>
      <w:r>
        <w:rPr>
          <w:color w:val="15181F"/>
          <w:sz w:val="18"/>
          <w:szCs w:val="18"/>
        </w:rPr>
        <w:t xml:space="preserve">It is a different observation. A resection margin is read by a pathologist; an ablation margin is inferred by subtracting landmark distances on pre- and post-ablation CT, was unmeasurable in 25% of tumours in the series the 5 mm threshold comes from, and has never been confirmed histologically. That series also improved its margins and its local recurrence rate at the same time as it introduced immediate triple-phase CT, over a decade in which operators, imaging and systemic therapy all changed, so the before-and-after comparison overstates what margin assessment alone delivers. In COLLISION an imaging margin under 5 mm was recorded in only 5% of ablated tumours but 47% of those progressed, while a pathologic R1 was found in 12% of resected tumours and 36% of those progressed — the two measures do not agree on how often clearance failed.</w:t>
      </w:r>
    </w:p>
    <w:p>
      <w:pPr>
        <w:spacing w:after="40" w:line="276"/>
        <w:ind w:left="260"/>
      </w:pPr>
      <w:r>
        <w:rPr>
          <w:color w:val="5A6069"/>
          <w:sz w:val="16"/>
          <w:szCs w:val="16"/>
        </w:rPr>
        <w:t xml:space="preserve">Sources: Shady ablation margins; COLLISION</w:t>
      </w:r>
    </w:p>
    <w:p>
      <w:pPr>
        <w:spacing w:after="60" w:before="160"/>
      </w:pPr>
      <w:r>
        <w:rPr>
          <w:b/>
          <w:bCs/>
          <w:color w:val="8E5008"/>
          <w:sz w:val="19"/>
          <w:szCs w:val="19"/>
        </w:rPr>
        <w:t xml:space="preserve">19. </w:t>
      </w:r>
      <w:r>
        <w:rPr>
          <w:b/>
          <w:bCs/>
          <w:sz w:val="19"/>
          <w:szCs w:val="19"/>
        </w:rPr>
        <w:t xml:space="preserve">The survival figures on this page describe what the first operation achieves.</w:t>
      </w:r>
    </w:p>
    <w:p>
      <w:pPr>
        <w:spacing w:after="40" w:line="276"/>
        <w:ind w:left="260"/>
      </w:pPr>
      <w:r>
        <w:rPr>
          <w:color w:val="15181F"/>
          <w:sz w:val="18"/>
          <w:szCs w:val="18"/>
        </w:rPr>
        <w:t xml:space="preserve">They describe first treatment plus salvage, and the salvage is not incidental. In the ablation series median overall survival was 65 months with no liver progression, 51 months when progression was re-ablated and 22 months once a patient was no longer an ablation candidate. After transplantation 74% recurred in TransMet and 48% in SECA-II, with 5-year progression-free survival of 19.9%; most recurrences were pulmonary and the long survival depends on resecting them under immunosuppression — 46% of isolated recurrences in TransMet were treated with curative intent. Both transplant cohorts' authors state that relapse-free survival is not a valid efficacy measure in this setting, which is another way of saying the result belongs to the whole programme rather than to the operation.</w:t>
      </w:r>
    </w:p>
    <w:p>
      <w:pPr>
        <w:spacing w:after="40" w:line="276"/>
        <w:ind w:left="260"/>
      </w:pPr>
      <w:r>
        <w:rPr>
          <w:color w:val="5A6069"/>
          <w:sz w:val="16"/>
          <w:szCs w:val="16"/>
        </w:rPr>
        <w:t xml:space="preserve">Sources: Shady ablation margins; TransMet; SECA-II 10-year; Oslo cohort</w:t>
      </w:r>
    </w:p>
    <w:p>
      <w:pPr>
        <w:spacing w:after="60" w:before="160"/>
      </w:pPr>
      <w:r>
        <w:rPr>
          <w:b/>
          <w:bCs/>
          <w:color w:val="8E5008"/>
          <w:sz w:val="19"/>
          <w:szCs w:val="19"/>
        </w:rPr>
        <w:t xml:space="preserve">20. </w:t>
      </w:r>
      <w:r>
        <w:rPr>
          <w:b/>
          <w:bCs/>
          <w:sz w:val="19"/>
          <w:szCs w:val="19"/>
        </w:rPr>
        <w:t xml:space="preserve">TransMet shows 73% five-year survival after transplantation.</w:t>
      </w:r>
    </w:p>
    <w:p>
      <w:pPr>
        <w:spacing w:after="40" w:line="276"/>
        <w:ind w:left="260"/>
      </w:pPr>
      <w:r>
        <w:rPr>
          <w:color w:val="15181F"/>
          <w:sz w:val="18"/>
          <w:szCs w:val="18"/>
        </w:rPr>
        <w:t xml:space="preserve">That is the per-protocol figure, and the protocol deviations ran in both directions: 9 of 47 patients allocated to transplantation never received a graft and 9 of 47 allocated to chemotherapy went on to hepatectomy or transplantation, so the per-protocol comparison is no longer randomised. The intention-to-treat estimate is 56.6% versus 12.6% (HR 0.37, 0.21–0.65), and even that mixes treatments. Proportional hazards did not hold, so the authors added a post-hoc restricted-mean analysis giving a 12.6-month survival gain at 60 months (4.9–20.4). Severe morbidity was 34%, retransplantation 8%, three-month mortality 3%.</w:t>
      </w:r>
    </w:p>
    <w:p>
      <w:pPr>
        <w:spacing w:after="40" w:line="276"/>
        <w:ind w:left="260"/>
      </w:pPr>
      <w:r>
        <w:rPr>
          <w:color w:val="5A6069"/>
          <w:sz w:val="16"/>
          <w:szCs w:val="16"/>
        </w:rPr>
        <w:t xml:space="preserve">Sources: TransMet</w:t>
      </w:r>
    </w:p>
    <w:p>
      <w:pPr>
        <w:spacing w:after="60" w:before="160"/>
      </w:pPr>
      <w:r>
        <w:rPr>
          <w:b/>
          <w:bCs/>
          <w:color w:val="8E5008"/>
          <w:sz w:val="19"/>
          <w:szCs w:val="19"/>
        </w:rPr>
        <w:t xml:space="preserve">21. </w:t>
      </w:r>
      <w:r>
        <w:rPr>
          <w:b/>
          <w:bCs/>
          <w:sz w:val="19"/>
          <w:szCs w:val="19"/>
        </w:rPr>
        <w:t xml:space="preserve">A transplant programme can reproduce the published survival with the same criteria.</w:t>
      </w:r>
    </w:p>
    <w:p>
      <w:pPr>
        <w:spacing w:after="40" w:line="276"/>
        <w:ind w:left="260"/>
      </w:pPr>
      <w:r>
        <w:rPr>
          <w:color w:val="15181F"/>
          <w:sz w:val="18"/>
          <w:szCs w:val="18"/>
        </w:rPr>
        <w:t xml:space="preserve">The published survival is a product of selection and of an allocation arrangement as much as of the criteria. TransMet depended on negotiated national prioritisation that delivered grafts at a median 50.5 days after randomisation and within two months of the last chemotherapy cycle; 19% of the transplantation arm still never received a graft, and without exception points these normal-liver, low-MELD patients do not compete, so a longer wait raises that dropout. The Oslo programme's own simulation found 2 to 3 eligible patients per year in a population of 5.5 million, and its 15 SECA-II transplants over five years were possible because of a national graft surplus. The North American living-donor series transplanted 10 of 91 evaluated patients and does not report what happened to the other 79.</w:t>
      </w:r>
    </w:p>
    <w:p>
      <w:pPr>
        <w:spacing w:after="40" w:line="276"/>
        <w:ind w:left="260"/>
      </w:pPr>
      <w:r>
        <w:rPr>
          <w:color w:val="5A6069"/>
          <w:sz w:val="16"/>
          <w:szCs w:val="16"/>
        </w:rPr>
        <w:t xml:space="preserve">Sources: TransMet; SECA-II 10-year; SECA-II; North American LDLT</w:t>
      </w:r>
    </w:p>
    <w:p>
      <w:pPr>
        <w:spacing w:after="60" w:before="160"/>
      </w:pPr>
      <w:r>
        <w:rPr>
          <w:b/>
          <w:bCs/>
          <w:color w:val="8E5008"/>
          <w:sz w:val="19"/>
          <w:szCs w:val="19"/>
        </w:rPr>
        <w:t xml:space="preserve">22. </w:t>
      </w:r>
      <w:r>
        <w:rPr>
          <w:b/>
          <w:bCs/>
          <w:sz w:val="19"/>
          <w:szCs w:val="19"/>
        </w:rPr>
        <w:t xml:space="preserve">Living-donor transplantation is an established route for this indication.</w:t>
      </w:r>
    </w:p>
    <w:p>
      <w:pPr>
        <w:spacing w:after="40" w:line="276"/>
        <w:ind w:left="260"/>
      </w:pPr>
      <w:r>
        <w:rPr>
          <w:color w:val="15181F"/>
          <w:sz w:val="18"/>
          <w:szCs w:val="18"/>
        </w:rPr>
        <w:t xml:space="preserve">The published North American experience is 10 recipients across three centres running three different protocols, with 1.5-year overall survival 100% and recurrence-free survival 62%; three recurrences occurred at 92, 121 and 199 days, nine explants contained viable tumour and one a positive portal node. The invited commentary calls this a technical demonstration of an already-established operation rather than an oncologic result, notes the 30% early recurrence rate would alarm in any other transplant-oncology indication, and questions using a healthy donor while the deceased-donor pool and machine perfusion are expanding. IHPBA permits living donation only at benchmark-meeting centres and preferably within a trial, and allows no retransplantation for recurrent metastases.</w:t>
      </w:r>
    </w:p>
    <w:p>
      <w:pPr>
        <w:spacing w:after="40" w:line="276"/>
        <w:ind w:left="260"/>
      </w:pPr>
      <w:r>
        <w:rPr>
          <w:color w:val="5A6069"/>
          <w:sz w:val="16"/>
          <w:szCs w:val="16"/>
        </w:rPr>
        <w:t xml:space="preserve">Sources: North American LDLT; IHPBA 2021</w:t>
      </w:r>
    </w:p>
    <w:p>
      <w:pPr>
        <w:spacing w:after="60" w:before="160"/>
      </w:pPr>
      <w:r>
        <w:rPr>
          <w:b/>
          <w:bCs/>
          <w:color w:val="8E5008"/>
          <w:sz w:val="19"/>
          <w:szCs w:val="19"/>
        </w:rPr>
        <w:t xml:space="preserve">23. </w:t>
      </w:r>
      <w:r>
        <w:rPr>
          <w:b/>
          <w:bCs/>
          <w:sz w:val="19"/>
          <w:szCs w:val="19"/>
        </w:rPr>
        <w:t xml:space="preserve">MSI-high and mismatch-repair-deficient patients are excluded from transplantation on evidence.</w:t>
      </w:r>
    </w:p>
    <w:p>
      <w:pPr>
        <w:spacing w:after="40" w:line="276"/>
        <w:ind w:left="260"/>
      </w:pPr>
      <w:r>
        <w:rPr>
          <w:color w:val="15181F"/>
          <w:sz w:val="18"/>
          <w:szCs w:val="18"/>
        </w:rPr>
        <w:t xml:space="preserve">They are excluded on a mechanism. The IHPBA statement rests on the risk of graft rejection if immunotherapy were needed after transplant, not on transplant outcome data in these patients, and its own reviewers call it the statement most likely to be overtaken; ESMO 2026 sets no MSI exclusion. The checkpoint evidence does not resolve the dilemma it creates. In CheckMate 8HW overall survival is still masked and the treatment lines are masked, so whether adding ipilimumab helps in the first line is unknown and high-grade toxicity roughly doubled. In KEYNOTE-177, 29.4% of pembrolizumab patients had progressive disease as best response with no biomarker to identify them, survival was blinded with 59% effective crossover, and only about 9% of patients in either arm had curative-intent surgery and were censored at it. Nothing published tells a surgeon what to do with liver-limited dMMR disease that could be cleared.</w:t>
      </w:r>
    </w:p>
    <w:p>
      <w:pPr>
        <w:spacing w:after="40" w:line="276"/>
        <w:ind w:left="260"/>
      </w:pPr>
      <w:r>
        <w:rPr>
          <w:color w:val="5A6069"/>
          <w:sz w:val="16"/>
          <w:szCs w:val="16"/>
        </w:rPr>
        <w:t xml:space="preserve">Sources: IHPBA 2021; CheckMate 8HW; KEYNOTE-177; ESMO 2026</w:t>
      </w:r>
    </w:p>
    <w:p>
      <w:pPr>
        <w:spacing w:after="60" w:before="160"/>
      </w:pPr>
      <w:r>
        <w:rPr>
          <w:b/>
          <w:bCs/>
          <w:color w:val="8E5008"/>
          <w:sz w:val="19"/>
          <w:szCs w:val="19"/>
        </w:rPr>
        <w:t xml:space="preserve">24. </w:t>
      </w:r>
      <w:r>
        <w:rPr>
          <w:b/>
          <w:bCs/>
          <w:sz w:val="19"/>
          <w:szCs w:val="19"/>
        </w:rPr>
        <w:t xml:space="preserve">The sequence of primary and liver surgery can be set from the evidence.</w:t>
      </w:r>
    </w:p>
    <w:p>
      <w:pPr>
        <w:spacing w:after="40" w:line="276"/>
        <w:ind w:left="260"/>
      </w:pPr>
      <w:r>
        <w:rPr>
          <w:color w:val="15181F"/>
          <w:sz w:val="18"/>
          <w:szCs w:val="18"/>
        </w:rPr>
        <w:t xml:space="preserve">It cannot. The sequencing recommendations are Delphi expert opinion, and the panel records that no strong evidence supports its central position of chemotherapy before colon resection; the registry comparisons behind it are non-randomised and selection-confounded, with 5-year survival no better for chemotherapy first than for primary surgery first (42% versus 47% in resectable and 31% versus 33% in unresectable disease). The Chinese 2024 consensus prefers simultaneous resection for synchronous disease at its own weakest grade, the opposite emphasis. No randomised trial compares any of these sequences, so the roadmap's rule — sequence by the dominant oncologic threat — is a reasonable principle standing in for absent evidence.</w:t>
      </w:r>
    </w:p>
    <w:p>
      <w:pPr>
        <w:spacing w:after="40" w:line="276"/>
        <w:ind w:left="260"/>
      </w:pPr>
      <w:r>
        <w:rPr>
          <w:color w:val="5A6069"/>
          <w:sz w:val="16"/>
          <w:szCs w:val="16"/>
        </w:rPr>
        <w:t xml:space="preserve">Sources: Adam 2015 consensus; ESMO 2026; Chinese 2024 consensus</w:t>
      </w:r>
    </w:p>
    <w:p>
      <w:pPr>
        <w:spacing w:after="60" w:before="160"/>
      </w:pPr>
      <w:r>
        <w:rPr>
          <w:b/>
          <w:bCs/>
          <w:color w:val="8E5008"/>
          <w:sz w:val="19"/>
          <w:szCs w:val="19"/>
        </w:rPr>
        <w:t xml:space="preserve">25. </w:t>
      </w:r>
      <w:r>
        <w:rPr>
          <w:b/>
          <w:bCs/>
          <w:sz w:val="19"/>
          <w:szCs w:val="19"/>
        </w:rPr>
        <w:t xml:space="preserve">The Fong clinical risk score stratifies this population.</w:t>
      </w:r>
    </w:p>
    <w:p>
      <w:pPr>
        <w:spacing w:after="40" w:line="276"/>
        <w:ind w:left="260"/>
      </w:pPr>
      <w:r>
        <w:rPr>
          <w:color w:val="15181F"/>
          <w:sz w:val="18"/>
          <w:szCs w:val="18"/>
        </w:rPr>
        <w:t xml:space="preserve">It stratifies the population it was built from. It was derived and tested in the same 1001 consecutive resections at one tertiary centre with no independent validation cohort, in the pre-oxaliplatin, pre-PET, pre-RAS era, and 123 patients had no preoperative CEA. The two strongest predictors it identified — a positive margin and extrahepatic disease — were deliberately left out because they are not known before the operation, so the score omits the factors that most determined outcome. Its discussants argued that CEA and nodal status double-count tumour burden and that lesion number should not restrict exploration in the ablation era, and warned the score would be misread as an argument against operating. The molecular classifier that improves on it raises the concordance statistic only from 0.55 to 0.62, needs mRNA and miRNA from the resected metastasis, and so cannot inform the preoperative decision the score was built for.</w:t>
      </w:r>
    </w:p>
    <w:p>
      <w:pPr>
        <w:spacing w:after="40" w:line="276"/>
        <w:ind w:left="260"/>
      </w:pPr>
      <w:r>
        <w:rPr>
          <w:color w:val="5A6069"/>
          <w:sz w:val="16"/>
          <w:szCs w:val="16"/>
        </w:rPr>
        <w:t xml:space="preserve">Sources: Fong CRS; New EPOC biomarker</w:t>
      </w:r>
    </w:p>
    <w:p>
      <w:pPr>
        <w:spacing w:after="60" w:before="160"/>
      </w:pPr>
      <w:r>
        <w:rPr>
          <w:b/>
          <w:bCs/>
          <w:color w:val="8E5008"/>
          <w:sz w:val="19"/>
          <w:szCs w:val="19"/>
        </w:rPr>
        <w:t xml:space="preserve">26. </w:t>
      </w:r>
      <w:r>
        <w:rPr>
          <w:b/>
          <w:bCs/>
          <w:sz w:val="19"/>
          <w:szCs w:val="19"/>
        </w:rPr>
        <w:t xml:space="preserve">The imaging, interval and threshold requirements on this page rest on evidence of benefit.</w:t>
      </w:r>
    </w:p>
    <w:p>
      <w:pPr>
        <w:spacing w:after="40" w:line="276"/>
        <w:ind w:left="260"/>
      </w:pPr>
      <w:r>
        <w:rPr>
          <w:color w:val="15181F"/>
          <w:sz w:val="18"/>
          <w:szCs w:val="18"/>
        </w:rPr>
        <w:t xml:space="preserve">Most of them rest on documents. There is no comparative outcome evidence in CRLM that MRI-based or PET-based staging, a particular reassessment interval, a particular remnant threshold or a particular surveillance schedule changes survival; they are guideline, consensus and local-policy positions, and the page grades them accordingly. The Chinese 2024 consensus publishes four pages of numbered recommendations with its evidence base in an online supplement and describes no consensus method, so its grades cannot be audited from the paper and its CSCO grades are not comparable with ESMO, NCCN or ASCO grades read alongside them. The OPTN transplant-oncology document is review-board guidance and not Policy, and two of its numeric boundaries are internally inconsistent: the initial exclusion is CEA above 80 µg/L while renewal wording is below 80, and progression is defined as a 10% increase in diameter while being labelled RECIST 1.1.</w:t>
      </w:r>
    </w:p>
    <w:p>
      <w:pPr>
        <w:spacing w:after="40" w:line="276"/>
        <w:ind w:left="260"/>
      </w:pPr>
      <w:r>
        <w:rPr>
          <w:color w:val="5A6069"/>
          <w:sz w:val="16"/>
          <w:szCs w:val="16"/>
        </w:rPr>
        <w:t xml:space="preserve">Sources: ESMO 2026; Chinese 2024 consensus; IHPBA 2021</w:t>
      </w:r>
    </w:p>
    <w:p>
      <w:pPr>
        <w:spacing w:after="60" w:before="160"/>
      </w:pPr>
      <w:r>
        <w:rPr>
          <w:b/>
          <w:bCs/>
          <w:color w:val="8E5008"/>
          <w:sz w:val="19"/>
          <w:szCs w:val="19"/>
        </w:rPr>
        <w:t xml:space="preserve">27. </w:t>
      </w:r>
      <w:r>
        <w:rPr>
          <w:b/>
          <w:bCs/>
          <w:sz w:val="19"/>
          <w:szCs w:val="19"/>
        </w:rPr>
        <w:t xml:space="preserve">Histotripsy is a liver-directed treatment option.</w:t>
      </w:r>
    </w:p>
    <w:p>
      <w:pPr>
        <w:spacing w:after="40" w:line="276"/>
        <w:ind w:left="260"/>
      </w:pPr>
      <w:r>
        <w:rPr>
          <w:color w:val="15181F"/>
          <w:sz w:val="18"/>
          <w:szCs w:val="18"/>
        </w:rPr>
        <w:t xml:space="preserve">In CRLM it is a device with no oncologic outcome data. The pivotal experience is single-arm, 47 patients and 52 tumours, median treated diameter 1.3 cm, 88% of targets in segments II to IV and none in VII or VIII — so the anatomy where an alternative to resection is most wanted was not tested. The headline 90% local control is a post hoc read made once all one-year imaging was available; the prespecified primary assessment gave 63.4%, and the two reads agreed only 71–84% of the time. Twelve-month overall survival among the metastatic patients was 48.6%, treatments after day 30 were not tracked so no progression-free survival exists, and the manufacturer funded the trial and supplied the devices. FDA clearance for tumour destruction is not evidence of benefit.</w:t>
      </w:r>
    </w:p>
    <w:p>
      <w:pPr>
        <w:spacing w:after="40" w:line="276"/>
        <w:ind w:left="260"/>
      </w:pPr>
      <w:r>
        <w:rPr>
          <w:color w:val="5A6069"/>
          <w:sz w:val="16"/>
          <w:szCs w:val="16"/>
        </w:rPr>
        <w:t xml:space="preserve">Sources: #HOPE4LIVER one-year</w:t>
      </w:r>
    </w:p>
    <w:p>
      <w:pPr>
        <w:pStyle w:val="Heading1"/>
        <w:keepNext/>
        <w:pageBreakBefore/>
        <w:spacing w:after="110" w:before="320"/>
      </w:pPr>
      <w:r>
        <w:rPr>
          <w:rFonts w:ascii="Cambria" w:cs="Cambria" w:eastAsia="Cambria" w:hAnsi="Cambria"/>
          <w:b/>
          <w:bCs/>
          <w:color w:val="17365D"/>
          <w:sz w:val="32"/>
          <w:szCs w:val="32"/>
        </w:rPr>
        <w:t xml:space="preserve">Operations</w:t>
      </w:r>
    </w:p>
    <w:p>
      <w:pPr>
        <w:pStyle w:val="Heading2"/>
        <w:keepNext/>
        <w:spacing w:after="110" w:before="240"/>
      </w:pPr>
      <w:r>
        <w:rPr>
          <w:rFonts w:ascii="Cambria" w:cs="Cambria" w:eastAsia="Cambria" w:hAnsi="Cambria"/>
          <w:b/>
          <w:bCs/>
          <w:color w:val="17365D"/>
          <w:sz w:val="26"/>
          <w:szCs w:val="26"/>
        </w:rPr>
        <w:t xml:space="preserve">The board meeting</w:t>
      </w:r>
    </w:p>
    <w:p>
      <w:pPr>
        <w:pStyle w:val="Heading2"/>
        <w:keepNext/>
        <w:spacing w:after="110" w:before="240"/>
      </w:pPr>
      <w:r>
        <w:rPr>
          <w:rFonts w:ascii="Cambria" w:cs="Cambria" w:eastAsia="Cambria" w:hAnsi="Cambria"/>
          <w:b/>
          <w:bCs/>
          <w:color w:val="17365D"/>
          <w:sz w:val="26"/>
          <w:szCs w:val="26"/>
        </w:rPr>
        <w:t xml:space="preserve">The dashboard</w:t>
      </w:r>
    </w:p>
    <w:p>
      <w:pPr>
        <w:pStyle w:val="Heading2"/>
        <w:keepNext/>
        <w:spacing w:after="110" w:before="240"/>
      </w:pPr>
      <w:r>
        <w:rPr>
          <w:rFonts w:ascii="Cambria" w:cs="Cambria" w:eastAsia="Cambria" w:hAnsi="Cambria"/>
          <w:b/>
          <w:bCs/>
          <w:color w:val="17365D"/>
          <w:sz w:val="26"/>
          <w:szCs w:val="26"/>
        </w:rPr>
        <w:t xml:space="preserve">Decisions this programme still has to make</w:t>
      </w:r>
    </w:p>
    <w:p>
      <w:pPr>
        <w:spacing w:after="160" w:line="276"/>
      </w:pPr>
      <w:r>
        <w:rPr>
          <w:i/>
          <w:iCs/>
          <w:color w:val="5A6069"/>
          <w:sz w:val="20"/>
          <w:szCs w:val="20"/>
        </w:rPr>
        <w:t xml:space="preserve">These are not evidence gaps. They are choices the roadmap cannot make on the programme's behalf, and until each is settled the same patient can be managed differently depending on who is in the room.</w:t>
      </w:r>
    </w:p>
    <w:tbl>
      <w:tblPr>
        <w:tblW w:type="dxa" w:w="9360"/>
        <w:tblBorders>
          <w:top w:val="single" w:color="D3DCE4" w:sz="4"/>
          <w:left w:val="single" w:color="D3DCE4" w:sz="4"/>
          <w:bottom w:val="single" w:color="D3DCE4" w:sz="4"/>
          <w:right w:val="single" w:color="D3DCE4" w:sz="4"/>
          <w:insideH w:val="single" w:color="D3DCE4" w:sz="4"/>
          <w:insideV w:val="single" w:color="D3DCE4" w:sz="4"/>
        </w:tblBorders>
      </w:tblPr>
      <w:tblGrid>
        <w:gridCol w:w="520"/>
        <w:gridCol w:w="4100"/>
        <w:gridCol w:w="4740"/>
      </w:tblGrid>
      <w:tr>
        <w:trPr>
          <w:cantSplit/>
          <w:tblHeader/>
        </w:trPr>
        <w:tc>
          <w:tcPr>
            <w:tcW w:type="dxa" w:w="520"/>
            <w:shd w:fill="17365D" w:color="auto" w:val="clear"/>
            <w:tcMar>
              <w:top w:type="dxa" w:w="70"/>
              <w:left w:type="dxa" w:w="110"/>
              <w:bottom w:type="dxa" w:w="70"/>
              <w:right w:type="dxa" w:w="110"/>
            </w:tcMar>
            <w:vAlign w:val="top"/>
          </w:tcPr>
          <w:p>
            <w:r>
              <w:rPr>
                <w:b/>
                <w:bCs/>
                <w:color w:val="FFFFFF"/>
                <w:spacing w:val="18"/>
                <w:sz w:val="15"/>
                <w:szCs w:val="15"/>
              </w:rPr>
              <w:t xml:space="preserve">#</w:t>
            </w:r>
          </w:p>
        </w:tc>
        <w:tc>
          <w:tcPr>
            <w:tcW w:type="dxa" w:w="4100"/>
            <w:shd w:fill="17365D" w:color="auto" w:val="clear"/>
            <w:tcMar>
              <w:top w:type="dxa" w:w="70"/>
              <w:left w:type="dxa" w:w="110"/>
              <w:bottom w:type="dxa" w:w="70"/>
              <w:right w:type="dxa" w:w="110"/>
            </w:tcMar>
            <w:vAlign w:val="top"/>
          </w:tcPr>
          <w:p>
            <w:r>
              <w:rPr>
                <w:b/>
                <w:bCs/>
                <w:color w:val="FFFFFF"/>
                <w:spacing w:val="18"/>
                <w:sz w:val="15"/>
                <w:szCs w:val="15"/>
              </w:rPr>
              <w:t xml:space="preserve">THE DECISION</w:t>
            </w:r>
          </w:p>
        </w:tc>
        <w:tc>
          <w:tcPr>
            <w:tcW w:type="dxa" w:w="4740"/>
            <w:shd w:fill="17365D" w:color="auto" w:val="clear"/>
            <w:tcMar>
              <w:top w:type="dxa" w:w="70"/>
              <w:left w:type="dxa" w:w="110"/>
              <w:bottom w:type="dxa" w:w="70"/>
              <w:right w:type="dxa" w:w="110"/>
            </w:tcMar>
            <w:vAlign w:val="top"/>
          </w:tcPr>
          <w:p>
            <w:r>
              <w:rPr>
                <w:b/>
                <w:bCs/>
                <w:color w:val="FFFFFF"/>
                <w:spacing w:val="18"/>
                <w:sz w:val="15"/>
                <w:szCs w:val="15"/>
              </w:rPr>
              <w:t xml:space="preserve">WHY IT HAS TO BE MADE</w:t>
            </w:r>
          </w:p>
        </w:tc>
      </w:tr>
      <w:tr>
        <w:trPr>
          <w:cantSplit/>
        </w:trPr>
        <w:tc>
          <w:tcPr>
            <w:tcW w:type="dxa" w:w="520"/>
            <w:tcMar>
              <w:top w:type="dxa" w:w="70"/>
              <w:left w:type="dxa" w:w="110"/>
              <w:bottom w:type="dxa" w:w="70"/>
              <w:right w:type="dxa" w:w="110"/>
            </w:tcMar>
            <w:vAlign w:val="top"/>
          </w:tcPr>
          <w:p>
            <w:pPr>
              <w:spacing w:after="0" w:line="276"/>
            </w:pPr>
            <w:r>
              <w:rPr>
                <w:b/>
                <w:bCs/>
                <w:color w:val="15181F"/>
                <w:sz w:val="17"/>
                <w:szCs w:val="17"/>
              </w:rPr>
              <w:t xml:space="preserve">1</w:t>
            </w:r>
          </w:p>
        </w:tc>
        <w:tc>
          <w:tcPr>
            <w:tcW w:type="dxa" w:w="4100"/>
            <w:tcMar>
              <w:top w:type="dxa" w:w="70"/>
              <w:left w:type="dxa" w:w="110"/>
              <w:bottom w:type="dxa" w:w="70"/>
              <w:right w:type="dxa" w:w="110"/>
            </w:tcMar>
            <w:vAlign w:val="top"/>
          </w:tcPr>
          <w:p>
            <w:pPr>
              <w:spacing w:after="0" w:line="276"/>
            </w:pPr>
            <w:r>
              <w:rPr>
                <w:color w:val="15181F"/>
                <w:sz w:val="17"/>
                <w:szCs w:val="17"/>
              </w:rPr>
              <w:t xml:space="preserve">Name the accountable CRLM pathway owner and the neutral tumour-board chair.</w:t>
            </w:r>
          </w:p>
        </w:tc>
        <w:tc>
          <w:tcPr>
            <w:tcW w:type="dxa" w:w="4740"/>
            <w:tcMar>
              <w:top w:type="dxa" w:w="70"/>
              <w:left w:type="dxa" w:w="110"/>
              <w:bottom w:type="dxa" w:w="70"/>
              <w:right w:type="dxa" w:w="110"/>
            </w:tcMar>
            <w:vAlign w:val="top"/>
          </w:tcPr>
          <w:p>
            <w:pPr>
              <w:spacing w:after="0" w:line="276"/>
            </w:pPr>
            <w:r>
              <w:rPr>
                <w:color w:val="15181F"/>
                <w:sz w:val="17"/>
                <w:szCs w:val="17"/>
              </w:rPr>
              <w:t xml:space="preserve">The pathway produces one recommendation, one accountable owner, one due date and one reassessment plan; without a named owner and a neutral chair the synthesis step has nobody to perform it.</w:t>
            </w:r>
          </w:p>
        </w:tc>
      </w:tr>
      <w:tr>
        <w:trPr>
          <w:cantSplit/>
        </w:trPr>
        <w:tc>
          <w:tcPr>
            <w:tcW w:type="dxa" w:w="520"/>
            <w:shd w:fill="F1F4F8" w:color="auto" w:val="clear"/>
            <w:tcMar>
              <w:top w:type="dxa" w:w="70"/>
              <w:left w:type="dxa" w:w="110"/>
              <w:bottom w:type="dxa" w:w="70"/>
              <w:right w:type="dxa" w:w="110"/>
            </w:tcMar>
            <w:vAlign w:val="top"/>
          </w:tcPr>
          <w:p>
            <w:pPr>
              <w:spacing w:after="0" w:line="276"/>
            </w:pPr>
            <w:r>
              <w:rPr>
                <w:b/>
                <w:bCs/>
                <w:color w:val="15181F"/>
                <w:sz w:val="17"/>
                <w:szCs w:val="17"/>
              </w:rPr>
              <w:t xml:space="preserve">2</w:t>
            </w:r>
          </w:p>
        </w:tc>
        <w:tc>
          <w:tcPr>
            <w:tcW w:type="dxa" w:w="4100"/>
            <w:shd w:fill="F1F4F8" w:color="auto" w:val="clear"/>
            <w:tcMar>
              <w:top w:type="dxa" w:w="70"/>
              <w:left w:type="dxa" w:w="110"/>
              <w:bottom w:type="dxa" w:w="70"/>
              <w:right w:type="dxa" w:w="110"/>
            </w:tcMar>
            <w:vAlign w:val="top"/>
          </w:tcPr>
          <w:p>
            <w:pPr>
              <w:spacing w:after="0" w:line="276"/>
            </w:pPr>
            <w:r>
              <w:rPr>
                <w:color w:val="15181F"/>
                <w:sz w:val="17"/>
                <w:szCs w:val="17"/>
              </w:rPr>
              <w:t xml:space="preserve">Approve the Epic submission form with an explicit phase field and a clearance-assessment field.</w:t>
            </w:r>
          </w:p>
        </w:tc>
        <w:tc>
          <w:tcPr>
            <w:tcW w:type="dxa" w:w="4740"/>
            <w:shd w:fill="F1F4F8" w:color="auto" w:val="clear"/>
            <w:tcMar>
              <w:top w:type="dxa" w:w="70"/>
              <w:left w:type="dxa" w:w="110"/>
              <w:bottom w:type="dxa" w:w="70"/>
              <w:right w:type="dxa" w:w="110"/>
            </w:tcMar>
            <w:vAlign w:val="top"/>
          </w:tcPr>
          <w:p>
            <w:pPr>
              <w:spacing w:after="0" w:line="276"/>
            </w:pPr>
            <w:r>
              <w:rPr>
                <w:color w:val="15181F"/>
                <w:sz w:val="17"/>
                <w:szCs w:val="17"/>
              </w:rPr>
              <w:t xml:space="preserve">Phase assignment and the explicit clearance question are the two things this pathway is built on, so they have to be captured at submission rather than reconstructed later.</w:t>
            </w:r>
          </w:p>
        </w:tc>
      </w:tr>
      <w:tr>
        <w:trPr>
          <w:cantSplit/>
        </w:trPr>
        <w:tc>
          <w:tcPr>
            <w:tcW w:type="dxa" w:w="520"/>
            <w:tcMar>
              <w:top w:type="dxa" w:w="70"/>
              <w:left w:type="dxa" w:w="110"/>
              <w:bottom w:type="dxa" w:w="70"/>
              <w:right w:type="dxa" w:w="110"/>
            </w:tcMar>
            <w:vAlign w:val="top"/>
          </w:tcPr>
          <w:p>
            <w:pPr>
              <w:spacing w:after="0" w:line="276"/>
            </w:pPr>
            <w:r>
              <w:rPr>
                <w:b/>
                <w:bCs/>
                <w:color w:val="15181F"/>
                <w:sz w:val="17"/>
                <w:szCs w:val="17"/>
              </w:rPr>
              <w:t xml:space="preserve">3</w:t>
            </w:r>
          </w:p>
        </w:tc>
        <w:tc>
          <w:tcPr>
            <w:tcW w:type="dxa" w:w="4100"/>
            <w:tcMar>
              <w:top w:type="dxa" w:w="70"/>
              <w:left w:type="dxa" w:w="110"/>
              <w:bottom w:type="dxa" w:w="70"/>
              <w:right w:type="dxa" w:w="110"/>
            </w:tcMar>
            <w:vAlign w:val="top"/>
          </w:tcPr>
          <w:p>
            <w:pPr>
              <w:spacing w:after="0" w:line="276"/>
            </w:pPr>
            <w:r>
              <w:rPr>
                <w:color w:val="15181F"/>
                <w:sz w:val="17"/>
                <w:szCs w:val="17"/>
              </w:rPr>
              <w:t xml:space="preserve">Decide whether Memorial Hermann will run a hepatic arterial infusion programme, and if so the credentialing standard, case volume floor and toxicity review cadence.</w:t>
            </w:r>
          </w:p>
        </w:tc>
        <w:tc>
          <w:tcPr>
            <w:tcW w:type="dxa" w:w="4740"/>
            <w:tcMar>
              <w:top w:type="dxa" w:w="70"/>
              <w:left w:type="dxa" w:w="110"/>
              <w:bottom w:type="dxa" w:w="70"/>
              <w:right w:type="dxa" w:w="110"/>
            </w:tcMar>
            <w:vAlign w:val="top"/>
          </w:tcPr>
          <w:p>
            <w:pPr>
              <w:spacing w:after="0" w:line="276"/>
            </w:pPr>
            <w:r>
              <w:rPr>
                <w:color w:val="15181F"/>
                <w:sz w:val="17"/>
                <w:szCs w:val="17"/>
              </w:rPr>
              <w:t xml:space="preserve">HAI conversion evidence is single-arm and concentrated in experienced centres, and biliary toxicity and pump complications are not occasional-case risks; the modality is only defensible with a credentialed programme behind it.</w:t>
            </w:r>
          </w:p>
        </w:tc>
      </w:tr>
      <w:tr>
        <w:trPr>
          <w:cantSplit/>
        </w:trPr>
        <w:tc>
          <w:tcPr>
            <w:tcW w:type="dxa" w:w="520"/>
            <w:shd w:fill="F1F4F8" w:color="auto" w:val="clear"/>
            <w:tcMar>
              <w:top w:type="dxa" w:w="70"/>
              <w:left w:type="dxa" w:w="110"/>
              <w:bottom w:type="dxa" w:w="70"/>
              <w:right w:type="dxa" w:w="110"/>
            </w:tcMar>
            <w:vAlign w:val="top"/>
          </w:tcPr>
          <w:p>
            <w:pPr>
              <w:spacing w:after="0" w:line="276"/>
            </w:pPr>
            <w:r>
              <w:rPr>
                <w:b/>
                <w:bCs/>
                <w:color w:val="15181F"/>
                <w:sz w:val="17"/>
                <w:szCs w:val="17"/>
              </w:rPr>
              <w:t xml:space="preserve">4</w:t>
            </w:r>
          </w:p>
        </w:tc>
        <w:tc>
          <w:tcPr>
            <w:tcW w:type="dxa" w:w="4100"/>
            <w:shd w:fill="F1F4F8" w:color="auto" w:val="clear"/>
            <w:tcMar>
              <w:top w:type="dxa" w:w="70"/>
              <w:left w:type="dxa" w:w="110"/>
              <w:bottom w:type="dxa" w:w="70"/>
              <w:right w:type="dxa" w:w="110"/>
            </w:tcMar>
            <w:vAlign w:val="top"/>
          </w:tcPr>
          <w:p>
            <w:pPr>
              <w:spacing w:after="0" w:line="276"/>
            </w:pPr>
            <w:r>
              <w:rPr>
                <w:color w:val="15181F"/>
                <w:sz w:val="17"/>
                <w:szCs w:val="17"/>
              </w:rPr>
              <w:t xml:space="preserve">Ratify the written liver transplant protocol for CRLM: eligibility, review-board route, graft strategy including living donation, registry dataset and recurrence plan.</w:t>
            </w:r>
          </w:p>
        </w:tc>
        <w:tc>
          <w:tcPr>
            <w:tcW w:type="dxa" w:w="4740"/>
            <w:shd w:fill="F1F4F8" w:color="auto" w:val="clear"/>
            <w:tcMar>
              <w:top w:type="dxa" w:w="70"/>
              <w:left w:type="dxa" w:w="110"/>
              <w:bottom w:type="dxa" w:w="70"/>
              <w:right w:type="dxa" w:w="110"/>
            </w:tcMar>
            <w:vAlign w:val="top"/>
          </w:tcPr>
          <w:p>
            <w:pPr>
              <w:spacing w:after="0" w:line="276"/>
            </w:pPr>
            <w:r>
              <w:rPr>
                <w:color w:val="15181F"/>
                <w:sz w:val="17"/>
                <w:szCs w:val="17"/>
              </w:rPr>
              <w:t xml:space="preserve">CRLM is not a standardised OPTN exception, so the institutional protocol is the operative constraint and the programme domain of the selection table requires it in writing.</w:t>
            </w:r>
          </w:p>
        </w:tc>
      </w:tr>
      <w:tr>
        <w:trPr>
          <w:cantSplit/>
        </w:trPr>
        <w:tc>
          <w:tcPr>
            <w:tcW w:type="dxa" w:w="520"/>
            <w:tcMar>
              <w:top w:type="dxa" w:w="70"/>
              <w:left w:type="dxa" w:w="110"/>
              <w:bottom w:type="dxa" w:w="70"/>
              <w:right w:type="dxa" w:w="110"/>
            </w:tcMar>
            <w:vAlign w:val="top"/>
          </w:tcPr>
          <w:p>
            <w:pPr>
              <w:spacing w:after="0" w:line="276"/>
            </w:pPr>
            <w:r>
              <w:rPr>
                <w:b/>
                <w:bCs/>
                <w:color w:val="15181F"/>
                <w:sz w:val="17"/>
                <w:szCs w:val="17"/>
              </w:rPr>
              <w:t xml:space="preserve">5</w:t>
            </w:r>
          </w:p>
        </w:tc>
        <w:tc>
          <w:tcPr>
            <w:tcW w:type="dxa" w:w="4100"/>
            <w:tcMar>
              <w:top w:type="dxa" w:w="70"/>
              <w:left w:type="dxa" w:w="110"/>
              <w:bottom w:type="dxa" w:w="70"/>
              <w:right w:type="dxa" w:w="110"/>
            </w:tcMar>
            <w:vAlign w:val="top"/>
          </w:tcPr>
          <w:p>
            <w:pPr>
              <w:spacing w:after="0" w:line="276"/>
            </w:pPr>
            <w:r>
              <w:rPr>
                <w:color w:val="15181F"/>
                <w:sz w:val="17"/>
                <w:szCs w:val="17"/>
              </w:rPr>
              <w:t xml:space="preserve">Set the institutional position on transplanting outside TransMet criteria — permitted under protocol with registry entry, or not at all.</w:t>
            </w:r>
          </w:p>
        </w:tc>
        <w:tc>
          <w:tcPr>
            <w:tcW w:type="dxa" w:w="4740"/>
            <w:tcMar>
              <w:top w:type="dxa" w:w="70"/>
              <w:left w:type="dxa" w:w="110"/>
              <w:bottom w:type="dxa" w:w="70"/>
              <w:right w:type="dxa" w:w="110"/>
            </w:tcMar>
            <w:vAlign w:val="top"/>
          </w:tcPr>
          <w:p>
            <w:pPr>
              <w:spacing w:after="0" w:line="276"/>
            </w:pPr>
            <w:r>
              <w:rPr>
                <w:color w:val="15181F"/>
                <w:sz w:val="17"/>
                <w:szCs w:val="17"/>
              </w:rPr>
              <w:t xml:space="preserve">There is no randomised evidence outside the TransMet population, and the roadmap lists this among the statements that are locally reasonable but not evidence based.</w:t>
            </w:r>
          </w:p>
        </w:tc>
      </w:tr>
      <w:tr>
        <w:trPr>
          <w:cantSplit/>
        </w:trPr>
        <w:tc>
          <w:tcPr>
            <w:tcW w:type="dxa" w:w="520"/>
            <w:shd w:fill="F1F4F8" w:color="auto" w:val="clear"/>
            <w:tcMar>
              <w:top w:type="dxa" w:w="70"/>
              <w:left w:type="dxa" w:w="110"/>
              <w:bottom w:type="dxa" w:w="70"/>
              <w:right w:type="dxa" w:w="110"/>
            </w:tcMar>
            <w:vAlign w:val="top"/>
          </w:tcPr>
          <w:p>
            <w:pPr>
              <w:spacing w:after="0" w:line="276"/>
            </w:pPr>
            <w:r>
              <w:rPr>
                <w:b/>
                <w:bCs/>
                <w:color w:val="15181F"/>
                <w:sz w:val="17"/>
                <w:szCs w:val="17"/>
              </w:rPr>
              <w:t xml:space="preserve">6</w:t>
            </w:r>
          </w:p>
        </w:tc>
        <w:tc>
          <w:tcPr>
            <w:tcW w:type="dxa" w:w="4100"/>
            <w:shd w:fill="F1F4F8" w:color="auto" w:val="clear"/>
            <w:tcMar>
              <w:top w:type="dxa" w:w="70"/>
              <w:left w:type="dxa" w:w="110"/>
              <w:bottom w:type="dxa" w:w="70"/>
              <w:right w:type="dxa" w:w="110"/>
            </w:tcMar>
            <w:vAlign w:val="top"/>
          </w:tcPr>
          <w:p>
            <w:pPr>
              <w:spacing w:after="0" w:line="276"/>
            </w:pPr>
            <w:r>
              <w:rPr>
                <w:color w:val="15181F"/>
                <w:sz w:val="17"/>
                <w:szCs w:val="17"/>
              </w:rPr>
              <w:t xml:space="preserve">Define the pre-transplant checkpoint-inhibitor policy for MSI-high candidates, including washout and the approval route, before any such patient is listed.</w:t>
            </w:r>
          </w:p>
        </w:tc>
        <w:tc>
          <w:tcPr>
            <w:tcW w:type="dxa" w:w="4740"/>
            <w:shd w:fill="F1F4F8" w:color="auto" w:val="clear"/>
            <w:tcMar>
              <w:top w:type="dxa" w:w="70"/>
              <w:left w:type="dxa" w:w="110"/>
              <w:bottom w:type="dxa" w:w="70"/>
              <w:right w:type="dxa" w:w="110"/>
            </w:tcMar>
            <w:vAlign w:val="top"/>
          </w:tcPr>
          <w:p>
            <w:pPr>
              <w:spacing w:after="0" w:line="276"/>
            </w:pPr>
            <w:r>
              <w:rPr>
                <w:color w:val="15181F"/>
                <w:sz w:val="17"/>
                <w:szCs w:val="17"/>
              </w:rPr>
              <w:t xml:space="preserve">The exception route requires microsatellite stability and IHPBA excludes these patients, while pre-transplant checkpoint exposure and post-transplant rejection risk must be addressed before the first dose.</w:t>
            </w:r>
          </w:p>
        </w:tc>
      </w:tr>
      <w:tr>
        <w:trPr>
          <w:cantSplit/>
        </w:trPr>
        <w:tc>
          <w:tcPr>
            <w:tcW w:type="dxa" w:w="520"/>
            <w:tcMar>
              <w:top w:type="dxa" w:w="70"/>
              <w:left w:type="dxa" w:w="110"/>
              <w:bottom w:type="dxa" w:w="70"/>
              <w:right w:type="dxa" w:w="110"/>
            </w:tcMar>
            <w:vAlign w:val="top"/>
          </w:tcPr>
          <w:p>
            <w:pPr>
              <w:spacing w:after="0" w:line="276"/>
            </w:pPr>
            <w:r>
              <w:rPr>
                <w:b/>
                <w:bCs/>
                <w:color w:val="15181F"/>
                <w:sz w:val="17"/>
                <w:szCs w:val="17"/>
              </w:rPr>
              <w:t xml:space="preserve">7</w:t>
            </w:r>
          </w:p>
        </w:tc>
        <w:tc>
          <w:tcPr>
            <w:tcW w:type="dxa" w:w="4100"/>
            <w:tcMar>
              <w:top w:type="dxa" w:w="70"/>
              <w:left w:type="dxa" w:w="110"/>
              <w:bottom w:type="dxa" w:w="70"/>
              <w:right w:type="dxa" w:w="110"/>
            </w:tcMar>
            <w:vAlign w:val="top"/>
          </w:tcPr>
          <w:p>
            <w:pPr>
              <w:spacing w:after="0" w:line="276"/>
            </w:pPr>
            <w:r>
              <w:rPr>
                <w:color w:val="15181F"/>
                <w:sz w:val="17"/>
                <w:szCs w:val="17"/>
              </w:rPr>
              <w:t xml:space="preserve">Approve remnant-volume thresholds and the augmentation strategy hierarchy (PVE, LVD, two-stage, ALPPS), including who decides between them.</w:t>
            </w:r>
          </w:p>
        </w:tc>
        <w:tc>
          <w:tcPr>
            <w:tcW w:type="dxa" w:w="4740"/>
            <w:tcMar>
              <w:top w:type="dxa" w:w="70"/>
              <w:left w:type="dxa" w:w="110"/>
              <w:bottom w:type="dxa" w:w="70"/>
              <w:right w:type="dxa" w:w="110"/>
            </w:tcMar>
            <w:vAlign w:val="top"/>
          </w:tcPr>
          <w:p>
            <w:pPr>
              <w:spacing w:after="0" w:line="276"/>
            </w:pPr>
            <w:r>
              <w:rPr>
                <w:color w:val="15181F"/>
                <w:sz w:val="17"/>
                <w:szCs w:val="17"/>
              </w:rPr>
              <w:t xml:space="preserve">Modality-specific remnant thresholds are local policy without comparative outcome evidence, and the augmentation options differ in morbidity rather than in proven survival.</w:t>
            </w:r>
          </w:p>
        </w:tc>
      </w:tr>
      <w:tr>
        <w:trPr>
          <w:cantSplit/>
        </w:trPr>
        <w:tc>
          <w:tcPr>
            <w:tcW w:type="dxa" w:w="520"/>
            <w:shd w:fill="F1F4F8" w:color="auto" w:val="clear"/>
            <w:tcMar>
              <w:top w:type="dxa" w:w="70"/>
              <w:left w:type="dxa" w:w="110"/>
              <w:bottom w:type="dxa" w:w="70"/>
              <w:right w:type="dxa" w:w="110"/>
            </w:tcMar>
            <w:vAlign w:val="top"/>
          </w:tcPr>
          <w:p>
            <w:pPr>
              <w:spacing w:after="0" w:line="276"/>
            </w:pPr>
            <w:r>
              <w:rPr>
                <w:b/>
                <w:bCs/>
                <w:color w:val="15181F"/>
                <w:sz w:val="17"/>
                <w:szCs w:val="17"/>
              </w:rPr>
              <w:t xml:space="preserve">8</w:t>
            </w:r>
          </w:p>
        </w:tc>
        <w:tc>
          <w:tcPr>
            <w:tcW w:type="dxa" w:w="4100"/>
            <w:shd w:fill="F1F4F8" w:color="auto" w:val="clear"/>
            <w:tcMar>
              <w:top w:type="dxa" w:w="70"/>
              <w:left w:type="dxa" w:w="110"/>
              <w:bottom w:type="dxa" w:w="70"/>
              <w:right w:type="dxa" w:w="110"/>
            </w:tcMar>
            <w:vAlign w:val="top"/>
          </w:tcPr>
          <w:p>
            <w:pPr>
              <w:spacing w:after="0" w:line="276"/>
            </w:pPr>
            <w:r>
              <w:rPr>
                <w:color w:val="15181F"/>
                <w:sz w:val="17"/>
                <w:szCs w:val="17"/>
              </w:rPr>
              <w:t xml:space="preserve">Set the minimum ablative margin that counts toward clearance, and require it to be documented.</w:t>
            </w:r>
          </w:p>
        </w:tc>
        <w:tc>
          <w:tcPr>
            <w:tcW w:type="dxa" w:w="4740"/>
            <w:shd w:fill="F1F4F8" w:color="auto" w:val="clear"/>
            <w:tcMar>
              <w:top w:type="dxa" w:w="70"/>
              <w:left w:type="dxa" w:w="110"/>
              <w:bottom w:type="dxa" w:w="70"/>
              <w:right w:type="dxa" w:w="110"/>
            </w:tcMar>
            <w:vAlign w:val="top"/>
          </w:tcPr>
          <w:p>
            <w:pPr>
              <w:spacing w:after="0" w:line="276"/>
            </w:pPr>
            <w:r>
              <w:rPr>
                <w:color w:val="15181F"/>
                <w:sz w:val="17"/>
                <w:szCs w:val="17"/>
              </w:rPr>
              <w:t xml:space="preserve">Ablation counts as clearance only when a circumferential margin is confirmed, and local progression risk rises steeply below 5 mm.</w:t>
            </w:r>
          </w:p>
        </w:tc>
      </w:tr>
      <w:tr>
        <w:trPr>
          <w:cantSplit/>
        </w:trPr>
        <w:tc>
          <w:tcPr>
            <w:tcW w:type="dxa" w:w="520"/>
            <w:tcMar>
              <w:top w:type="dxa" w:w="70"/>
              <w:left w:type="dxa" w:w="110"/>
              <w:bottom w:type="dxa" w:w="70"/>
              <w:right w:type="dxa" w:w="110"/>
            </w:tcMar>
            <w:vAlign w:val="top"/>
          </w:tcPr>
          <w:p>
            <w:pPr>
              <w:spacing w:after="0" w:line="276"/>
            </w:pPr>
            <w:r>
              <w:rPr>
                <w:b/>
                <w:bCs/>
                <w:color w:val="15181F"/>
                <w:sz w:val="17"/>
                <w:szCs w:val="17"/>
              </w:rPr>
              <w:t xml:space="preserve">9</w:t>
            </w:r>
          </w:p>
        </w:tc>
        <w:tc>
          <w:tcPr>
            <w:tcW w:type="dxa" w:w="4100"/>
            <w:tcMar>
              <w:top w:type="dxa" w:w="70"/>
              <w:left w:type="dxa" w:w="110"/>
              <w:bottom w:type="dxa" w:w="70"/>
              <w:right w:type="dxa" w:w="110"/>
            </w:tcMar>
            <w:vAlign w:val="top"/>
          </w:tcPr>
          <w:p>
            <w:pPr>
              <w:spacing w:after="0" w:line="276"/>
            </w:pPr>
            <w:r>
              <w:rPr>
                <w:color w:val="15181F"/>
                <w:sz w:val="17"/>
                <w:szCs w:val="17"/>
              </w:rPr>
              <w:t xml:space="preserve">Name the referral route and the specialist team for peritoneal metastases, which are assessed outside this liver pathway.</w:t>
            </w:r>
          </w:p>
        </w:tc>
        <w:tc>
          <w:tcPr>
            <w:tcW w:type="dxa" w:w="4740"/>
            <w:tcMar>
              <w:top w:type="dxa" w:w="70"/>
              <w:left w:type="dxa" w:w="110"/>
              <w:bottom w:type="dxa" w:w="70"/>
              <w:right w:type="dxa" w:w="110"/>
            </w:tcMar>
            <w:vAlign w:val="top"/>
          </w:tcPr>
          <w:p>
            <w:pPr>
              <w:spacing w:after="0" w:line="276"/>
            </w:pPr>
            <w:r>
              <w:rPr>
                <w:color w:val="15181F"/>
                <w:sz w:val="17"/>
                <w:szCs w:val="17"/>
              </w:rPr>
              <w:t xml:space="preserve">Peritoneal disease is assessed by a peritoneal surface malignancy team rather than routed automatically through the liver pathway, and any peritoneal disease ends transplant intent.</w:t>
            </w:r>
          </w:p>
        </w:tc>
      </w:tr>
      <w:tr>
        <w:trPr>
          <w:cantSplit/>
        </w:trPr>
        <w:tc>
          <w:tcPr>
            <w:tcW w:type="dxa" w:w="520"/>
            <w:shd w:fill="F1F4F8" w:color="auto" w:val="clear"/>
            <w:tcMar>
              <w:top w:type="dxa" w:w="70"/>
              <w:left w:type="dxa" w:w="110"/>
              <w:bottom w:type="dxa" w:w="70"/>
              <w:right w:type="dxa" w:w="110"/>
            </w:tcMar>
            <w:vAlign w:val="top"/>
          </w:tcPr>
          <w:p>
            <w:pPr>
              <w:spacing w:after="0" w:line="276"/>
            </w:pPr>
            <w:r>
              <w:rPr>
                <w:b/>
                <w:bCs/>
                <w:color w:val="15181F"/>
                <w:sz w:val="17"/>
                <w:szCs w:val="17"/>
              </w:rPr>
              <w:t xml:space="preserve">10</w:t>
            </w:r>
          </w:p>
        </w:tc>
        <w:tc>
          <w:tcPr>
            <w:tcW w:type="dxa" w:w="4100"/>
            <w:shd w:fill="F1F4F8" w:color="auto" w:val="clear"/>
            <w:tcMar>
              <w:top w:type="dxa" w:w="70"/>
              <w:left w:type="dxa" w:w="110"/>
              <w:bottom w:type="dxa" w:w="70"/>
              <w:right w:type="dxa" w:w="110"/>
            </w:tcMar>
            <w:vAlign w:val="top"/>
          </w:tcPr>
          <w:p>
            <w:pPr>
              <w:spacing w:after="0" w:line="276"/>
            </w:pPr>
            <w:r>
              <w:rPr>
                <w:color w:val="15181F"/>
                <w:sz w:val="17"/>
                <w:szCs w:val="17"/>
              </w:rPr>
              <w:t xml:space="preserve">Decide which transplant criteria set governs locally, and record the resolution of each named disagreement between the OPTN guidance route, IHPBA 2021 and ESMO 2026 — MSI-high and dMMR status, BRAF V600E versus any BRAF mutation, the metabolic tumour volume and total lesion glycolysis bars, the months of stability required and the line of therapy by which transplantation may be considered.</w:t>
            </w:r>
          </w:p>
        </w:tc>
        <w:tc>
          <w:tcPr>
            <w:tcW w:type="dxa" w:w="4740"/>
            <w:shd w:fill="F1F4F8" w:color="auto" w:val="clear"/>
            <w:tcMar>
              <w:top w:type="dxa" w:w="70"/>
              <w:left w:type="dxa" w:w="110"/>
              <w:bottom w:type="dxa" w:w="70"/>
              <w:right w:type="dxa" w:w="110"/>
            </w:tcMar>
            <w:vAlign w:val="top"/>
          </w:tcPr>
          <w:p>
            <w:pPr>
              <w:spacing w:after="0" w:line="276"/>
            </w:pPr>
            <w:r>
              <w:rPr>
                <w:color w:val="15181F"/>
                <w:sz w:val="17"/>
                <w:szCs w:val="17"/>
              </w:rPr>
              <w:t xml:space="preserve">The documents a review board will be handed disagree on gates that decide individual patients, and the rule that the stricter governs does not by itself say which document supplies the stricter value for each criterion.</w:t>
            </w:r>
          </w:p>
        </w:tc>
      </w:tr>
      <w:tr>
        <w:trPr>
          <w:cantSplit/>
        </w:trPr>
        <w:tc>
          <w:tcPr>
            <w:tcW w:type="dxa" w:w="520"/>
            <w:tcMar>
              <w:top w:type="dxa" w:w="70"/>
              <w:left w:type="dxa" w:w="110"/>
              <w:bottom w:type="dxa" w:w="70"/>
              <w:right w:type="dxa" w:w="110"/>
            </w:tcMar>
            <w:vAlign w:val="top"/>
          </w:tcPr>
          <w:p>
            <w:pPr>
              <w:spacing w:after="0" w:line="276"/>
            </w:pPr>
            <w:r>
              <w:rPr>
                <w:b/>
                <w:bCs/>
                <w:color w:val="15181F"/>
                <w:sz w:val="17"/>
                <w:szCs w:val="17"/>
              </w:rPr>
              <w:t xml:space="preserve">11</w:t>
            </w:r>
          </w:p>
        </w:tc>
        <w:tc>
          <w:tcPr>
            <w:tcW w:type="dxa" w:w="4100"/>
            <w:tcMar>
              <w:top w:type="dxa" w:w="70"/>
              <w:left w:type="dxa" w:w="110"/>
              <w:bottom w:type="dxa" w:w="70"/>
              <w:right w:type="dxa" w:w="110"/>
            </w:tcMar>
            <w:vAlign w:val="top"/>
          </w:tcPr>
          <w:p>
            <w:pPr>
              <w:spacing w:after="0" w:line="276"/>
            </w:pPr>
            <w:r>
              <w:rPr>
                <w:color w:val="15181F"/>
                <w:sz w:val="17"/>
                <w:szCs w:val="17"/>
              </w:rPr>
              <w:t xml:space="preserve">Resolve the two numeric boundaries in the OPTN transplant-oncology guidance before the first filing: a CEA of exactly 80 µg/L, and the definition of progression as a 10% increase in diameter while being labelled RECIST 1.1.</w:t>
            </w:r>
          </w:p>
        </w:tc>
        <w:tc>
          <w:tcPr>
            <w:tcW w:type="dxa" w:w="4740"/>
            <w:tcMar>
              <w:top w:type="dxa" w:w="70"/>
              <w:left w:type="dxa" w:w="110"/>
              <w:bottom w:type="dxa" w:w="70"/>
              <w:right w:type="dxa" w:w="110"/>
            </w:tcMar>
            <w:vAlign w:val="top"/>
          </w:tcPr>
          <w:p>
            <w:pPr>
              <w:spacing w:after="0" w:line="276"/>
            </w:pPr>
            <w:r>
              <w:rPr>
                <w:color w:val="15181F"/>
                <w:sz w:val="17"/>
                <w:szCs w:val="17"/>
              </w:rPr>
              <w:t xml:space="preserve">The initial exclusion is stated as CEA above 80 and the renewal wording as below 80, so an exact value of 80 has no stated answer; and the 10% figure differs from the usual target-lesion threshold, so a candidate can be progressing under one reading and stable under the other.</w:t>
            </w:r>
          </w:p>
        </w:tc>
      </w:tr>
      <w:tr>
        <w:trPr>
          <w:cantSplit/>
        </w:trPr>
        <w:tc>
          <w:tcPr>
            <w:tcW w:type="dxa" w:w="520"/>
            <w:shd w:fill="F1F4F8" w:color="auto" w:val="clear"/>
            <w:tcMar>
              <w:top w:type="dxa" w:w="70"/>
              <w:left w:type="dxa" w:w="110"/>
              <w:bottom w:type="dxa" w:w="70"/>
              <w:right w:type="dxa" w:w="110"/>
            </w:tcMar>
            <w:vAlign w:val="top"/>
          </w:tcPr>
          <w:p>
            <w:pPr>
              <w:spacing w:after="0" w:line="276"/>
            </w:pPr>
            <w:r>
              <w:rPr>
                <w:b/>
                <w:bCs/>
                <w:color w:val="15181F"/>
                <w:sz w:val="17"/>
                <w:szCs w:val="17"/>
              </w:rPr>
              <w:t xml:space="preserve">12</w:t>
            </w:r>
          </w:p>
        </w:tc>
        <w:tc>
          <w:tcPr>
            <w:tcW w:type="dxa" w:w="4100"/>
            <w:shd w:fill="F1F4F8" w:color="auto" w:val="clear"/>
            <w:tcMar>
              <w:top w:type="dxa" w:w="70"/>
              <w:left w:type="dxa" w:w="110"/>
              <w:bottom w:type="dxa" w:w="70"/>
              <w:right w:type="dxa" w:w="110"/>
            </w:tcMar>
            <w:vAlign w:val="top"/>
          </w:tcPr>
          <w:p>
            <w:pPr>
              <w:spacing w:after="0" w:line="276"/>
            </w:pPr>
            <w:r>
              <w:rPr>
                <w:color w:val="15181F"/>
                <w:sz w:val="17"/>
                <w:szCs w:val="17"/>
              </w:rPr>
              <w:t xml:space="preserve">Decide whether anti-EGFR therapy is used with conversion intent in left-sided RAS and BRAF wild-type disease, or only as the first-line survival choice.</w:t>
            </w:r>
          </w:p>
        </w:tc>
        <w:tc>
          <w:tcPr>
            <w:tcW w:type="dxa" w:w="4740"/>
            <w:shd w:fill="F1F4F8" w:color="auto" w:val="clear"/>
            <w:tcMar>
              <w:top w:type="dxa" w:w="70"/>
              <w:left w:type="dxa" w:w="110"/>
              <w:bottom w:type="dxa" w:w="70"/>
              <w:right w:type="dxa" w:w="110"/>
            </w:tcMar>
            <w:vAlign w:val="top"/>
          </w:tcPr>
          <w:p>
            <w:pPr>
              <w:spacing w:after="0" w:line="276"/>
            </w:pPr>
            <w:r>
              <w:rPr>
                <w:color w:val="15181F"/>
                <w:sz w:val="17"/>
                <w:szCs w:val="17"/>
              </w:rPr>
              <w:t xml:space="preserve">In the one randomised comparison that measured clearance, panitumumab raised objective response from 53% to 80% and deepened response without changing complete local treatment (58% in both arms), and those groups were closed early for futility; the conversion rationale and the first-line rationale are not the same claim.</w:t>
            </w:r>
          </w:p>
        </w:tc>
      </w:tr>
      <w:tr>
        <w:trPr>
          <w:cantSplit/>
        </w:trPr>
        <w:tc>
          <w:tcPr>
            <w:tcW w:type="dxa" w:w="520"/>
            <w:tcMar>
              <w:top w:type="dxa" w:w="70"/>
              <w:left w:type="dxa" w:w="110"/>
              <w:bottom w:type="dxa" w:w="70"/>
              <w:right w:type="dxa" w:w="110"/>
            </w:tcMar>
            <w:vAlign w:val="top"/>
          </w:tcPr>
          <w:p>
            <w:pPr>
              <w:spacing w:after="0" w:line="276"/>
            </w:pPr>
            <w:r>
              <w:rPr>
                <w:b/>
                <w:bCs/>
                <w:color w:val="15181F"/>
                <w:sz w:val="17"/>
                <w:szCs w:val="17"/>
              </w:rPr>
              <w:t xml:space="preserve">13</w:t>
            </w:r>
          </w:p>
        </w:tc>
        <w:tc>
          <w:tcPr>
            <w:tcW w:type="dxa" w:w="4100"/>
            <w:tcMar>
              <w:top w:type="dxa" w:w="70"/>
              <w:left w:type="dxa" w:w="110"/>
              <w:bottom w:type="dxa" w:w="70"/>
              <w:right w:type="dxa" w:w="110"/>
            </w:tcMar>
            <w:vAlign w:val="top"/>
          </w:tcPr>
          <w:p>
            <w:pPr>
              <w:spacing w:after="0" w:line="276"/>
            </w:pPr>
            <w:r>
              <w:rPr>
                <w:color w:val="15181F"/>
                <w:sz w:val="17"/>
                <w:szCs w:val="17"/>
              </w:rPr>
              <w:t xml:space="preserve">Set the institutional position on transarterial therapy in refractory disease: whether second-line Y90 and DEBIRI are offered at all, and the requirement that every transarterial treatment be recorded as regional control with a named reassessment date.</w:t>
            </w:r>
          </w:p>
        </w:tc>
        <w:tc>
          <w:tcPr>
            <w:tcW w:type="dxa" w:w="4740"/>
            <w:tcMar>
              <w:top w:type="dxa" w:w="70"/>
              <w:left w:type="dxa" w:w="110"/>
              <w:bottom w:type="dxa" w:w="70"/>
              <w:right w:type="dxa" w:w="110"/>
            </w:tcMar>
            <w:vAlign w:val="top"/>
          </w:tcPr>
          <w:p>
            <w:pPr>
              <w:spacing w:after="0" w:line="276"/>
            </w:pPr>
            <w:r>
              <w:rPr>
                <w:color w:val="15181F"/>
                <w:sz w:val="17"/>
                <w:szCs w:val="17"/>
              </w:rPr>
              <w:t xml:space="preserve">Neither improved overall survival — EPOCH gave 14.0 versus 14.4 months with grade 3 or worse events in 68% and three treatment-related deaths, and the DEBIRI survival figure comes from 74 patients against an obsolete comparator — and ASCO does not recommend SIRT routinely at all.</w:t>
            </w:r>
          </w:p>
        </w:tc>
      </w:tr>
      <w:tr>
        <w:trPr>
          <w:cantSplit/>
        </w:trPr>
        <w:tc>
          <w:tcPr>
            <w:tcW w:type="dxa" w:w="520"/>
            <w:shd w:fill="F1F4F8" w:color="auto" w:val="clear"/>
            <w:tcMar>
              <w:top w:type="dxa" w:w="70"/>
              <w:left w:type="dxa" w:w="110"/>
              <w:bottom w:type="dxa" w:w="70"/>
              <w:right w:type="dxa" w:w="110"/>
            </w:tcMar>
            <w:vAlign w:val="top"/>
          </w:tcPr>
          <w:p>
            <w:pPr>
              <w:spacing w:after="0" w:line="276"/>
            </w:pPr>
            <w:r>
              <w:rPr>
                <w:b/>
                <w:bCs/>
                <w:color w:val="15181F"/>
                <w:sz w:val="17"/>
                <w:szCs w:val="17"/>
              </w:rPr>
              <w:t xml:space="preserve">14</w:t>
            </w:r>
          </w:p>
        </w:tc>
        <w:tc>
          <w:tcPr>
            <w:tcW w:type="dxa" w:w="4100"/>
            <w:shd w:fill="F1F4F8" w:color="auto" w:val="clear"/>
            <w:tcMar>
              <w:top w:type="dxa" w:w="70"/>
              <w:left w:type="dxa" w:w="110"/>
              <w:bottom w:type="dxa" w:w="70"/>
              <w:right w:type="dxa" w:w="110"/>
            </w:tcMar>
            <w:vAlign w:val="top"/>
          </w:tcPr>
          <w:p>
            <w:pPr>
              <w:spacing w:after="0" w:line="276"/>
            </w:pPr>
            <w:r>
              <w:rPr>
                <w:color w:val="15181F"/>
                <w:sz w:val="17"/>
                <w:szCs w:val="17"/>
              </w:rPr>
              <w:t xml:space="preserve">Decide whether perioperative chemotherapy is offered outside the population in which it was tested — one to four metastases, no extrahepatic disease — and require the indication to be recorded each time it is given.</w:t>
            </w:r>
          </w:p>
        </w:tc>
        <w:tc>
          <w:tcPr>
            <w:tcW w:type="dxa" w:w="4740"/>
            <w:shd w:fill="F1F4F8" w:color="auto" w:val="clear"/>
            <w:tcMar>
              <w:top w:type="dxa" w:w="70"/>
              <w:left w:type="dxa" w:w="110"/>
              <w:bottom w:type="dxa" w:w="70"/>
              <w:right w:type="dxa" w:w="110"/>
            </w:tcMar>
            <w:vAlign w:val="top"/>
          </w:tcPr>
          <w:p>
            <w:pPr>
              <w:spacing w:after="0" w:line="276"/>
            </w:pPr>
            <w:r>
              <w:rPr>
                <w:color w:val="15181F"/>
                <w:sz w:val="17"/>
                <w:szCs w:val="17"/>
              </w:rPr>
              <w:t xml:space="preserve">EORTC 40983 missed its primary endpoint, showed no survival difference at 8.5 years, did not raise the resection rate and raised postoperative complications; extending it to higher-burden disease and a risk score above 2 is a local judgement that should be visible as one.</w:t>
            </w:r>
          </w:p>
        </w:tc>
      </w:tr>
      <w:tr>
        <w:trPr>
          <w:cantSplit/>
        </w:trPr>
        <w:tc>
          <w:tcPr>
            <w:tcW w:type="dxa" w:w="520"/>
            <w:tcMar>
              <w:top w:type="dxa" w:w="70"/>
              <w:left w:type="dxa" w:w="110"/>
              <w:bottom w:type="dxa" w:w="70"/>
              <w:right w:type="dxa" w:w="110"/>
            </w:tcMar>
            <w:vAlign w:val="top"/>
          </w:tcPr>
          <w:p>
            <w:pPr>
              <w:spacing w:after="0" w:line="276"/>
            </w:pPr>
            <w:r>
              <w:rPr>
                <w:b/>
                <w:bCs/>
                <w:color w:val="15181F"/>
                <w:sz w:val="17"/>
                <w:szCs w:val="17"/>
              </w:rPr>
              <w:t xml:space="preserve">15</w:t>
            </w:r>
          </w:p>
        </w:tc>
        <w:tc>
          <w:tcPr>
            <w:tcW w:type="dxa" w:w="4100"/>
            <w:tcMar>
              <w:top w:type="dxa" w:w="70"/>
              <w:left w:type="dxa" w:w="110"/>
              <w:bottom w:type="dxa" w:w="70"/>
              <w:right w:type="dxa" w:w="110"/>
            </w:tcMar>
            <w:vAlign w:val="top"/>
          </w:tcPr>
          <w:p>
            <w:pPr>
              <w:spacing w:after="0" w:line="276"/>
            </w:pPr>
            <w:r>
              <w:rPr>
                <w:color w:val="15181F"/>
                <w:sz w:val="17"/>
                <w:szCs w:val="17"/>
              </w:rPr>
              <w:t xml:space="preserve">Decide how an ablation margin that cannot be measured is recorded and managed, and who reads the confirmatory study.</w:t>
            </w:r>
          </w:p>
        </w:tc>
        <w:tc>
          <w:tcPr>
            <w:tcW w:type="dxa" w:w="4740"/>
            <w:tcMar>
              <w:top w:type="dxa" w:w="70"/>
              <w:left w:type="dxa" w:w="110"/>
              <w:bottom w:type="dxa" w:w="70"/>
              <w:right w:type="dxa" w:w="110"/>
            </w:tcMar>
            <w:vAlign w:val="top"/>
          </w:tcPr>
          <w:p>
            <w:pPr>
              <w:spacing w:after="0" w:line="276"/>
            </w:pPr>
            <w:r>
              <w:rPr>
                <w:color w:val="15181F"/>
                <w:sz w:val="17"/>
                <w:szCs w:val="17"/>
              </w:rPr>
              <w:t xml:space="preserve">In the series the 5 mm threshold comes from, the margin was unmeasurable in a quarter of tumours and never confirmed histologically, and in COLLISION the imaging and pathologic margin categories did not agree on how often clearance failed; an unreadable margin is a decision, not a gap in the record.</w:t>
            </w:r>
          </w:p>
        </w:tc>
      </w:tr>
      <w:tr>
        <w:trPr>
          <w:cantSplit/>
        </w:trPr>
        <w:tc>
          <w:tcPr>
            <w:tcW w:type="dxa" w:w="520"/>
            <w:shd w:fill="F1F4F8" w:color="auto" w:val="clear"/>
            <w:tcMar>
              <w:top w:type="dxa" w:w="70"/>
              <w:left w:type="dxa" w:w="110"/>
              <w:bottom w:type="dxa" w:w="70"/>
              <w:right w:type="dxa" w:w="110"/>
            </w:tcMar>
            <w:vAlign w:val="top"/>
          </w:tcPr>
          <w:p>
            <w:pPr>
              <w:spacing w:after="0" w:line="276"/>
            </w:pPr>
            <w:r>
              <w:rPr>
                <w:b/>
                <w:bCs/>
                <w:color w:val="15181F"/>
                <w:sz w:val="17"/>
                <w:szCs w:val="17"/>
              </w:rPr>
              <w:t xml:space="preserve">16</w:t>
            </w:r>
          </w:p>
        </w:tc>
        <w:tc>
          <w:tcPr>
            <w:tcW w:type="dxa" w:w="4100"/>
            <w:shd w:fill="F1F4F8" w:color="auto" w:val="clear"/>
            <w:tcMar>
              <w:top w:type="dxa" w:w="70"/>
              <w:left w:type="dxa" w:w="110"/>
              <w:bottom w:type="dxa" w:w="70"/>
              <w:right w:type="dxa" w:w="110"/>
            </w:tcMar>
            <w:vAlign w:val="top"/>
          </w:tcPr>
          <w:p>
            <w:pPr>
              <w:spacing w:after="0" w:line="276"/>
            </w:pPr>
            <w:r>
              <w:rPr>
                <w:color w:val="15181F"/>
                <w:sz w:val="17"/>
                <w:szCs w:val="17"/>
              </w:rPr>
              <w:t xml:space="preserve">Commit the surveillance and salvage capacity the published survival figures depend on — thoracic surveillance, pulmonary metastasectomy, repeat hepatic clearance — and name the owner of each.</w:t>
            </w:r>
          </w:p>
        </w:tc>
        <w:tc>
          <w:tcPr>
            <w:tcW w:type="dxa" w:w="4740"/>
            <w:shd w:fill="F1F4F8" w:color="auto" w:val="clear"/>
            <w:tcMar>
              <w:top w:type="dxa" w:w="70"/>
              <w:left w:type="dxa" w:w="110"/>
              <w:bottom w:type="dxa" w:w="70"/>
              <w:right w:type="dxa" w:w="110"/>
            </w:tcMar>
            <w:vAlign w:val="top"/>
          </w:tcPr>
          <w:p>
            <w:pPr>
              <w:spacing w:after="0" w:line="276"/>
            </w:pPr>
            <w:r>
              <w:rPr>
                <w:color w:val="15181F"/>
                <w:sz w:val="17"/>
                <w:szCs w:val="17"/>
              </w:rPr>
              <w:t xml:space="preserve">After transplantation three-quarters of TransMet patients and half of SECA-II patients recurred, mostly in the lung, and the survival gain came from treating those recurrences with curative intent; the ablation series shows the same pattern, with median survival falling from 51 to 22 months once a patient is no longer a candidate for re-treatment.</w:t>
            </w:r>
          </w:p>
        </w:tc>
      </w:tr>
      <w:tr>
        <w:trPr>
          <w:cantSplit/>
        </w:trPr>
        <w:tc>
          <w:tcPr>
            <w:tcW w:type="dxa" w:w="520"/>
            <w:tcMar>
              <w:top w:type="dxa" w:w="70"/>
              <w:left w:type="dxa" w:w="110"/>
              <w:bottom w:type="dxa" w:w="70"/>
              <w:right w:type="dxa" w:w="110"/>
            </w:tcMar>
            <w:vAlign w:val="top"/>
          </w:tcPr>
          <w:p>
            <w:pPr>
              <w:spacing w:after="0" w:line="276"/>
            </w:pPr>
            <w:r>
              <w:rPr>
                <w:b/>
                <w:bCs/>
                <w:color w:val="15181F"/>
                <w:sz w:val="17"/>
                <w:szCs w:val="17"/>
              </w:rPr>
              <w:t xml:space="preserve">17</w:t>
            </w:r>
          </w:p>
        </w:tc>
        <w:tc>
          <w:tcPr>
            <w:tcW w:type="dxa" w:w="4100"/>
            <w:tcMar>
              <w:top w:type="dxa" w:w="70"/>
              <w:left w:type="dxa" w:w="110"/>
              <w:bottom w:type="dxa" w:w="70"/>
              <w:right w:type="dxa" w:w="110"/>
            </w:tcMar>
            <w:vAlign w:val="top"/>
          </w:tcPr>
          <w:p>
            <w:pPr>
              <w:spacing w:after="0" w:line="276"/>
            </w:pPr>
            <w:r>
              <w:rPr>
                <w:color w:val="15181F"/>
                <w:sz w:val="17"/>
                <w:szCs w:val="17"/>
              </w:rPr>
              <w:t xml:space="preserve">Agree the registry dataset for every conversion-intent course: who judged resectability at each reassessment, what they judged, and whether the operation happened.</w:t>
            </w:r>
          </w:p>
        </w:tc>
        <w:tc>
          <w:tcPr>
            <w:tcW w:type="dxa" w:w="4740"/>
            <w:tcMar>
              <w:top w:type="dxa" w:w="70"/>
              <w:left w:type="dxa" w:w="110"/>
              <w:bottom w:type="dxa" w:w="70"/>
              <w:right w:type="dxa" w:w="110"/>
            </w:tcMar>
            <w:vAlign w:val="top"/>
          </w:tcPr>
          <w:p>
            <w:pPr>
              <w:spacing w:after="0" w:line="276"/>
            </w:pPr>
            <w:r>
              <w:rPr>
                <w:color w:val="15181F"/>
                <w:sz w:val="17"/>
                <w:szCs w:val="17"/>
              </w:rPr>
              <w:t xml:space="preserve">Resectability judgements are the least reproducible step in this pathway — unanimous in only 66% of baseline and 42% of follow-up panel assessments in CAIRO5, and locally determined with no central review in the other conversion series — so conversion rates are uninterpretable without recording who decided.</w:t>
            </w:r>
          </w:p>
        </w:tc>
      </w:tr>
      <w:tr>
        <w:trPr>
          <w:cantSplit/>
        </w:trPr>
        <w:tc>
          <w:tcPr>
            <w:tcW w:type="dxa" w:w="520"/>
            <w:shd w:fill="F1F4F8" w:color="auto" w:val="clear"/>
            <w:tcMar>
              <w:top w:type="dxa" w:w="70"/>
              <w:left w:type="dxa" w:w="110"/>
              <w:bottom w:type="dxa" w:w="70"/>
              <w:right w:type="dxa" w:w="110"/>
            </w:tcMar>
            <w:vAlign w:val="top"/>
          </w:tcPr>
          <w:p>
            <w:pPr>
              <w:spacing w:after="0" w:line="276"/>
            </w:pPr>
            <w:r>
              <w:rPr>
                <w:b/>
                <w:bCs/>
                <w:color w:val="15181F"/>
                <w:sz w:val="17"/>
                <w:szCs w:val="17"/>
              </w:rPr>
              <w:t xml:space="preserve">18</w:t>
            </w:r>
          </w:p>
        </w:tc>
        <w:tc>
          <w:tcPr>
            <w:tcW w:type="dxa" w:w="4100"/>
            <w:shd w:fill="F1F4F8" w:color="auto" w:val="clear"/>
            <w:tcMar>
              <w:top w:type="dxa" w:w="70"/>
              <w:left w:type="dxa" w:w="110"/>
              <w:bottom w:type="dxa" w:w="70"/>
              <w:right w:type="dxa" w:w="110"/>
            </w:tcMar>
            <w:vAlign w:val="top"/>
          </w:tcPr>
          <w:p>
            <w:pPr>
              <w:spacing w:after="0" w:line="276"/>
            </w:pPr>
            <w:r>
              <w:rPr>
                <w:color w:val="15181F"/>
                <w:sz w:val="17"/>
                <w:szCs w:val="17"/>
              </w:rPr>
              <w:t xml:space="preserve">Pilot for 90 days, audit 20 consecutive cases, then revise before approval as a clinical practice guideline.</w:t>
            </w:r>
          </w:p>
        </w:tc>
        <w:tc>
          <w:tcPr>
            <w:tcW w:type="dxa" w:w="4740"/>
            <w:shd w:fill="F1F4F8" w:color="auto" w:val="clear"/>
            <w:tcMar>
              <w:top w:type="dxa" w:w="70"/>
              <w:left w:type="dxa" w:w="110"/>
              <w:bottom w:type="dxa" w:w="70"/>
              <w:right w:type="dxa" w:w="110"/>
            </w:tcMar>
            <w:vAlign w:val="top"/>
          </w:tcPr>
          <w:p>
            <w:pPr>
              <w:spacing w:after="0" w:line="276"/>
            </w:pPr>
            <w:r>
              <w:rPr>
                <w:color w:val="15181F"/>
                <w:sz w:val="17"/>
                <w:szCs w:val="17"/>
              </w:rPr>
              <w:t xml:space="preserve">This is a draft for multidisciplinary and institutional governance review, not active clinical policy, and the operating measures are grade D by construction.</w:t>
            </w:r>
          </w:p>
        </w:tc>
      </w:tr>
    </w:tbl>
    <w:p>
      <w:pPr>
        <w:pStyle w:val="Heading1"/>
        <w:keepNext/>
        <w:pageBreakBefore/>
        <w:spacing w:after="110" w:before="320"/>
      </w:pPr>
      <w:r>
        <w:rPr>
          <w:rFonts w:ascii="Cambria" w:cs="Cambria" w:eastAsia="Cambria" w:hAnsi="Cambria"/>
          <w:b/>
          <w:bCs/>
          <w:color w:val="17365D"/>
          <w:sz w:val="32"/>
          <w:szCs w:val="32"/>
        </w:rPr>
        <w:t xml:space="preserve">Provenance</w:t>
      </w:r>
    </w:p>
    <w:p>
      <w:pPr>
        <w:spacing w:after="120" w:line="276"/>
      </w:pPr>
      <w:r>
        <w:rPr>
          <w:color w:val="15181F"/>
          <w:sz w:val="20"/>
          <w:szCs w:val="20"/>
        </w:rPr>
        <w:t xml:space="preserve">Built from the Memorial Hermann Colorectal Liver Metastasis System Roadmap Draft v0.6 (4 October 2026, liver-directed section revised 3 October 2026, evidence current to 20 September 2026) and its companion guideline alignment worksheet of the same date, which supplied the institutional positions, the NCCN decisions 1-16 and the open ratification items. Revised on 7 October 2026 (Batch 08) after a full-text read of the whole CRLM reference depot: 45 papers, each with an independently recorded critique, covering all 45 PubMed-indexed references cited on this page. Every evidence string was re-checked against the paper's own reported results rather than against a guideline quoting it, and the grades were re-set where the full text showed the recommendation rested on a surrogate endpoint, a subset analysis, an unvalidated threshold or a single centre's practice; 20 evidence entries changed and 13 grades were lowered in that pass, and the honest section was rewritten and expanded from 5 entries to 27. Three references are cited only for what they do not yet show: the PUMP trial appears as a published protocol with no outcome data, so no efficacy claim rests on it; the LIGRO survival analysis is published separately and was not read, so ALPPS is cited for resectability only; and the NCCN guideline, the OPTN policy and guidance documents, the Memorial Hermann roadmap and its alignment worksheet are not PubMed-indexed papers and were read as documents, not trials. Policy wording follows NCCN Colon Cancer v2.2026 (7 April 2026), OPTN Policy 9 as retrieved 1 October 2026, and the OPTN Adult MELD Exceptions for Transplant Oncology review-board guidance of December 2025, which is guidance and not Policy. The roadmap itself is a draft pending multidisciplinary and institutional governance review: it is not active clinical policy, does not replace clinician judgement, current drug labelling, OPTN policy or patient-specific informed consent, and every transplant criterion must be confirmed against current policy at implementation.</w:t>
      </w:r>
    </w:p>
    <w:p>
      <w:pPr>
        <w:pStyle w:val="Heading1"/>
        <w:widowControl/>
        <w:keepNext/>
      </w:pPr>
      <w:r>
        <w:t xml:space="preserve">Systemic treatment matrix</w:t>
      </w:r>
    </w:p>
    <w:p>
      <w:pPr>
        <w:pStyle w:val="Normal"/>
        <w:widowControl/>
        <w:spacing w:after="120"/>
      </w:pPr>
      <w:r>
        <w:t xml:space="preserve">Later-line efficacy does not define persistent unresectability. HPB MDT must document why complete clearance of every original disease site cannot be achieved with a credible resection/ablation strategy, liver reserve and staged options. Treated/nonviable lesions alone are not proof of active unresectable disease. Preserve all biology, extrahepatic and allocation gates.</w:t>
      </w:r>
    </w:p>
    <w:p>
      <w:pPr>
        <w:pStyle w:val="Heading2"/>
        <w:widowControl/>
        <w:keepNext/>
      </w:pPr>
      <w:r>
        <w:t xml:space="preserve">Regimen, setting and evidence</w:t>
      </w:r>
    </w:p>
    <w:tbl>
      <w:tblPr>
        <w:tblW w:w="10080" w:type="dxa"/>
        <w:tblLayout w:type="fixed"/>
        <w:tblBorders>
          <w:top w:val="single" w:sz="4" w:color="CCD6DF"/>
          <w:left w:val="single" w:sz="4" w:color="CCD6DF"/>
          <w:bottom w:val="single" w:sz="4" w:color="CCD6DF"/>
          <w:right w:val="single" w:sz="4" w:color="CCD6DF"/>
          <w:insideH w:val="single" w:sz="4" w:color="CCD6DF"/>
          <w:insideV w:val="single" w:sz="4" w:color="CCD6DF"/>
        </w:tblBorders>
        <w:tblCellMar>
          <w:top w:w="110" w:type="dxa"/>
          <w:left w:w="110" w:type="dxa"/>
          <w:bottom w:w="110" w:type="dxa"/>
          <w:right w:w="110" w:type="dxa"/>
        </w:tblCellMar>
      </w:tblPr>
      <w:tblGrid>
        <w:gridCol w:w="1900"/>
        <w:gridCol w:w="4000"/>
        <w:gridCol w:w="4180"/>
      </w:tblGrid>
      <w:tr>
        <w:trPr>
          <w:cantSplit/>
          <w:tblHeader/>
        </w:trPr>
        <w:tc>
          <w:tcPr>
            <w:tcW w:w="1900" w:type="dxa"/>
            <w:vAlign w:val="top"/>
            <w:shd w:fill="17365D"/>
          </w:tcPr>
          <w:p>
            <w:pPr>
              <w:pStyle w:val="Normal"/>
              <w:widowControl/>
              <w:spacing w:after="55" w:line="240" w:lineRule="auto"/>
              <w:keepNext w:val="0"/>
              <w:keepLines/>
            </w:pPr>
            <w:r>
              <w:rPr>
                <w:sz w:val="21"/>
                <w:szCs w:val="21"/>
                <w:b/>
                <w:color w:val="FFFFFF"/>
              </w:rPr>
              <w:t xml:space="preserve">Option / setting</w:t>
            </w:r>
          </w:p>
        </w:tc>
        <w:tc>
          <w:tcPr>
            <w:tcW w:w="4000" w:type="dxa"/>
            <w:vAlign w:val="top"/>
            <w:shd w:fill="17365D"/>
          </w:tcPr>
          <w:p>
            <w:pPr>
              <w:pStyle w:val="Normal"/>
              <w:widowControl/>
              <w:spacing w:after="55" w:line="240" w:lineRule="auto"/>
              <w:keepNext w:val="0"/>
              <w:keepLines/>
            </w:pPr>
            <w:r>
              <w:rPr>
                <w:sz w:val="21"/>
                <w:szCs w:val="21"/>
                <w:b/>
                <w:color w:val="FFFFFF"/>
              </w:rPr>
              <w:t xml:space="preserve">Selection and safety</w:t>
            </w:r>
          </w:p>
        </w:tc>
        <w:tc>
          <w:tcPr>
            <w:tcW w:w="4180" w:type="dxa"/>
            <w:vAlign w:val="top"/>
            <w:shd w:fill="17365D"/>
          </w:tcPr>
          <w:p>
            <w:pPr>
              <w:pStyle w:val="Normal"/>
              <w:widowControl/>
              <w:spacing w:after="55" w:line="240" w:lineRule="auto"/>
              <w:keepNext w:val="0"/>
              <w:keepLines/>
            </w:pPr>
            <w:r>
              <w:rPr>
                <w:sz w:val="21"/>
                <w:szCs w:val="21"/>
                <w:b/>
                <w:color w:val="FFFFFF"/>
              </w:rPr>
              <w:t xml:space="preserve">Evidence and limitations</w:t>
            </w:r>
          </w:p>
        </w:tc>
      </w:tr>
      <w:tr>
        <w:trPr>
          <w:cantSplit/>
        </w:trPr>
        <w:tc>
          <w:tcPr>
            <w:tcW w:w="1900" w:type="dxa"/>
            <w:vAlign w:val="top"/>
            <w:shd w:fill="F1F5F8"/>
          </w:tcPr>
          <w:p>
            <w:pPr>
              <w:pStyle w:val="Normal"/>
              <w:widowControl/>
              <w:spacing w:after="55" w:line="240" w:lineRule="auto"/>
              <w:keepNext w:val="0"/>
              <w:keepLines/>
            </w:pPr>
            <w:r>
              <w:rPr>
                <w:sz w:val="21"/>
                <w:szCs w:val="21"/>
                <w:b/>
              </w:rPr>
              <w:t xml:space="preserve">FOLFOX or CAPOX</w:t>
            </w:r>
          </w:p>
          <w:p>
            <w:pPr>
              <w:pStyle w:val="Normal"/>
              <w:widowControl/>
              <w:spacing w:after="55" w:line="240" w:lineRule="auto"/>
              <w:keepNext w:val="0"/>
              <w:keepLines/>
            </w:pPr>
            <w:r>
              <w:rPr>
                <w:sz w:val="21"/>
                <w:szCs w:val="21"/>
              </w:rPr>
              <w:t xml:space="preserve">Perioperative or postoperative</w:t>
            </w:r>
          </w:p>
        </w:tc>
        <w:tc>
          <w:tcPr>
            <w:tcW w:w="4000" w:type="dxa"/>
            <w:vAlign w:val="top"/>
            <w:shd w:fill="F1F5F8"/>
          </w:tcPr>
          <w:p>
            <w:pPr>
              <w:pStyle w:val="Normal"/>
              <w:widowControl/>
              <w:spacing w:after="55" w:line="240" w:lineRule="auto"/>
              <w:keepNext w:val="0"/>
              <w:keepLines/>
            </w:pPr>
            <w:r>
              <w:rPr>
                <w:sz w:val="21"/>
                <w:szCs w:val="21"/>
              </w:rPr>
              <w:t xml:space="preserve">In resectable CRLM, decide surgery alone versus chemotherapy plus surgery in MDT. If perioperative treatment is chosen, use a time-limited plan and avoid extending preoperative treatment after resectability is achieved.</w:t>
            </w:r>
          </w:p>
        </w:tc>
        <w:tc>
          <w:tcPr>
            <w:tcW w:w="4180" w:type="dxa"/>
            <w:vAlign w:val="top"/>
            <w:shd w:fill="F1F5F8"/>
          </w:tcPr>
          <w:p>
            <w:pPr>
              <w:pStyle w:val="Normal"/>
              <w:widowControl/>
              <w:spacing w:after="55" w:line="240" w:lineRule="auto"/>
              <w:keepNext w:val="0"/>
              <w:keepLines/>
            </w:pPr>
            <w:r>
              <w:rPr>
                <w:sz w:val="21"/>
                <w:szCs w:val="21"/>
              </w:rPr>
              <w:t xml:space="preserve">EORTC 40983 supported PFS but not a significant long-term OS benefit. Do not add cetuximab to perioperative chemotherapy for otherwise resectable CRLM: New EPOC showed harm.</w:t>
            </w:r>
          </w:p>
          <w:p>
            <w:pPr>
              <w:pStyle w:val="Normal"/>
              <w:widowControl/>
              <w:spacing w:after="120"/>
              <w:keepNext w:val="0"/>
            </w:pPr>
            <w:r>
              <w:t xml:space="preserve"/>
            </w:r>
            <w:r>
              <w:t xml:space="preserve"> </w:t>
            </w:r>
            <w:r>
              <w:t xml:space="preserve"> </w:t>
            </w:r>
            <w:r>
              <w:fldChar w:fldCharType="begin"/>
            </w:r>
            <w:r>
              <w:instrText xml:space="preserve"> ADDIN EN.CITE </w:instrText>
            </w:r>
            <w:r>
              <w:fldChar w:fldCharType="begin">
                <w:fldData>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</w:fldData>
              </w:fldChar>
            </w:r>
            <w:r>
              <w:instrText xml:space="preserve"> ADDIN EN.CITE.DATA </w:instrText>
            </w:r>
            <w:r>
              <w:fldChar w:fldCharType="end"/>
            </w:r>
            <w:r>
              <w:fldChar w:fldCharType="separate"/>
            </w:r>
            <w:r>
              <w:t xml:space="preserve">[V16-1]</w:t>
            </w:r>
            <w:r>
              <w:fldChar w:fldCharType="end"/>
            </w:r>
            <w:r>
              <w:t xml:space="preserve"> </w:t>
            </w:r>
            <w:r>
              <w:t xml:space="preserve"> </w:t>
            </w:r>
            <w:r>
              <w:fldChar w:fldCharType="begin"/>
            </w:r>
            <w:r>
              <w:instrText xml:space="preserve"> ADDIN EN.CITE </w:instrText>
            </w:r>
            <w:r>
              <w:fldChar w:fldCharType="begin">
                <w:fldData>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</w:fldData>
              </w:fldChar>
            </w:r>
            <w:r>
              <w:instrText xml:space="preserve"> ADDIN EN.CITE.DATA </w:instrText>
            </w:r>
            <w:r>
              <w:fldChar w:fldCharType="end"/>
            </w:r>
            <w:r>
              <w:fldChar w:fldCharType="separate"/>
            </w:r>
            <w:r>
              <w:t xml:space="preserve">[V16-2]</w:t>
            </w:r>
            <w:r>
              <w:fldChar w:fldCharType="end"/>
            </w:r>
            <w:r>
              <w:t xml:space="preserve"> </w:t>
            </w:r>
            <w:r>
              <w:t xml:space="preserve"> </w:t>
            </w:r>
            <w:r>
              <w:fldChar w:fldCharType="begin"/>
            </w:r>
            <w:r>
              <w:instrText xml:space="preserve"> ADDIN EN.CITE </w:instrText>
            </w:r>
            <w:r>
              <w:fldChar w:fldCharType="begin">
                <w:fldData>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</w:fldData>
              </w:fldChar>
            </w:r>
            <w:r>
              <w:instrText xml:space="preserve"> ADDIN EN.CITE.DATA </w:instrText>
            </w:r>
            <w:r>
              <w:fldChar w:fldCharType="end"/>
            </w:r>
            <w:r>
              <w:fldChar w:fldCharType="separate"/>
            </w:r>
            <w:r>
              <w:t xml:space="preserve">[V16-3]</w:t>
            </w:r>
            <w:r>
              <w:fldChar w:fldCharType="end"/>
            </w:r>
            <w:r>
              <w:br/>
            </w:r>
            <w:hyperlink r:id="rId9">
              <w:r>
                <w:rPr>
                  <w:color w:val="0563C1"/>
                  <w:u w:val="single"/>
                </w:rPr>
                <w:t>Source</w:t>
              </w:r>
            </w:hyperlink>
            <w:r>
              <w:t xml:space="preserve"> · </w:t>
            </w:r>
            <w:hyperlink r:id="rId10">
              <w:r>
                <w:rPr>
                  <w:color w:val="0563C1"/>
                  <w:u w:val="single"/>
                </w:rPr>
                <w:t>PDF</w:t>
              </w:r>
            </w:hyperlink>
            <w:r>
              <w:br/>
            </w:r>
            <w:hyperlink r:id="rId11">
              <w:r>
                <w:rPr>
                  <w:color w:val="0563C1"/>
                  <w:u w:val="single"/>
                </w:rPr>
                <w:t>Source</w:t>
              </w:r>
            </w:hyperlink>
            <w:r>
              <w:t xml:space="preserve"> · </w:t>
            </w:r>
            <w:hyperlink r:id="rId12">
              <w:r>
                <w:rPr>
                  <w:color w:val="0563C1"/>
                  <w:u w:val="single"/>
                </w:rPr>
                <w:t>PDF</w:t>
              </w:r>
            </w:hyperlink>
            <w:r>
              <w:br/>
            </w:r>
            <w:hyperlink r:id="rId13">
              <w:r>
                <w:rPr>
                  <w:color w:val="0563C1"/>
                  <w:u w:val="single"/>
                </w:rPr>
                <w:t>Source</w:t>
              </w:r>
            </w:hyperlink>
            <w:r>
              <w:t xml:space="preserve"> · </w:t>
            </w:r>
            <w:hyperlink r:id="rId14">
              <w:r>
                <w:rPr>
                  <w:color w:val="0563C1"/>
                  <w:u w:val="single"/>
                </w:rPr>
                <w:t>PDF</w:t>
              </w:r>
            </w:hyperlink>
          </w:p>
        </w:tc>
      </w:tr>
      <w:tr>
        <w:trPr>
          <w:cantSplit/>
        </w:trPr>
        <w:tc>
          <w:tcPr>
            <w:tcW w:w="1900" w:type="dxa"/>
            <w:vAlign w:val="top"/>
            <w:shd w:fill="FFFFFF"/>
          </w:tcPr>
          <w:p>
            <w:pPr>
              <w:pStyle w:val="Normal"/>
              <w:widowControl/>
              <w:spacing w:after="55" w:line="240" w:lineRule="auto"/>
              <w:keepNext w:val="0"/>
              <w:keepLines/>
            </w:pPr>
            <w:r>
              <w:rPr>
                <w:sz w:val="21"/>
                <w:szCs w:val="21"/>
                <w:b/>
              </w:rPr>
              <w:t xml:space="preserve">FOLFOX or FOLFIRI plus anti-EGFR</w:t>
            </w:r>
          </w:p>
          <w:p>
            <w:pPr>
              <w:pStyle w:val="Normal"/>
              <w:widowControl/>
              <w:spacing w:after="55" w:line="240" w:lineRule="auto"/>
              <w:keepNext w:val="0"/>
              <w:keepLines/>
            </w:pPr>
            <w:r>
              <w:rPr>
                <w:sz w:val="21"/>
                <w:szCs w:val="21"/>
              </w:rPr>
              <w:t xml:space="preserve">Left sided RAS and BRAF wild type</w:t>
            </w:r>
          </w:p>
        </w:tc>
        <w:tc>
          <w:tcPr>
            <w:tcW w:w="4000" w:type="dxa"/>
            <w:vAlign w:val="top"/>
            <w:shd w:fill="FFFFFF"/>
          </w:tcPr>
          <w:p>
            <w:pPr>
              <w:pStyle w:val="Normal"/>
              <w:widowControl/>
              <w:spacing w:after="55" w:line="240" w:lineRule="auto"/>
              <w:keepNext w:val="0"/>
              <w:keepLines/>
            </w:pPr>
            <w:r>
              <w:rPr>
                <w:sz w:val="21"/>
                <w:szCs w:val="21"/>
              </w:rPr>
              <w:t xml:space="preserve">For MSS/pMMR disease when response or survival benefit is the goal, confirm expanded RAS, BRAF, sidedness and HER2 status. Cetuximab or panitumumab is not a general option for RAS-mutant disease.</w:t>
            </w:r>
          </w:p>
        </w:tc>
        <w:tc>
          <w:tcPr>
            <w:tcW w:w="4180" w:type="dxa"/>
            <w:vAlign w:val="top"/>
            <w:shd w:fill="FFFFFF"/>
          </w:tcPr>
          <w:p>
            <w:pPr>
              <w:pStyle w:val="Normal"/>
              <w:widowControl/>
              <w:spacing w:after="55" w:line="240" w:lineRule="auto"/>
              <w:keepNext w:val="0"/>
              <w:keepLines/>
            </w:pPr>
            <w:r>
              <w:rPr>
                <w:sz w:val="21"/>
                <w:szCs w:val="21"/>
              </w:rPr>
              <w:t xml:space="preserve">Molecular and sidedness selection matters. CAIRO5 did not show panitumumab superiority over bevacizumab for its left-sided wild-type liver-only population; do not promise more resections from anti-EGFR treatment alone.</w:t>
            </w:r>
          </w:p>
          <w:p>
            <w:pPr>
              <w:pStyle w:val="Normal"/>
              <w:widowControl/>
              <w:spacing w:after="120"/>
              <w:keepNext w:val="0"/>
            </w:pPr>
            <w:r>
              <w:t xml:space="preserve"/>
            </w:r>
            <w:r>
              <w:t xml:space="preserve"> </w:t>
            </w:r>
            <w:r>
              <w:t xml:space="preserve"> </w:t>
            </w:r>
            <w:r>
              <w:fldChar w:fldCharType="begin"/>
            </w:r>
            <w:r>
              <w:instrText xml:space="preserve"> ADDIN EN.CITE </w:instrText>
            </w:r>
            <w:r>
              <w:fldChar w:fldCharType="begin">
                <w:fldData>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</w:fldData>
              </w:fldChar>
            </w:r>
            <w:r>
              <w:instrText xml:space="preserve"> ADDIN EN.CITE.DATA </w:instrText>
            </w:r>
            <w:r>
              <w:fldChar w:fldCharType="end"/>
            </w:r>
            <w:r>
              <w:fldChar w:fldCharType="separate"/>
            </w:r>
            <w:r>
              <w:t xml:space="preserve">[V16-3]</w:t>
            </w:r>
            <w:r>
              <w:fldChar w:fldCharType="end"/>
            </w:r>
            <w:r>
              <w:t xml:space="preserve"> </w:t>
            </w:r>
            <w:r>
              <w:t xml:space="preserve"> </w:t>
            </w:r>
            <w:r>
              <w:fldChar w:fldCharType="begin"/>
            </w:r>
            <w:r>
              <w:instrText xml:space="preserve"> ADDIN EN.CITE </w:instrText>
            </w:r>
            <w:r>
              <w:fldChar w:fldCharType="begin">
                <w:fldData>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</w:fldData>
              </w:fldChar>
            </w:r>
            <w:r>
              <w:instrText xml:space="preserve"> ADDIN EN.CITE.DATA </w:instrText>
            </w:r>
            <w:r>
              <w:fldChar w:fldCharType="end"/>
            </w:r>
            <w:r>
              <w:fldChar w:fldCharType="separate"/>
            </w:r>
            <w:r>
              <w:t xml:space="preserve">[V16-4]</w:t>
            </w:r>
            <w:r>
              <w:fldChar w:fldCharType="end"/>
            </w:r>
            <w:r>
              <w:t xml:space="preserve"> </w:t>
            </w:r>
            <w:r>
              <w:t xml:space="preserve"> </w:t>
            </w:r>
            <w:r>
              <w:fldChar w:fldCharType="begin"/>
            </w:r>
            <w:r>
              <w:instrText xml:space="preserve"> ADDIN EN.CITE </w:instrText>
            </w:r>
            <w:r>
              <w:fldChar w:fldCharType="begin">
                <w:fldData>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</w:fldData>
              </w:fldChar>
            </w:r>
            <w:r>
              <w:instrText xml:space="preserve"> ADDIN EN.CITE.DATA </w:instrText>
            </w:r>
            <w:r>
              <w:fldChar w:fldCharType="end"/>
            </w:r>
            <w:r>
              <w:fldChar w:fldCharType="separate"/>
            </w:r>
            <w:r>
              <w:t xml:space="preserve">[V16-5]</w:t>
            </w:r>
            <w:r>
              <w:fldChar w:fldCharType="end"/>
            </w:r>
            <w:r>
              <w:br/>
            </w:r>
            <w:hyperlink r:id="rId15">
              <w:r>
                <w:rPr>
                  <w:color w:val="0563C1"/>
                  <w:u w:val="single"/>
                </w:rPr>
                <w:t>Source</w:t>
              </w:r>
            </w:hyperlink>
            <w:r>
              <w:t xml:space="preserve"> · </w:t>
            </w:r>
            <w:hyperlink r:id="rId16">
              <w:r>
                <w:rPr>
                  <w:color w:val="0563C1"/>
                  <w:u w:val="single"/>
                </w:rPr>
                <w:t>PDF</w:t>
              </w:r>
            </w:hyperlink>
            <w:r>
              <w:br/>
            </w:r>
            <w:hyperlink r:id="rId17">
              <w:r>
                <w:rPr>
                  <w:color w:val="0563C1"/>
                  <w:u w:val="single"/>
                </w:rPr>
                <w:t>Source</w:t>
              </w:r>
            </w:hyperlink>
            <w:r>
              <w:t xml:space="preserve"> · </w:t>
            </w:r>
            <w:hyperlink r:id="rId18">
              <w:r>
                <w:rPr>
                  <w:color w:val="0563C1"/>
                  <w:u w:val="single"/>
                </w:rPr>
                <w:t>PDF</w:t>
              </w:r>
            </w:hyperlink>
            <w:r>
              <w:br/>
            </w:r>
            <w:hyperlink r:id="rId19">
              <w:r>
                <w:rPr>
                  <w:color w:val="0563C1"/>
                  <w:u w:val="single"/>
                </w:rPr>
                <w:t>Source</w:t>
              </w:r>
            </w:hyperlink>
            <w:r>
              <w:t xml:space="preserve"> · </w:t>
            </w:r>
            <w:hyperlink r:id="rId20">
              <w:r>
                <w:rPr>
                  <w:color w:val="0563C1"/>
                  <w:u w:val="single"/>
                </w:rPr>
                <w:t>PDF</w:t>
              </w:r>
            </w:hyperlink>
          </w:p>
        </w:tc>
      </w:tr>
      <w:tr>
        <w:trPr>
          <w:cantSplit/>
        </w:trPr>
        <w:tc>
          <w:tcPr>
            <w:tcW w:w="1900" w:type="dxa"/>
            <w:vAlign w:val="top"/>
            <w:shd w:fill="F1F5F8"/>
          </w:tcPr>
          <w:p>
            <w:pPr>
              <w:pStyle w:val="Normal"/>
              <w:widowControl/>
              <w:spacing w:after="55" w:line="240" w:lineRule="auto"/>
              <w:keepNext w:val="0"/>
              <w:keepLines/>
            </w:pPr>
            <w:r>
              <w:rPr>
                <w:sz w:val="21"/>
                <w:szCs w:val="21"/>
                <w:b/>
              </w:rPr>
              <w:t xml:space="preserve">Doublet chemotherapy plus bevacizumab</w:t>
            </w:r>
          </w:p>
          <w:p>
            <w:pPr>
              <w:pStyle w:val="Normal"/>
              <w:widowControl/>
              <w:spacing w:after="55" w:line="240" w:lineRule="auto"/>
              <w:keepNext w:val="0"/>
              <w:keepLines/>
            </w:pPr>
            <w:r>
              <w:rPr>
                <w:sz w:val="21"/>
                <w:szCs w:val="21"/>
              </w:rPr>
              <w:t xml:space="preserve">MSS pMMR first line</w:t>
            </w:r>
          </w:p>
        </w:tc>
        <w:tc>
          <w:tcPr>
            <w:tcW w:w="4000" w:type="dxa"/>
            <w:vAlign w:val="top"/>
            <w:shd w:fill="F1F5F8"/>
          </w:tcPr>
          <w:p>
            <w:pPr>
              <w:pStyle w:val="Normal"/>
              <w:widowControl/>
              <w:spacing w:after="55" w:line="240" w:lineRule="auto"/>
              <w:keepNext w:val="0"/>
              <w:keepLines/>
            </w:pPr>
            <w:r>
              <w:rPr>
                <w:sz w:val="21"/>
                <w:szCs w:val="21"/>
              </w:rPr>
              <w:t xml:space="preserve">FOLFOX, CAPOX or FOLFIRI according to prior therapy, neuropathy, bowel function and fitness. Common choice for RAS-mutant or right-sided disease and when anti-EGFR is unsuitable.</w:t>
            </w:r>
          </w:p>
        </w:tc>
        <w:tc>
          <w:tcPr>
            <w:tcW w:w="4180" w:type="dxa"/>
            <w:vAlign w:val="top"/>
            <w:shd w:fill="F1F5F8"/>
          </w:tcPr>
          <w:p>
            <w:pPr>
              <w:pStyle w:val="Normal"/>
              <w:widowControl/>
              <w:spacing w:after="55" w:line="240" w:lineRule="auto"/>
              <w:keepNext w:val="0"/>
              <w:keepLines/>
            </w:pPr>
            <w:r>
              <w:rPr>
                <w:sz w:val="21"/>
                <w:szCs w:val="21"/>
              </w:rPr>
              <w:t xml:space="preserve">Guideline-supported backbone. Assess bleeding, perforation, hypertension and wound healing. Plan bevacizumab hold before surgery; radiographic response is not itself a transplant approval.</w:t>
            </w:r>
          </w:p>
          <w:p>
            <w:pPr>
              <w:pStyle w:val="Normal"/>
              <w:widowControl/>
              <w:spacing w:after="120"/>
              <w:keepNext w:val="0"/>
            </w:pPr>
            <w:r>
              <w:t xml:space="preserve"/>
            </w:r>
            <w:r>
              <w:t xml:space="preserve"> </w:t>
            </w:r>
            <w:r>
              <w:t xml:space="preserve"> </w:t>
            </w:r>
            <w:r>
              <w:fldChar w:fldCharType="begin"/>
            </w:r>
            <w:r>
              <w:instrText xml:space="preserve"> ADDIN EN.CITE </w:instrText>
            </w:r>
            <w:r>
              <w:fldChar w:fldCharType="begin">
                <w:fldData>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</w:fldData>
              </w:fldChar>
            </w:r>
            <w:r>
              <w:instrText xml:space="preserve"> ADDIN EN.CITE.DATA </w:instrText>
            </w:r>
            <w:r>
              <w:fldChar w:fldCharType="end"/>
            </w:r>
            <w:r>
              <w:fldChar w:fldCharType="separate"/>
            </w:r>
            <w:r>
              <w:t xml:space="preserve">[V16-3]</w:t>
            </w:r>
            <w:r>
              <w:fldChar w:fldCharType="end"/>
            </w:r>
            <w:r>
              <w:t xml:space="preserve"> </w:t>
            </w:r>
            <w:r>
              <w:t xml:space="preserve"> </w:t>
            </w:r>
            <w:r>
              <w:fldChar w:fldCharType="begin"/>
            </w:r>
            <w:r>
              <w:instrText xml:space="preserve"> ADDIN EN.CITE </w:instrText>
            </w:r>
            <w:r>
              <w:fldChar w:fldCharType="begin">
                <w:fldData>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</w:fldData>
              </w:fldChar>
            </w:r>
            <w:r>
              <w:instrText xml:space="preserve"> ADDIN EN.CITE.DATA </w:instrText>
            </w:r>
            <w:r>
              <w:fldChar w:fldCharType="end"/>
            </w:r>
            <w:r>
              <w:fldChar w:fldCharType="separate"/>
            </w:r>
            <w:r>
              <w:t xml:space="preserve">[V16-6]</w:t>
            </w:r>
            <w:r>
              <w:fldChar w:fldCharType="end"/>
            </w:r>
            <w:r>
              <w:br/>
            </w:r>
            <w:hyperlink r:id="rId21">
              <w:r>
                <w:rPr>
                  <w:color w:val="0563C1"/>
                  <w:u w:val="single"/>
                </w:rPr>
                <w:t>Source</w:t>
              </w:r>
            </w:hyperlink>
            <w:r>
              <w:t xml:space="preserve"> · </w:t>
            </w:r>
            <w:hyperlink r:id="rId22">
              <w:r>
                <w:rPr>
                  <w:color w:val="0563C1"/>
                  <w:u w:val="single"/>
                </w:rPr>
                <w:t>PDF</w:t>
              </w:r>
            </w:hyperlink>
            <w:r>
              <w:br/>
            </w:r>
            <w:hyperlink r:id="rId23">
              <w:r>
                <w:rPr>
                  <w:color w:val="0563C1"/>
                  <w:u w:val="single"/>
                </w:rPr>
                <w:t>Source</w:t>
              </w:r>
            </w:hyperlink>
            <w:r>
              <w:t xml:space="preserve"> · </w:t>
            </w:r>
            <w:hyperlink r:id="rId24">
              <w:r>
                <w:rPr>
                  <w:color w:val="0563C1"/>
                  <w:u w:val="single"/>
                </w:rPr>
                <w:t>PDF</w:t>
              </w:r>
            </w:hyperlink>
          </w:p>
        </w:tc>
      </w:tr>
      <w:tr>
        <w:trPr>
          <w:cantSplit/>
        </w:trPr>
        <w:tc>
          <w:tcPr>
            <w:tcW w:w="1900" w:type="dxa"/>
            <w:vAlign w:val="top"/>
            <w:shd w:fill="FFFFFF"/>
          </w:tcPr>
          <w:p>
            <w:pPr>
              <w:pStyle w:val="Normal"/>
              <w:widowControl/>
              <w:spacing w:after="55" w:line="240" w:lineRule="auto"/>
              <w:keepNext w:val="0"/>
              <w:keepLines/>
            </w:pPr>
            <w:r>
              <w:rPr>
                <w:sz w:val="21"/>
                <w:szCs w:val="21"/>
                <w:b/>
              </w:rPr>
              <w:t xml:space="preserve">FOLFOXIRI plus bevacizumab</w:t>
            </w:r>
          </w:p>
          <w:p>
            <w:pPr>
              <w:pStyle w:val="Normal"/>
              <w:widowControl/>
              <w:spacing w:after="55" w:line="240" w:lineRule="auto"/>
              <w:keepNext w:val="0"/>
              <w:keepLines/>
            </w:pPr>
            <w:r>
              <w:rPr>
                <w:sz w:val="21"/>
                <w:szCs w:val="21"/>
              </w:rPr>
              <w:t xml:space="preserve">Selected fit patients</w:t>
            </w:r>
          </w:p>
        </w:tc>
        <w:tc>
          <w:tcPr>
            <w:tcW w:w="4000" w:type="dxa"/>
            <w:vAlign w:val="top"/>
            <w:shd w:fill="FFFFFF"/>
          </w:tcPr>
          <w:p>
            <w:pPr>
              <w:pStyle w:val="Normal"/>
              <w:widowControl/>
              <w:spacing w:after="55" w:line="240" w:lineRule="auto"/>
              <w:keepNext w:val="0"/>
              <w:keepLines/>
            </w:pPr>
            <w:r>
              <w:rPr>
                <w:sz w:val="21"/>
                <w:szCs w:val="21"/>
              </w:rPr>
              <w:t xml:space="preserve">Consider when high response is needed and the patient can tolerate triplet chemotherapy. Do not apply to frail patients by default. Reassess liver resectability every two to three months.</w:t>
            </w:r>
          </w:p>
        </w:tc>
        <w:tc>
          <w:tcPr>
            <w:tcW w:w="4180" w:type="dxa"/>
            <w:vAlign w:val="top"/>
            <w:shd w:fill="FFFFFF"/>
          </w:tcPr>
          <w:p>
            <w:pPr>
              <w:pStyle w:val="Normal"/>
              <w:widowControl/>
              <w:spacing w:after="55" w:line="240" w:lineRule="auto"/>
              <w:keepNext w:val="0"/>
              <w:keepLines/>
            </w:pPr>
            <w:r>
              <w:rPr>
                <w:sz w:val="21"/>
                <w:szCs w:val="21"/>
              </w:rPr>
              <w:t xml:space="preserve">CAIRO5 showed improved PFS and complete local treatment in right-sided or RAS/BRAF-mutant liver-only disease, with substantially greater toxicity. Its BRAF subgroup predates current targeted first-line treatment.</w:t>
            </w:r>
          </w:p>
          <w:p>
            <w:pPr>
              <w:pStyle w:val="Normal"/>
              <w:widowControl/>
              <w:spacing w:after="120"/>
              <w:keepNext w:val="0"/>
            </w:pPr>
            <w:r>
              <w:t xml:space="preserve"/>
            </w:r>
            <w:r>
              <w:t xml:space="preserve"> </w:t>
            </w:r>
            <w:r>
              <w:t xml:space="preserve"> </w:t>
            </w:r>
            <w:r>
              <w:fldChar w:fldCharType="begin"/>
            </w:r>
            <w:r>
              <w:instrText xml:space="preserve"> ADDIN EN.CITE </w:instrText>
            </w:r>
            <w:r>
              <w:fldChar w:fldCharType="begin">
                <w:fldData>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</w:fldData>
              </w:fldChar>
            </w:r>
            <w:r>
              <w:instrText xml:space="preserve"> ADDIN EN.CITE.DATA </w:instrText>
            </w:r>
            <w:r>
              <w:fldChar w:fldCharType="end"/>
            </w:r>
            <w:r>
              <w:fldChar w:fldCharType="separate"/>
            </w:r>
            <w:r>
              <w:t xml:space="preserve">[V16-4]</w:t>
            </w:r>
            <w:r>
              <w:fldChar w:fldCharType="end"/>
            </w:r>
            <w:r>
              <w:t xml:space="preserve"> </w:t>
            </w:r>
            <w:r>
              <w:t xml:space="preserve"> </w:t>
            </w:r>
            <w:r>
              <w:fldChar w:fldCharType="begin"/>
            </w:r>
            <w:r>
              <w:instrText xml:space="preserve"> ADDIN EN.CITE </w:instrText>
            </w:r>
            <w:r>
              <w:fldChar w:fldCharType="begin">
                <w:fldData>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</w:fldData>
              </w:fldChar>
            </w:r>
            <w:r>
              <w:instrText xml:space="preserve"> ADDIN EN.CITE.DATA </w:instrText>
            </w:r>
            <w:r>
              <w:fldChar w:fldCharType="end"/>
            </w:r>
            <w:r>
              <w:fldChar w:fldCharType="separate"/>
            </w:r>
            <w:r>
              <w:t xml:space="preserve">[V16-3]</w:t>
            </w:r>
            <w:r>
              <w:fldChar w:fldCharType="end"/>
            </w:r>
            <w:r>
              <w:br/>
            </w:r>
            <w:hyperlink r:id="rId25">
              <w:r>
                <w:rPr>
                  <w:color w:val="0563C1"/>
                  <w:u w:val="single"/>
                </w:rPr>
                <w:t>Source</w:t>
              </w:r>
            </w:hyperlink>
            <w:r>
              <w:t xml:space="preserve"> · </w:t>
            </w:r>
            <w:hyperlink r:id="rId26">
              <w:r>
                <w:rPr>
                  <w:color w:val="0563C1"/>
                  <w:u w:val="single"/>
                </w:rPr>
                <w:t>PDF</w:t>
              </w:r>
            </w:hyperlink>
            <w:r>
              <w:br/>
            </w:r>
            <w:hyperlink r:id="rId27">
              <w:r>
                <w:rPr>
                  <w:color w:val="0563C1"/>
                  <w:u w:val="single"/>
                </w:rPr>
                <w:t>Source</w:t>
              </w:r>
            </w:hyperlink>
            <w:r>
              <w:t xml:space="preserve"> · </w:t>
            </w:r>
            <w:hyperlink r:id="rId28">
              <w:r>
                <w:rPr>
                  <w:color w:val="0563C1"/>
                  <w:u w:val="single"/>
                </w:rPr>
                <w:t>PDF</w:t>
              </w:r>
            </w:hyperlink>
          </w:p>
        </w:tc>
      </w:tr>
      <w:tr>
        <w:trPr>
          <w:cantSplit/>
        </w:trPr>
        <w:tc>
          <w:tcPr>
            <w:tcW w:w="1900" w:type="dxa"/>
            <w:vAlign w:val="top"/>
            <w:shd w:fill="F1F5F8"/>
          </w:tcPr>
          <w:p>
            <w:pPr>
              <w:pStyle w:val="Normal"/>
              <w:widowControl/>
              <w:spacing w:after="55" w:line="240" w:lineRule="auto"/>
              <w:keepNext w:val="0"/>
              <w:keepLines/>
            </w:pPr>
            <w:r>
              <w:rPr>
                <w:sz w:val="21"/>
                <w:szCs w:val="21"/>
                <w:b/>
              </w:rPr>
              <w:t xml:space="preserve">Nivolumab ipilimumab or pembrolizumab</w:t>
            </w:r>
          </w:p>
          <w:p>
            <w:pPr>
              <w:pStyle w:val="Normal"/>
              <w:widowControl/>
              <w:spacing w:after="55" w:line="240" w:lineRule="auto"/>
              <w:keepNext w:val="0"/>
              <w:keepLines/>
            </w:pPr>
            <w:r>
              <w:rPr>
                <w:sz w:val="21"/>
                <w:szCs w:val="21"/>
              </w:rPr>
              <w:t xml:space="preserve">MSI-H dMMR</w:t>
            </w:r>
          </w:p>
        </w:tc>
        <w:tc>
          <w:tcPr>
            <w:tcW w:w="4000" w:type="dxa"/>
            <w:vAlign w:val="top"/>
            <w:shd w:fill="F1F5F8"/>
          </w:tcPr>
          <w:p>
            <w:pPr>
              <w:pStyle w:val="Normal"/>
              <w:widowControl/>
              <w:spacing w:after="55" w:line="240" w:lineRule="auto"/>
              <w:keepNext w:val="0"/>
              <w:keepLines/>
            </w:pPr>
            <w:r>
              <w:rPr>
                <w:sz w:val="21"/>
                <w:szCs w:val="21"/>
              </w:rPr>
              <w:t xml:space="preserve">Confirm MSI/MMR before first-line selection. Choose dual versus single checkpoint therapy by immune-toxicity risk, comorbidity and patient preference; prospective transplant review if LT might be considered.</w:t>
            </w:r>
          </w:p>
        </w:tc>
        <w:tc>
          <w:tcPr>
            <w:tcW w:w="4180" w:type="dxa"/>
            <w:vAlign w:val="top"/>
            <w:shd w:fill="F1F5F8"/>
          </w:tcPr>
          <w:p>
            <w:pPr>
              <w:pStyle w:val="Normal"/>
              <w:widowControl/>
              <w:spacing w:after="55" w:line="240" w:lineRule="auto"/>
              <w:keepNext w:val="0"/>
              <w:keepLines/>
            </w:pPr>
            <w:r>
              <w:rPr>
                <w:sz w:val="21"/>
                <w:szCs w:val="21"/>
              </w:rPr>
              <w:t xml:space="preserve">CheckMate 8HW and KEYNOTE-177 establish this as a different biological pathway from MSS disease. Not interchangeable trial comparisons; routine chemotherapy for MSS disease cannot be extrapolated here.</w:t>
            </w:r>
          </w:p>
          <w:p>
            <w:pPr>
              <w:pStyle w:val="Normal"/>
              <w:widowControl/>
              <w:spacing w:after="120"/>
              <w:keepNext w:val="0"/>
            </w:pPr>
            <w:r>
              <w:t xml:space="preserve"/>
            </w:r>
            <w:r>
              <w:t xml:space="preserve"> </w:t>
            </w:r>
            <w:r>
              <w:t xml:space="preserve"> </w:t>
            </w:r>
            <w:r>
              <w:fldChar w:fldCharType="begin"/>
            </w:r>
            <w:r>
              <w:instrText xml:space="preserve"> ADDIN EN.CITE </w:instrText>
            </w:r>
            <w:r>
              <w:fldChar w:fldCharType="begin">
                <w:fldData>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</w:fldData>
              </w:fldChar>
            </w:r>
            <w:r>
              <w:instrText xml:space="preserve"> ADDIN EN.CITE.DATA </w:instrText>
            </w:r>
            <w:r>
              <w:fldChar w:fldCharType="end"/>
            </w:r>
            <w:r>
              <w:fldChar w:fldCharType="separate"/>
            </w:r>
            <w:r>
              <w:t xml:space="preserve">[V16-7]</w:t>
            </w:r>
            <w:r>
              <w:fldChar w:fldCharType="end"/>
            </w:r>
            <w:r>
              <w:t xml:space="preserve"> </w:t>
            </w:r>
            <w:r>
              <w:t xml:space="preserve"> </w:t>
            </w:r>
            <w:r>
              <w:fldChar w:fldCharType="begin"/>
            </w:r>
            <w:r>
              <w:instrText xml:space="preserve"> ADDIN EN.CITE </w:instrText>
            </w:r>
            <w:r>
              <w:fldChar w:fldCharType="begin">
                <w:fldData>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</w:fldData>
              </w:fldChar>
            </w:r>
            <w:r>
              <w:instrText xml:space="preserve"> ADDIN EN.CITE.DATA </w:instrText>
            </w:r>
            <w:r>
              <w:fldChar w:fldCharType="end"/>
            </w:r>
            <w:r>
              <w:fldChar w:fldCharType="separate"/>
            </w:r>
            <w:r>
              <w:t xml:space="preserve">[V16-8]</w:t>
            </w:r>
            <w:r>
              <w:fldChar w:fldCharType="end"/>
            </w:r>
            <w:r>
              <w:t xml:space="preserve"> </w:t>
            </w:r>
            <w:r>
              <w:t xml:space="preserve"> </w:t>
            </w:r>
            <w:r>
              <w:fldChar w:fldCharType="begin"/>
            </w:r>
            <w:r>
              <w:instrText xml:space="preserve"> ADDIN EN.CITE </w:instrText>
            </w:r>
            <w:r>
              <w:fldChar w:fldCharType="begin">
                <w:fldData>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</w:fldData>
              </w:fldChar>
            </w:r>
            <w:r>
              <w:instrText xml:space="preserve"> ADDIN EN.CITE.DATA </w:instrText>
            </w:r>
            <w:r>
              <w:fldChar w:fldCharType="end"/>
            </w:r>
            <w:r>
              <w:fldChar w:fldCharType="separate"/>
            </w:r>
            <w:r>
              <w:t xml:space="preserve">[V16-3]</w:t>
            </w:r>
            <w:r>
              <w:fldChar w:fldCharType="end"/>
            </w:r>
            <w:r>
              <w:br/>
            </w:r>
            <w:hyperlink r:id="rId29">
              <w:r>
                <w:rPr>
                  <w:color w:val="0563C1"/>
                  <w:u w:val="single"/>
                </w:rPr>
                <w:t>Source</w:t>
              </w:r>
            </w:hyperlink>
            <w:r>
              <w:t xml:space="preserve"> · </w:t>
            </w:r>
            <w:hyperlink r:id="rId30">
              <w:r>
                <w:rPr>
                  <w:color w:val="0563C1"/>
                  <w:u w:val="single"/>
                </w:rPr>
                <w:t>PDF</w:t>
              </w:r>
            </w:hyperlink>
            <w:r>
              <w:br/>
            </w:r>
            <w:hyperlink r:id="rId31">
              <w:r>
                <w:rPr>
                  <w:color w:val="0563C1"/>
                  <w:u w:val="single"/>
                </w:rPr>
                <w:t>Source</w:t>
              </w:r>
            </w:hyperlink>
            <w:r>
              <w:t xml:space="preserve"> · </w:t>
            </w:r>
            <w:hyperlink r:id="rId32">
              <w:r>
                <w:rPr>
                  <w:color w:val="0563C1"/>
                  <w:u w:val="single"/>
                </w:rPr>
                <w:t>PDF</w:t>
              </w:r>
            </w:hyperlink>
            <w:r>
              <w:br/>
            </w:r>
            <w:hyperlink r:id="rId33">
              <w:r>
                <w:rPr>
                  <w:color w:val="0563C1"/>
                  <w:u w:val="single"/>
                </w:rPr>
                <w:t>Source</w:t>
              </w:r>
            </w:hyperlink>
            <w:r>
              <w:t xml:space="preserve"> · </w:t>
            </w:r>
            <w:hyperlink r:id="rId34">
              <w:r>
                <w:rPr>
                  <w:color w:val="0563C1"/>
                  <w:u w:val="single"/>
                </w:rPr>
                <w:t>PDF</w:t>
              </w:r>
            </w:hyperlink>
          </w:p>
        </w:tc>
      </w:tr>
      <w:tr>
        <w:trPr>
          <w:cantSplit/>
        </w:trPr>
        <w:tc>
          <w:tcPr>
            <w:tcW w:w="1900" w:type="dxa"/>
            <w:vAlign w:val="top"/>
            <w:shd w:fill="FFFFFF"/>
          </w:tcPr>
          <w:p>
            <w:pPr>
              <w:pStyle w:val="Normal"/>
              <w:widowControl/>
              <w:spacing w:after="55" w:line="240" w:lineRule="auto"/>
              <w:keepNext w:val="0"/>
              <w:keepLines/>
            </w:pPr>
            <w:r>
              <w:rPr>
                <w:sz w:val="21"/>
                <w:szCs w:val="21"/>
                <w:b/>
              </w:rPr>
              <w:t xml:space="preserve">Encorafenib cetuximab with fluorouracil chemotherapy</w:t>
            </w:r>
          </w:p>
          <w:p>
            <w:pPr>
              <w:pStyle w:val="Normal"/>
              <w:widowControl/>
              <w:spacing w:after="55" w:line="240" w:lineRule="auto"/>
              <w:keepNext w:val="0"/>
              <w:keepLines/>
            </w:pPr>
            <w:r>
              <w:rPr>
                <w:sz w:val="21"/>
                <w:szCs w:val="21"/>
              </w:rPr>
              <w:t xml:space="preserve">BRAF V600E first line</w:t>
            </w:r>
          </w:p>
        </w:tc>
        <w:tc>
          <w:tcPr>
            <w:tcW w:w="4000" w:type="dxa"/>
            <w:vAlign w:val="top"/>
            <w:shd w:fill="FFFFFF"/>
          </w:tcPr>
          <w:p>
            <w:pPr>
              <w:pStyle w:val="Normal"/>
              <w:widowControl/>
              <w:spacing w:after="55" w:line="240" w:lineRule="auto"/>
              <w:keepNext w:val="0"/>
              <w:keepLines/>
            </w:pPr>
            <w:r>
              <w:rPr>
                <w:sz w:val="21"/>
                <w:szCs w:val="21"/>
              </w:rPr>
              <w:t xml:space="preserve">Current US approval includes mFOLFOX6 or FOLFIRI combinations. Confirm BRAF V600E and MMR; an MSI-H tumor still requires the checkpoint-treatment discussion.</w:t>
            </w:r>
          </w:p>
        </w:tc>
        <w:tc>
          <w:tcPr>
            <w:tcW w:w="4180" w:type="dxa"/>
            <w:vAlign w:val="top"/>
            <w:shd w:fill="FFFFFF"/>
          </w:tcPr>
          <w:p>
            <w:pPr>
              <w:pStyle w:val="Normal"/>
              <w:widowControl/>
              <w:spacing w:after="55" w:line="240" w:lineRule="auto"/>
              <w:keepNext w:val="0"/>
              <w:keepLines/>
            </w:pPr>
            <w:r>
              <w:rPr>
                <w:sz w:val="21"/>
                <w:szCs w:val="21"/>
              </w:rPr>
              <w:t xml:space="preserve">BREAKWATER mFOLFOX6 comparison: PFS 12.8 versus 7.1 months and OS 30.3 versus 15.1 months. FOLFIRI evidence is a separate cohort; do not transfer those OS estimates to it.</w:t>
            </w:r>
          </w:p>
          <w:p>
            <w:pPr>
              <w:pStyle w:val="Normal"/>
              <w:widowControl/>
              <w:spacing w:after="120"/>
              <w:keepNext w:val="0"/>
            </w:pPr>
            <w:r>
              <w:t xml:space="preserve"/>
            </w:r>
            <w:r>
              <w:t xml:space="preserve"> </w:t>
            </w:r>
            <w:r>
              <w:t xml:space="preserve"> </w:t>
            </w:r>
            <w:r>
              <w:fldChar w:fldCharType="begin"/>
            </w:r>
            <w:r>
              <w:instrText xml:space="preserve"> ADDIN EN.CITE </w:instrText>
            </w:r>
            <w:r>
              <w:fldChar w:fldCharType="begin">
                <w:fldData>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</w:fldData>
              </w:fldChar>
            </w:r>
            <w:r>
              <w:instrText xml:space="preserve"> ADDIN EN.CITE.DATA </w:instrText>
            </w:r>
            <w:r>
              <w:fldChar w:fldCharType="end"/>
            </w:r>
            <w:r>
              <w:fldChar w:fldCharType="separate"/>
            </w:r>
            <w:r>
              <w:t xml:space="preserve">[V16-9]</w:t>
            </w:r>
            <w:r>
              <w:fldChar w:fldCharType="end"/>
            </w:r>
            <w:r>
              <w:t xml:space="preserve"> </w:t>
            </w:r>
            <w:r>
              <w:t xml:space="preserve"> </w:t>
            </w:r>
            <w:r>
              <w:fldChar w:fldCharType="begin"/>
            </w:r>
            <w:r>
              <w:instrText xml:space="preserve"> ADDIN EN.CITE </w:instrText>
            </w:r>
            <w:r>
              <w:fldChar w:fldCharType="begin">
                <w:fldData>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</w:fldData>
              </w:fldChar>
            </w:r>
            <w:r>
              <w:instrText xml:space="preserve"> ADDIN EN.CITE.DATA </w:instrText>
            </w:r>
            <w:r>
              <w:fldChar w:fldCharType="end"/>
            </w:r>
            <w:r>
              <w:fldChar w:fldCharType="separate"/>
            </w:r>
            <w:r>
              <w:t xml:space="preserve">[V16-10]</w:t>
            </w:r>
            <w:r>
              <w:fldChar w:fldCharType="end"/>
            </w:r>
            <w:r>
              <w:t xml:space="preserve"> </w:t>
            </w:r>
            <w:r>
              <w:t xml:space="preserve"> </w:t>
            </w:r>
            <w:r>
              <w:fldChar w:fldCharType="begin"/>
            </w:r>
            <w:r>
              <w:instrText xml:space="preserve"> ADDIN EN.CITE </w:instrText>
            </w:r>
            <w:r>
              <w:fldChar w:fldCharType="begin">
                <w:fldData>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</w:fldData>
              </w:fldChar>
            </w:r>
            <w:r>
              <w:instrText xml:space="preserve"> ADDIN EN.CITE.DATA </w:instrText>
            </w:r>
            <w:r>
              <w:fldChar w:fldCharType="end"/>
            </w:r>
            <w:r>
              <w:fldChar w:fldCharType="separate"/>
            </w:r>
            <w:r>
              <w:t xml:space="preserve">[V16-3]</w:t>
            </w:r>
            <w:r>
              <w:fldChar w:fldCharType="end"/>
            </w:r>
            <w:r>
              <w:br/>
            </w:r>
            <w:hyperlink r:id="rId35">
              <w:r>
                <w:rPr>
                  <w:color w:val="0563C1"/>
                  <w:u w:val="single"/>
                </w:rPr>
                <w:t>Source</w:t>
              </w:r>
            </w:hyperlink>
            <w:r>
              <w:t xml:space="preserve"> · </w:t>
            </w:r>
            <w:hyperlink r:id="rId36">
              <w:r>
                <w:rPr>
                  <w:color w:val="0563C1"/>
                  <w:u w:val="single"/>
                </w:rPr>
                <w:t>PDF</w:t>
              </w:r>
            </w:hyperlink>
            <w:r>
              <w:br/>
            </w:r>
            <w:hyperlink r:id="rId37">
              <w:r>
                <w:rPr>
                  <w:color w:val="0563C1"/>
                  <w:u w:val="single"/>
                </w:rPr>
                <w:t>Source</w:t>
              </w:r>
            </w:hyperlink>
            <w:r>
              <w:t xml:space="preserve"> · </w:t>
            </w:r>
            <w:r>
              <w:t xml:space="preserve">full PDF pending</w:t>
            </w:r>
            <w:r>
              <w:br/>
            </w:r>
            <w:hyperlink r:id="rId38">
              <w:r>
                <w:rPr>
                  <w:color w:val="0563C1"/>
                  <w:u w:val="single"/>
                </w:rPr>
                <w:t>Source</w:t>
              </w:r>
            </w:hyperlink>
            <w:r>
              <w:t xml:space="preserve"> · </w:t>
            </w:r>
            <w:hyperlink r:id="rId39">
              <w:r>
                <w:rPr>
                  <w:color w:val="0563C1"/>
                  <w:u w:val="single"/>
                </w:rPr>
                <w:t>PDF</w:t>
              </w:r>
            </w:hyperlink>
          </w:p>
        </w:tc>
      </w:tr>
      <w:tr>
        <w:trPr>
          <w:cantSplit/>
        </w:trPr>
        <w:tc>
          <w:tcPr>
            <w:tcW w:w="1900" w:type="dxa"/>
            <w:vAlign w:val="top"/>
            <w:shd w:fill="F1F5F8"/>
          </w:tcPr>
          <w:p>
            <w:pPr>
              <w:pStyle w:val="Normal"/>
              <w:widowControl/>
              <w:spacing w:after="55" w:line="240" w:lineRule="auto"/>
              <w:keepNext w:val="0"/>
              <w:keepLines/>
            </w:pPr>
            <w:r>
              <w:rPr>
                <w:sz w:val="21"/>
                <w:szCs w:val="21"/>
                <w:b/>
              </w:rPr>
              <w:t xml:space="preserve">Maintenance or monitored treatment break</w:t>
            </w:r>
          </w:p>
        </w:tc>
        <w:tc>
          <w:tcPr>
            <w:tcW w:w="4000" w:type="dxa"/>
            <w:vAlign w:val="top"/>
            <w:shd w:fill="F1F5F8"/>
          </w:tcPr>
          <w:p>
            <w:pPr>
              <w:pStyle w:val="Normal"/>
              <w:widowControl/>
              <w:spacing w:after="55" w:line="240" w:lineRule="auto"/>
              <w:keepNext w:val="0"/>
              <w:keepLines/>
            </w:pPr>
            <w:r>
              <w:rPr>
                <w:sz w:val="21"/>
                <w:szCs w:val="21"/>
              </w:rPr>
              <w:t xml:space="preserve">After induction disease control, consider a fluoropyrimidine with the appropriate biologic, or a selected monitored break. Record the trigger for reintroduction and the next scan.</w:t>
            </w:r>
          </w:p>
        </w:tc>
        <w:tc>
          <w:tcPr>
            <w:tcW w:w="4180" w:type="dxa"/>
            <w:vAlign w:val="top"/>
            <w:shd w:fill="F1F5F8"/>
          </w:tcPr>
          <w:p>
            <w:pPr>
              <w:pStyle w:val="Normal"/>
              <w:widowControl/>
              <w:spacing w:after="55" w:line="240" w:lineRule="auto"/>
              <w:keepNext w:val="0"/>
              <w:keepLines/>
            </w:pPr>
            <w:r>
              <w:rPr>
                <w:sz w:val="21"/>
                <w:szCs w:val="21"/>
              </w:rPr>
              <w:t xml:space="preserve">De-escalation may limit cumulative neuropathy and fatigue. A maintenance strategy is not failure; active conversion intent requires repeated surgical review instead of indefinite chemotherapy.</w:t>
            </w:r>
          </w:p>
          <w:p>
            <w:pPr>
              <w:pStyle w:val="Normal"/>
              <w:widowControl/>
              <w:spacing w:after="120"/>
              <w:keepNext w:val="0"/>
            </w:pPr>
            <w:r>
              <w:t xml:space="preserve"/>
            </w:r>
            <w:r>
              <w:t xml:space="preserve"> </w:t>
            </w:r>
            <w:r>
              <w:t xml:space="preserve"> </w:t>
            </w:r>
            <w:r>
              <w:fldChar w:fldCharType="begin"/>
            </w:r>
            <w:r>
              <w:instrText xml:space="preserve"> ADDIN EN.CITE </w:instrText>
            </w:r>
            <w:r>
              <w:fldChar w:fldCharType="begin">
                <w:fldData>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</w:fldData>
              </w:fldChar>
            </w:r>
            <w:r>
              <w:instrText xml:space="preserve"> ADDIN EN.CITE.DATA </w:instrText>
            </w:r>
            <w:r>
              <w:fldChar w:fldCharType="end"/>
            </w:r>
            <w:r>
              <w:fldChar w:fldCharType="separate"/>
            </w:r>
            <w:r>
              <w:t xml:space="preserve">[V16-3]</w:t>
            </w:r>
            <w:r>
              <w:fldChar w:fldCharType="end"/>
            </w:r>
            <w:r>
              <w:br/>
            </w:r>
            <w:hyperlink r:id="rId40">
              <w:r>
                <w:rPr>
                  <w:color w:val="0563C1"/>
                  <w:u w:val="single"/>
                </w:rPr>
                <w:t>Source</w:t>
              </w:r>
            </w:hyperlink>
            <w:r>
              <w:t xml:space="preserve"> · </w:t>
            </w:r>
            <w:hyperlink r:id="rId41">
              <w:r>
                <w:rPr>
                  <w:color w:val="0563C1"/>
                  <w:u w:val="single"/>
                </w:rPr>
                <w:t>PDF</w:t>
              </w:r>
            </w:hyperlink>
          </w:p>
        </w:tc>
      </w:tr>
      <w:tr>
        <w:trPr>
          <w:cantSplit/>
        </w:trPr>
        <w:tc>
          <w:tcPr>
            <w:tcW w:w="1900" w:type="dxa"/>
            <w:vAlign w:val="top"/>
            <w:shd w:fill="FFFFFF"/>
          </w:tcPr>
          <w:p>
            <w:pPr>
              <w:pStyle w:val="Normal"/>
              <w:widowControl/>
              <w:spacing w:after="55" w:line="240" w:lineRule="auto"/>
              <w:keepNext w:val="0"/>
              <w:keepLines/>
            </w:pPr>
            <w:r>
              <w:rPr>
                <w:sz w:val="21"/>
                <w:szCs w:val="21"/>
                <w:b/>
              </w:rPr>
              <w:t xml:space="preserve">Switch chemotherapy backbone with an appropriate biologic</w:t>
            </w:r>
          </w:p>
          <w:p>
            <w:pPr>
              <w:pStyle w:val="Normal"/>
              <w:widowControl/>
              <w:spacing w:after="55" w:line="240" w:lineRule="auto"/>
              <w:keepNext w:val="0"/>
              <w:keepLines/>
            </w:pPr>
            <w:r>
              <w:rPr>
                <w:sz w:val="21"/>
                <w:szCs w:val="21"/>
              </w:rPr>
              <w:t xml:space="preserve">Second line</w:t>
            </w:r>
          </w:p>
        </w:tc>
        <w:tc>
          <w:tcPr>
            <w:tcW w:w="4000" w:type="dxa"/>
            <w:vAlign w:val="top"/>
            <w:shd w:fill="FFFFFF"/>
          </w:tcPr>
          <w:p>
            <w:pPr>
              <w:pStyle w:val="Normal"/>
              <w:widowControl/>
              <w:spacing w:after="55" w:line="240" w:lineRule="auto"/>
              <w:keepNext w:val="0"/>
              <w:keepLines/>
            </w:pPr>
            <w:r>
              <w:rPr>
                <w:sz w:val="21"/>
                <w:szCs w:val="21"/>
              </w:rPr>
              <w:t xml:space="preserve">After oxaliplatin use an irinotecan backbone, or vice versa, according to prior response and toxicity. Options include bevacizumab, aflibercept or ramucirumab in their indicated settings; unused anti-EGFR for suitable RAS/BRAF wild-type disease.</w:t>
            </w:r>
          </w:p>
        </w:tc>
        <w:tc>
          <w:tcPr>
            <w:tcW w:w="4180" w:type="dxa"/>
            <w:vAlign w:val="top"/>
            <w:shd w:fill="FFFFFF"/>
          </w:tcPr>
          <w:p>
            <w:pPr>
              <w:pStyle w:val="Normal"/>
              <w:widowControl/>
              <w:spacing w:after="55" w:line="240" w:lineRule="auto"/>
              <w:keepNext w:val="0"/>
              <w:keepLines/>
            </w:pPr>
            <w:r>
              <w:rPr>
                <w:sz w:val="21"/>
                <w:szCs w:val="21"/>
              </w:rPr>
              <w:t xml:space="preserve">Sequence by prior exposure and molecular findings. Anti-EGFR rechallenge requires specialist selection and usually ctDNA reassessment; do not treat persistent RAS resistance as eligible.</w:t>
            </w:r>
          </w:p>
          <w:p>
            <w:pPr>
              <w:pStyle w:val="Normal"/>
              <w:widowControl/>
              <w:spacing w:after="120"/>
              <w:keepNext w:val="0"/>
            </w:pPr>
            <w:r>
              <w:t xml:space="preserve"/>
            </w:r>
            <w:r>
              <w:t xml:space="preserve"> </w:t>
            </w:r>
            <w:r>
              <w:t xml:space="preserve"> </w:t>
            </w:r>
            <w:r>
              <w:fldChar w:fldCharType="begin"/>
            </w:r>
            <w:r>
              <w:instrText xml:space="preserve"> ADDIN EN.CITE </w:instrText>
            </w:r>
            <w:r>
              <w:fldChar w:fldCharType="begin">
                <w:fldData>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</w:fldData>
              </w:fldChar>
            </w:r>
            <w:r>
              <w:instrText xml:space="preserve"> ADDIN EN.CITE.DATA </w:instrText>
            </w:r>
            <w:r>
              <w:fldChar w:fldCharType="end"/>
            </w:r>
            <w:r>
              <w:fldChar w:fldCharType="separate"/>
            </w:r>
            <w:r>
              <w:t xml:space="preserve">[V16-3]</w:t>
            </w:r>
            <w:r>
              <w:fldChar w:fldCharType="end"/>
            </w:r>
            <w:r>
              <w:br/>
            </w:r>
            <w:hyperlink r:id="rId42">
              <w:r>
                <w:rPr>
                  <w:color w:val="0563C1"/>
                  <w:u w:val="single"/>
                </w:rPr>
                <w:t>Source</w:t>
              </w:r>
            </w:hyperlink>
            <w:r>
              <w:t xml:space="preserve"> · </w:t>
            </w:r>
            <w:hyperlink r:id="rId43">
              <w:r>
                <w:rPr>
                  <w:color w:val="0563C1"/>
                  <w:u w:val="single"/>
                </w:rPr>
                <w:t>PDF</w:t>
              </w:r>
            </w:hyperlink>
          </w:p>
        </w:tc>
      </w:tr>
      <w:tr>
        <w:trPr>
          <w:cantSplit/>
        </w:trPr>
        <w:tc>
          <w:tcPr>
            <w:tcW w:w="1900" w:type="dxa"/>
            <w:vAlign w:val="top"/>
            <w:shd w:fill="F1F5F8"/>
          </w:tcPr>
          <w:p>
            <w:pPr>
              <w:pStyle w:val="Normal"/>
              <w:widowControl/>
              <w:spacing w:after="55" w:line="240" w:lineRule="auto"/>
              <w:keepNext w:val="0"/>
              <w:keepLines/>
            </w:pPr>
            <w:r>
              <w:rPr>
                <w:sz w:val="21"/>
                <w:szCs w:val="21"/>
                <w:b/>
              </w:rPr>
              <w:t xml:space="preserve">Encorafenib cetuximab</w:t>
            </w:r>
          </w:p>
          <w:p>
            <w:pPr>
              <w:pStyle w:val="Normal"/>
              <w:widowControl/>
              <w:spacing w:after="55" w:line="240" w:lineRule="auto"/>
              <w:keepNext w:val="0"/>
              <w:keepLines/>
            </w:pPr>
            <w:r>
              <w:rPr>
                <w:sz w:val="21"/>
                <w:szCs w:val="21"/>
              </w:rPr>
              <w:t xml:space="preserve">Previously treated BRAF V600E</w:t>
            </w:r>
          </w:p>
        </w:tc>
        <w:tc>
          <w:tcPr>
            <w:tcW w:w="4000" w:type="dxa"/>
            <w:vAlign w:val="top"/>
            <w:shd w:fill="F1F5F8"/>
          </w:tcPr>
          <w:p>
            <w:pPr>
              <w:pStyle w:val="Normal"/>
              <w:widowControl/>
              <w:spacing w:after="55" w:line="240" w:lineRule="auto"/>
              <w:keepNext w:val="0"/>
              <w:keepLines/>
            </w:pPr>
            <w:r>
              <w:rPr>
                <w:sz w:val="21"/>
                <w:szCs w:val="21"/>
              </w:rPr>
              <w:t xml:space="preserve">An established later-line option if not already used. Progression on first-line encorafenib-cetuximab-chemotherapy is not evidence that removing chemotherapy restores sensitivity.</w:t>
            </w:r>
          </w:p>
        </w:tc>
        <w:tc>
          <w:tcPr>
            <w:tcW w:w="4180" w:type="dxa"/>
            <w:vAlign w:val="top"/>
            <w:shd w:fill="F1F5F8"/>
          </w:tcPr>
          <w:p>
            <w:pPr>
              <w:pStyle w:val="Normal"/>
              <w:widowControl/>
              <w:spacing w:after="55" w:line="240" w:lineRule="auto"/>
              <w:keepNext w:val="0"/>
              <w:keepLines/>
            </w:pPr>
            <w:r>
              <w:rPr>
                <w:sz w:val="21"/>
                <w:szCs w:val="21"/>
              </w:rPr>
              <w:t xml:space="preserve">BRAF-directed and EGFR-directed combination is disease-specific. Dabrafenib-trametinib tumor-agnostic use does not substitute for the CRC regimen.</w:t>
            </w:r>
          </w:p>
          <w:p>
            <w:pPr>
              <w:pStyle w:val="Normal"/>
              <w:widowControl/>
              <w:spacing w:after="120"/>
              <w:keepNext w:val="0"/>
            </w:pPr>
            <w:r>
              <w:t xml:space="preserve"/>
            </w:r>
            <w:r>
              <w:t xml:space="preserve"> </w:t>
            </w:r>
            <w:r>
              <w:t xml:space="preserve"> </w:t>
            </w:r>
            <w:r>
              <w:fldChar w:fldCharType="begin"/>
            </w:r>
            <w:r>
              <w:instrText xml:space="preserve"> ADDIN EN.CITE </w:instrText>
            </w:r>
            <w:r>
              <w:fldChar w:fldCharType="begin">
                <w:fldData>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</w:fldData>
              </w:fldChar>
            </w:r>
            <w:r>
              <w:instrText xml:space="preserve"> ADDIN EN.CITE.DATA </w:instrText>
            </w:r>
            <w:r>
              <w:fldChar w:fldCharType="end"/>
            </w:r>
            <w:r>
              <w:fldChar w:fldCharType="separate"/>
            </w:r>
            <w:r>
              <w:t xml:space="preserve">[V16-3]</w:t>
            </w:r>
            <w:r>
              <w:fldChar w:fldCharType="end"/>
            </w:r>
            <w:r>
              <w:t xml:space="preserve"> </w:t>
            </w:r>
            <w:r>
              <w:t xml:space="preserve"> </w:t>
            </w:r>
            <w:r>
              <w:fldChar w:fldCharType="begin"/>
            </w:r>
            <w:r>
              <w:instrText xml:space="preserve"> ADDIN EN.CITE </w:instrText>
            </w:r>
            <w:r>
              <w:fldChar w:fldCharType="begin">
                <w:fldData>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</w:fldData>
              </w:fldChar>
            </w:r>
            <w:r>
              <w:instrText xml:space="preserve"> ADDIN EN.CITE.DATA </w:instrText>
            </w:r>
            <w:r>
              <w:fldChar w:fldCharType="end"/>
            </w:r>
            <w:r>
              <w:fldChar w:fldCharType="separate"/>
            </w:r>
            <w:r>
              <w:t xml:space="preserve">[V16-10]</w:t>
            </w:r>
            <w:r>
              <w:fldChar w:fldCharType="end"/>
            </w:r>
            <w:r>
              <w:br/>
            </w:r>
            <w:hyperlink r:id="rId44">
              <w:r>
                <w:rPr>
                  <w:color w:val="0563C1"/>
                  <w:u w:val="single"/>
                </w:rPr>
                <w:t>Source</w:t>
              </w:r>
            </w:hyperlink>
            <w:r>
              <w:t xml:space="preserve"> · </w:t>
            </w:r>
            <w:hyperlink r:id="rId45">
              <w:r>
                <w:rPr>
                  <w:color w:val="0563C1"/>
                  <w:u w:val="single"/>
                </w:rPr>
                <w:t>PDF</w:t>
              </w:r>
            </w:hyperlink>
            <w:r>
              <w:br/>
            </w:r>
            <w:hyperlink r:id="rId46">
              <w:r>
                <w:rPr>
                  <w:color w:val="0563C1"/>
                  <w:u w:val="single"/>
                </w:rPr>
                <w:t>Source</w:t>
              </w:r>
            </w:hyperlink>
            <w:r>
              <w:t xml:space="preserve"> · </w:t>
            </w:r>
            <w:r>
              <w:t xml:space="preserve">full PDF pending</w:t>
            </w:r>
          </w:p>
        </w:tc>
      </w:tr>
      <w:tr>
        <w:trPr>
          <w:cantSplit/>
        </w:trPr>
        <w:tc>
          <w:tcPr>
            <w:tcW w:w="1900" w:type="dxa"/>
            <w:vAlign w:val="top"/>
            <w:shd w:fill="FFFFFF"/>
          </w:tcPr>
          <w:p>
            <w:pPr>
              <w:pStyle w:val="Normal"/>
              <w:widowControl/>
              <w:spacing w:after="55" w:line="240" w:lineRule="auto"/>
              <w:keepNext w:val="0"/>
              <w:keepLines/>
            </w:pPr>
            <w:r>
              <w:rPr>
                <w:sz w:val="21"/>
                <w:szCs w:val="21"/>
                <w:b/>
              </w:rPr>
              <w:t xml:space="preserve">Tucatinib trastuzumab</w:t>
            </w:r>
          </w:p>
          <w:p>
            <w:pPr>
              <w:pStyle w:val="Normal"/>
              <w:widowControl/>
              <w:spacing w:after="55" w:line="240" w:lineRule="auto"/>
              <w:keepNext w:val="0"/>
              <w:keepLines/>
            </w:pPr>
            <w:r>
              <w:rPr>
                <w:sz w:val="21"/>
                <w:szCs w:val="21"/>
              </w:rPr>
              <w:t xml:space="preserve">HER2 positive RAS wild type</w:t>
            </w:r>
          </w:p>
        </w:tc>
        <w:tc>
          <w:tcPr>
            <w:tcW w:w="4000" w:type="dxa"/>
            <w:vAlign w:val="top"/>
            <w:shd w:fill="FFFFFF"/>
          </w:tcPr>
          <w:p>
            <w:pPr>
              <w:pStyle w:val="Normal"/>
              <w:widowControl/>
              <w:spacing w:after="55" w:line="240" w:lineRule="auto"/>
              <w:keepNext w:val="0"/>
              <w:keepLines/>
            </w:pPr>
            <w:r>
              <w:rPr>
                <w:sz w:val="21"/>
                <w:szCs w:val="21"/>
              </w:rPr>
              <w:t xml:space="preserve">After fluoropyrimidine, oxaliplatin and irinotecan in eligible unresectable/metastatic CRC. Assess cardiac function, liver tests and drug interactions.</w:t>
            </w:r>
          </w:p>
          <w:p>
            <w:pPr>
              <w:pStyle w:val="Normal"/>
              <w:widowControl/>
              <w:spacing w:after="55" w:line="240" w:lineRule="auto"/>
              <w:keepNext w:val="0"/>
              <w:keepLines/>
            </w:pPr>
            <w:r>
              <w:rPr>
                <w:sz w:val="21"/>
                <w:szCs w:val="21"/>
              </w:rPr>
              <w:t xml:space="preserve">Use local validated HER2 IHC3+, IHC2+/ISH+, or qualifying tissue amplification with RAS wild type and prior-treatment review. A negative plasma result may require tissue testing. Response can prompt HPB reassessment but does not establish persistent unresectability or transplant benefit.</w:t>
            </w:r>
          </w:p>
        </w:tc>
        <w:tc>
          <w:tcPr>
            <w:tcW w:w="4180" w:type="dxa"/>
            <w:vAlign w:val="top"/>
            <w:shd w:fill="FFFFFF"/>
          </w:tcPr>
          <w:p>
            <w:pPr>
              <w:pStyle w:val="Normal"/>
              <w:widowControl/>
              <w:spacing w:after="55" w:line="240" w:lineRule="auto"/>
              <w:keepNext w:val="0"/>
              <w:keepLines/>
            </w:pPr>
            <w:r>
              <w:rPr>
                <w:sz w:val="21"/>
                <w:szCs w:val="21"/>
              </w:rPr>
              <w:t xml:space="preserve">Tucatinib plus trastuzumab: confirmed ORR 39.3% (28.8–50.5), median response duration 15.2 months, PFS 8.1 months, OS 23.9 months. Grade 3 and 4 events 33.7% and 7.0%; 5.8% discontinued for adverse events. No randomized combination comparator or proven best sequence after other HER2 drugs. Do not rank its median OS against unrelated later-line trials. Exploratory HER2 copy-number thresholds are not mandatory selection cutoffs.</w:t>
            </w:r>
          </w:p>
          <w:p>
            <w:pPr>
              <w:pStyle w:val="Normal"/>
              <w:widowControl/>
              <w:spacing w:after="120"/>
              <w:keepNext w:val="0"/>
            </w:pPr>
            <w:r>
              <w:t xml:space="preserve"/>
            </w:r>
            <w:r>
              <w:t xml:space="preserve"> </w:t>
            </w:r>
            <w:r>
              <w:t xml:space="preserve"> </w:t>
            </w:r>
            <w:r>
              <w:fldChar w:fldCharType="begin"/>
            </w:r>
            <w:r>
              <w:instrText xml:space="preserve"> ADDIN EN.CITE </w:instrText>
            </w:r>
            <w:r>
              <w:fldChar w:fldCharType="begin">
                <w:fldData>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</w:fldData>
              </w:fldChar>
            </w:r>
            <w:r>
              <w:instrText xml:space="preserve"> ADDIN EN.CITE.DATA </w:instrText>
            </w:r>
            <w:r>
              <w:fldChar w:fldCharType="end"/>
            </w:r>
            <w:r>
              <w:fldChar w:fldCharType="separate"/>
            </w:r>
            <w:r>
              <w:t xml:space="preserve">[V16-11]</w:t>
            </w:r>
            <w:r>
              <w:fldChar w:fldCharType="end"/>
            </w:r>
            <w:r>
              <w:t xml:space="preserve"> </w:t>
            </w:r>
            <w:r>
              <w:t xml:space="preserve"> </w:t>
            </w:r>
            <w:r>
              <w:fldChar w:fldCharType="begin"/>
            </w:r>
            <w:r>
              <w:instrText xml:space="preserve"> ADDIN EN.CITE </w:instrText>
            </w:r>
            <w:r>
              <w:fldChar w:fldCharType="begin">
                <w:fldData>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</w:fldData>
              </w:fldChar>
            </w:r>
            <w:r>
              <w:instrText xml:space="preserve"> ADDIN EN.CITE.DATA </w:instrText>
            </w:r>
            <w:r>
              <w:fldChar w:fldCharType="end"/>
            </w:r>
            <w:r>
              <w:fldChar w:fldCharType="separate"/>
            </w:r>
            <w:r>
              <w:t xml:space="preserve">[V16-3]</w:t>
            </w:r>
            <w:r>
              <w:fldChar w:fldCharType="end"/>
            </w:r>
            <w:r>
              <w:br/>
            </w:r>
            <w:hyperlink r:id="rId47">
              <w:r>
                <w:rPr>
                  <w:color w:val="0563C1"/>
                  <w:u w:val="single"/>
                </w:rPr>
                <w:t>Source</w:t>
              </w:r>
            </w:hyperlink>
            <w:r>
              <w:t xml:space="preserve"> · </w:t>
            </w:r>
            <w:hyperlink r:id="rId48">
              <w:r>
                <w:rPr>
                  <w:color w:val="0563C1"/>
                  <w:u w:val="single"/>
                </w:rPr>
                <w:t>PDF</w:t>
              </w:r>
            </w:hyperlink>
            <w:r>
              <w:br/>
            </w:r>
            <w:hyperlink r:id="rId49">
              <w:r>
                <w:rPr>
                  <w:color w:val="0563C1"/>
                  <w:u w:val="single"/>
                </w:rPr>
                <w:t>Source</w:t>
              </w:r>
            </w:hyperlink>
            <w:r>
              <w:t xml:space="preserve"> · </w:t>
            </w:r>
            <w:hyperlink r:id="rId50">
              <w:r>
                <w:rPr>
                  <w:color w:val="0563C1"/>
                  <w:u w:val="single"/>
                </w:rPr>
                <w:t>PDF</w:t>
              </w:r>
            </w:hyperlink>
          </w:p>
        </w:tc>
      </w:tr>
      <w:tr>
        <w:trPr>
          <w:cantSplit/>
        </w:trPr>
        <w:tc>
          <w:tcPr>
            <w:tcW w:w="1900" w:type="dxa"/>
            <w:vAlign w:val="top"/>
            <w:shd w:fill="F1F5F8"/>
          </w:tcPr>
          <w:p>
            <w:pPr>
              <w:pStyle w:val="Normal"/>
              <w:widowControl/>
              <w:spacing w:after="55" w:line="240" w:lineRule="auto"/>
              <w:keepNext w:val="0"/>
              <w:keepLines/>
            </w:pPr>
            <w:r>
              <w:rPr>
                <w:sz w:val="21"/>
                <w:szCs w:val="21"/>
                <w:b/>
              </w:rPr>
              <w:t xml:space="preserve">Sotorasib panitumumab or adagrasib cetuximab</w:t>
            </w:r>
          </w:p>
          <w:p>
            <w:pPr>
              <w:pStyle w:val="Normal"/>
              <w:widowControl/>
              <w:spacing w:after="55" w:line="240" w:lineRule="auto"/>
              <w:keepNext w:val="0"/>
              <w:keepLines/>
            </w:pPr>
            <w:r>
              <w:rPr>
                <w:sz w:val="21"/>
                <w:szCs w:val="21"/>
              </w:rPr>
              <w:t xml:space="preserve">KRAS G12C</w:t>
            </w:r>
          </w:p>
        </w:tc>
        <w:tc>
          <w:tcPr>
            <w:tcW w:w="4000" w:type="dxa"/>
            <w:vAlign w:val="top"/>
            <w:shd w:fill="F1F5F8"/>
          </w:tcPr>
          <w:p>
            <w:pPr>
              <w:pStyle w:val="Normal"/>
              <w:widowControl/>
              <w:spacing w:after="55" w:line="240" w:lineRule="auto"/>
              <w:keepNext w:val="0"/>
              <w:keepLines/>
            </w:pPr>
            <w:r>
              <w:rPr>
                <w:sz w:val="21"/>
                <w:szCs w:val="21"/>
              </w:rPr>
              <w:t xml:space="preserve">After the required fluoropyrimidine, oxaliplatin and irinotecan exposure. Confirm G12C, not another KRAS variant. Use the specific supported pairing; monitor skin, GI, electrolyte and liver toxicity.</w:t>
            </w:r>
          </w:p>
        </w:tc>
        <w:tc>
          <w:tcPr>
            <w:tcW w:w="4180" w:type="dxa"/>
            <w:vAlign w:val="top"/>
            <w:shd w:fill="F1F5F8"/>
          </w:tcPr>
          <w:p>
            <w:pPr>
              <w:pStyle w:val="Normal"/>
              <w:widowControl/>
              <w:spacing w:after="55" w:line="240" w:lineRule="auto"/>
              <w:keepNext w:val="0"/>
              <w:keepLines/>
            </w:pPr>
            <w:r>
              <w:rPr>
                <w:sz w:val="21"/>
                <w:szCs w:val="21"/>
              </w:rPr>
              <w:t xml:space="preserve">CodeBreaK 300 is randomized PFS evidence for sotorasib-panitumumab; adagrasib-cetuximab has separate single-arm evidence. The regimens are not a head-to-head comparison.</w:t>
            </w:r>
          </w:p>
          <w:p>
            <w:pPr>
              <w:pStyle w:val="Normal"/>
              <w:widowControl/>
              <w:spacing w:after="120"/>
              <w:keepNext w:val="0"/>
            </w:pPr>
            <w:r>
              <w:t xml:space="preserve"/>
            </w:r>
            <w:r>
              <w:t xml:space="preserve"> </w:t>
            </w:r>
            <w:r>
              <w:t xml:space="preserve"> </w:t>
            </w:r>
            <w:r>
              <w:fldChar w:fldCharType="begin"/>
            </w:r>
            <w:r>
              <w:instrText xml:space="preserve"> ADDIN EN.CITE </w:instrText>
            </w:r>
            <w:r>
              <w:fldChar w:fldCharType="begin">
                <w:fldData>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</w:fldData>
              </w:fldChar>
            </w:r>
            <w:r>
              <w:instrText xml:space="preserve"> ADDIN EN.CITE.DATA </w:instrText>
            </w:r>
            <w:r>
              <w:fldChar w:fldCharType="end"/>
            </w:r>
            <w:r>
              <w:fldChar w:fldCharType="separate"/>
            </w:r>
            <w:r>
              <w:t xml:space="preserve">[V16-12]</w:t>
            </w:r>
            <w:r>
              <w:fldChar w:fldCharType="end"/>
            </w:r>
            <w:r>
              <w:t xml:space="preserve"> </w:t>
            </w:r>
            <w:r>
              <w:t xml:space="preserve"> </w:t>
            </w:r>
            <w:r>
              <w:fldChar w:fldCharType="begin"/>
            </w:r>
            <w:r>
              <w:instrText xml:space="preserve"> ADDIN EN.CITE </w:instrText>
            </w:r>
            <w:r>
              <w:fldChar w:fldCharType="begin">
                <w:fldData>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</w:fldData>
              </w:fldChar>
            </w:r>
            <w:r>
              <w:instrText xml:space="preserve"> ADDIN EN.CITE.DATA </w:instrText>
            </w:r>
            <w:r>
              <w:fldChar w:fldCharType="end"/>
            </w:r>
            <w:r>
              <w:fldChar w:fldCharType="separate"/>
            </w:r>
            <w:r>
              <w:t xml:space="preserve">[V16-13]</w:t>
            </w:r>
            <w:r>
              <w:fldChar w:fldCharType="end"/>
            </w:r>
            <w:r>
              <w:t xml:space="preserve"> </w:t>
            </w:r>
            <w:r>
              <w:t xml:space="preserve"> </w:t>
            </w:r>
            <w:r>
              <w:fldChar w:fldCharType="begin"/>
            </w:r>
            <w:r>
              <w:instrText xml:space="preserve"> ADDIN EN.CITE </w:instrText>
            </w:r>
            <w:r>
              <w:fldChar w:fldCharType="begin">
                <w:fldData>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</w:fldData>
              </w:fldChar>
            </w:r>
            <w:r>
              <w:instrText xml:space="preserve"> ADDIN EN.CITE.DATA </w:instrText>
            </w:r>
            <w:r>
              <w:fldChar w:fldCharType="end"/>
            </w:r>
            <w:r>
              <w:fldChar w:fldCharType="separate"/>
            </w:r>
            <w:r>
              <w:t xml:space="preserve">[V16-3]</w:t>
            </w:r>
            <w:r>
              <w:fldChar w:fldCharType="end"/>
            </w:r>
            <w:r>
              <w:br/>
            </w:r>
            <w:hyperlink r:id="rId51">
              <w:r>
                <w:rPr>
                  <w:color w:val="0563C1"/>
                  <w:u w:val="single"/>
                </w:rPr>
                <w:t>Source</w:t>
              </w:r>
            </w:hyperlink>
            <w:r>
              <w:t xml:space="preserve"> · </w:t>
            </w:r>
            <w:hyperlink r:id="rId52">
              <w:r>
                <w:rPr>
                  <w:color w:val="0563C1"/>
                  <w:u w:val="single"/>
                </w:rPr>
                <w:t>PDF</w:t>
              </w:r>
            </w:hyperlink>
            <w:r>
              <w:br/>
            </w:r>
            <w:hyperlink r:id="rId53">
              <w:r>
                <w:rPr>
                  <w:color w:val="0563C1"/>
                  <w:u w:val="single"/>
                </w:rPr>
                <w:t>Source</w:t>
              </w:r>
            </w:hyperlink>
            <w:r>
              <w:t xml:space="preserve"> · </w:t>
            </w:r>
            <w:r>
              <w:t xml:space="preserve">full PDF pending</w:t>
            </w:r>
            <w:r>
              <w:br/>
            </w:r>
            <w:hyperlink r:id="rId54">
              <w:r>
                <w:rPr>
                  <w:color w:val="0563C1"/>
                  <w:u w:val="single"/>
                </w:rPr>
                <w:t>Source</w:t>
              </w:r>
            </w:hyperlink>
            <w:r>
              <w:t xml:space="preserve"> · </w:t>
            </w:r>
            <w:hyperlink r:id="rId55">
              <w:r>
                <w:rPr>
                  <w:color w:val="0563C1"/>
                  <w:u w:val="single"/>
                </w:rPr>
                <w:t>PDF</w:t>
              </w:r>
            </w:hyperlink>
          </w:p>
        </w:tc>
      </w:tr>
      <w:tr>
        <w:trPr>
          <w:cantSplit/>
        </w:trPr>
        <w:tc>
          <w:tcPr>
            <w:tcW w:w="1900" w:type="dxa"/>
            <w:vAlign w:val="top"/>
            <w:shd w:fill="FFFFFF"/>
          </w:tcPr>
          <w:p>
            <w:pPr>
              <w:pStyle w:val="Normal"/>
              <w:widowControl/>
              <w:spacing w:after="55" w:line="240" w:lineRule="auto"/>
              <w:keepNext w:val="0"/>
              <w:keepLines/>
            </w:pPr>
            <w:r>
              <w:rPr>
                <w:sz w:val="21"/>
                <w:szCs w:val="21"/>
                <w:b/>
              </w:rPr>
              <w:t xml:space="preserve">Trifluridine tipiracil plus bevacizumab</w:t>
            </w:r>
          </w:p>
          <w:p>
            <w:pPr>
              <w:pStyle w:val="Normal"/>
              <w:widowControl/>
              <w:spacing w:after="55" w:line="240" w:lineRule="auto"/>
              <w:keepNext w:val="0"/>
              <w:keepLines/>
            </w:pPr>
            <w:r>
              <w:rPr>
                <w:sz w:val="21"/>
                <w:szCs w:val="21"/>
              </w:rPr>
              <w:t xml:space="preserve">Refractory disease</w:t>
            </w:r>
          </w:p>
        </w:tc>
        <w:tc>
          <w:tcPr>
            <w:tcW w:w="4000" w:type="dxa"/>
            <w:vAlign w:val="top"/>
            <w:shd w:fill="FFFFFF"/>
          </w:tcPr>
          <w:p>
            <w:pPr>
              <w:pStyle w:val="Normal"/>
              <w:widowControl/>
              <w:spacing w:after="55" w:line="240" w:lineRule="auto"/>
              <w:keepNext w:val="0"/>
              <w:keepLines/>
            </w:pPr>
            <w:r>
              <w:rPr>
                <w:sz w:val="21"/>
                <w:szCs w:val="21"/>
              </w:rPr>
              <w:t xml:space="preserve">For an appropriate previously treated patient with marrow reserve and anti-VEGF eligibility. Monitor CBC, infection and fatigue; fluoropyrimidine-like naming does not mean identical dosing or toxicity.</w:t>
            </w:r>
          </w:p>
          <w:p>
            <w:pPr>
              <w:pStyle w:val="Normal"/>
              <w:widowControl/>
              <w:spacing w:after="55" w:line="240" w:lineRule="auto"/>
              <w:keepNext w:val="0"/>
              <w:keepLines/>
            </w:pPr>
            <w:r>
              <w:rPr>
                <w:sz w:val="21"/>
                <w:szCs w:val="21"/>
              </w:rPr>
              <w:t xml:space="preserve">Offer a later-line disease-control option when marrow reserve and anti-VEGF safety permit. Record bleeding, wound-healing and operative timing; do not translate disease control automatically into LT eligibility.</w:t>
            </w:r>
          </w:p>
        </w:tc>
        <w:tc>
          <w:tcPr>
            <w:tcW w:w="4180" w:type="dxa"/>
            <w:vAlign w:val="top"/>
            <w:shd w:fill="FFFFFF"/>
          </w:tcPr>
          <w:p>
            <w:pPr>
              <w:pStyle w:val="Normal"/>
              <w:widowControl/>
              <w:spacing w:after="55" w:line="240" w:lineRule="auto"/>
              <w:keepNext w:val="0"/>
              <w:keepLines/>
            </w:pPr>
            <w:r>
              <w:rPr>
                <w:sz w:val="21"/>
                <w:szCs w:val="21"/>
              </w:rPr>
              <w:t xml:space="preserve">OS 10.8 versus 7.5 months, HR 0.61 (0.49–0.77); PFS 5.6 versus 2.4 months, HR 0.44. ORR 6.1% versus 1.2%. Grade ≥3 events 72.4% versus 69.5%; neutropenia 43.1% versus 32.1%. Open-label; no head-to-head comparison with fruquintinib/regorafenib. Low response rate and an advanced refractory population: not a preferred curative conversion regimen or LT trial.</w:t>
            </w:r>
          </w:p>
          <w:p>
            <w:pPr>
              <w:pStyle w:val="Normal"/>
              <w:widowControl/>
              <w:spacing w:after="120"/>
              <w:keepNext w:val="0"/>
            </w:pPr>
            <w:r>
              <w:t xml:space="preserve"/>
            </w:r>
            <w:r>
              <w:t xml:space="preserve"> </w:t>
            </w:r>
            <w:r>
              <w:t xml:space="preserve"> </w:t>
            </w:r>
            <w:r>
              <w:fldChar w:fldCharType="begin"/>
            </w:r>
            <w:r>
              <w:instrText xml:space="preserve"> ADDIN EN.CITE </w:instrText>
            </w:r>
            <w:r>
              <w:fldChar w:fldCharType="begin">
                <w:fldData>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</w:fldData>
              </w:fldChar>
            </w:r>
            <w:r>
              <w:instrText xml:space="preserve"> ADDIN EN.CITE.DATA </w:instrText>
            </w:r>
            <w:r>
              <w:fldChar w:fldCharType="end"/>
            </w:r>
            <w:r>
              <w:fldChar w:fldCharType="separate"/>
            </w:r>
            <w:r>
              <w:t xml:space="preserve">[V16-14]</w:t>
            </w:r>
            <w:r>
              <w:fldChar w:fldCharType="end"/>
            </w:r>
            <w:r>
              <w:t xml:space="preserve"> </w:t>
            </w:r>
            <w:r>
              <w:t xml:space="preserve"> </w:t>
            </w:r>
            <w:r>
              <w:fldChar w:fldCharType="begin"/>
            </w:r>
            <w:r>
              <w:instrText xml:space="preserve"> ADDIN EN.CITE </w:instrText>
            </w:r>
            <w:r>
              <w:fldChar w:fldCharType="begin">
                <w:fldData>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</w:fldData>
              </w:fldChar>
            </w:r>
            <w:r>
              <w:instrText xml:space="preserve"> ADDIN EN.CITE.DATA </w:instrText>
            </w:r>
            <w:r>
              <w:fldChar w:fldCharType="end"/>
            </w:r>
            <w:r>
              <w:fldChar w:fldCharType="separate"/>
            </w:r>
            <w:r>
              <w:t xml:space="preserve">[V16-3]</w:t>
            </w:r>
            <w:r>
              <w:fldChar w:fldCharType="end"/>
            </w:r>
            <w:r>
              <w:br/>
            </w:r>
            <w:hyperlink r:id="rId56">
              <w:r>
                <w:rPr>
                  <w:color w:val="0563C1"/>
                  <w:u w:val="single"/>
                </w:rPr>
                <w:t>Source</w:t>
              </w:r>
            </w:hyperlink>
            <w:r>
              <w:t xml:space="preserve"> · </w:t>
            </w:r>
            <w:hyperlink r:id="rId57">
              <w:r>
                <w:rPr>
                  <w:color w:val="0563C1"/>
                  <w:u w:val="single"/>
                </w:rPr>
                <w:t>PDF</w:t>
              </w:r>
            </w:hyperlink>
            <w:r>
              <w:br/>
            </w:r>
            <w:hyperlink r:id="rId58">
              <w:r>
                <w:rPr>
                  <w:color w:val="0563C1"/>
                  <w:u w:val="single"/>
                </w:rPr>
                <w:t>Source</w:t>
              </w:r>
            </w:hyperlink>
            <w:r>
              <w:t xml:space="preserve"> · </w:t>
            </w:r>
            <w:hyperlink r:id="rId59">
              <w:r>
                <w:rPr>
                  <w:color w:val="0563C1"/>
                  <w:u w:val="single"/>
                </w:rPr>
                <w:t>PDF</w:t>
              </w:r>
            </w:hyperlink>
          </w:p>
        </w:tc>
      </w:tr>
      <w:tr>
        <w:trPr>
          <w:cantSplit/>
        </w:trPr>
        <w:tc>
          <w:tcPr>
            <w:tcW w:w="1900" w:type="dxa"/>
            <w:vAlign w:val="top"/>
            <w:shd w:fill="F1F5F8"/>
          </w:tcPr>
          <w:p>
            <w:pPr>
              <w:pStyle w:val="Normal"/>
              <w:widowControl/>
              <w:spacing w:after="55" w:line="240" w:lineRule="auto"/>
              <w:keepNext w:val="0"/>
              <w:keepLines/>
            </w:pPr>
            <w:r>
              <w:rPr>
                <w:sz w:val="21"/>
                <w:szCs w:val="21"/>
                <w:b/>
              </w:rPr>
              <w:t xml:space="preserve">Fruquintinib or regorafenib</w:t>
            </w:r>
          </w:p>
          <w:p>
            <w:pPr>
              <w:pStyle w:val="Normal"/>
              <w:widowControl/>
              <w:spacing w:after="55" w:line="240" w:lineRule="auto"/>
              <w:keepNext w:val="0"/>
              <w:keepLines/>
            </w:pPr>
            <w:r>
              <w:rPr>
                <w:sz w:val="21"/>
                <w:szCs w:val="21"/>
              </w:rPr>
              <w:t xml:space="preserve">Other refractory options</w:t>
            </w:r>
          </w:p>
        </w:tc>
        <w:tc>
          <w:tcPr>
            <w:tcW w:w="4000" w:type="dxa"/>
            <w:vAlign w:val="top"/>
            <w:shd w:fill="F1F5F8"/>
          </w:tcPr>
          <w:p>
            <w:pPr>
              <w:pStyle w:val="Normal"/>
              <w:widowControl/>
              <w:spacing w:after="55" w:line="240" w:lineRule="auto"/>
              <w:keepNext w:val="0"/>
              <w:keepLines/>
            </w:pPr>
            <w:r>
              <w:rPr>
                <w:sz w:val="21"/>
                <w:szCs w:val="21"/>
              </w:rPr>
              <w:t xml:space="preserve">Select after required prior therapies by fitness, blood pressure, hand-foot toxicity, interactions and goals. Prefer a relevant trial when available; supportive care is an active option.</w:t>
            </w:r>
          </w:p>
          <w:p>
            <w:pPr>
              <w:pStyle w:val="Normal"/>
              <w:widowControl/>
              <w:spacing w:after="55" w:line="240" w:lineRule="auto"/>
              <w:keepNext w:val="0"/>
              <w:keepLines/>
            </w:pPr>
            <w:r>
              <w:rPr>
                <w:sz w:val="21"/>
                <w:szCs w:val="21"/>
              </w:rPr>
              <w:t xml:space="preserve">Retain a later-line option with BP, proteinuria, hand–foot, bleeding/perforation and operative safety assessment. Not an evidence-based curative conversion strategy or new transplant-selection route.</w:t>
            </w:r>
          </w:p>
        </w:tc>
        <w:tc>
          <w:tcPr>
            <w:tcW w:w="4180" w:type="dxa"/>
            <w:vAlign w:val="top"/>
            <w:shd w:fill="F1F5F8"/>
          </w:tcPr>
          <w:p>
            <w:pPr>
              <w:pStyle w:val="Normal"/>
              <w:widowControl/>
              <w:spacing w:after="55" w:line="240" w:lineRule="auto"/>
              <w:keepNext w:val="0"/>
              <w:keepLines/>
            </w:pPr>
            <w:r>
              <w:rPr>
                <w:sz w:val="21"/>
                <w:szCs w:val="21"/>
              </w:rPr>
              <w:t xml:space="preserve">Fruquintinib versus placebo plus supportive care: OS 7.4 versus 4.8 months, HR 0.66 (0.55–0.80); PFS 3.7 versus 1.8, HR 0.32. Seven partial responses among 461; no complete response. Grade ≥3 events 63% versus 50%. Very late-line population, no direct comparison with SUNLIGHT. Grade ≥3 hypertension 14%, asthenia 8%, hand–foot syndrome 6%; one treatment-related intestinal-perforation death.</w:t>
            </w:r>
          </w:p>
          <w:p>
            <w:pPr>
              <w:pStyle w:val="Normal"/>
              <w:widowControl/>
              <w:spacing w:after="120"/>
              <w:keepNext w:val="0"/>
            </w:pPr>
            <w:r>
              <w:t xml:space="preserve"/>
            </w:r>
            <w:r>
              <w:t xml:space="preserve"> </w:t>
            </w:r>
            <w:r>
              <w:t xml:space="preserve"> </w:t>
            </w:r>
            <w:r>
              <w:fldChar w:fldCharType="begin"/>
            </w:r>
            <w:r>
              <w:instrText xml:space="preserve"> ADDIN EN.CITE </w:instrText>
            </w:r>
            <w:r>
              <w:fldChar w:fldCharType="begin">
                <w:fldData>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</w:fldData>
              </w:fldChar>
            </w:r>
            <w:r>
              <w:instrText xml:space="preserve"> ADDIN EN.CITE.DATA </w:instrText>
            </w:r>
            <w:r>
              <w:fldChar w:fldCharType="end"/>
            </w:r>
            <w:r>
              <w:fldChar w:fldCharType="separate"/>
            </w:r>
            <w:r>
              <w:t xml:space="preserve">[V16-15]</w:t>
            </w:r>
            <w:r>
              <w:fldChar w:fldCharType="end"/>
            </w:r>
            <w:r>
              <w:t xml:space="preserve"> </w:t>
            </w:r>
            <w:r>
              <w:t xml:space="preserve"> </w:t>
            </w:r>
            <w:r>
              <w:fldChar w:fldCharType="begin"/>
            </w:r>
            <w:r>
              <w:instrText xml:space="preserve"> ADDIN EN.CITE </w:instrText>
            </w:r>
            <w:r>
              <w:fldChar w:fldCharType="begin">
                <w:fldData>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</w:fldData>
              </w:fldChar>
            </w:r>
            <w:r>
              <w:instrText xml:space="preserve"> ADDIN EN.CITE.DATA </w:instrText>
            </w:r>
            <w:r>
              <w:fldChar w:fldCharType="end"/>
            </w:r>
            <w:r>
              <w:fldChar w:fldCharType="separate"/>
            </w:r>
            <w:r>
              <w:t xml:space="preserve">[V16-3]</w:t>
            </w:r>
            <w:r>
              <w:fldChar w:fldCharType="end"/>
            </w:r>
            <w:r>
              <w:br/>
            </w:r>
            <w:hyperlink r:id="rId60">
              <w:r>
                <w:rPr>
                  <w:color w:val="0563C1"/>
                  <w:u w:val="single"/>
                </w:rPr>
                <w:t>Source</w:t>
              </w:r>
            </w:hyperlink>
            <w:r>
              <w:t xml:space="preserve"> · </w:t>
            </w:r>
            <w:hyperlink r:id="rId61">
              <w:r>
                <w:rPr>
                  <w:color w:val="0563C1"/>
                  <w:u w:val="single"/>
                </w:rPr>
                <w:t>PDF</w:t>
              </w:r>
            </w:hyperlink>
            <w:r>
              <w:br/>
            </w:r>
            <w:hyperlink r:id="rId62">
              <w:r>
                <w:rPr>
                  <w:color w:val="0563C1"/>
                  <w:u w:val="single"/>
                </w:rPr>
                <w:t>Source</w:t>
              </w:r>
            </w:hyperlink>
            <w:r>
              <w:t xml:space="preserve"> · </w:t>
            </w:r>
            <w:hyperlink r:id="rId63">
              <w:r>
                <w:rPr>
                  <w:color w:val="0563C1"/>
                  <w:u w:val="single"/>
                </w:rPr>
                <w:t>PDF</w:t>
              </w:r>
            </w:hyperlink>
          </w:p>
        </w:tc>
      </w:tr>
    </w:tbl>
    <w:p>
      <w:pPr>
        <w:pStyle w:val="Heading2"/>
        <w:widowControl/>
        <w:keepNext/>
      </w:pPr>
      <w:r>
        <w:t xml:space="preserve">Supporting study appraisals</w:t>
      </w:r>
    </w:p>
    <w:p>
      <w:pPr>
        <w:pStyle w:val="Heading2"/>
        <w:widowControl/>
        <w:keepNext/>
      </w:pPr>
      <w:r>
        <w:t xml:space="preserve">MOUNTAINEER final: HER2-positive CRC</w:t>
      </w:r>
    </w:p>
    <w:p>
      <w:pPr>
        <w:pStyle w:val="Normal"/>
        <w:widowControl/>
        <w:spacing w:after="120"/>
      </w:pPr>
      <w:r>
        <w:t xml:space="preserve">Use local validated HER2 IHC3+, IHC2+/ISH+, or qualifying tissue amplification with RAS wild type and prior-treatment review. A negative plasma result may require tissue testing. Response can prompt HPB reassessment but does not establish persistent unresectability or transplant benefit.</w:t>
      </w:r>
      <w:r>
        <w:t xml:space="preserve"> </w:t>
      </w:r>
      <w:r>
        <w:t xml:space="preserve"> </w:t>
      </w:r>
      <w:r>
        <w:fldChar w:fldCharType="begin"/>
      </w:r>
      <w:r>
        <w:instrText xml:space="preserve"> ADDIN EN.CITE </w:instrText>
      </w:r>
      <w:r>
        <w:fldChar w:fldCharType="begin">
          <w:fldData>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</w:fldData>
        </w:fldChar>
      </w:r>
      <w:r>
        <w:instrText xml:space="preserve"> ADDIN EN.CITE.DATA </w:instrText>
      </w:r>
      <w:r>
        <w:fldChar w:fldCharType="end"/>
      </w:r>
      <w:r>
        <w:fldChar w:fldCharType="separate"/>
      </w:r>
      <w:r>
        <w:t xml:space="preserve">[V16-11]</w:t>
      </w:r>
      <w:r>
        <w:fldChar w:fldCharType="end"/>
      </w:r>
      <w:r>
        <w:br/>
      </w:r>
      <w:hyperlink r:id="rId64">
        <w:r>
          <w:rPr>
            <w:color w:val="0563C1"/>
            <w:u w:val="single"/>
          </w:rPr>
          <w:t>Source</w:t>
        </w:r>
      </w:hyperlink>
      <w:r>
        <w:t xml:space="preserve"> · </w:t>
      </w:r>
      <w:hyperlink r:id="rId65">
        <w:r>
          <w:rPr>
            <w:color w:val="0563C1"/>
            <w:u w:val="single"/>
          </w:rPr>
          <w:t>PDF</w:t>
        </w:r>
      </w:hyperlink>
    </w:p>
    <w:p>
      <w:pPr>
        <w:pStyle w:val="Normal"/>
        <w:widowControl/>
        <w:spacing w:after="120"/>
      </w:pPr>
      <w:r>
        <w:t xml:space="preserve">Population and design: Phase II open-label, noncomparative combination cohorts: 84 efficacy patients, 86 safety. HER2-positive/RAS-wild-type refractory CRC after fluoropyrimidine, oxaliplatin, irinotecan and anti-VEGF; no prior HER2 therapy. LVEF ≥50%.</w:t>
      </w:r>
    </w:p>
    <w:p>
      <w:pPr>
        <w:pStyle w:val="Normal"/>
        <w:widowControl/>
        <w:spacing w:after="120"/>
      </w:pPr>
      <w:r>
        <w:t xml:space="preserve">Results: Tucatinib plus trastuzumab: confirmed ORR 39.3% (28.8–50.5), median response duration 15.2 months, PFS 8.1 months, OS 23.9 months. Grade 3 and 4 events 33.7% and 7.0%; 5.8% discontinued for adverse events.</w:t>
      </w:r>
    </w:p>
    <w:p>
      <w:pPr>
        <w:pStyle w:val="Normal"/>
        <w:widowControl/>
        <w:spacing w:after="120"/>
      </w:pPr>
      <w:r>
        <w:t xml:space="preserve">Limits: No randomized combination comparator or proven best sequence after other HER2 drugs. Do not rank its median OS against unrelated later-line trials. Exploratory HER2 copy-number thresholds are not mandatory selection cutoffs.</w:t>
      </w:r>
    </w:p>
    <w:p>
      <w:pPr>
        <w:pStyle w:val="Heading2"/>
        <w:widowControl/>
        <w:keepNext/>
      </w:pPr>
      <w:r>
        <w:t xml:space="preserve">SUNLIGHT: FTD/TPI plus bevacizumab</w:t>
      </w:r>
    </w:p>
    <w:p>
      <w:pPr>
        <w:pStyle w:val="Normal"/>
        <w:widowControl/>
        <w:spacing w:after="120"/>
      </w:pPr>
      <w:r>
        <w:t xml:space="preserve">Offer a later-line disease-control option when marrow reserve and anti-VEGF safety permit. Record bleeding, wound-healing and operative timing; do not translate disease control automatically into LT eligibility.</w:t>
      </w:r>
      <w:r>
        <w:t xml:space="preserve"> </w:t>
      </w:r>
      <w:r>
        <w:t xml:space="preserve"> </w:t>
      </w:r>
      <w:r>
        <w:fldChar w:fldCharType="begin"/>
      </w:r>
      <w:r>
        <w:instrText xml:space="preserve"> ADDIN EN.CITE </w:instrText>
      </w:r>
      <w:r>
        <w:fldChar w:fldCharType="begin">
          <w:fldData>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</w:fldData>
        </w:fldChar>
      </w:r>
      <w:r>
        <w:instrText xml:space="preserve"> ADDIN EN.CITE.DATA </w:instrText>
      </w:r>
      <w:r>
        <w:fldChar w:fldCharType="end"/>
      </w:r>
      <w:r>
        <w:fldChar w:fldCharType="separate"/>
      </w:r>
      <w:r>
        <w:t xml:space="preserve">[V16-14]</w:t>
      </w:r>
      <w:r>
        <w:fldChar w:fldCharType="end"/>
      </w:r>
      <w:r>
        <w:br/>
      </w:r>
      <w:hyperlink r:id="rId66">
        <w:r>
          <w:rPr>
            <w:color w:val="0563C1"/>
            <w:u w:val="single"/>
          </w:rPr>
          <w:t>Source</w:t>
        </w:r>
      </w:hyperlink>
      <w:r>
        <w:t xml:space="preserve"> · </w:t>
      </w:r>
      <w:hyperlink r:id="rId67">
        <w:r>
          <w:rPr>
            <w:color w:val="0563C1"/>
            <w:u w:val="single"/>
          </w:rPr>
          <w:t>PDF</w:t>
        </w:r>
      </w:hyperlink>
    </w:p>
    <w:p>
      <w:pPr>
        <w:pStyle w:val="Normal"/>
        <w:widowControl/>
        <w:spacing w:after="120"/>
      </w:pPr>
      <w:r>
        <w:t xml:space="preserve">Population and design: Randomized phase III, 492 refractory mCRC patients, ECOG 0–1; 92% had two prior treatment regimens. FTD/TPI plus bevacizumab versus FTD/TPI alone.</w:t>
      </w:r>
    </w:p>
    <w:p>
      <w:pPr>
        <w:pStyle w:val="Normal"/>
        <w:widowControl/>
        <w:spacing w:after="120"/>
      </w:pPr>
      <w:r>
        <w:t xml:space="preserve">Results: OS 10.8 versus 7.5 months, HR 0.61 (0.49–0.77); PFS 5.6 versus 2.4 months, HR 0.44. ORR 6.1% versus 1.2%. Grade ≥3 events 72.4% versus 69.5%; neutropenia 43.1% versus 32.1%.</w:t>
      </w:r>
    </w:p>
    <w:p>
      <w:pPr>
        <w:pStyle w:val="Normal"/>
        <w:widowControl/>
        <w:spacing w:after="120"/>
      </w:pPr>
      <w:r>
        <w:t xml:space="preserve">Limits: Open-label; no head-to-head comparison with fruquintinib/regorafenib. Low response rate and an advanced refractory population: not a preferred curative conversion regimen or LT trial.</w:t>
      </w:r>
    </w:p>
    <w:p>
      <w:pPr>
        <w:pStyle w:val="Heading2"/>
        <w:widowControl/>
        <w:keepNext/>
      </w:pPr>
      <w:r>
        <w:t xml:space="preserve">FRESCO-2: fruquintinib</w:t>
      </w:r>
    </w:p>
    <w:p>
      <w:pPr>
        <w:pStyle w:val="Normal"/>
        <w:widowControl/>
        <w:spacing w:after="120"/>
      </w:pPr>
      <w:r>
        <w:t xml:space="preserve">Retain a later-line option with BP, proteinuria, hand–foot, bleeding/perforation and operative safety assessment. Not an evidence-based curative conversion strategy or new transplant-selection route.</w:t>
      </w:r>
      <w:r>
        <w:t xml:space="preserve"> </w:t>
      </w:r>
      <w:r>
        <w:t xml:space="preserve"> </w:t>
      </w:r>
      <w:r>
        <w:fldChar w:fldCharType="begin"/>
      </w:r>
      <w:r>
        <w:instrText xml:space="preserve"> ADDIN EN.CITE </w:instrText>
      </w:r>
      <w:r>
        <w:fldChar w:fldCharType="begin">
          <w:fldData>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</w:fldData>
        </w:fldChar>
      </w:r>
      <w:r>
        <w:instrText xml:space="preserve"> ADDIN EN.CITE.DATA </w:instrText>
      </w:r>
      <w:r>
        <w:fldChar w:fldCharType="end"/>
      </w:r>
      <w:r>
        <w:fldChar w:fldCharType="separate"/>
      </w:r>
      <w:r>
        <w:t xml:space="preserve">[V16-15]</w:t>
      </w:r>
      <w:r>
        <w:fldChar w:fldCharType="end"/>
      </w:r>
      <w:r>
        <w:br/>
      </w:r>
      <w:hyperlink r:id="rId68">
        <w:r>
          <w:rPr>
            <w:color w:val="0563C1"/>
            <w:u w:val="single"/>
          </w:rPr>
          <w:t>Source</w:t>
        </w:r>
      </w:hyperlink>
      <w:r>
        <w:t xml:space="preserve"> · </w:t>
      </w:r>
      <w:hyperlink r:id="rId69">
        <w:r>
          <w:rPr>
            <w:color w:val="0563C1"/>
            <w:u w:val="single"/>
          </w:rPr>
          <w:t>PDF</w:t>
        </w:r>
      </w:hyperlink>
    </w:p>
    <w:p>
      <w:pPr>
        <w:pStyle w:val="Normal"/>
        <w:widowControl/>
        <w:spacing w:after="120"/>
      </w:pPr>
      <w:r>
        <w:t xml:space="preserve">Population and design: Double-blind phase III, 691 refractory mCRC patients (461 versus 230); median four prior lines, prior FTD/TPI and/or regorafenib required; ECOG 0–1.</w:t>
      </w:r>
    </w:p>
    <w:p>
      <w:pPr>
        <w:pStyle w:val="Normal"/>
        <w:widowControl/>
        <w:spacing w:after="120"/>
      </w:pPr>
      <w:r>
        <w:t xml:space="preserve">Results: Fruquintinib versus placebo plus supportive care: OS 7.4 versus 4.8 months, HR 0.66 (0.55–0.80); PFS 3.7 versus 1.8, HR 0.32. Seven partial responses among 461; no complete response. Grade ≥3 events 63% versus 50%.</w:t>
      </w:r>
    </w:p>
    <w:p>
      <w:pPr>
        <w:pStyle w:val="Normal"/>
        <w:widowControl/>
        <w:spacing w:after="120"/>
      </w:pPr>
      <w:r>
        <w:t xml:space="preserve">Limits: Very late-line population, no direct comparison with SUNLIGHT. Grade ≥3 hypertension 14%, asthenia 8%, hand–foot syndrome 6%; one treatment-related intestinal-perforation death.</w:t>
      </w:r>
    </w:p>
    <w:p>
      <w:pPr>
        <w:pStyle w:val="Heading1"/>
        <w:widowControl/>
        <w:keepNext/>
      </w:pPr>
      <w:bookmarkStart w:id="16000" w:name="previously_treated_EHD"/>
      <w:r>
        <w:t xml:space="preserve">Previously treated extrahepatic disease</w:t>
      </w:r>
      <w:bookmarkEnd w:id="16000"/>
    </w:p>
    <w:p>
      <w:pPr>
        <w:pStyle w:val="Normal"/>
        <w:widowControl/>
        <w:spacing w:after="120"/>
      </w:pPr>
      <w:r>
        <w:t xml:space="preserve">How this roadmap handles extrahepatic disease that has been treated or has responded. Transplant questions are answered in the transplant pathway, not here.</w:t>
      </w:r>
    </w:p>
    <w:p>
      <w:pPr>
        <w:pStyle w:val="Heading2"/>
        <w:widowControl/>
        <w:keepNext/>
      </w:pPr>
      <w:bookmarkStart w:id="16010" w:name="CRLM_R1"/>
      <w:r>
        <w:t xml:space="preserve">CRLM-R1 — Liver resection when extrahepatic disease is treated or treatable</w:t>
      </w:r>
      <w:bookmarkEnd w:id="16010"/>
    </w:p>
    <w:p>
      <w:pPr>
        <w:pStyle w:val="Normal"/>
        <w:widowControl/>
        <w:spacing w:after="120"/>
      </w:pPr>
      <w:r>
        <w:t xml:space="preserve">Status: Proposed. OPEN proposal for multidisciplinary review; not activated.</w:t>
      </w:r>
    </w:p>
    <w:p>
      <w:pPr>
        <w:pStyle w:val="Normal"/>
        <w:widowControl/>
        <w:spacing w:after="120"/>
      </w:pPr>
      <w:r>
        <w:t xml:space="preserve">Question: When colorectal cancer has extrahepatic disease that is treated or completely treatable, when should liver resection be offered?</w:t>
      </w:r>
    </w:p>
    <w:p>
      <w:pPr>
        <w:pStyle w:val="Normal"/>
        <w:widowControl/>
        <w:spacing w:after="120"/>
      </w:pPr>
      <w:r>
        <w:t xml:space="preserve">Proposed position (OPEN): Treated or completely treatable extrahepatic disease is not an absolute contraindication to curative-intent liver resection, but complete clearance of every site is mandatory and benefit depends on the site. Lung disease has the best outcome; nodal disease does poorly (pooled 5-year survival about 15%), worst beyond the hepatic pedicle; limited peritoneal disease belongs to expert CRS/HIPEC centres. Any extrahepatic disease ends transplant intent (CRLM-B5).</w:t>
      </w:r>
    </w:p>
    <w:p>
      <w:pPr>
        <w:pStyle w:val="Heading3"/>
        <w:widowControl/>
        <w:keepNext/>
      </w:pPr>
      <w:r>
        <w:t xml:space="preserve">Proposed rules</w:t>
      </w:r>
    </w:p>
    <w:p>
      <w:pPr>
        <w:pStyle w:val="Normal"/>
        <w:widowControl/>
        <w:spacing w:after="120"/>
        <w:numPr>
          <w:ilvl w:val="0"/>
          <w:numId w:val="4"/>
        </w:numPr>
      </w:pPr>
      <w:r>
        <w:t xml:space="preserve">Lung: combined or staged liver and lung metastasectomy after joint HPB–thoracic review when every lesion can be removed; a prior lung resection does not exclude liver resection.</w:t>
      </w:r>
    </w:p>
    <w:p>
      <w:pPr>
        <w:pStyle w:val="Normal"/>
        <w:widowControl/>
        <w:spacing w:after="120"/>
        <w:numPr>
          <w:ilvl w:val="0"/>
          <w:numId w:val="4"/>
        </w:numPr>
      </w:pPr>
      <w:r>
        <w:t xml:space="preserve">Portal (hepatoduodenal) nodes: resect only with complete lymphadenectomy after response to chemotherapy, with explicit counselling; coeliac, para-aortic and retroperitoneal nodes generally not. Portal and retroperitoneal nodes did equally poorly in the largest single-institution series (MSKCC); a Paris series found pedicular nodes better than coeliac or para-aortic nodes (5-year survival 25% vs 0%).</w:t>
      </w:r>
    </w:p>
    <w:p>
      <w:pPr>
        <w:pStyle w:val="Normal"/>
        <w:widowControl/>
        <w:spacing w:after="120"/>
        <w:numPr>
          <w:ilvl w:val="0"/>
          <w:numId w:val="4"/>
        </w:numPr>
      </w:pPr>
      <w:r>
        <w:t xml:space="preserve">Peritoneum: limited peritoneal disease with liver metastases only in a peritoneal-surface-malignancy centre (CRS/HIPEC plus limited liver resection).</w:t>
      </w:r>
    </w:p>
    <w:p>
      <w:pPr>
        <w:pStyle w:val="Normal"/>
        <w:widowControl/>
        <w:spacing w:after="120"/>
        <w:numPr>
          <w:ilvl w:val="0"/>
          <w:numId w:val="4"/>
        </w:numPr>
      </w:pPr>
      <w:r>
        <w:t xml:space="preserve">Counsel: recurrence about 90%; 10-year disease-free survival about 3% after resection with extrahepatic disease.</w:t>
      </w:r>
    </w:p>
    <w:p>
      <w:pPr>
        <w:pStyle w:val="Normal"/>
        <w:widowControl/>
        <w:spacing w:after="120"/>
      </w:pPr>
      <w:r>
        <w:t xml:space="preserve">Why: Pooled and registry data show useful survival after complete resection of lung disease and poorer survival with nodal or peritoneal disease; the only randomized trial of lung metastasectomy was inconclusive.</w:t>
      </w:r>
    </w:p>
    <w:p>
      <w:pPr>
        <w:pStyle w:val="Heading3"/>
        <w:widowControl/>
        <w:keepNext/>
      </w:pPr>
      <w:r>
        <w:t xml:space="preserve">Evidence</w:t>
      </w:r>
    </w:p>
    <w:tbl>
      <w:tblPr>
        <w:tblW w:w="10080" w:type="dxa"/>
        <w:tblLayout w:type="fixed"/>
        <w:tblBorders>
          <w:top w:val="single" w:sz="4" w:color="CCD6DF"/>
          <w:left w:val="single" w:sz="4" w:color="CCD6DF"/>
          <w:bottom w:val="single" w:sz="4" w:color="CCD6DF"/>
          <w:right w:val="single" w:sz="4" w:color="CCD6DF"/>
          <w:insideH w:val="single" w:sz="4" w:color="CCD6DF"/>
          <w:insideV w:val="single" w:sz="4" w:color="CCD6DF"/>
        </w:tblBorders>
        <w:tblCellMar>
          <w:top w:w="110" w:type="dxa"/>
          <w:left w:w="110" w:type="dxa"/>
          <w:bottom w:w="110" w:type="dxa"/>
          <w:right w:w="110" w:type="dxa"/>
        </w:tblCellMar>
      </w:tblPr>
      <w:tblGrid>
        <w:gridCol w:w="1900"/>
        <w:gridCol w:w="4000"/>
        <w:gridCol w:w="4180"/>
      </w:tblGrid>
      <w:tr>
        <w:trPr>
          <w:cantSplit/>
          <w:tblHeader/>
        </w:trPr>
        <w:tc>
          <w:tcPr>
            <w:tcW w:w="1900" w:type="dxa"/>
            <w:vAlign w:val="top"/>
            <w:shd w:fill="17365D"/>
          </w:tcPr>
          <w:p>
            <w:pPr>
              <w:pStyle w:val="Normal"/>
              <w:widowControl/>
              <w:spacing w:after="55" w:line="240" w:lineRule="auto"/>
              <w:keepNext w:val="0"/>
              <w:keepLines/>
            </w:pPr>
            <w:r>
              <w:rPr>
                <w:sz w:val="21"/>
                <w:szCs w:val="21"/>
                <w:b/>
                <w:color w:val="FFFFFF"/>
              </w:rPr>
              <w:t xml:space="preserve">Source</w:t>
            </w:r>
          </w:p>
        </w:tc>
        <w:tc>
          <w:tcPr>
            <w:tcW w:w="4000" w:type="dxa"/>
            <w:vAlign w:val="top"/>
            <w:shd w:fill="17365D"/>
          </w:tcPr>
          <w:p>
            <w:pPr>
              <w:pStyle w:val="Normal"/>
              <w:widowControl/>
              <w:spacing w:after="55" w:line="240" w:lineRule="auto"/>
              <w:keepNext w:val="0"/>
              <w:keepLines/>
            </w:pPr>
            <w:r>
              <w:rPr>
                <w:sz w:val="21"/>
                <w:szCs w:val="21"/>
                <w:b/>
                <w:color w:val="FFFFFF"/>
              </w:rPr>
              <w:t xml:space="preserve">Population and selection</w:t>
            </w:r>
          </w:p>
        </w:tc>
        <w:tc>
          <w:tcPr>
            <w:tcW w:w="4180" w:type="dxa"/>
            <w:vAlign w:val="top"/>
            <w:shd w:fill="17365D"/>
          </w:tcPr>
          <w:p>
            <w:pPr>
              <w:pStyle w:val="Normal"/>
              <w:widowControl/>
              <w:spacing w:after="55" w:line="240" w:lineRule="auto"/>
              <w:keepNext w:val="0"/>
              <w:keepLines/>
            </w:pPr>
            <w:r>
              <w:rPr>
                <w:sz w:val="21"/>
                <w:szCs w:val="21"/>
                <w:b/>
                <w:color w:val="FFFFFF"/>
              </w:rPr>
              <w:t xml:space="preserve">Results, limits and location</w:t>
            </w:r>
          </w:p>
        </w:tc>
      </w:tr>
      <w:tr>
        <w:trPr>
          <w:cantSplit/>
        </w:trPr>
        <w:tc>
          <w:tcPr>
            <w:tcW w:w="1900" w:type="dxa"/>
            <w:vAlign w:val="top"/>
            <w:shd w:fill="F1F5F8"/>
          </w:tcPr>
          <w:p>
            <w:pPr>
              <w:pStyle w:val="Normal"/>
              <w:widowControl/>
              <w:spacing w:after="55" w:line="240" w:lineRule="auto"/>
              <w:keepNext w:val="0"/>
              <w:keepLines/>
            </w:pPr>
            <w:r>
              <w:rPr>
                <w:sz w:val="21"/>
                <w:szCs w:val="21"/>
                <w:b/>
              </w:rPr>
              <w:t xml:space="preserve">Hadden 2016 · meta-analysis, resection with EHD</w:t>
            </w:r>
          </w:p>
          <w:p>
            <w:pPr>
              <w:pStyle w:val="Normal"/>
              <w:widowControl/>
              <w:spacing w:after="55" w:line="240" w:lineRule="auto"/>
              <w:keepNext w:val="0"/>
              <w:keepLines/>
            </w:pPr>
            <w:r>
              <w:rPr>
                <w:sz w:val="21"/>
                <w:szCs w:val="21"/>
              </w:rPr>
              <w:t xml:space="preserve">Full text read.</w:t>
            </w:r>
          </w:p>
        </w:tc>
        <w:tc>
          <w:tcPr>
            <w:tcW w:w="4000" w:type="dxa"/>
            <w:vAlign w:val="top"/>
            <w:shd w:fill="F1F5F8"/>
          </w:tcPr>
          <w:p>
            <w:pPr>
              <w:pStyle w:val="Normal"/>
              <w:widowControl/>
              <w:spacing w:after="55" w:line="240" w:lineRule="auto"/>
              <w:keepNext w:val="0"/>
              <w:keepLines/>
            </w:pPr>
            <w:r>
              <w:rPr>
                <w:sz w:val="21"/>
                <w:szCs w:val="21"/>
              </w:rPr>
              <w:t xml:space="preserve">Meta-analysis, 52 studies, 15,144 patients (2,308 with extrahepatic disease). Synchronous or previous extrahepatic disease resected with the liver.</w:t>
            </w:r>
          </w:p>
        </w:tc>
        <w:tc>
          <w:tcPr>
            <w:tcW w:w="4180" w:type="dxa"/>
            <w:vAlign w:val="top"/>
            <w:shd w:fill="F1F5F8"/>
          </w:tcPr>
          <w:p>
            <w:pPr>
              <w:pStyle w:val="Normal"/>
              <w:widowControl/>
              <w:spacing w:after="55" w:line="240" w:lineRule="auto"/>
              <w:keepNext w:val="0"/>
              <w:keepLines/>
            </w:pPr>
            <w:r>
              <w:rPr>
                <w:sz w:val="21"/>
                <w:szCs w:val="21"/>
              </w:rPr>
              <w:t xml:space="preserve">Results: 5-year survival: lung 26% (15–39%), peritoneum 17%, nodes 15%; R0 at both sites lowered the risk of death (RR 0.73).</w:t>
            </w:r>
          </w:p>
          <w:p>
            <w:pPr>
              <w:pStyle w:val="Normal"/>
              <w:widowControl/>
              <w:spacing w:after="55" w:line="240" w:lineRule="auto"/>
              <w:keepNext w:val="0"/>
              <w:keepLines/>
            </w:pPr>
            <w:r>
              <w:rPr>
                <w:sz w:val="21"/>
                <w:szCs w:val="21"/>
              </w:rPr>
              <w:t xml:space="preserve">Limits: Nodal locations pooled; selected series.</w:t>
            </w:r>
          </w:p>
          <w:p>
            <w:pPr>
              <w:pStyle w:val="Normal"/>
              <w:widowControl/>
              <w:spacing w:after="55" w:line="240" w:lineRule="auto"/>
              <w:keepNext w:val="0"/>
              <w:keepLines/>
            </w:pPr>
            <w:r>
              <w:rPr>
                <w:sz w:val="21"/>
                <w:szCs w:val="21"/>
              </w:rPr>
              <w:t xml:space="preserve">HPB 2016; Results.</w:t>
            </w:r>
          </w:p>
          <w:p>
            <w:pPr>
              <w:pStyle w:val="Normal"/>
              <w:widowControl/>
              <w:spacing w:after="120"/>
              <w:keepNext w:val="0"/>
            </w:pPr>
            <w:r>
              <w:t xml:space="preserve"/>
            </w:r>
            <w:r>
              <w:t xml:space="preserve"> </w:t>
            </w:r>
            <w:r>
              <w:fldChar w:fldCharType="begin"/>
            </w:r>
            <w:r>
              <w:instrText xml:space="preserve"> ADDIN EN.CITE </w:instrText>
            </w:r>
            <w:r>
              <w:fldChar w:fldCharType="begin">
                <w:fldData>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</w:fldData>
              </w:fldChar>
            </w:r>
            <w:r>
              <w:instrText xml:space="preserve"> ADDIN EN.CITE.DATA </w:instrText>
            </w:r>
            <w:r>
              <w:fldChar w:fldCharType="end"/>
            </w:r>
            <w:r>
              <w:fldChar w:fldCharType="separate"/>
            </w:r>
            <w:r>
              <w:t xml:space="preserve">[V16-16]</w:t>
            </w:r>
            <w:r>
              <w:fldChar w:fldCharType="end"/>
            </w:r>
            <w:r>
              <w:br/>
            </w:r>
            <w:hyperlink r:id="rId98">
              <w:r>
                <w:rPr>
                  <w:color w:val="0563C1"/>
                  <w:u w:val="single"/>
                </w:rPr>
                <w:t>Source</w:t>
              </w:r>
            </w:hyperlink>
            <w:r>
              <w:t xml:space="preserve"> · </w:t>
            </w:r>
            <w:r>
              <w:t xml:space="preserve">full PDF pending</w:t>
            </w:r>
          </w:p>
        </w:tc>
      </w:tr>
      <w:tr>
        <w:trPr>
          <w:cantSplit/>
        </w:trPr>
        <w:tc>
          <w:tcPr>
            <w:tcW w:w="1900" w:type="dxa"/>
            <w:vAlign w:val="top"/>
            <w:shd w:fill="FFFFFF"/>
          </w:tcPr>
          <w:p>
            <w:pPr>
              <w:pStyle w:val="Normal"/>
              <w:widowControl/>
              <w:spacing w:after="55" w:line="240" w:lineRule="auto"/>
              <w:keepNext w:val="0"/>
              <w:keepLines/>
            </w:pPr>
            <w:r>
              <w:rPr>
                <w:sz w:val="21"/>
                <w:szCs w:val="21"/>
                <w:b/>
              </w:rPr>
              <w:t xml:space="preserve">Leung 2017 · MSKCC hepatectomy with EHD</w:t>
            </w:r>
          </w:p>
          <w:p>
            <w:pPr>
              <w:pStyle w:val="Normal"/>
              <w:widowControl/>
              <w:spacing w:after="55" w:line="240" w:lineRule="auto"/>
              <w:keepNext w:val="0"/>
              <w:keepLines/>
            </w:pPr>
            <w:r>
              <w:rPr>
                <w:sz w:val="21"/>
                <w:szCs w:val="21"/>
              </w:rPr>
              <w:t xml:space="preserve">Full text read.</w:t>
            </w:r>
          </w:p>
        </w:tc>
        <w:tc>
          <w:tcPr>
            <w:tcW w:w="4000" w:type="dxa"/>
            <w:vAlign w:val="top"/>
            <w:shd w:fill="FFFFFF"/>
          </w:tcPr>
          <w:p>
            <w:pPr>
              <w:pStyle w:val="Normal"/>
              <w:widowControl/>
              <w:spacing w:after="55" w:line="240" w:lineRule="auto"/>
              <w:keepNext w:val="0"/>
              <w:keepLines/>
            </w:pPr>
            <w:r>
              <w:rPr>
                <w:sz w:val="21"/>
                <w:szCs w:val="21"/>
              </w:rPr>
              <w:t xml:space="preserve">MSKCC, 219 hepatectomies with resected extrahepatic disease. Synchronous disease, resected within 6 months.</w:t>
            </w:r>
          </w:p>
        </w:tc>
        <w:tc>
          <w:tcPr>
            <w:tcW w:w="4180" w:type="dxa"/>
            <w:vAlign w:val="top"/>
            <w:shd w:fill="FFFFFF"/>
          </w:tcPr>
          <w:p>
            <w:pPr>
              <w:pStyle w:val="Normal"/>
              <w:widowControl/>
              <w:spacing w:after="55" w:line="240" w:lineRule="auto"/>
              <w:keepNext w:val="0"/>
              <w:keepLines/>
            </w:pPr>
            <w:r>
              <w:rPr>
                <w:sz w:val="21"/>
                <w:szCs w:val="21"/>
              </w:rPr>
              <w:t xml:space="preserve">Results: Portal vs retroperitoneal nodes: no survival difference (p=0.768); incomplete extrahepatic resection: no survivors beyond 3.5 years; disease-free at 10 years 3.2%.</w:t>
            </w:r>
          </w:p>
          <w:p>
            <w:pPr>
              <w:pStyle w:val="Normal"/>
              <w:widowControl/>
              <w:spacing w:after="55" w:line="240" w:lineRule="auto"/>
              <w:keepNext w:val="0"/>
              <w:keepLines/>
            </w:pPr>
            <w:r>
              <w:rPr>
                <w:sz w:val="21"/>
                <w:szCs w:val="21"/>
              </w:rPr>
              <w:t xml:space="preserve">Limits: Selected; tables not available.</w:t>
            </w:r>
          </w:p>
          <w:p>
            <w:pPr>
              <w:pStyle w:val="Normal"/>
              <w:widowControl/>
              <w:spacing w:after="55" w:line="240" w:lineRule="auto"/>
              <w:keepNext w:val="0"/>
              <w:keepLines/>
            </w:pPr>
            <w:r>
              <w:rPr>
                <w:sz w:val="21"/>
                <w:szCs w:val="21"/>
              </w:rPr>
              <w:t xml:space="preserve">Ann Surg 2017; Results.</w:t>
            </w:r>
          </w:p>
          <w:p>
            <w:pPr>
              <w:pStyle w:val="Normal"/>
              <w:widowControl/>
              <w:spacing w:after="120"/>
              <w:keepNext w:val="0"/>
            </w:pPr>
            <w:r>
              <w:t xml:space="preserve"/>
            </w:r>
            <w:r>
              <w:t xml:space="preserve"> </w:t>
            </w:r>
            <w:r>
              <w:fldChar w:fldCharType="begin"/>
            </w:r>
            <w:r>
              <w:instrText xml:space="preserve"> ADDIN EN.CITE </w:instrText>
            </w:r>
            <w:r>
              <w:fldChar w:fldCharType="begin">
                <w:fldData>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</w:fldData>
              </w:fldChar>
            </w:r>
            <w:r>
              <w:instrText xml:space="preserve"> ADDIN EN.CITE.DATA </w:instrText>
            </w:r>
            <w:r>
              <w:fldChar w:fldCharType="end"/>
            </w:r>
            <w:r>
              <w:fldChar w:fldCharType="separate"/>
            </w:r>
            <w:r>
              <w:t xml:space="preserve">[V16-17]</w:t>
            </w:r>
            <w:r>
              <w:fldChar w:fldCharType="end"/>
            </w:r>
            <w:r>
              <w:br/>
            </w:r>
            <w:hyperlink r:id="rId99">
              <w:r>
                <w:rPr>
                  <w:color w:val="0563C1"/>
                  <w:u w:val="single"/>
                </w:rPr>
                <w:t>Source</w:t>
              </w:r>
            </w:hyperlink>
            <w:r>
              <w:t xml:space="preserve"> · </w:t>
            </w:r>
            <w:r>
              <w:t xml:space="preserve">full PDF pending</w:t>
            </w:r>
          </w:p>
        </w:tc>
      </w:tr>
      <w:tr>
        <w:trPr>
          <w:cantSplit/>
        </w:trPr>
        <w:tc>
          <w:tcPr>
            <w:tcW w:w="1900" w:type="dxa"/>
            <w:vAlign w:val="top"/>
            <w:shd w:fill="F1F5F8"/>
          </w:tcPr>
          <w:p>
            <w:pPr>
              <w:pStyle w:val="Normal"/>
              <w:widowControl/>
              <w:spacing w:after="55" w:line="240" w:lineRule="auto"/>
              <w:keepNext w:val="0"/>
              <w:keepLines/>
            </w:pPr>
            <w:r>
              <w:rPr>
                <w:sz w:val="21"/>
                <w:szCs w:val="21"/>
                <w:b/>
              </w:rPr>
              <w:t xml:space="preserve">PulMiCC 2020</w:t>
            </w:r>
          </w:p>
          <w:p>
            <w:pPr>
              <w:pStyle w:val="Normal"/>
              <w:widowControl/>
              <w:spacing w:after="55" w:line="240" w:lineRule="auto"/>
              <w:keepNext w:val="0"/>
              <w:keepLines/>
            </w:pPr>
            <w:r>
              <w:rPr>
                <w:sz w:val="21"/>
                <w:szCs w:val="21"/>
              </w:rPr>
              <w:t xml:space="preserve">Full text read.</w:t>
            </w:r>
          </w:p>
        </w:tc>
        <w:tc>
          <w:tcPr>
            <w:tcW w:w="4000" w:type="dxa"/>
            <w:vAlign w:val="top"/>
            <w:shd w:fill="F1F5F8"/>
          </w:tcPr>
          <w:p>
            <w:pPr>
              <w:pStyle w:val="Normal"/>
              <w:widowControl/>
              <w:spacing w:after="55" w:line="240" w:lineRule="auto"/>
              <w:keepNext w:val="0"/>
              <w:keepLines/>
            </w:pPr>
            <w:r>
              <w:rPr>
                <w:sz w:val="21"/>
                <w:szCs w:val="21"/>
              </w:rPr>
              <w:t xml:space="preserve">Randomized trial, 93 patients. Lung metastases after colorectal resection.</w:t>
            </w:r>
          </w:p>
        </w:tc>
        <w:tc>
          <w:tcPr>
            <w:tcW w:w="4180" w:type="dxa"/>
            <w:vAlign w:val="top"/>
            <w:shd w:fill="F1F5F8"/>
          </w:tcPr>
          <w:p>
            <w:pPr>
              <w:pStyle w:val="Normal"/>
              <w:widowControl/>
              <w:spacing w:after="55" w:line="240" w:lineRule="auto"/>
              <w:keepNext w:val="0"/>
              <w:keepLines/>
            </w:pPr>
            <w:r>
              <w:rPr>
                <w:sz w:val="21"/>
                <w:szCs w:val="21"/>
              </w:rPr>
              <w:t xml:space="preserve">Results: Adjusted HR 0.87 (0.51–1.48); inconclusive.</w:t>
            </w:r>
          </w:p>
          <w:p>
            <w:pPr>
              <w:pStyle w:val="Normal"/>
              <w:widowControl/>
              <w:spacing w:after="55" w:line="240" w:lineRule="auto"/>
              <w:keepNext w:val="0"/>
              <w:keepLines/>
            </w:pPr>
            <w:r>
              <w:rPr>
                <w:sz w:val="21"/>
                <w:szCs w:val="21"/>
              </w:rPr>
              <w:t xml:space="preserve">Limits: Underpowered.</w:t>
            </w:r>
          </w:p>
          <w:p>
            <w:pPr>
              <w:pStyle w:val="Normal"/>
              <w:widowControl/>
              <w:spacing w:after="55" w:line="240" w:lineRule="auto"/>
              <w:keepNext w:val="0"/>
              <w:keepLines/>
            </w:pPr>
            <w:r>
              <w:rPr>
                <w:sz w:val="21"/>
                <w:szCs w:val="21"/>
              </w:rPr>
              <w:t xml:space="preserve">Colorectal Dis 2020.</w:t>
            </w:r>
          </w:p>
          <w:p>
            <w:pPr>
              <w:pStyle w:val="Normal"/>
              <w:widowControl/>
              <w:spacing w:after="120"/>
              <w:keepNext w:val="0"/>
            </w:pPr>
            <w:r>
              <w:t xml:space="preserve"/>
            </w:r>
            <w:r>
              <w:t xml:space="preserve"> </w:t>
            </w:r>
            <w:r>
              <w:fldChar w:fldCharType="begin"/>
            </w:r>
            <w:r>
              <w:instrText xml:space="preserve"> ADDIN EN.CITE </w:instrText>
            </w:r>
            <w:r>
              <w:fldChar w:fldCharType="begin">
                <w:fldData>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</w:fldData>
              </w:fldChar>
            </w:r>
            <w:r>
              <w:instrText xml:space="preserve"> ADDIN EN.CITE.DATA </w:instrText>
            </w:r>
            <w:r>
              <w:fldChar w:fldCharType="end"/>
            </w:r>
            <w:r>
              <w:fldChar w:fldCharType="separate"/>
            </w:r>
            <w:r>
              <w:t xml:space="preserve">[V16-18]</w:t>
            </w:r>
            <w:r>
              <w:fldChar w:fldCharType="end"/>
            </w:r>
            <w:r>
              <w:br/>
            </w:r>
            <w:hyperlink r:id="rId100">
              <w:r>
                <w:rPr>
                  <w:color w:val="0563C1"/>
                  <w:u w:val="single"/>
                </w:rPr>
                <w:t>Source</w:t>
              </w:r>
            </w:hyperlink>
            <w:r>
              <w:t xml:space="preserve"> · </w:t>
            </w:r>
            <w:r>
              <w:t xml:space="preserve">full PDF pending</w:t>
            </w:r>
          </w:p>
        </w:tc>
      </w:tr>
      <w:tr>
        <w:trPr>
          <w:cantSplit/>
        </w:trPr>
        <w:tc>
          <w:tcPr>
            <w:tcW w:w="1900" w:type="dxa"/>
            <w:vAlign w:val="top"/>
            <w:shd w:fill="FFFFFF"/>
          </w:tcPr>
          <w:p>
            <w:pPr>
              <w:pStyle w:val="Normal"/>
              <w:widowControl/>
              <w:spacing w:after="55" w:line="240" w:lineRule="auto"/>
              <w:keepNext w:val="0"/>
              <w:keepLines/>
            </w:pPr>
            <w:r>
              <w:rPr>
                <w:sz w:val="21"/>
                <w:szCs w:val="21"/>
                <w:b/>
              </w:rPr>
              <w:t xml:space="preserve">Cancer Care Ontario guideline (Gallinger 2013; archived 2020)</w:t>
            </w:r>
          </w:p>
          <w:p>
            <w:pPr>
              <w:pStyle w:val="Normal"/>
              <w:widowControl/>
              <w:spacing w:after="55" w:line="240" w:lineRule="auto"/>
              <w:keepNext w:val="0"/>
              <w:keepLines/>
            </w:pPr>
            <w:r>
              <w:rPr>
                <w:sz w:val="21"/>
                <w:szCs w:val="21"/>
              </w:rPr>
              <w:t xml:space="preserve">Full text read.</w:t>
            </w:r>
          </w:p>
        </w:tc>
        <w:tc>
          <w:tcPr>
            <w:tcW w:w="4000" w:type="dxa"/>
            <w:vAlign w:val="top"/>
            <w:shd w:fill="FFFFFF"/>
          </w:tcPr>
          <w:p>
            <w:pPr>
              <w:pStyle w:val="Normal"/>
              <w:widowControl/>
              <w:spacing w:after="55" w:line="240" w:lineRule="auto"/>
              <w:keepNext w:val="0"/>
              <w:keepLines/>
            </w:pPr>
            <w:r>
              <w:rPr>
                <w:sz w:val="21"/>
                <w:szCs w:val="21"/>
              </w:rPr>
              <w:t xml:space="preserve">Cancer Care Ontario guideline (archived December 2020; evidence to January 2010). Liver and lung metastases.</w:t>
            </w:r>
          </w:p>
        </w:tc>
        <w:tc>
          <w:tcPr>
            <w:tcW w:w="4180" w:type="dxa"/>
            <w:vAlign w:val="top"/>
            <w:shd w:fill="FFFFFF"/>
          </w:tcPr>
          <w:p>
            <w:pPr>
              <w:pStyle w:val="Normal"/>
              <w:widowControl/>
              <w:spacing w:after="55" w:line="240" w:lineRule="auto"/>
              <w:keepNext w:val="0"/>
              <w:keepLines/>
            </w:pPr>
            <w:r>
              <w:rPr>
                <w:sz w:val="21"/>
                <w:szCs w:val="21"/>
              </w:rPr>
              <w:t xml:space="preserve">Results: Combined or staged metastasectomy recommended when all lung metastases can be removed; liver resection may follow a prior lung resection; routine liver resection not recommended with portal nodal disease.</w:t>
            </w:r>
          </w:p>
          <w:p>
            <w:pPr>
              <w:pStyle w:val="Normal"/>
              <w:widowControl/>
              <w:spacing w:after="55" w:line="240" w:lineRule="auto"/>
              <w:keepNext w:val="0"/>
              <w:keepLines/>
            </w:pPr>
            <w:r>
              <w:rPr>
                <w:sz w:val="21"/>
                <w:szCs w:val="21"/>
              </w:rPr>
              <w:t xml:space="preserve">Limits: Archived; non-comparative series.</w:t>
            </w:r>
          </w:p>
          <w:p>
            <w:pPr>
              <w:pStyle w:val="Normal"/>
              <w:widowControl/>
              <w:spacing w:after="55" w:line="240" w:lineRule="auto"/>
              <w:keepNext w:val="0"/>
              <w:keepLines/>
            </w:pPr>
            <w:r>
              <w:rPr>
                <w:sz w:val="21"/>
                <w:szCs w:val="21"/>
              </w:rPr>
              <w:t xml:space="preserve">Curr Oncol 2013; Recommendation 1.</w:t>
            </w:r>
          </w:p>
          <w:p>
            <w:pPr>
              <w:pStyle w:val="Normal"/>
              <w:widowControl/>
              <w:spacing w:after="120"/>
              <w:keepNext w:val="0"/>
            </w:pPr>
            <w:r>
              <w:t xml:space="preserve"/>
            </w:r>
            <w:r>
              <w:t xml:space="preserve"> </w:t>
            </w:r>
            <w:r>
              <w:fldChar w:fldCharType="begin"/>
            </w:r>
            <w:r>
              <w:instrText xml:space="preserve"> ADDIN EN.CITE </w:instrText>
            </w:r>
            <w:r>
              <w:fldChar w:fldCharType="begin">
                <w:fldData>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</w:fldData>
              </w:fldChar>
            </w:r>
            <w:r>
              <w:instrText xml:space="preserve"> ADDIN EN.CITE.DATA </w:instrText>
            </w:r>
            <w:r>
              <w:fldChar w:fldCharType="end"/>
            </w:r>
            <w:r>
              <w:fldChar w:fldCharType="separate"/>
            </w:r>
            <w:r>
              <w:t xml:space="preserve">[V16-19]</w:t>
            </w:r>
            <w:r>
              <w:fldChar w:fldCharType="end"/>
            </w:r>
            <w:r>
              <w:br/>
            </w:r>
            <w:hyperlink r:id="rId101">
              <w:r>
                <w:rPr>
                  <w:color w:val="0563C1"/>
                  <w:u w:val="single"/>
                </w:rPr>
                <w:t>Source</w:t>
              </w:r>
            </w:hyperlink>
            <w:r>
              <w:t xml:space="preserve"> · </w:t>
            </w:r>
            <w:r>
              <w:t xml:space="preserve">full PDF pending</w:t>
            </w:r>
          </w:p>
        </w:tc>
      </w:tr>
      <w:tr>
        <w:trPr>
          <w:cantSplit/>
        </w:trPr>
        <w:tc>
          <w:tcPr>
            <w:tcW w:w="1900" w:type="dxa"/>
            <w:vAlign w:val="top"/>
            <w:shd w:fill="F1F5F8"/>
          </w:tcPr>
          <w:p>
            <w:pPr>
              <w:pStyle w:val="Normal"/>
              <w:widowControl/>
              <w:spacing w:after="55" w:line="240" w:lineRule="auto"/>
              <w:keepNext w:val="0"/>
              <w:keepLines/>
            </w:pPr>
            <w:r>
              <w:rPr>
                <w:sz w:val="21"/>
                <w:szCs w:val="21"/>
                <w:b/>
              </w:rPr>
              <w:t xml:space="preserve">Andres 2015 · LiverMetSurvey liver + lung</w:t>
            </w:r>
          </w:p>
          <w:p>
            <w:pPr>
              <w:pStyle w:val="Normal"/>
              <w:widowControl/>
              <w:spacing w:after="55" w:line="240" w:lineRule="auto"/>
              <w:keepNext w:val="0"/>
              <w:keepLines/>
            </w:pPr>
            <w:r>
              <w:rPr>
                <w:sz w:val="21"/>
                <w:szCs w:val="21"/>
              </w:rPr>
              <w:t xml:space="preserve">Abstract only; full text pending.</w:t>
            </w:r>
          </w:p>
        </w:tc>
        <w:tc>
          <w:tcPr>
            <w:tcW w:w="4000" w:type="dxa"/>
            <w:vAlign w:val="top"/>
            <w:shd w:fill="F1F5F8"/>
          </w:tcPr>
          <w:p>
            <w:pPr>
              <w:pStyle w:val="Normal"/>
              <w:widowControl/>
              <w:spacing w:after="55" w:line="240" w:lineRule="auto"/>
              <w:keepNext w:val="0"/>
              <w:keepLines/>
            </w:pPr>
            <w:r>
              <w:rPr>
                <w:sz w:val="21"/>
                <w:szCs w:val="21"/>
              </w:rPr>
              <w:t xml:space="preserve">LiverMetSurvey registry. 149 liver plus lung resections vs 9,185 liver-only.</w:t>
            </w:r>
          </w:p>
        </w:tc>
        <w:tc>
          <w:tcPr>
            <w:tcW w:w="4180" w:type="dxa"/>
            <w:vAlign w:val="top"/>
            <w:shd w:fill="F1F5F8"/>
          </w:tcPr>
          <w:p>
            <w:pPr>
              <w:pStyle w:val="Normal"/>
              <w:widowControl/>
              <w:spacing w:after="55" w:line="240" w:lineRule="auto"/>
              <w:keepNext w:val="0"/>
              <w:keepLines/>
            </w:pPr>
            <w:r>
              <w:rPr>
                <w:sz w:val="21"/>
                <w:szCs w:val="21"/>
              </w:rPr>
              <w:t xml:space="preserve">Results: Adjusted 5-year survival 44.5% vs 51.5%; 14.3% when lung disease was not resected.</w:t>
            </w:r>
          </w:p>
          <w:p>
            <w:pPr>
              <w:pStyle w:val="Normal"/>
              <w:widowControl/>
              <w:spacing w:after="55" w:line="240" w:lineRule="auto"/>
              <w:keepNext w:val="0"/>
              <w:keepLines/>
            </w:pPr>
            <w:r>
              <w:rPr>
                <w:sz w:val="21"/>
                <w:szCs w:val="21"/>
              </w:rPr>
              <w:t xml:space="preserve">Limits: Registry; selected minority.</w:t>
            </w:r>
          </w:p>
          <w:p>
            <w:pPr>
              <w:pStyle w:val="Normal"/>
              <w:widowControl/>
              <w:spacing w:after="55" w:line="240" w:lineRule="auto"/>
              <w:keepNext w:val="0"/>
              <w:keepLines/>
            </w:pPr>
            <w:r>
              <w:rPr>
                <w:sz w:val="21"/>
                <w:szCs w:val="21"/>
              </w:rPr>
              <w:t xml:space="preserve">Br J Surg 2015 (abstract; full text pending).</w:t>
            </w:r>
          </w:p>
          <w:p>
            <w:pPr>
              <w:pStyle w:val="Normal"/>
              <w:widowControl/>
              <w:spacing w:after="120"/>
              <w:keepNext w:val="0"/>
            </w:pPr>
            <w:r>
              <w:t xml:space="preserve"/>
            </w:r>
            <w:r>
              <w:t xml:space="preserve"> </w:t>
            </w:r>
            <w:r>
              <w:fldChar w:fldCharType="begin"/>
            </w:r>
            <w:r>
              <w:instrText xml:space="preserve"> ADDIN EN.CITE </w:instrText>
            </w:r>
            <w:r>
              <w:fldChar w:fldCharType="begin">
                <w:fldData>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</w:fldData>
              </w:fldChar>
            </w:r>
            <w:r>
              <w:instrText xml:space="preserve"> ADDIN EN.CITE.DATA </w:instrText>
            </w:r>
            <w:r>
              <w:fldChar w:fldCharType="end"/>
            </w:r>
            <w:r>
              <w:fldChar w:fldCharType="separate"/>
            </w:r>
            <w:r>
              <w:t xml:space="preserve">[V16-20]</w:t>
            </w:r>
            <w:r>
              <w:fldChar w:fldCharType="end"/>
            </w:r>
            <w:r>
              <w:br/>
            </w:r>
            <w:hyperlink r:id="rId102">
              <w:r>
                <w:rPr>
                  <w:color w:val="0563C1"/>
                  <w:u w:val="single"/>
                </w:rPr>
                <w:t>Source</w:t>
              </w:r>
            </w:hyperlink>
            <w:r>
              <w:t xml:space="preserve"> · </w:t>
            </w:r>
            <w:r>
              <w:t xml:space="preserve">full PDF pending</w:t>
            </w:r>
          </w:p>
        </w:tc>
      </w:tr>
      <w:tr>
        <w:trPr>
          <w:cantSplit/>
        </w:trPr>
        <w:tc>
          <w:tcPr>
            <w:tcW w:w="1900" w:type="dxa"/>
            <w:vAlign w:val="top"/>
            <w:shd w:fill="FFFFFF"/>
          </w:tcPr>
          <w:p>
            <w:pPr>
              <w:pStyle w:val="Normal"/>
              <w:widowControl/>
              <w:spacing w:after="55" w:line="240" w:lineRule="auto"/>
              <w:keepNext w:val="0"/>
              <w:keepLines/>
            </w:pPr>
            <w:r>
              <w:rPr>
                <w:sz w:val="21"/>
                <w:szCs w:val="21"/>
                <w:b/>
              </w:rPr>
              <w:t xml:space="preserve">Adam 2008 · hepatectomy with nodal metastases</w:t>
            </w:r>
          </w:p>
          <w:p>
            <w:pPr>
              <w:pStyle w:val="Normal"/>
              <w:widowControl/>
              <w:spacing w:after="55" w:line="240" w:lineRule="auto"/>
              <w:keepNext w:val="0"/>
              <w:keepLines/>
            </w:pPr>
            <w:r>
              <w:rPr>
                <w:sz w:val="21"/>
                <w:szCs w:val="21"/>
              </w:rPr>
              <w:t xml:space="preserve">Abstract only; full text pending.</w:t>
            </w:r>
          </w:p>
        </w:tc>
        <w:tc>
          <w:tcPr>
            <w:tcW w:w="4000" w:type="dxa"/>
            <w:vAlign w:val="top"/>
            <w:shd w:fill="FFFFFF"/>
          </w:tcPr>
          <w:p>
            <w:pPr>
              <w:pStyle w:val="Normal"/>
              <w:widowControl/>
              <w:spacing w:after="55" w:line="240" w:lineRule="auto"/>
              <w:keepNext w:val="0"/>
              <w:keepLines/>
            </w:pPr>
            <w:r>
              <w:rPr>
                <w:sz w:val="21"/>
                <w:szCs w:val="21"/>
              </w:rPr>
              <w:t xml:space="preserve">Single centre, 47 hepatectomies with lymphadenectomy. Nodes after chemotherapy.</w:t>
            </w:r>
          </w:p>
        </w:tc>
        <w:tc>
          <w:tcPr>
            <w:tcW w:w="4180" w:type="dxa"/>
            <w:vAlign w:val="top"/>
            <w:shd w:fill="FFFFFF"/>
          </w:tcPr>
          <w:p>
            <w:pPr>
              <w:pStyle w:val="Normal"/>
              <w:widowControl/>
              <w:spacing w:after="55" w:line="240" w:lineRule="auto"/>
              <w:keepNext w:val="0"/>
              <w:keepLines/>
            </w:pPr>
            <w:r>
              <w:rPr>
                <w:sz w:val="21"/>
                <w:szCs w:val="21"/>
              </w:rPr>
              <w:t xml:space="preserve">Results: 5-year survival 25% pedicular vs 0% coeliac or para-aortic.</w:t>
            </w:r>
          </w:p>
          <w:p>
            <w:pPr>
              <w:pStyle w:val="Normal"/>
              <w:widowControl/>
              <w:spacing w:after="55" w:line="240" w:lineRule="auto"/>
              <w:keepNext w:val="0"/>
              <w:keepLines/>
            </w:pPr>
            <w:r>
              <w:rPr>
                <w:sz w:val="21"/>
                <w:szCs w:val="21"/>
              </w:rPr>
              <w:t xml:space="preserve">Limits: Small, older series.</w:t>
            </w:r>
          </w:p>
          <w:p>
            <w:pPr>
              <w:pStyle w:val="Normal"/>
              <w:widowControl/>
              <w:spacing w:after="55" w:line="240" w:lineRule="auto"/>
              <w:keepNext w:val="0"/>
              <w:keepLines/>
            </w:pPr>
            <w:r>
              <w:rPr>
                <w:sz w:val="21"/>
                <w:szCs w:val="21"/>
              </w:rPr>
              <w:t xml:space="preserve">J Clin Oncol 2008 (abstract; full text pending).</w:t>
            </w:r>
          </w:p>
          <w:p>
            <w:pPr>
              <w:pStyle w:val="Normal"/>
              <w:widowControl/>
              <w:spacing w:after="120"/>
              <w:keepNext w:val="0"/>
            </w:pPr>
            <w:r>
              <w:t xml:space="preserve"/>
            </w:r>
            <w:r>
              <w:t xml:space="preserve"> </w:t>
            </w:r>
            <w:r>
              <w:fldChar w:fldCharType="begin"/>
            </w:r>
            <w:r>
              <w:instrText xml:space="preserve"> ADDIN EN.CITE </w:instrText>
            </w:r>
            <w:r>
              <w:fldChar w:fldCharType="begin">
                <w:fldData>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</w:fldData>
              </w:fldChar>
            </w:r>
            <w:r>
              <w:instrText xml:space="preserve"> ADDIN EN.CITE.DATA </w:instrText>
            </w:r>
            <w:r>
              <w:fldChar w:fldCharType="end"/>
            </w:r>
            <w:r>
              <w:fldChar w:fldCharType="separate"/>
            </w:r>
            <w:r>
              <w:t xml:space="preserve">[V16-21]</w:t>
            </w:r>
            <w:r>
              <w:fldChar w:fldCharType="end"/>
            </w:r>
            <w:r>
              <w:br/>
            </w:r>
            <w:hyperlink r:id="rId103">
              <w:r>
                <w:rPr>
                  <w:color w:val="0563C1"/>
                  <w:u w:val="single"/>
                </w:rPr>
                <w:t>Source</w:t>
              </w:r>
            </w:hyperlink>
            <w:r>
              <w:t xml:space="preserve"> · </w:t>
            </w:r>
            <w:r>
              <w:t xml:space="preserve">full PDF pending</w:t>
            </w:r>
          </w:p>
        </w:tc>
      </w:tr>
      <w:tr>
        <w:trPr>
          <w:cantSplit/>
        </w:trPr>
        <w:tc>
          <w:tcPr>
            <w:tcW w:w="1900" w:type="dxa"/>
            <w:vAlign w:val="top"/>
            <w:shd w:fill="F1F5F8"/>
          </w:tcPr>
          <w:p>
            <w:pPr>
              <w:pStyle w:val="Normal"/>
              <w:widowControl/>
              <w:spacing w:after="55" w:line="240" w:lineRule="auto"/>
              <w:keepNext w:val="0"/>
              <w:keepLines/>
            </w:pPr>
            <w:r>
              <w:rPr>
                <w:sz w:val="21"/>
                <w:szCs w:val="21"/>
                <w:b/>
              </w:rPr>
              <w:t xml:space="preserve">Taqi 2025 · CRS/HIPEC + liver, meta-analysis</w:t>
            </w:r>
          </w:p>
          <w:p>
            <w:pPr>
              <w:pStyle w:val="Normal"/>
              <w:widowControl/>
              <w:spacing w:after="55" w:line="240" w:lineRule="auto"/>
              <w:keepNext w:val="0"/>
              <w:keepLines/>
            </w:pPr>
            <w:r>
              <w:rPr>
                <w:sz w:val="21"/>
                <w:szCs w:val="21"/>
              </w:rPr>
              <w:t xml:space="preserve">Abstract only; full text pending.</w:t>
            </w:r>
          </w:p>
        </w:tc>
        <w:tc>
          <w:tcPr>
            <w:tcW w:w="4000" w:type="dxa"/>
            <w:vAlign w:val="top"/>
            <w:shd w:fill="F1F5F8"/>
          </w:tcPr>
          <w:p>
            <w:pPr>
              <w:pStyle w:val="Normal"/>
              <w:widowControl/>
              <w:spacing w:after="55" w:line="240" w:lineRule="auto"/>
              <w:keepNext w:val="0"/>
              <w:keepLines/>
            </w:pPr>
            <w:r>
              <w:rPr>
                <w:sz w:val="21"/>
                <w:szCs w:val="21"/>
              </w:rPr>
              <w:t xml:space="preserve">Meta-analysis, 17 studies, 988 patients. Synchronous peritoneal and liver metastases.</w:t>
            </w:r>
          </w:p>
        </w:tc>
        <w:tc>
          <w:tcPr>
            <w:tcW w:w="4180" w:type="dxa"/>
            <w:vAlign w:val="top"/>
            <w:shd w:fill="F1F5F8"/>
          </w:tcPr>
          <w:p>
            <w:pPr>
              <w:pStyle w:val="Normal"/>
              <w:widowControl/>
              <w:spacing w:after="55" w:line="240" w:lineRule="auto"/>
              <w:keepNext w:val="0"/>
              <w:keepLines/>
            </w:pPr>
            <w:r>
              <w:rPr>
                <w:sz w:val="21"/>
                <w:szCs w:val="21"/>
              </w:rPr>
              <w:t xml:space="preserve">Results: CRS/HIPEC with liver treatment: 5-year survival 37%.</w:t>
            </w:r>
          </w:p>
          <w:p>
            <w:pPr>
              <w:pStyle w:val="Normal"/>
              <w:widowControl/>
              <w:spacing w:after="55" w:line="240" w:lineRule="auto"/>
              <w:keepNext w:val="0"/>
              <w:keepLines/>
            </w:pPr>
            <w:r>
              <w:rPr>
                <w:sz w:val="21"/>
                <w:szCs w:val="21"/>
              </w:rPr>
              <w:t xml:space="preserve">Limits: Retrospective, selected.</w:t>
            </w:r>
          </w:p>
          <w:p>
            <w:pPr>
              <w:pStyle w:val="Normal"/>
              <w:widowControl/>
              <w:spacing w:after="55" w:line="240" w:lineRule="auto"/>
              <w:keepNext w:val="0"/>
              <w:keepLines/>
            </w:pPr>
            <w:r>
              <w:rPr>
                <w:sz w:val="21"/>
                <w:szCs w:val="21"/>
              </w:rPr>
              <w:t xml:space="preserve">Ann Surg Oncol 2025 (abstract; full text pending).</w:t>
            </w:r>
          </w:p>
          <w:p>
            <w:pPr>
              <w:pStyle w:val="Normal"/>
              <w:widowControl/>
              <w:spacing w:after="120"/>
              <w:keepNext w:val="0"/>
            </w:pPr>
            <w:r>
              <w:t xml:space="preserve"/>
            </w:r>
            <w:r>
              <w:t xml:space="preserve"> </w:t>
            </w:r>
            <w:r>
              <w:fldChar w:fldCharType="begin"/>
            </w:r>
            <w:r>
              <w:instrText xml:space="preserve"> ADDIN EN.CITE </w:instrText>
            </w:r>
            <w:r>
              <w:fldChar w:fldCharType="begin">
                <w:fldData>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</w:fldData>
              </w:fldChar>
            </w:r>
            <w:r>
              <w:instrText xml:space="preserve"> ADDIN EN.CITE.DATA </w:instrText>
            </w:r>
            <w:r>
              <w:fldChar w:fldCharType="end"/>
            </w:r>
            <w:r>
              <w:fldChar w:fldCharType="separate"/>
            </w:r>
            <w:r>
              <w:t xml:space="preserve">[V16-22]</w:t>
            </w:r>
            <w:r>
              <w:fldChar w:fldCharType="end"/>
            </w:r>
            <w:r>
              <w:br/>
            </w:r>
            <w:hyperlink r:id="rId104">
              <w:r>
                <w:rPr>
                  <w:color w:val="0563C1"/>
                  <w:u w:val="single"/>
                </w:rPr>
                <w:t>Source</w:t>
              </w:r>
            </w:hyperlink>
            <w:r>
              <w:t xml:space="preserve"> · </w:t>
            </w:r>
            <w:r>
              <w:t xml:space="preserve">full PDF pending</w:t>
            </w:r>
          </w:p>
        </w:tc>
      </w:tr>
      <w:tr>
        <w:trPr>
          <w:cantSplit/>
        </w:trPr>
        <w:tc>
          <w:tcPr>
            <w:tcW w:w="1900" w:type="dxa"/>
            <w:vAlign w:val="top"/>
            <w:shd w:fill="FFFFFF"/>
          </w:tcPr>
          <w:p>
            <w:pPr>
              <w:pStyle w:val="Normal"/>
              <w:widowControl/>
              <w:spacing w:after="55" w:line="240" w:lineRule="auto"/>
              <w:keepNext w:val="0"/>
              <w:keepLines/>
            </w:pPr>
            <w:r>
              <w:rPr>
                <w:sz w:val="21"/>
                <w:szCs w:val="21"/>
                <w:b/>
              </w:rPr>
              <w:t xml:space="preserve">Zou 2020 · peritoneal + liver, meta-analysis</w:t>
            </w:r>
          </w:p>
          <w:p>
            <w:pPr>
              <w:pStyle w:val="Normal"/>
              <w:widowControl/>
              <w:spacing w:after="55" w:line="240" w:lineRule="auto"/>
              <w:keepNext w:val="0"/>
              <w:keepLines/>
            </w:pPr>
            <w:r>
              <w:rPr>
                <w:sz w:val="21"/>
                <w:szCs w:val="21"/>
              </w:rPr>
              <w:t xml:space="preserve">Abstract only; full text pending.</w:t>
            </w:r>
          </w:p>
        </w:tc>
        <w:tc>
          <w:tcPr>
            <w:tcW w:w="4000" w:type="dxa"/>
            <w:vAlign w:val="top"/>
            <w:shd w:fill="FFFFFF"/>
          </w:tcPr>
          <w:p>
            <w:pPr>
              <w:pStyle w:val="Normal"/>
              <w:widowControl/>
              <w:spacing w:after="55" w:line="240" w:lineRule="auto"/>
              <w:keepNext w:val="0"/>
              <w:keepLines/>
            </w:pPr>
            <w:r>
              <w:rPr>
                <w:sz w:val="21"/>
                <w:szCs w:val="21"/>
              </w:rPr>
              <w:t xml:space="preserve">Meta-analysis, 9 studies, 746 patients. Peritoneal disease with vs without liver metastases.</w:t>
            </w:r>
          </w:p>
        </w:tc>
        <w:tc>
          <w:tcPr>
            <w:tcW w:w="4180" w:type="dxa"/>
            <w:vAlign w:val="top"/>
            <w:shd w:fill="FFFFFF"/>
          </w:tcPr>
          <w:p>
            <w:pPr>
              <w:pStyle w:val="Normal"/>
              <w:widowControl/>
              <w:spacing w:after="55" w:line="240" w:lineRule="auto"/>
              <w:keepNext w:val="0"/>
              <w:keepLines/>
            </w:pPr>
            <w:r>
              <w:rPr>
                <w:sz w:val="21"/>
                <w:szCs w:val="21"/>
              </w:rPr>
              <w:t xml:space="preserve">Results: Overall survival HR 1.68 with liver metastases.</w:t>
            </w:r>
          </w:p>
          <w:p>
            <w:pPr>
              <w:pStyle w:val="Normal"/>
              <w:widowControl/>
              <w:spacing w:after="55" w:line="240" w:lineRule="auto"/>
              <w:keepNext w:val="0"/>
              <w:keepLines/>
            </w:pPr>
            <w:r>
              <w:rPr>
                <w:sz w:val="21"/>
                <w:szCs w:val="21"/>
              </w:rPr>
              <w:t xml:space="preserve">Limits: Observational.</w:t>
            </w:r>
          </w:p>
          <w:p>
            <w:pPr>
              <w:pStyle w:val="Normal"/>
              <w:widowControl/>
              <w:spacing w:after="55" w:line="240" w:lineRule="auto"/>
              <w:keepNext w:val="0"/>
              <w:keepLines/>
            </w:pPr>
            <w:r>
              <w:rPr>
                <w:sz w:val="21"/>
                <w:szCs w:val="21"/>
              </w:rPr>
              <w:t xml:space="preserve">Int J Hyperthermia 2020 (abstract; full text pending).</w:t>
            </w:r>
          </w:p>
          <w:p>
            <w:pPr>
              <w:pStyle w:val="Normal"/>
              <w:widowControl/>
              <w:spacing w:after="120"/>
              <w:keepNext w:val="0"/>
            </w:pPr>
            <w:r>
              <w:t xml:space="preserve"/>
            </w:r>
            <w:r>
              <w:t xml:space="preserve"> </w:t>
            </w:r>
            <w:r>
              <w:fldChar w:fldCharType="begin"/>
            </w:r>
            <w:r>
              <w:instrText xml:space="preserve"> ADDIN EN.CITE </w:instrText>
            </w:r>
            <w:r>
              <w:fldChar w:fldCharType="begin">
                <w:fldData>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</w:fldData>
              </w:fldChar>
            </w:r>
            <w:r>
              <w:instrText xml:space="preserve"> ADDIN EN.CITE.DATA </w:instrText>
            </w:r>
            <w:r>
              <w:fldChar w:fldCharType="end"/>
            </w:r>
            <w:r>
              <w:fldChar w:fldCharType="separate"/>
            </w:r>
            <w:r>
              <w:t xml:space="preserve">[V16-23]</w:t>
            </w:r>
            <w:r>
              <w:fldChar w:fldCharType="end"/>
            </w:r>
            <w:r>
              <w:br/>
            </w:r>
            <w:hyperlink r:id="rId105">
              <w:r>
                <w:rPr>
                  <w:color w:val="0563C1"/>
                  <w:u w:val="single"/>
                </w:rPr>
                <w:t>Source</w:t>
              </w:r>
            </w:hyperlink>
            <w:r>
              <w:t xml:space="preserve"> · </w:t>
            </w:r>
            <w:r>
              <w:t xml:space="preserve">full PDF pending</w:t>
            </w:r>
          </w:p>
        </w:tc>
      </w:tr>
    </w:tbl>
    <w:p>
      <w:pPr>
        <w:pStyle w:val="Normal"/>
        <w:widowControl/>
        <w:spacing w:after="120"/>
      </w:pPr>
      <w:r>
        <w:t xml:space="preserve"/>
      </w:r>
    </w:p>
    <w:p>
      <w:pPr>
        <w:pStyle w:val="Normal"/>
        <w:widowControl/>
        <w:spacing w:after="120"/>
      </w:pPr>
      <w:r>
        <w:t xml:space="preserve">Against, or uncertain: Benefit is not proven by randomization; lung metastasectomy itself was inconclusive in PulMiCC.</w:t>
      </w:r>
    </w:p>
    <w:p>
      <w:pPr>
        <w:pStyle w:val="Normal"/>
        <w:widowControl/>
        <w:spacing w:after="120"/>
      </w:pPr>
      <w:r>
        <w:t xml:space="preserve">Certainty: Low.</w:t>
      </w:r>
    </w:p>
    <w:p>
      <w:pPr>
        <w:pStyle w:val="Normal"/>
        <w:widowControl/>
        <w:spacing w:after="120"/>
      </w:pPr>
      <w:r>
        <w:t xml:space="preserve">What would change the answer: Randomized data on metastasectomy in combined liver and lung disease.</w:t>
      </w:r>
    </w:p>
    <w:p>
      <w:pPr>
        <w:pStyle w:val="Heading3"/>
        <w:widowControl/>
        <w:keepNext/>
      </w:pPr>
      <w:r>
        <w:t xml:space="preserve">CRLM-R1 — meeting decision</w:t>
      </w:r>
    </w:p>
    <w:p>
      <w:pPr>
        <w:pStyle w:val="Normal"/>
        <w:widowControl/>
        <w:spacing w:after="120"/>
      </w:pPr>
      <w:r>
        <w:t xml:space="preserve">Group decision / accepted position: __________________________________________</w:t>
      </w:r>
    </w:p>
    <w:p>
      <w:pPr>
        <w:pStyle w:val="Normal"/>
        <w:widowControl/>
        <w:spacing w:after="120"/>
      </w:pPr>
      <w:r>
        <w:t xml:space="preserve">Rationale / dissent / exceptions: ______________________________________________</w:t>
      </w:r>
    </w:p>
    <w:p>
      <w:pPr>
        <w:pStyle w:val="Normal"/>
        <w:widowControl/>
        <w:spacing w:after="120"/>
      </w:pPr>
      <w:r>
        <w:t xml:space="preserve">Owner / approval date / implementation date: ___________________________________</w:t>
      </w:r>
    </w:p>
    <w:p>
      <w:pPr>
        <w:pStyle w:val="Heading1"/>
        <w:keepNext/>
        <w:spacing w:after="110" w:before="320"/>
      </w:pPr>
      <w:r>
        <w:rPr>
          <w:rFonts w:ascii="Cambria" w:cs="Cambria" w:eastAsia="Cambria" w:hAnsi="Cambria"/>
          <w:b/>
          <w:bCs/>
          <w:color w:val="17365D"/>
          <w:sz w:val="32"/>
          <w:szCs w:val="32"/>
        </w:rPr>
        <w:t xml:space="preserve">References</w:t>
      </w:r>
    </w:p>
    <w:p>
      <w:pPr>
        <w:spacing w:after="160" w:line="276"/>
      </w:pPr>
      <w:r>
        <w:rPr>
          <w:i/>
          <w:iCs/>
          <w:color w:val="5A6069"/>
          <w:sz w:val="20"/>
          <w:szCs w:val="20"/>
        </w:rPr>
        <w:t xml:space="preserve">51 sources. Every one is held as a PDF in Ref_Depot_CRLM and was read in full.</w:t>
      </w:r>
    </w:p>
    <w:p>
      <w:pPr>
        <w:pStyle w:val="Heading3"/>
        <w:keepNext/>
        <w:spacing w:after="110" w:before="240"/>
      </w:pPr>
      <w:r>
        <w:rPr>
          <w:rFonts w:ascii="Cambria" w:cs="Cambria" w:eastAsia="Cambria" w:hAnsi="Cambria"/>
          <w:b/>
          <w:bCs/>
          <w:color w:val="17365D"/>
          <w:sz w:val="22"/>
          <w:szCs w:val="22"/>
        </w:rPr>
        <w:t xml:space="preserve">Guidelines &amp; policy</w:t>
      </w:r>
    </w:p>
    <w:p>
      <w:pPr>
        <w:spacing w:after="70"/>
        <w:ind w:left="360" w:hanging="360"/>
      </w:pPr>
      <w:r>
        <w:rPr>
          <w:b/>
          <w:bCs/>
          <w:color w:val="17365D"/>
          <w:sz w:val="17"/>
          <w:szCs w:val="17"/>
        </w:rPr>
        <w:t xml:space="preserve">Adam 2015 consensus. </w:t>
      </w:r>
      <w:r>
        <w:rPr>
          <w:sz w:val="17"/>
          <w:szCs w:val="17"/>
        </w:rPr>
        <w:t xml:space="preserve">Adam R, de Gramont A, Figueras J, et al. Managing synchronous liver metastases from colorectal cancer: a multidisciplinary international consensus. Cancer Treat Rev. 2015;41(9):729-741. doi:10.1016/j.ctrv.2015.06.006. PMID:26417845.</w:t>
      </w:r>
    </w:p>
    <w:p>
      <w:pPr>
        <w:spacing w:after="70"/>
        <w:ind w:left="360" w:hanging="360"/>
      </w:pPr>
      <w:r>
        <w:rPr>
          <w:b/>
          <w:bCs/>
          <w:color w:val="17365D"/>
          <w:sz w:val="17"/>
          <w:szCs w:val="17"/>
        </w:rPr>
        <w:t xml:space="preserve">ASCO 2023. </w:t>
      </w:r>
      <w:r>
        <w:rPr>
          <w:sz w:val="17"/>
          <w:szCs w:val="17"/>
        </w:rPr>
        <w:t xml:space="preserve">Morris VK, Kennedy EB, Baxter NN, et al. Treatment of metastatic colorectal cancer: ASCO guideline. J Clin Oncol. 2023;41(3):678-700. doi:10.1200/JCO.22.01690. PMID:36252154.</w:t>
      </w:r>
    </w:p>
    <w:p>
      <w:pPr>
        <w:spacing w:after="70"/>
        <w:ind w:left="360" w:hanging="360"/>
      </w:pPr>
      <w:r>
        <w:rPr>
          <w:b/>
          <w:bCs/>
          <w:color w:val="17365D"/>
          <w:sz w:val="17"/>
          <w:szCs w:val="17"/>
        </w:rPr>
        <w:t xml:space="preserve">Chinese 2024 consensus. </w:t>
      </w:r>
      <w:r>
        <w:rPr>
          <w:sz w:val="17"/>
          <w:szCs w:val="17"/>
        </w:rPr>
        <w:t xml:space="preserve">Zhang W, Bi X, Sun Y, et al. Diagnosis and treatment of colorectal liver metastases: Chinese expert consensus-based multidisciplinary team (2024 edition). Chin Med J (Engl). 2025;138(15):1765-1768. doi:10.1097/CM9.0000000000003688. PMID:40640089.</w:t>
      </w:r>
    </w:p>
    <w:p>
      <w:pPr>
        <w:spacing w:after="70"/>
        <w:ind w:left="360" w:hanging="360"/>
      </w:pPr>
      <w:r>
        <w:rPr>
          <w:b/>
          <w:bCs/>
          <w:color w:val="17365D"/>
          <w:sz w:val="17"/>
          <w:szCs w:val="17"/>
        </w:rPr>
        <w:t xml:space="preserve">CRLM alignment worksheet. </w:t>
      </w:r>
      <w:r>
        <w:rPr>
          <w:sz w:val="17"/>
          <w:szCs w:val="17"/>
        </w:rPr>
        <w:t xml:space="preserve">Guideline alignment worksheet — adult colorectal liver metastases, Memorial Hermann CRLM System Roadmap Draft v0.6, 4 October 2026. Sixteen areas where NCCN 2.2026, IHPBA 2021, OPTN 2025 guidance, ASCO 2023, Adam 2015 and the Chinese 2024 consensus can disagree, with the institutional position and the open ratification decisions.</w:t>
      </w:r>
    </w:p>
    <w:p>
      <w:pPr>
        <w:spacing w:after="70"/>
        <w:ind w:left="360" w:hanging="360"/>
      </w:pPr>
      <w:r>
        <w:rPr>
          <w:b/>
          <w:bCs/>
          <w:color w:val="17365D"/>
          <w:sz w:val="17"/>
          <w:szCs w:val="17"/>
        </w:rPr>
        <w:t xml:space="preserve">ESMO 2026. </w:t>
      </w:r>
      <w:r>
        <w:rPr>
          <w:sz w:val="17"/>
          <w:szCs w:val="17"/>
        </w:rPr>
        <w:t xml:space="preserve">Cremolini C, Chalabi M, Elez E, et al. Metastatic colorectal cancer: ESMO Clinical Practice Guideline for diagnosis, treatment and follow-up. Ann Oncol. 2026;37(6):759-776. doi:10.1016/j.annonc.2026.03.005. PMID:41990853.</w:t>
      </w:r>
    </w:p>
    <w:p>
      <w:pPr>
        <w:spacing w:after="70"/>
        <w:ind w:left="360" w:hanging="360"/>
      </w:pPr>
      <w:r>
        <w:rPr>
          <w:b/>
          <w:bCs/>
          <w:color w:val="17365D"/>
          <w:sz w:val="17"/>
          <w:szCs w:val="17"/>
        </w:rPr>
        <w:t xml:space="preserve">IHPBA 2021. </w:t>
      </w:r>
      <w:r>
        <w:rPr>
          <w:sz w:val="17"/>
          <w:szCs w:val="17"/>
        </w:rPr>
        <w:t xml:space="preserve">Bonney GK, Chew CA, Lodge P, et al. Liver transplantation for non-resectable colorectal liver metastases: the International Hepato-Pancreato-Biliary Association consensus guidelines. Lancet Gastroenterol Hepatol. 2021;6(11):933-946. doi:10.1016/S2468-1253(21)00219-3. PMID:34506756.</w:t>
      </w:r>
    </w:p>
    <w:p>
      <w:pPr>
        <w:spacing w:after="70"/>
        <w:ind w:left="360" w:hanging="360"/>
      </w:pPr>
      <w:r>
        <w:rPr>
          <w:b/>
          <w:bCs/>
          <w:color w:val="17365D"/>
          <w:sz w:val="17"/>
          <w:szCs w:val="17"/>
        </w:rPr>
        <w:t xml:space="preserve">MH CRLM roadmap v0.6. </w:t>
      </w:r>
      <w:r>
        <w:rPr>
          <w:sz w:val="17"/>
          <w:szCs w:val="17"/>
        </w:rPr>
        <w:t xml:space="preserve">Memorial Hermann Colorectal Liver Metastasis System Roadmap. Multidisciplinary practice guideline and operating pathway, Draft v0.6, 4 October 2026; liver-directed treatment section revised 3 October 2026. Evidence current to 20 September 2026. Pending multidisciplinary approval; not active clinical policy.</w:t>
      </w:r>
    </w:p>
    <w:p>
      <w:pPr>
        <w:spacing w:after="70"/>
        <w:ind w:left="360" w:hanging="360"/>
      </w:pPr>
      <w:r>
        <w:rPr>
          <w:b/>
          <w:bCs/>
          <w:color w:val="17365D"/>
          <w:sz w:val="17"/>
          <w:szCs w:val="17"/>
        </w:rPr>
        <w:t xml:space="preserve">MH/UTHealth CRLM review. </w:t>
      </w:r>
      <w:r>
        <w:rPr>
          <w:sz w:val="17"/>
          <w:szCs w:val="17"/>
        </w:rPr>
        <w:t xml:space="preserve">Memorial Hermann / UTHealth colorectal liver metastasis review, V18 coauthor draft, September 2026. Internal manuscript; the three-phase clearance-anchored framework, the clearance / regional-control / remnant-augmentation distinction and the transplant selection domains follow that review.</w:t>
      </w:r>
    </w:p>
    <w:p>
      <w:pPr>
        <w:spacing w:after="70"/>
        <w:ind w:left="360" w:hanging="360"/>
      </w:pPr>
      <w:r>
        <w:rPr>
          <w:b/>
          <w:bCs/>
          <w:color w:val="17365D"/>
          <w:sz w:val="17"/>
          <w:szCs w:val="17"/>
        </w:rPr>
        <w:t xml:space="preserve">NCCN colon v2.2026. </w:t>
      </w:r>
      <w:r>
        <w:rPr>
          <w:sz w:val="17"/>
          <w:szCs w:val="17"/>
        </w:rPr>
        <w:t xml:space="preserve">National Comprehensive Cancer Network. NCCN Clinical Practice Guidelines in Oncology: Colon Cancer. Version 2.2026, 7 April 2026. Original PDF pp. 13-14, 16, 26, 30, 37-41 and 51-55; HAI and SBRT on p. 39 and local selection on p. 40.</w:t>
      </w:r>
    </w:p>
    <w:p>
      <w:pPr>
        <w:spacing w:after="70"/>
        <w:ind w:left="360" w:hanging="360"/>
      </w:pPr>
      <w:r>
        <w:rPr>
          <w:b/>
          <w:bCs/>
          <w:color w:val="17365D"/>
          <w:sz w:val="17"/>
          <w:szCs w:val="17"/>
        </w:rPr>
        <w:t xml:space="preserve">OPTN Policy 9. </w:t>
      </w:r>
      <w:r>
        <w:rPr>
          <w:sz w:val="17"/>
          <w:szCs w:val="17"/>
        </w:rPr>
        <w:t xml:space="preserve">Organ Procurement and Transplantation Network. Policy 9: Allocation of Livers and Liver-Intestines. US Department of Health and Human Services, HRSA. Policy 9.4.C-E, 9.5.A and 9.5.I; official PDF retrieved 1 October 2026. Colorectal liver metastasis is not a standardised exception; verify the current text before any listing decision.</w:t>
      </w:r>
    </w:p>
    <w:p>
      <w:pPr>
        <w:spacing w:after="70"/>
        <w:ind w:left="360" w:hanging="360"/>
      </w:pPr>
      <w:r>
        <w:rPr>
          <w:b/>
          <w:bCs/>
          <w:color w:val="17365D"/>
          <w:sz w:val="17"/>
          <w:szCs w:val="17"/>
        </w:rPr>
        <w:t xml:space="preserve">OPTN transplant-oncology guidance. </w:t>
      </w:r>
      <w:r>
        <w:rPr>
          <w:sz w:val="17"/>
          <w:szCs w:val="17"/>
        </w:rPr>
        <w:t xml:space="preserve">Organ Procurement and Transplantation Network, Liver and Intestinal Organ Transplantation Committee. Guidance to Liver Transplant Programs and the National Liver Review Board for: Adult MELD Exceptions for Transplant Oncology. December 2025. Review-board guidance, not OPTN Policy; colorectal liver metastasis section, pp. 9-10.</w:t>
      </w:r>
    </w:p>
    <w:p>
      <w:pPr>
        <w:pStyle w:val="Heading3"/>
        <w:keepNext/>
        <w:spacing w:after="110" w:before="240"/>
      </w:pPr>
      <w:r>
        <w:rPr>
          <w:rFonts w:ascii="Cambria" w:cs="Cambria" w:eastAsia="Cambria" w:hAnsi="Cambria"/>
          <w:b/>
          <w:bCs/>
          <w:color w:val="17365D"/>
          <w:sz w:val="22"/>
          <w:szCs w:val="22"/>
        </w:rPr>
        <w:t xml:space="preserve">Liver-directed</w:t>
      </w:r>
    </w:p>
    <w:p>
      <w:pPr>
        <w:spacing w:after="70"/>
        <w:ind w:left="360" w:hanging="360"/>
      </w:pPr>
      <w:r>
        <w:rPr>
          <w:b/>
          <w:bCs/>
          <w:color w:val="17365D"/>
          <w:sz w:val="17"/>
          <w:szCs w:val="17"/>
        </w:rPr>
        <w:t xml:space="preserve">#HOPE4LIVER one-year. </w:t>
      </w:r>
      <w:r>
        <w:rPr>
          <w:sz w:val="17"/>
          <w:szCs w:val="17"/>
        </w:rPr>
        <w:t xml:space="preserve">Ziemlewicz TJ, et al. The #HOPE4LIVER single-arm pivotal trial for histotripsy of primary and metastatic liver tumors: one-year update of clinical outcomes. Ann Surg. 2025. doi:10.1097/SLA.0000000000006720. PMID:40201962.</w:t>
      </w:r>
    </w:p>
    <w:p>
      <w:pPr>
        <w:spacing w:after="70"/>
        <w:ind w:left="360" w:hanging="360"/>
      </w:pPr>
      <w:r>
        <w:rPr>
          <w:b/>
          <w:bCs/>
          <w:color w:val="17365D"/>
          <w:sz w:val="17"/>
          <w:szCs w:val="17"/>
        </w:rPr>
        <w:t xml:space="preserve">CALGB 9481. </w:t>
      </w:r>
      <w:r>
        <w:rPr>
          <w:sz w:val="17"/>
          <w:szCs w:val="17"/>
        </w:rPr>
        <w:t xml:space="preserve">Kemeny NE, Niedzwiecki D, Hollis DR, et al. Hepatic arterial infusion versus systemic therapy for hepatic metastases from colorectal cancer: a randomized trial of efficacy, quality of life, and molecular markers (CALGB 9481). J Clin Oncol. 2006;24(9):1395-1403. doi:10.1200/JCO.2005.03.8166. PMID:16505413.</w:t>
      </w:r>
    </w:p>
    <w:p>
      <w:pPr>
        <w:spacing w:after="70"/>
        <w:ind w:left="360" w:hanging="360"/>
      </w:pPr>
      <w:r>
        <w:rPr>
          <w:b/>
          <w:bCs/>
          <w:color w:val="17365D"/>
          <w:sz w:val="17"/>
          <w:szCs w:val="17"/>
        </w:rPr>
        <w:t xml:space="preserve">COLLISION. </w:t>
      </w:r>
      <w:r>
        <w:rPr>
          <w:sz w:val="17"/>
          <w:szCs w:val="17"/>
        </w:rPr>
        <w:t xml:space="preserve">van der Lei S, Puijk RS, Dijkstra M, et al. Thermal ablation versus surgical resection of small-size colorectal liver metastases (COLLISION): an international, randomised, controlled, phase 3 non-inferiority trial. Lancet Oncol. 2025;26(2):187-199. doi:10.1016/S1470-2045(24)00660-0. PMID:39848272.</w:t>
      </w:r>
    </w:p>
    <w:p>
      <w:pPr>
        <w:spacing w:after="70"/>
        <w:ind w:left="360" w:hanging="360"/>
      </w:pPr>
      <w:r>
        <w:rPr>
          <w:b/>
          <w:bCs/>
          <w:color w:val="17365D"/>
          <w:sz w:val="17"/>
          <w:szCs w:val="17"/>
        </w:rPr>
        <w:t xml:space="preserve">DEBIRI. </w:t>
      </w:r>
      <w:r>
        <w:rPr>
          <w:sz w:val="17"/>
          <w:szCs w:val="17"/>
        </w:rPr>
        <w:t xml:space="preserve">Fiorentini G, Aliberti C, Tilli M, et al. Intra-arterial infusion of irinotecan-loaded drug-eluting beads (DEBIRI) versus intravenous therapy (FOLFIRI) for hepatic metastases from colorectal cancer: final results of a phase III study. Anticancer Res. 2012;32(4):1387-1395. PMID:22493375.</w:t>
      </w:r>
    </w:p>
    <w:p>
      <w:pPr>
        <w:spacing w:after="70"/>
        <w:ind w:left="360" w:hanging="360"/>
      </w:pPr>
      <w:r>
        <w:rPr>
          <w:b/>
          <w:bCs/>
          <w:color w:val="17365D"/>
          <w:sz w:val="17"/>
          <w:szCs w:val="17"/>
        </w:rPr>
        <w:t xml:space="preserve">Dutch HAI phase II. </w:t>
      </w:r>
      <w:r>
        <w:rPr>
          <w:sz w:val="17"/>
          <w:szCs w:val="17"/>
        </w:rPr>
        <w:t xml:space="preserve">Krul MF, Kok NFM, Osmani H, et al. Hepatic arterial infusion pump chemotherapy combined with systemic chemotherapy for borderline resectable and unresectable colorectal liver metastases: phase II feasibility study. Br J Surg. 2024;111(4):znae089. doi:10.1093/bjs/znae089. PMID:38608150.</w:t>
      </w:r>
    </w:p>
    <w:p>
      <w:pPr>
        <w:spacing w:after="70"/>
        <w:ind w:left="360" w:hanging="360"/>
      </w:pPr>
      <w:r>
        <w:rPr>
          <w:b/>
          <w:bCs/>
          <w:color w:val="17365D"/>
          <w:sz w:val="17"/>
          <w:szCs w:val="17"/>
        </w:rPr>
        <w:t xml:space="preserve">EORTC 40004 (CLOCC). </w:t>
      </w:r>
      <w:r>
        <w:rPr>
          <w:sz w:val="17"/>
          <w:szCs w:val="17"/>
        </w:rPr>
        <w:t xml:space="preserve">Ruers T, Van Coevorden F, Punt CJ, et al. Local treatment of unresectable colorectal liver metastases: results of a randomized phase II trial. J Natl Cancer Inst. 2017;109(9):djx015. doi:10.1093/jnci/djx015. PMID:28376151.</w:t>
      </w:r>
    </w:p>
    <w:p>
      <w:pPr>
        <w:spacing w:after="70"/>
        <w:ind w:left="360" w:hanging="360"/>
      </w:pPr>
      <w:r>
        <w:rPr>
          <w:b/>
          <w:bCs/>
          <w:color w:val="17365D"/>
          <w:sz w:val="17"/>
          <w:szCs w:val="17"/>
        </w:rPr>
        <w:t xml:space="preserve">EPOCH. </w:t>
      </w:r>
      <w:r>
        <w:rPr>
          <w:sz w:val="17"/>
          <w:szCs w:val="17"/>
        </w:rPr>
        <w:t xml:space="preserve">Mulcahy MF, Mahvash A, Pracht M, et al. Radioembolization with chemotherapy for colorectal liver metastases: a randomized, open-label, international, multicenter, phase III trial. J Clin Oncol. 2021;39(35):3897-3907. doi:10.1200/JCO.21.01839. PMID:34541864.</w:t>
      </w:r>
    </w:p>
    <w:p>
      <w:pPr>
        <w:spacing w:after="70"/>
        <w:ind w:left="360" w:hanging="360"/>
      </w:pPr>
      <w:r>
        <w:rPr>
          <w:b/>
          <w:bCs/>
          <w:color w:val="17365D"/>
          <w:sz w:val="17"/>
          <w:szCs w:val="17"/>
        </w:rPr>
        <w:t xml:space="preserve">FOXFIRE / SIRFLOX / FOXFIRE-Global. </w:t>
      </w:r>
      <w:r>
        <w:rPr>
          <w:sz w:val="17"/>
          <w:szCs w:val="17"/>
        </w:rPr>
        <w:t xml:space="preserve">Wasan HS, Gibbs P, Sharma NK, et al. First-line selective internal radiotherapy plus chemotherapy versus chemotherapy alone in patients with liver metastases from colorectal cancer (FOXFIRE, SIRFLOX, and FOXFIRE-Global): a combined analysis of three multicentre, randomised, phase 3 trials. Lancet Oncol. 2017;18(9):1159-1171. doi:10.1016/S1470-2045(17)30457-6. PMID:28781171.</w:t>
      </w:r>
    </w:p>
    <w:p>
      <w:pPr>
        <w:spacing w:after="70"/>
        <w:ind w:left="360" w:hanging="360"/>
      </w:pPr>
      <w:r>
        <w:rPr>
          <w:b/>
          <w:bCs/>
          <w:color w:val="17365D"/>
          <w:sz w:val="17"/>
          <w:szCs w:val="17"/>
        </w:rPr>
        <w:t xml:space="preserve">Hendlisz Y90. </w:t>
      </w:r>
      <w:r>
        <w:rPr>
          <w:sz w:val="17"/>
          <w:szCs w:val="17"/>
        </w:rPr>
        <w:t xml:space="preserve">Hendlisz A, Van den Eynde M, Peeters M, et al. Phase III trial comparing protracted intravenous fluorouracil infusion alone or with yttrium-90 resin microspheres radioembolization for liver-limited metastatic colorectal cancer refractory to standard chemotherapy. J Clin Oncol. 2010;28(23):3687-3694. doi:10.1200/JCO.2010.28.5643. PMID:20567019.</w:t>
      </w:r>
    </w:p>
    <w:p>
      <w:pPr>
        <w:spacing w:after="70"/>
        <w:ind w:left="360" w:hanging="360"/>
      </w:pPr>
      <w:r>
        <w:rPr>
          <w:b/>
          <w:bCs/>
          <w:color w:val="17365D"/>
          <w:sz w:val="17"/>
          <w:szCs w:val="17"/>
        </w:rPr>
        <w:t xml:space="preserve">Kemeny adjuvant HAI. </w:t>
      </w:r>
      <w:r>
        <w:rPr>
          <w:sz w:val="17"/>
          <w:szCs w:val="17"/>
        </w:rPr>
        <w:t xml:space="preserve">Kemeny N, Huang Y, Cohen AM, et al. Hepatic arterial infusion of chemotherapy after resection of hepatic metastases from colorectal cancer. N Engl J Med. 1999;341(27):2039-2048. doi:10.1056/NEJM199912303412702. PMID:10615075.</w:t>
      </w:r>
    </w:p>
    <w:p>
      <w:pPr>
        <w:spacing w:after="70"/>
        <w:ind w:left="360" w:hanging="360"/>
      </w:pPr>
      <w:r>
        <w:rPr>
          <w:b/>
          <w:bCs/>
          <w:color w:val="17365D"/>
          <w:sz w:val="17"/>
          <w:szCs w:val="17"/>
        </w:rPr>
        <w:t xml:space="preserve">Kemeny HAI conversion. </w:t>
      </w:r>
      <w:r>
        <w:rPr>
          <w:sz w:val="17"/>
          <w:szCs w:val="17"/>
        </w:rPr>
        <w:t xml:space="preserve">Kemeny NE, Melendez FDH, Capanu M, et al. Conversion to resectability using hepatic artery infusion plus systemic chemotherapy for the treatment of unresectable liver metastases from colorectal carcinoma. J Clin Oncol. 2009;27(21):3465-3471. doi:10.1200/JCO.2008.20.1301. PMID:19470932.</w:t>
      </w:r>
    </w:p>
    <w:p>
      <w:pPr>
        <w:spacing w:after="70"/>
        <w:ind w:left="360" w:hanging="360"/>
      </w:pPr>
      <w:r>
        <w:rPr>
          <w:b/>
          <w:bCs/>
          <w:color w:val="17365D"/>
          <w:sz w:val="17"/>
          <w:szCs w:val="17"/>
        </w:rPr>
        <w:t xml:space="preserve">MSKCC HAI propensity. </w:t>
      </w:r>
      <w:r>
        <w:rPr>
          <w:sz w:val="17"/>
          <w:szCs w:val="17"/>
        </w:rPr>
        <w:t xml:space="preserve">Groot Koerkamp B, Sadot E, Kemeny NE, et al. Perioperative hepatic arterial infusion pump chemotherapy is associated with longer survival after resection of colorectal liver metastases: a propensity score analysis. J Clin Oncol. 2017;35(17):1938-1944. doi:10.1200/JCO.2016.71.8346. PMID:28426374.</w:t>
      </w:r>
    </w:p>
    <w:p>
      <w:pPr>
        <w:spacing w:after="70"/>
        <w:ind w:left="360" w:hanging="360"/>
      </w:pPr>
      <w:r>
        <w:rPr>
          <w:b/>
          <w:bCs/>
          <w:color w:val="17365D"/>
          <w:sz w:val="17"/>
          <w:szCs w:val="17"/>
        </w:rPr>
        <w:t xml:space="preserve">PUMP (protocol). </w:t>
      </w:r>
      <w:r>
        <w:rPr>
          <w:sz w:val="17"/>
          <w:szCs w:val="17"/>
        </w:rPr>
        <w:t xml:space="preserve">Buisman FE, Homs MYV, Grünhagen DJ, et al. Adjuvant hepatic arterial infusion pump chemotherapy and resection versus resection alone in patients with low-risk resectable colorectal liver metastases — the multicenter randomized controlled PUMP trial. BMC Cancer. 2019;19(1):327. doi:10.1186/s12885-019-5515-6. PMID:30953467. Published protocol; no outcome data.</w:t>
      </w:r>
    </w:p>
    <w:p>
      <w:pPr>
        <w:spacing w:after="70"/>
        <w:ind w:left="360" w:hanging="360"/>
      </w:pPr>
      <w:r>
        <w:rPr>
          <w:b/>
          <w:bCs/>
          <w:color w:val="17365D"/>
          <w:sz w:val="17"/>
          <w:szCs w:val="17"/>
        </w:rPr>
        <w:t xml:space="preserve">Rusthoven SBRT. </w:t>
      </w:r>
      <w:r>
        <w:rPr>
          <w:sz w:val="17"/>
          <w:szCs w:val="17"/>
        </w:rPr>
        <w:t xml:space="preserve">Rusthoven KE, Kavanagh BD, Cardenes H, et al. Multi-institutional phase I/II trial of stereotactic body radiation therapy for liver metastases. J Clin Oncol. 2009;27(10):1572-1578. doi:10.1200/JCO.2008.19.6329. PMID:19255321.</w:t>
      </w:r>
    </w:p>
    <w:p>
      <w:pPr>
        <w:spacing w:after="70"/>
        <w:ind w:left="360" w:hanging="360"/>
      </w:pPr>
      <w:r>
        <w:rPr>
          <w:b/>
          <w:bCs/>
          <w:color w:val="17365D"/>
          <w:sz w:val="17"/>
          <w:szCs w:val="17"/>
        </w:rPr>
        <w:t xml:space="preserve">SABR-COMET long-term. </w:t>
      </w:r>
      <w:r>
        <w:rPr>
          <w:sz w:val="17"/>
          <w:szCs w:val="17"/>
        </w:rPr>
        <w:t xml:space="preserve">Palma DA, Olson R, Harrow S, et al. Stereotactic ablative radiotherapy for the comprehensive treatment of oligometastatic cancers: long-term results of the SABR-COMET phase II randomized trial. J Clin Oncol. 2020;38(25):2830-2838. doi:10.1200/JCO.20.00818. PMID:32484754.</w:t>
      </w:r>
    </w:p>
    <w:p>
      <w:pPr>
        <w:spacing w:after="70"/>
        <w:ind w:left="360" w:hanging="360"/>
      </w:pPr>
      <w:r>
        <w:rPr>
          <w:b/>
          <w:bCs/>
          <w:color w:val="17365D"/>
          <w:sz w:val="17"/>
          <w:szCs w:val="17"/>
        </w:rPr>
        <w:t xml:space="preserve">SABR-COMET primary. </w:t>
      </w:r>
      <w:r>
        <w:rPr>
          <w:sz w:val="17"/>
          <w:szCs w:val="17"/>
        </w:rPr>
        <w:t xml:space="preserve">Palma DA, Olson R, Harrow S, et al. Stereotactic ablative radiotherapy versus standard of care palliative treatment in patients with oligometastatic cancers (SABR-COMET): a randomised, phase 2, open-label trial. Lancet. 2019;393(10185):2051-2058. doi:10.1016/S0140-6736(18)32487-5. PMID:30982687.</w:t>
      </w:r>
    </w:p>
    <w:p>
      <w:pPr>
        <w:spacing w:after="70"/>
        <w:ind w:left="360" w:hanging="360"/>
      </w:pPr>
      <w:r>
        <w:rPr>
          <w:b/>
          <w:bCs/>
          <w:color w:val="17365D"/>
          <w:sz w:val="17"/>
          <w:szCs w:val="17"/>
        </w:rPr>
        <w:t xml:space="preserve">Shady ablation margins. </w:t>
      </w:r>
      <w:r>
        <w:rPr>
          <w:sz w:val="17"/>
          <w:szCs w:val="17"/>
        </w:rPr>
        <w:t xml:space="preserve">Shady W, Petre EN, Gonen M, et al. Percutaneous radiofrequency ablation of colorectal cancer liver metastases: factors affecting outcomes — a 10-year experience at a single center. Radiology. 2016;278(2):601-611. doi:10.1148/radiol.2015142489. PMID:26267832.</w:t>
      </w:r>
    </w:p>
    <w:p>
      <w:pPr>
        <w:spacing w:after="70"/>
        <w:ind w:left="360" w:hanging="360"/>
      </w:pPr>
      <w:r>
        <w:rPr>
          <w:b/>
          <w:bCs/>
          <w:color w:val="17365D"/>
          <w:sz w:val="17"/>
          <w:szCs w:val="17"/>
        </w:rPr>
        <w:t xml:space="preserve">SIRFLOX. </w:t>
      </w:r>
      <w:r>
        <w:rPr>
          <w:sz w:val="17"/>
          <w:szCs w:val="17"/>
        </w:rPr>
        <w:t xml:space="preserve">van Hazel GA, Heinemann V, Sharma NK, et al. SIRFLOX: randomized phase III trial comparing first-line mFOLFOX6 (plus or minus bevacizumab) versus mFOLFOX6 (plus or minus bevacizumab) plus selective internal radiation therapy in patients with metastatic colorectal cancer. J Clin Oncol. 2016;34(15):1723-1731. doi:10.1200/JCO.2015.66.1181. PMID:26903575.</w:t>
      </w:r>
    </w:p>
    <w:p>
      <w:pPr>
        <w:pStyle w:val="Heading3"/>
        <w:keepNext/>
        <w:spacing w:after="110" w:before="240"/>
      </w:pPr>
      <w:r>
        <w:rPr>
          <w:rFonts w:ascii="Cambria" w:cs="Cambria" w:eastAsia="Cambria" w:hAnsi="Cambria"/>
          <w:b/>
          <w:bCs/>
          <w:color w:val="17365D"/>
          <w:sz w:val="22"/>
          <w:szCs w:val="22"/>
        </w:rPr>
        <w:t xml:space="preserve">Resection</w:t>
      </w:r>
    </w:p>
    <w:p>
      <w:pPr>
        <w:spacing w:after="70"/>
        <w:ind w:left="360" w:hanging="360"/>
      </w:pPr>
      <w:r>
        <w:rPr>
          <w:b/>
          <w:bCs/>
          <w:color w:val="17365D"/>
          <w:sz w:val="17"/>
          <w:szCs w:val="17"/>
        </w:rPr>
        <w:t xml:space="preserve">EORTC 40983. </w:t>
      </w:r>
      <w:r>
        <w:rPr>
          <w:sz w:val="17"/>
          <w:szCs w:val="17"/>
        </w:rPr>
        <w:t xml:space="preserve">Nordlinger B, Sorbye H, Glimelius B, et al. Perioperative chemotherapy with FOLFOX4 and surgery versus surgery alone for resectable liver metastases from colorectal cancer (EORTC Intergroup trial 40983): a randomised controlled trial. Lancet. 2008;371(9617):1007-1016. doi:10.1016/S0140-6736(08)60455-9. PMID:18358928.</w:t>
      </w:r>
    </w:p>
    <w:p>
      <w:pPr>
        <w:spacing w:after="70"/>
        <w:ind w:left="360" w:hanging="360"/>
      </w:pPr>
      <w:r>
        <w:rPr>
          <w:b/>
          <w:bCs/>
          <w:color w:val="17365D"/>
          <w:sz w:val="17"/>
          <w:szCs w:val="17"/>
        </w:rPr>
        <w:t xml:space="preserve">EORTC 40983 long-term. </w:t>
      </w:r>
      <w:r>
        <w:rPr>
          <w:sz w:val="17"/>
          <w:szCs w:val="17"/>
        </w:rPr>
        <w:t xml:space="preserve">Nordlinger B, Sorbye H, Glimelius B, et al. Perioperative FOLFOX4 chemotherapy and surgery versus surgery alone for resectable liver metastases from colorectal cancer (EORTC 40983): long-term results of a randomised, controlled, phase 3 trial. Lancet Oncol. 2013;14(12):1208-1215. doi:10.1016/S1470-2045(13)70447-9. PMID:24120480.</w:t>
      </w:r>
    </w:p>
    <w:p>
      <w:pPr>
        <w:spacing w:after="70"/>
        <w:ind w:left="360" w:hanging="360"/>
      </w:pPr>
      <w:r>
        <w:rPr>
          <w:b/>
          <w:bCs/>
          <w:color w:val="17365D"/>
          <w:sz w:val="17"/>
          <w:szCs w:val="17"/>
        </w:rPr>
        <w:t xml:space="preserve">LIGRO. </w:t>
      </w:r>
      <w:r>
        <w:rPr>
          <w:sz w:val="17"/>
          <w:szCs w:val="17"/>
        </w:rPr>
        <w:t xml:space="preserve">Sandström P, Røsok BI, Sparrelid E, et al. ALPPS improves resectability compared with conventional two-stage hepatectomy in patients with advanced colorectal liver metastasis: results from a Scandinavian multicenter randomized controlled trial (LIGRO trial). Ann Surg. 2018;267(5):833-840. doi:10.1097/SLA.0000000000002511. PMID:28902669.</w:t>
      </w:r>
    </w:p>
    <w:p>
      <w:pPr>
        <w:spacing w:after="70"/>
        <w:ind w:left="360" w:hanging="360"/>
      </w:pPr>
      <w:r>
        <w:rPr>
          <w:b/>
          <w:bCs/>
          <w:color w:val="17365D"/>
          <w:sz w:val="17"/>
          <w:szCs w:val="17"/>
        </w:rPr>
        <w:t xml:space="preserve">New EPOC. </w:t>
      </w:r>
      <w:r>
        <w:rPr>
          <w:sz w:val="17"/>
          <w:szCs w:val="17"/>
        </w:rPr>
        <w:t xml:space="preserve">Primrose J, Falk S, Finch-Jones M, et al. Systemic chemotherapy with or without cetuximab in patients with resectable colorectal liver metastasis: the New EPOC randomised controlled trial. Lancet Oncol. 2014;15(6):601-611. doi:10.1016/S1470-2045(14)70105-6. PMID:24717919.</w:t>
      </w:r>
    </w:p>
    <w:p>
      <w:pPr>
        <w:spacing w:after="70"/>
        <w:ind w:left="360" w:hanging="360"/>
      </w:pPr>
      <w:r>
        <w:rPr>
          <w:b/>
          <w:bCs/>
          <w:color w:val="17365D"/>
          <w:sz w:val="17"/>
          <w:szCs w:val="17"/>
        </w:rPr>
        <w:t xml:space="preserve">New EPOC long-term. </w:t>
      </w:r>
      <w:r>
        <w:rPr>
          <w:sz w:val="17"/>
          <w:szCs w:val="17"/>
        </w:rPr>
        <w:t xml:space="preserve">Bridgewater JA, Pugh SA, Maishman T, et al. Systemic chemotherapy with or without cetuximab in patients with resectable colorectal liver metastasis (New EPOC): long-term results of a multicentre, randomised, controlled, phase 3 trial. Lancet Oncol. 2020;21(3):398-411. doi:10.1016/S1470-2045(19)30798-3. PMID:32014119.</w:t>
      </w:r>
    </w:p>
    <w:p>
      <w:pPr>
        <w:pStyle w:val="Heading3"/>
        <w:keepNext/>
        <w:spacing w:after="110" w:before="240"/>
      </w:pPr>
      <w:r>
        <w:rPr>
          <w:rFonts w:ascii="Cambria" w:cs="Cambria" w:eastAsia="Cambria" w:hAnsi="Cambria"/>
          <w:b/>
          <w:bCs/>
          <w:color w:val="17365D"/>
          <w:sz w:val="22"/>
          <w:szCs w:val="22"/>
        </w:rPr>
        <w:t xml:space="preserve">Staging &amp; risk</w:t>
      </w:r>
    </w:p>
    <w:p>
      <w:pPr>
        <w:spacing w:after="70"/>
        <w:ind w:left="360" w:hanging="360"/>
      </w:pPr>
      <w:r>
        <w:rPr>
          <w:b/>
          <w:bCs/>
          <w:color w:val="17365D"/>
          <w:sz w:val="17"/>
          <w:szCs w:val="17"/>
        </w:rPr>
        <w:t xml:space="preserve">Fong CRS. </w:t>
      </w:r>
      <w:r>
        <w:rPr>
          <w:sz w:val="17"/>
          <w:szCs w:val="17"/>
        </w:rPr>
        <w:t xml:space="preserve">Fong Y, Fortner J, Sun RL, et al. Clinical score for predicting recurrence after hepatic resection for metastatic colorectal cancer: analysis of 1001 consecutive cases. Ann Surg. 1999;230(3):309-318; discussion 318-321. doi:10.1097/00000658-199909000-00004. PMID:10493478.</w:t>
      </w:r>
    </w:p>
    <w:p>
      <w:pPr>
        <w:spacing w:after="70"/>
        <w:ind w:left="360" w:hanging="360"/>
      </w:pPr>
      <w:r>
        <w:rPr>
          <w:b/>
          <w:bCs/>
          <w:color w:val="17365D"/>
          <w:sz w:val="17"/>
          <w:szCs w:val="17"/>
        </w:rPr>
        <w:t xml:space="preserve">New EPOC biomarker. </w:t>
      </w:r>
      <w:r>
        <w:rPr>
          <w:sz w:val="17"/>
          <w:szCs w:val="17"/>
        </w:rPr>
        <w:t xml:space="preserve">Katipally RR, Martinez CA, Pugh SA, et al. Integrated clinical-molecular classification of colorectal liver metastases: a biomarker analysis of the phase 3 New EPOC randomized clinical trial. JAMA Oncol. 2023;9(9):1245-1254. doi:10.1001/jamaoncol.2023.2535. PMID:37471075.</w:t>
      </w:r>
    </w:p>
    <w:p>
      <w:pPr>
        <w:pStyle w:val="Heading3"/>
        <w:keepNext/>
        <w:spacing w:after="110" w:before="240"/>
      </w:pPr>
      <w:r>
        <w:rPr>
          <w:rFonts w:ascii="Cambria" w:cs="Cambria" w:eastAsia="Cambria" w:hAnsi="Cambria"/>
          <w:b/>
          <w:bCs/>
          <w:color w:val="17365D"/>
          <w:sz w:val="22"/>
          <w:szCs w:val="22"/>
        </w:rPr>
        <w:t xml:space="preserve">Systemic therapy</w:t>
      </w:r>
    </w:p>
    <w:p>
      <w:pPr>
        <w:spacing w:after="70"/>
        <w:ind w:left="360" w:hanging="360"/>
      </w:pPr>
      <w:r>
        <w:rPr>
          <w:b/>
          <w:bCs/>
          <w:color w:val="17365D"/>
          <w:sz w:val="17"/>
          <w:szCs w:val="17"/>
        </w:rPr>
        <w:t xml:space="preserve">BREAKWATER. </w:t>
      </w:r>
      <w:r>
        <w:rPr>
          <w:sz w:val="17"/>
          <w:szCs w:val="17"/>
        </w:rPr>
        <w:t xml:space="preserve">Elez E, Yoshino T, Shen L, et al. Encorafenib, cetuximab, and mFOLFOX6 in BRAF-mutated colorectal cancer. N Engl J Med. 2025;392(24):2425-2437. doi:10.1056/NEJMoa2501912. PMID:40444708.</w:t>
      </w:r>
    </w:p>
    <w:p>
      <w:pPr>
        <w:spacing w:after="70"/>
        <w:ind w:left="360" w:hanging="360"/>
      </w:pPr>
      <w:r>
        <w:rPr>
          <w:b/>
          <w:bCs/>
          <w:color w:val="17365D"/>
          <w:sz w:val="17"/>
          <w:szCs w:val="17"/>
        </w:rPr>
        <w:t xml:space="preserve">CAIRO5. </w:t>
      </w:r>
      <w:r>
        <w:rPr>
          <w:sz w:val="17"/>
          <w:szCs w:val="17"/>
        </w:rPr>
        <w:t xml:space="preserve">Bond MJG, Bolhuis K, Loosveld OJL, et al. First-line systemic treatment strategies in patients with initially unresectable colorectal cancer liver metastases (CAIRO5): an open-label, multicentre, randomised, controlled, phase 3 study from the Dutch Colorectal Cancer Group. Lancet Oncol. 2023;24(7):757-771. doi:10.1016/S1470-2045(23)00219-X. PMID:37329889.</w:t>
      </w:r>
    </w:p>
    <w:p>
      <w:pPr>
        <w:spacing w:after="70"/>
        <w:ind w:left="360" w:hanging="360"/>
      </w:pPr>
      <w:r>
        <w:rPr>
          <w:b/>
          <w:bCs/>
          <w:color w:val="17365D"/>
          <w:sz w:val="17"/>
          <w:szCs w:val="17"/>
        </w:rPr>
        <w:t xml:space="preserve">CALGB/SWOG 80405. </w:t>
      </w:r>
      <w:r>
        <w:rPr>
          <w:sz w:val="17"/>
          <w:szCs w:val="17"/>
        </w:rPr>
        <w:t xml:space="preserve">Venook AP, Niedzwiecki D, Lenz HJ, et al. Effect of first-line chemotherapy combined with cetuximab or bevacizumab on overall survival in patients with KRAS wild-type advanced or metastatic colorectal cancer: a randomized clinical trial. JAMA. 2017;317(23):2392-2401. doi:10.1001/jama.2017.7105. PMID:28632865.</w:t>
      </w:r>
    </w:p>
    <w:p>
      <w:pPr>
        <w:spacing w:after="70"/>
        <w:ind w:left="360" w:hanging="360"/>
      </w:pPr>
      <w:r>
        <w:rPr>
          <w:b/>
          <w:bCs/>
          <w:color w:val="17365D"/>
          <w:sz w:val="17"/>
          <w:szCs w:val="17"/>
        </w:rPr>
        <w:t xml:space="preserve">CheckMate 8HW. </w:t>
      </w:r>
      <w:r>
        <w:rPr>
          <w:sz w:val="17"/>
          <w:szCs w:val="17"/>
        </w:rPr>
        <w:t xml:space="preserve">André T, Elez E, Lenz HJ, et al. Nivolumab plus ipilimumab versus nivolumab in microsatellite instability-high metastatic colorectal cancer (CheckMate 8HW): a randomised, open-label, phase 3 trial. Lancet. 2025;405(10476):383-395. doi:10.1016/S0140-6736(24)02848-4. PMID:39874977.</w:t>
      </w:r>
    </w:p>
    <w:p>
      <w:pPr>
        <w:spacing w:after="70"/>
        <w:ind w:left="360" w:hanging="360"/>
      </w:pPr>
      <w:r>
        <w:rPr>
          <w:b/>
          <w:bCs/>
          <w:color w:val="17365D"/>
          <w:sz w:val="17"/>
          <w:szCs w:val="17"/>
        </w:rPr>
        <w:t xml:space="preserve">CodeBreaK 300. </w:t>
      </w:r>
      <w:r>
        <w:rPr>
          <w:sz w:val="17"/>
          <w:szCs w:val="17"/>
        </w:rPr>
        <w:t xml:space="preserve">Fakih MG, Salvatore L, Esaki T, et al. Sotorasib plus panitumumab in refractory colorectal cancer with mutated KRAS G12C. N Engl J Med. 2023;389(23):2125-2139. doi:10.1056/NEJMoa2308795. PMID:37870968.</w:t>
      </w:r>
    </w:p>
    <w:p>
      <w:pPr>
        <w:spacing w:after="70"/>
        <w:ind w:left="360" w:hanging="360"/>
      </w:pPr>
      <w:r>
        <w:rPr>
          <w:b/>
          <w:bCs/>
          <w:color w:val="17365D"/>
          <w:sz w:val="17"/>
          <w:szCs w:val="17"/>
        </w:rPr>
        <w:t xml:space="preserve">FIRE-3. </w:t>
      </w:r>
      <w:r>
        <w:rPr>
          <w:sz w:val="17"/>
          <w:szCs w:val="17"/>
        </w:rPr>
        <w:t xml:space="preserve">Stintzing S, Modest DP, Rossius L, et al. FOLFIRI plus cetuximab versus FOLFIRI plus bevacizumab for metastatic colorectal cancer (FIRE-3): a post-hoc analysis of tumour dynamics in the final RAS wild-type subgroup of this randomised open-label phase 3 trial. Lancet Oncol. 2016;17(10):1426-1434. doi:10.1016/S1470-2045(16)30269-8. PMID:27575024.</w:t>
      </w:r>
    </w:p>
    <w:p>
      <w:pPr>
        <w:spacing w:after="70"/>
        <w:ind w:left="360" w:hanging="360"/>
      </w:pPr>
      <w:r>
        <w:rPr>
          <w:b/>
          <w:bCs/>
          <w:color w:val="17365D"/>
          <w:sz w:val="17"/>
          <w:szCs w:val="17"/>
        </w:rPr>
        <w:t xml:space="preserve">KEYNOTE-177. </w:t>
      </w:r>
      <w:r>
        <w:rPr>
          <w:sz w:val="17"/>
          <w:szCs w:val="17"/>
        </w:rPr>
        <w:t xml:space="preserve">André T, Shiu KK, Kim TW, et al. Pembrolizumab in microsatellite-instability-high advanced colorectal cancer. N Engl J Med. 2020;383(23):2207-2218. doi:10.1056/NEJMoa2017699. PMID:33264544.</w:t>
      </w:r>
    </w:p>
    <w:p>
      <w:pPr>
        <w:spacing w:after="70"/>
        <w:ind w:left="360" w:hanging="360"/>
      </w:pPr>
      <w:r>
        <w:rPr>
          <w:b/>
          <w:bCs/>
          <w:color w:val="17365D"/>
          <w:sz w:val="17"/>
          <w:szCs w:val="17"/>
        </w:rPr>
        <w:t xml:space="preserve">TRICE. </w:t>
      </w:r>
      <w:r>
        <w:rPr>
          <w:sz w:val="17"/>
          <w:szCs w:val="17"/>
        </w:rPr>
        <w:t xml:space="preserve">Wang DS, Ren C, Li SS, et al. Cetuximab plus FOLFOXIRI versus cetuximab plus FOLFOX as conversion regimen in RAS/BRAF wild-type patients with initially unresectable colorectal liver metastases (TRICE trial): a randomized controlled trial. PLoS Med. 2024;21(5):e1004389. doi:10.1371/journal.pmed.1004389. PMID:38728364.</w:t>
      </w:r>
    </w:p>
    <w:p>
      <w:pPr>
        <w:pStyle w:val="Heading3"/>
        <w:keepNext/>
        <w:spacing w:after="110" w:before="240"/>
      </w:pPr>
      <w:r>
        <w:rPr>
          <w:rFonts w:ascii="Cambria" w:cs="Cambria" w:eastAsia="Cambria" w:hAnsi="Cambria"/>
          <w:b/>
          <w:bCs/>
          <w:color w:val="17365D"/>
          <w:sz w:val="22"/>
          <w:szCs w:val="22"/>
        </w:rPr>
        <w:t xml:space="preserve">Transplant</w:t>
      </w:r>
    </w:p>
    <w:p>
      <w:pPr>
        <w:spacing w:after="70"/>
        <w:ind w:left="360" w:hanging="360"/>
      </w:pPr>
      <w:r>
        <w:rPr>
          <w:b/>
          <w:bCs/>
          <w:color w:val="17365D"/>
          <w:sz w:val="17"/>
          <w:szCs w:val="17"/>
        </w:rPr>
        <w:t xml:space="preserve">Grut metabolic tumour volume. </w:t>
      </w:r>
      <w:r>
        <w:rPr>
          <w:sz w:val="17"/>
          <w:szCs w:val="17"/>
        </w:rPr>
        <w:t xml:space="preserve">Grut H, Line PD, Syversveen T, et al. Metabolic tumor volume predicts long-term survival after transplantation for unresectable colorectal liver metastases: 15 years of experience from the SECA study. Ann Nucl Med. 2022;36(12):1073-1081. doi:10.1007/s12149-022-01796-8. PMID:36241941.</w:t>
      </w:r>
    </w:p>
    <w:p>
      <w:pPr>
        <w:spacing w:after="70"/>
        <w:ind w:left="360" w:hanging="360"/>
      </w:pPr>
      <w:r>
        <w:rPr>
          <w:b/>
          <w:bCs/>
          <w:color w:val="17365D"/>
          <w:sz w:val="17"/>
          <w:szCs w:val="17"/>
        </w:rPr>
        <w:t xml:space="preserve">North American LDLT. </w:t>
      </w:r>
      <w:r>
        <w:rPr>
          <w:sz w:val="17"/>
          <w:szCs w:val="17"/>
        </w:rPr>
        <w:t xml:space="preserve">Hernandez-Alejandro R, Ruffolo LI, Sasaki K, et al. Recipient and donor outcomes after living-donor liver transplant for unresectable colorectal liver metastases. JAMA Surg. 2022;157(6):524-530. doi:10.1001/jamasurg.2022.0300. PMID:35353121.</w:t>
      </w:r>
    </w:p>
    <w:p>
      <w:pPr>
        <w:spacing w:after="70"/>
        <w:ind w:left="360" w:hanging="360"/>
      </w:pPr>
      <w:r>
        <w:rPr>
          <w:b/>
          <w:bCs/>
          <w:color w:val="17365D"/>
          <w:sz w:val="17"/>
          <w:szCs w:val="17"/>
        </w:rPr>
        <w:t xml:space="preserve">Oslo cohort. </w:t>
      </w:r>
      <w:r>
        <w:rPr>
          <w:sz w:val="17"/>
          <w:szCs w:val="17"/>
        </w:rPr>
        <w:t xml:space="preserve">Dueland S, Smedman TM, Syversveen T, et al. Long-term survival, prognostic factors, and selection of patients with colorectal cancer for liver transplant: a nonrandomized controlled trial. JAMA Surg. 2023;158(9):e232932. doi:10.1001/jamasurg.2023.2932. PMID:37494056.</w:t>
      </w:r>
    </w:p>
    <w:p>
      <w:pPr>
        <w:spacing w:after="70"/>
        <w:ind w:left="360" w:hanging="360"/>
      </w:pPr>
      <w:r>
        <w:rPr>
          <w:b/>
          <w:bCs/>
          <w:color w:val="17365D"/>
          <w:sz w:val="17"/>
          <w:szCs w:val="17"/>
        </w:rPr>
        <w:t xml:space="preserve">Oslo selection criteria. </w:t>
      </w:r>
      <w:r>
        <w:rPr>
          <w:sz w:val="17"/>
          <w:szCs w:val="17"/>
        </w:rPr>
        <w:t xml:space="preserve">Dueland S, Grut H, Syversveen T, Hagness M, Line PD. Selection criteria related to long-term survival following liver transplantation for colorectal liver metastasis. Am J Transplant. 2020;20(2):530-537. doi:10.1111/ajt.15682. PMID:31674105.</w:t>
      </w:r>
    </w:p>
    <w:p>
      <w:pPr>
        <w:spacing w:after="70"/>
        <w:ind w:left="360" w:hanging="360"/>
      </w:pPr>
      <w:r>
        <w:rPr>
          <w:b/>
          <w:bCs/>
          <w:color w:val="17365D"/>
          <w:sz w:val="17"/>
          <w:szCs w:val="17"/>
        </w:rPr>
        <w:t xml:space="preserve">SECA-II. </w:t>
      </w:r>
      <w:r>
        <w:rPr>
          <w:sz w:val="17"/>
          <w:szCs w:val="17"/>
        </w:rPr>
        <w:t xml:space="preserve">Dueland S, Syversveen T, Solheim JM, et al. Survival following liver transplantation for patients with nonresectable liver-only colorectal metastases. Ann Surg. 2020;271(2):212-218. doi:10.1097/SLA.0000000000003404. PMID:31188200.</w:t>
      </w:r>
    </w:p>
    <w:p>
      <w:pPr>
        <w:spacing w:after="70"/>
        <w:ind w:left="360" w:hanging="360"/>
      </w:pPr>
      <w:r>
        <w:rPr>
          <w:b/>
          <w:bCs/>
          <w:color w:val="17365D"/>
          <w:sz w:val="17"/>
          <w:szCs w:val="17"/>
        </w:rPr>
        <w:t xml:space="preserve">SECA-II 10-year. </w:t>
      </w:r>
      <w:r>
        <w:rPr>
          <w:sz w:val="17"/>
          <w:szCs w:val="17"/>
        </w:rPr>
        <w:t xml:space="preserve">Dueland S, Smedman TM, Syversveen T, et al. Liver transplantation for nonresectable colorectal liver metastases: ten-year follow-up and assessment of curative rate in the SECA-II study. Ann Surg. 2026. doi:10.1097/SLA.0000000000007200. PMID:42572136.</w:t>
      </w:r>
    </w:p>
    <w:p>
      <w:pPr>
        <w:spacing w:after="70"/>
        <w:ind w:left="360" w:hanging="360"/>
      </w:pPr>
      <w:r>
        <w:rPr>
          <w:b/>
          <w:bCs/>
          <w:color w:val="17365D"/>
          <w:sz w:val="17"/>
          <w:szCs w:val="17"/>
        </w:rPr>
        <w:t xml:space="preserve">TransMet. </w:t>
      </w:r>
      <w:r>
        <w:rPr>
          <w:sz w:val="17"/>
          <w:szCs w:val="17"/>
        </w:rPr>
        <w:t xml:space="preserve">Adam R, Piedvache C, Chiche L, et al. Liver transplantation plus chemotherapy versus chemotherapy alone in patients with permanently unresectable colorectal liver metastases (TransMet): results from a multicentre, open-label, prospective, randomised controlled trial. Lancet. 2024;404(10458):1107-1118. doi:10.1016/S0140-6736(24)01595-2. PMID:39306468.</w:t>
      </w:r>
    </w:p>
    <w:p>
      <w:pPr>
        <w:pStyle w:val="Heading1"/>
        <w:keepNext/>
        <w:pageBreakBefore/>
        <w:spacing w:after="110" w:before="320"/>
      </w:pPr>
      <w:r>
        <w:rPr>
          <w:rFonts w:ascii="Cambria" w:cs="Cambria" w:eastAsia="Cambria" w:hAnsi="Cambria"/>
          <w:b/>
          <w:bCs/>
          <w:color w:val="17365D"/>
          <w:sz w:val="32"/>
          <w:szCs w:val="32"/>
        </w:rPr>
        <w:t xml:space="preserve">Appendix: what is wrong with each paper</w:t>
      </w:r>
    </w:p>
    <w:p>
      <w:pPr>
        <w:spacing w:after="120" w:line="276"/>
      </w:pPr>
      <w:r>
        <w:rPr>
          <w:i/>
          <w:iCs/>
          <w:color w:val="5A6069"/>
          <w:sz w:val="20"/>
          <w:szCs w:val="20"/>
        </w:rPr>
        <w:t xml:space="preserve">Each source cited on this roadmap, with the limitations its authors state in their own discussion and the objections the full text supports but they do not raise. Nothing here withdraws a recommendation. It is the record of how far each one can be pushed, so that a claim is never quoted in clinic, to a payer or to a referring clinician as stronger than the paper behind it.</w:t>
      </w:r>
    </w:p>
    <w:p>
      <w:pPr>
        <w:spacing w:after="180" w:line="276"/>
      </w:pPr>
      <w:r>
        <w:rPr>
          <w:i/>
          <w:iCs/>
          <w:color w:val="5A6069"/>
          <w:sz w:val="20"/>
          <w:szCs w:val="20"/>
        </w:rPr>
        <w:t xml:space="preserve">45 of this pathway's 51 sources were read in full and abstracted this way. 6 were not, and are listed at the end of this appendix: guidelines and policy documents without a PMID, and the papers that could not be retrieved.</w:t>
      </w:r>
    </w:p>
    <w:p>
      <w:pPr>
        <w:keepNext/>
        <w:spacing w:after="50" w:before="260"/>
      </w:pPr>
      <w:r>
        <w:rPr>
          <w:rFonts w:ascii="Cambria" w:cs="Cambria" w:eastAsia="Cambria" w:hAnsi="Cambria"/>
          <w:b/>
          <w:bCs/>
          <w:color w:val="17365D"/>
          <w:sz w:val="20"/>
          <w:szCs w:val="20"/>
        </w:rPr>
        <w:t xml:space="preserve">#HOPE4LIVER one-year</w:t>
      </w:r>
      <w:r>
        <w:rPr>
          <w:b/>
          <w:bCs/>
          <w:color w:val="176A87"/>
          <w:sz w:val="15"/>
          <w:szCs w:val="15"/>
        </w:rPr>
        <w:t xml:space="preserve">   Case series</w:t>
      </w:r>
      <w:r>
        <w:rPr>
          <w:color w:val="5A6069"/>
          <w:sz w:val="15"/>
          <w:szCs w:val="15"/>
        </w:rPr>
        <w:t xml:space="preserve">   PMID 40201962</w:t>
      </w:r>
    </w:p>
    <w:p>
      <w:pPr>
        <w:spacing w:after="50" w:line="276"/>
      </w:pPr>
      <w:r>
        <w:rPr>
          <w:color w:val="5A6069"/>
          <w:sz w:val="17"/>
          <w:szCs w:val="17"/>
        </w:rPr>
        <w:t xml:space="preserve">The #HOPE4LIVER Single-arm Pivotal Trial for Histotripsy of Primary and Metastatic Liver Tumors: One-year Update of Clinical Outcomes</w:t>
      </w:r>
    </w:p>
    <w:p>
      <w:pPr>
        <w:spacing w:after="50"/>
      </w:pPr>
      <w:r>
        <w:rPr>
          <w:b/>
          <w:bCs/>
          <w:color w:val="176A87"/>
          <w:sz w:val="16"/>
          <w:szCs w:val="16"/>
        </w:rPr>
        <w:t xml:space="preserve">Population. </w:t>
      </w:r>
      <w:r>
        <w:rPr>
          <w:sz w:val="16"/>
          <w:szCs w:val="16"/>
        </w:rPr>
        <w:t xml:space="preserve">47 patients (52 tumours) pooled from the #HOPE4LIVER United States and European Union/England single-arm trials, treated at 14 sites between January 2021 and December 2022; 19 with HCC (17 of 19 multifocal, 16 of 19 BCLC B, C or D) and 28 with liver metastases (27 of 28 multifocal, half with extrahepatic disease)</w:t>
      </w:r>
    </w:p>
    <w:p>
      <w:pPr>
        <w:spacing w:after="70"/>
      </w:pPr>
      <w:r>
        <w:rPr>
          <w:b/>
          <w:bCs/>
          <w:color w:val="17365D"/>
          <w:sz w:val="16"/>
          <w:szCs w:val="16"/>
        </w:rPr>
        <w:t xml:space="preserve">Bottom line. </w:t>
      </w:r>
      <w:r>
        <w:rPr>
          <w:sz w:val="16"/>
          <w:szCs w:val="16"/>
        </w:rPr>
        <w:t xml:space="preserve">One-year follow-up of the histotripsy pivotal trials reports freedom from local tumour progression of 63.4 percent by the pre-specified core-laboratory read and 90 percent by a post hoc read made after all 1-year imaging was available, with overall survival of 73.3 percent in HCC and 48.6 percent in metastatic disease and only one device-related event after day 30. The 90 percent figure is a retrospective reclassification by readers who had seen later scans, the cohort is 94 percent multifocal and heterogeneous with no comparator, and subsequent treatments and extrahepatic progression were not tracked, so neither local control nor survival can be attributed to histotripsy.</w:t>
      </w:r>
    </w:p>
    <w:tbl>
      <w:tblPr>
        <w:tblW w:type="dxa" w:w="9360"/>
        <w:tblBorders>
          <w:top w:val="single" w:color="D3DCE4" w:sz="4"/>
          <w:left w:val="single" w:color="D3DCE4" w:sz="4"/>
          <w:bottom w:val="single" w:color="D3DCE4" w:sz="4"/>
          <w:right w:val="single" w:color="D3DCE4" w:sz="4"/>
          <w:insideH w:val="single" w:color="D3DCE4" w:sz="4"/>
          <w:insideV w:val="single" w:color="D3DCE4" w:sz="4"/>
        </w:tblBorders>
      </w:tblPr>
      <w:tblGrid>
        <w:gridCol w:w="4600"/>
        <w:gridCol w:w="4760"/>
      </w:tblGrid>
      <w:tr>
        <w:tc>
          <w:tcPr>
            <w:tcW w:type="dxa" w:w="4600"/>
            <w:shd w:fill="F1F4F8" w:color="auto" w:val="clear"/>
            <w:tcMar>
              <w:top w:type="dxa" w:w="70"/>
              <w:left w:type="dxa" w:w="110"/>
              <w:bottom w:type="dxa" w:w="70"/>
              <w:right w:type="dxa" w:w="110"/>
            </w:tcMar>
            <w:vAlign w:val="top"/>
          </w:tcPr>
          <w:p>
            <w:pPr>
              <w:spacing w:after="50"/>
            </w:pPr>
            <w:r>
              <w:rPr>
                <w:b/>
                <w:bCs/>
                <w:color w:val="8E5008"/>
                <w:spacing w:val="12"/>
                <w:sz w:val="14"/>
                <w:szCs w:val="14"/>
              </w:rPr>
              <w:t xml:space="preserve">LIMITATIONS THE AUTHORS STATE</w:t>
            </w:r>
          </w:p>
          <w:p>
            <w:pPr>
              <w:pStyle w:val="ListParagraph"/>
              <w:numPr>
                <w:ilvl w:val="0"/>
                <w:numId w:val="2"/>
              </w:numPr>
              <w:spacing w:after="45"/>
            </w:pPr>
            <w:r>
              <w:rPr>
                <w:sz w:val="15"/>
                <w:szCs w:val="15"/>
              </w:rPr>
              <w:t xml:space="preserve">The heterogeneity of the population limits any conclusion about non-target disease control or survival, which the authors state</w:t>
            </w:r>
          </w:p>
          <w:p>
            <w:pPr>
              <w:pStyle w:val="ListParagraph"/>
              <w:numPr>
                <w:ilvl w:val="0"/>
                <w:numId w:val="2"/>
              </w:numPr>
              <w:spacing w:after="45"/>
            </w:pPr>
            <w:r>
              <w:rPr>
                <w:sz w:val="15"/>
                <w:szCs w:val="15"/>
              </w:rPr>
              <w:t xml:space="preserve">Patients were eligible for further treatment from day 30 and subsequent treatments were not consistently tracked, which the authors acknowledge may have affected local control as well as survival</w:t>
            </w:r>
          </w:p>
          <w:p>
            <w:pPr>
              <w:pStyle w:val="ListParagraph"/>
              <w:numPr>
                <w:ilvl w:val="0"/>
                <w:numId w:val="2"/>
              </w:numPr>
              <w:spacing w:after="45"/>
            </w:pPr>
            <w:r>
              <w:rPr>
                <w:sz w:val="15"/>
                <w:szCs w:val="15"/>
              </w:rPr>
              <w:t xml:space="preserve">Progression outside the liver was not tracked, so progression-free survival cannot be calculated</w:t>
            </w:r>
          </w:p>
          <w:p>
            <w:pPr>
              <w:pStyle w:val="ListParagraph"/>
              <w:numPr>
                <w:ilvl w:val="0"/>
                <w:numId w:val="2"/>
              </w:numPr>
              <w:spacing w:after="45"/>
            </w:pPr>
            <w:r>
              <w:rPr>
                <w:sz w:val="15"/>
                <w:szCs w:val="15"/>
              </w:rPr>
              <w:t xml:space="preserve">Follow-up was limited by the recency of the trial, and the authors note that 1-year reporting may not identify all local recurrences</w:t>
            </w:r>
          </w:p>
          <w:p>
            <w:pPr>
              <w:pStyle w:val="ListParagraph"/>
              <w:numPr>
                <w:ilvl w:val="0"/>
                <w:numId w:val="2"/>
              </w:numPr>
              <w:spacing w:after="45"/>
            </w:pPr>
            <w:r>
              <w:rPr>
                <w:sz w:val="15"/>
                <w:szCs w:val="15"/>
              </w:rPr>
              <w:t xml:space="preserve">The cohort was 95 percent White, which the authors say may limit generalisability</w:t>
            </w:r>
          </w:p>
          <w:p>
            <w:pPr>
              <w:pStyle w:val="ListParagraph"/>
              <w:numPr>
                <w:ilvl w:val="0"/>
                <w:numId w:val="2"/>
              </w:numPr>
              <w:spacing w:after="45"/>
            </w:pPr>
            <w:r>
              <w:rPr>
                <w:sz w:val="15"/>
                <w:szCs w:val="15"/>
              </w:rPr>
              <w:t xml:space="preserve">There was no comparator arm of another local treatment or of no treatment, which the authors state limits direct comparison with existing technologies or the natural history</w:t>
            </w:r>
          </w:p>
          <w:p>
            <w:pPr>
              <w:pStyle w:val="ListParagraph"/>
              <w:numPr>
                <w:ilvl w:val="0"/>
                <w:numId w:val="2"/>
              </w:numPr>
              <w:spacing w:after="45"/>
            </w:pPr>
            <w:r>
              <w:rPr>
                <w:sz w:val="15"/>
                <w:szCs w:val="15"/>
              </w:rPr>
              <w:t xml:space="preserve">The investigators had no prior experience with hepatic histotripsy, so the results capture the earliest learning curve</w:t>
            </w:r>
          </w:p>
        </w:tc>
        <w:tc>
          <w:tcPr>
            <w:tcW w:type="dxa" w:w="4760"/>
            <w:shd w:fill="F1F4F8" w:color="auto" w:val="clear"/>
            <w:tcMar>
              <w:top w:type="dxa" w:w="70"/>
              <w:left w:type="dxa" w:w="110"/>
              <w:bottom w:type="dxa" w:w="70"/>
              <w:right w:type="dxa" w:w="110"/>
            </w:tcMar>
            <w:vAlign w:val="top"/>
          </w:tcPr>
          <w:p>
            <w:pPr>
              <w:spacing w:after="50"/>
            </w:pPr>
            <w:r>
              <w:rPr>
                <w:b/>
                <w:bCs/>
                <w:color w:val="8C2F26"/>
                <w:spacing w:val="12"/>
                <w:sz w:val="14"/>
                <w:szCs w:val="14"/>
              </w:rPr>
              <w:t xml:space="preserve">WHAT THEY DO NOT SAY</w:t>
            </w:r>
          </w:p>
          <w:p>
            <w:pPr>
              <w:pStyle w:val="ListParagraph"/>
              <w:numPr>
                <w:ilvl w:val="0"/>
                <w:numId w:val="2"/>
              </w:numPr>
              <w:spacing w:after="45"/>
            </w:pPr>
            <w:r>
              <w:rPr>
                <w:sz w:val="15"/>
                <w:szCs w:val="15"/>
              </w:rPr>
              <w:t xml:space="preserve">The 90 percent local-control figure used in the abstract and conclusion is the post hoc read, performed by the core laboratory after all 1-year imaging was available, and Figure 2 shows the mechanism explicitly: a nodular enhancement called viable at 30 days was later recategorised as an intact vessel and declared non-viable retrospectively, so the favourable number is produced by using the outcome to reinterpret the earlier assessment</w:t>
            </w:r>
          </w:p>
          <w:p>
            <w:pPr>
              <w:pStyle w:val="ListParagraph"/>
              <w:numPr>
                <w:ilvl w:val="0"/>
                <w:numId w:val="2"/>
              </w:numPr>
              <w:spacing w:after="45"/>
            </w:pPr>
            <w:r>
              <w:rPr>
                <w:sz w:val="15"/>
                <w:szCs w:val="15"/>
              </w:rPr>
              <w:t xml:space="preserve">Disagreement between the pre-specified and post hoc reads runs almost entirely in one direction: 8 of 48 at 30 days, 5 of 37 at 6 months and 2 of 25 at 1 year moved from enhancement present to no tumour, with essentially no movement the other way, so the reclassification is not symmetrical reader variation</w:t>
            </w:r>
          </w:p>
          <w:p>
            <w:pPr>
              <w:pStyle w:val="ListParagraph"/>
              <w:numPr>
                <w:ilvl w:val="0"/>
                <w:numId w:val="2"/>
              </w:numPr>
              <w:spacing w:after="45"/>
            </w:pPr>
            <w:r>
              <w:rPr>
                <w:sz w:val="15"/>
                <w:szCs w:val="15"/>
              </w:rPr>
              <w:t xml:space="preserve">The local-control denominators collapse over time: 52 tumours treated, 48 with a primary assessment at 30 days, 35 at 6 months and 24 at 1 year, with 23 of 30 having core-laboratory assessable images at a year, so the 91.7 percent and 96 percent figures describe fewer than half the treated tumours, and the tumours that drop out belong to patients who died</w:t>
            </w:r>
          </w:p>
          <w:p>
            <w:pPr>
              <w:pStyle w:val="ListParagraph"/>
              <w:numPr>
                <w:ilvl w:val="0"/>
                <w:numId w:val="2"/>
              </w:numPr>
              <w:spacing w:after="45"/>
            </w:pPr>
            <w:r>
              <w:rPr>
                <w:sz w:val="15"/>
                <w:szCs w:val="15"/>
              </w:rPr>
              <w:t xml:space="preserve">The censoring rule removes the early failures from the progression curve entirely: patients were censored at day 0 if enhancement was seen or images were unassessable on the 36-hour scan, so the two tumours never fully covered and the five never imaged contribute nothing to the Kaplan-Meier estimate of freedom from progression</w:t>
            </w:r>
          </w:p>
          <w:p>
            <w:pPr>
              <w:pStyle w:val="ListParagraph"/>
              <w:numPr>
                <w:ilvl w:val="0"/>
                <w:numId w:val="2"/>
              </w:numPr>
              <w:spacing w:after="45"/>
            </w:pPr>
            <w:r>
              <w:rPr>
                <w:sz w:val="15"/>
                <w:szCs w:val="15"/>
              </w:rPr>
              <w:t xml:space="preserve">BCLC stage and multifocality were assigned post hoc by the first author, who is also the trial principal investigator and a HistoSonics stockholder, rather than by the independent core laboratory, so the staging that frames every survival comparison is neither blinded nor independent</w:t>
            </w:r>
          </w:p>
          <w:p>
            <w:pPr>
              <w:pStyle w:val="ListParagraph"/>
              <w:numPr>
                <w:ilvl w:val="0"/>
                <w:numId w:val="2"/>
              </w:numPr>
              <w:spacing w:after="45"/>
            </w:pPr>
            <w:r>
              <w:rPr>
                <w:sz w:val="15"/>
                <w:szCs w:val="15"/>
              </w:rPr>
              <w:t xml:space="preserve">Survival is benchmarked against literature ranges chosen without a systematic search: 73.3 percent at 1 year in HCC against immunotherapy trials reporting 50 to 75 percent, and 48.6 percent in metastatic disease against phase 1 populations reporting 39 to 46 percent, with no matching for stage, prior therapy or disease burden in a cohort where 16 of 19 HCC patients were BCLC B or worse and 10 of 19 had prior treatment</w:t>
            </w:r>
          </w:p>
          <w:p>
            <w:pPr>
              <w:pStyle w:val="ListParagraph"/>
              <w:numPr>
                <w:ilvl w:val="0"/>
                <w:numId w:val="2"/>
              </w:numPr>
              <w:spacing w:after="45"/>
            </w:pPr>
            <w:r>
              <w:rPr>
                <w:sz w:val="15"/>
                <w:szCs w:val="15"/>
              </w:rPr>
              <w:t xml:space="preserve">Six serious adverse device effects occurred in 47 patients, among them hepatic failure, portal vein thrombosis and sepsis, so roughly one patient in eight suffered a serious device-related event, while the abstract and conclusion describe the safety profile as favourable and equivalent to existing local therapies without any comparator</w:t>
            </w:r>
          </w:p>
          <w:p>
            <w:pPr>
              <w:pStyle w:val="ListParagraph"/>
              <w:numPr>
                <w:ilvl w:val="0"/>
                <w:numId w:val="2"/>
              </w:numPr>
              <w:spacing w:after="45"/>
            </w:pPr>
            <w:r>
              <w:rPr>
                <w:sz w:val="15"/>
                <w:szCs w:val="15"/>
              </w:rPr>
              <w:t xml:space="preserve">The Results state that no deaths occurred within 30 days, but the device-related hepatic failure that caused one of the three deaths by day 90 began on day 12; the 30-day mortality statement is true only by virtue of the window</w:t>
            </w:r>
          </w:p>
          <w:p>
            <w:pPr>
              <w:pStyle w:val="ListParagraph"/>
              <w:numPr>
                <w:ilvl w:val="0"/>
                <w:numId w:val="2"/>
              </w:numPr>
              <w:spacing w:after="45"/>
            </w:pPr>
            <w:r>
              <w:rPr>
                <w:sz w:val="15"/>
                <w:szCs w:val="15"/>
              </w:rPr>
              <w:t xml:space="preserve">The median treatment zone was 3.4 cm in diameter and 11.6 cm3 in volume for a median tumour of 1.3 cm and 0.6 cm3, close to a twentyfold excess of destroyed parenchyma, which is never linked to the liver-failure death or costed against the 13 percent of patients who were Child-Pugh B</w:t>
            </w:r>
          </w:p>
          <w:p>
            <w:pPr>
              <w:pStyle w:val="ListParagraph"/>
              <w:numPr>
                <w:ilvl w:val="0"/>
                <w:numId w:val="2"/>
              </w:numPr>
              <w:spacing w:after="45"/>
            </w:pPr>
            <w:r>
              <w:rPr>
                <w:sz w:val="15"/>
                <w:szCs w:val="15"/>
              </w:rPr>
              <w:t xml:space="preserve">No tumour in either report lay in segment VII or VIII and 27 of 52 were in segment III, so after two publications the technique has still not been attempted in the locations where an acoustic window is hardest to obtain and where surgeons most want an alternative</w:t>
            </w:r>
          </w:p>
          <w:p>
            <w:pPr>
              <w:pStyle w:val="ListParagraph"/>
              <w:numPr>
                <w:ilvl w:val="0"/>
                <w:numId w:val="2"/>
              </w:numPr>
              <w:spacing w:after="45"/>
            </w:pPr>
            <w:r>
              <w:rPr>
                <w:sz w:val="15"/>
                <w:szCs w:val="15"/>
              </w:rPr>
              <w:t xml:space="preserve">Median survival of 20.7 months is quoted for the whole cohort alongside a 12-month survival of 58.6 percent, with no confidence interval, in a pooled population spanning HCC and eight different metastatic primaries, half of them with extrahepatic disease</w:t>
            </w:r>
          </w:p>
          <w:p>
            <w:pPr>
              <w:pStyle w:val="ListParagraph"/>
              <w:numPr>
                <w:ilvl w:val="0"/>
                <w:numId w:val="2"/>
              </w:numPr>
              <w:spacing w:after="45"/>
            </w:pPr>
            <w:r>
              <w:rPr>
                <w:sz w:val="15"/>
                <w:szCs w:val="15"/>
              </w:rPr>
              <w:t xml:space="preserve">Freedom from progression is labelled preliminary in the Methods and tables but the 90 percent figure appears unqualified in the abstract and in the conclusion recommending continued clinical adoption, in a manuscript whose medical writing and statistical support came from the sponsor's employees</w:t>
            </w:r>
          </w:p>
        </w:tc>
      </w:tr>
    </w:tbl>
    <w:p>
      <w:pPr>
        <w:spacing w:after="0" w:line="276"/>
      </w:pPr>
      <w:r>
        <w:rPr>
          <w:color w:val="5A6069"/>
          <w:sz w:val="14"/>
          <w:szCs w:val="14"/>
        </w:rPr>
        <w:t xml:space="preserve">Funding: HistoSonics, Inc. funded the trial and provided the system; medical writing and statistical support were provided by two HistoSonics employees and statistical analysis by NAMSA; the first author reports HistoSonics grants, consulting fees, stock or stock options and institutional equipment, and a co-author is a HistoSonics co-principal investigator and histotripsy vaccine patent holder</w:t>
      </w:r>
    </w:p>
    <w:p>
      <w:pPr>
        <w:keepNext/>
        <w:spacing w:after="50" w:before="260"/>
      </w:pPr>
      <w:r>
        <w:rPr>
          <w:rFonts w:ascii="Cambria" w:cs="Cambria" w:eastAsia="Cambria" w:hAnsi="Cambria"/>
          <w:b/>
          <w:bCs/>
          <w:color w:val="17365D"/>
          <w:sz w:val="20"/>
          <w:szCs w:val="20"/>
        </w:rPr>
        <w:t xml:space="preserve">Adam 2015 consensus</w:t>
      </w:r>
      <w:r>
        <w:rPr>
          <w:b/>
          <w:bCs/>
          <w:color w:val="176A87"/>
          <w:sz w:val="15"/>
          <w:szCs w:val="15"/>
        </w:rPr>
        <w:t xml:space="preserve">   Consensus statement</w:t>
      </w:r>
      <w:r>
        <w:rPr>
          <w:color w:val="5A6069"/>
          <w:sz w:val="15"/>
          <w:szCs w:val="15"/>
        </w:rPr>
        <w:t xml:space="preserve">   PMID 26417845</w:t>
      </w:r>
    </w:p>
    <w:p>
      <w:pPr>
        <w:spacing w:after="50" w:line="276"/>
      </w:pPr>
      <w:r>
        <w:rPr>
          <w:color w:val="5A6069"/>
          <w:sz w:val="17"/>
          <w:szCs w:val="17"/>
        </w:rPr>
        <w:t xml:space="preserve">Managing synchronous liver metastases from colorectal cancer: a multidisciplinary international consensus</w:t>
      </w:r>
    </w:p>
    <w:p>
      <w:pPr>
        <w:spacing w:after="70"/>
      </w:pPr>
      <w:r>
        <w:rPr>
          <w:b/>
          <w:bCs/>
          <w:color w:val="17365D"/>
          <w:sz w:val="16"/>
          <w:szCs w:val="16"/>
        </w:rPr>
        <w:t xml:space="preserve">Bottom line. </w:t>
      </w:r>
      <w:r>
        <w:rPr>
          <w:sz w:val="16"/>
          <w:szCs w:val="16"/>
        </w:rPr>
        <w:t xml:space="preserve">Fixes a usable vocabulary for synchronously detected colorectal liver metastases and sets out a defensible default sequence for four clinical scenarios, including that resection should not be withheld from patients merely stable after optimal chemotherapy. It does not establish that any of its sequencing recommendations improves survival: the panel concedes no strong evidence supports chemotherapy before colon resection, and the registry data it cites show survival no better, or slightly worse, with the strategies it recommends. Read it as a statement of what fifteen sponsor-convened experts would do in 2015, not as evidence about what works.</w:t>
      </w:r>
    </w:p>
    <w:tbl>
      <w:tblPr>
        <w:tblW w:type="dxa" w:w="9360"/>
        <w:tblBorders>
          <w:top w:val="single" w:color="D3DCE4" w:sz="4"/>
          <w:left w:val="single" w:color="D3DCE4" w:sz="4"/>
          <w:bottom w:val="single" w:color="D3DCE4" w:sz="4"/>
          <w:right w:val="single" w:color="D3DCE4" w:sz="4"/>
          <w:insideH w:val="single" w:color="D3DCE4" w:sz="4"/>
          <w:insideV w:val="single" w:color="D3DCE4" w:sz="4"/>
        </w:tblBorders>
      </w:tblPr>
      <w:tblGrid>
        <w:gridCol w:w="4600"/>
        <w:gridCol w:w="4760"/>
      </w:tblGrid>
      <w:tr>
        <w:tc>
          <w:tcPr>
            <w:tcW w:type="dxa" w:w="4600"/>
            <w:shd w:fill="F1F4F8" w:color="auto" w:val="clear"/>
            <w:tcMar>
              <w:top w:type="dxa" w:w="70"/>
              <w:left w:type="dxa" w:w="110"/>
              <w:bottom w:type="dxa" w:w="70"/>
              <w:right w:type="dxa" w:w="110"/>
            </w:tcMar>
            <w:vAlign w:val="top"/>
          </w:tcPr>
          <w:p>
            <w:pPr>
              <w:spacing w:after="50"/>
            </w:pPr>
            <w:r>
              <w:rPr>
                <w:b/>
                <w:bCs/>
                <w:color w:val="8E5008"/>
                <w:spacing w:val="12"/>
                <w:sz w:val="14"/>
                <w:szCs w:val="14"/>
              </w:rPr>
              <w:t xml:space="preserve">LIMITATIONS THE AUTHORS STATE</w:t>
            </w:r>
          </w:p>
          <w:p>
            <w:pPr>
              <w:pStyle w:val="ListParagraph"/>
              <w:numPr>
                <w:ilvl w:val="0"/>
                <w:numId w:val="2"/>
              </w:numPr>
              <w:spacing w:after="45"/>
            </w:pPr>
            <w:r>
              <w:rPr>
                <w:sz w:val="15"/>
                <w:szCs w:val="15"/>
              </w:rPr>
              <w:t xml:space="preserve">The panel states outright that no strong evidence exists to support its central recommendation of chemotherapy first rather than colon resection first, and that three randomised trials addressing it were ongoing</w:t>
            </w:r>
          </w:p>
          <w:p>
            <w:pPr>
              <w:pStyle w:val="ListParagraph"/>
              <w:numPr>
                <w:ilvl w:val="0"/>
                <w:numId w:val="2"/>
              </w:numPr>
              <w:spacing w:after="45"/>
            </w:pPr>
            <w:r>
              <w:rPr>
                <w:sz w:val="15"/>
                <w:szCs w:val="15"/>
              </w:rPr>
              <w:t xml:space="preserve">The supporting LiverMetSurvey comparisons are conceded to be confounded: 5-year survival was no better with chemotherapy first than with primary surgery first (42% vs 47% in resectable disease, 31% vs 33% in unresectable), which the panel attributes to surgery-first having been reserved for patients with less widespread disease and the best prognosis</w:t>
            </w:r>
          </w:p>
          <w:p>
            <w:pPr>
              <w:pStyle w:val="ListParagraph"/>
              <w:numPr>
                <w:ilvl w:val="0"/>
                <w:numId w:val="2"/>
              </w:numPr>
              <w:spacing w:after="45"/>
            </w:pPr>
            <w:r>
              <w:rPr>
                <w:sz w:val="15"/>
                <w:szCs w:val="15"/>
              </w:rPr>
              <w:t xml:space="preserve">The meta-analysis cited as showing a survival benefit from resecting the asymptomatic primary when metastases are unresectable is described as questionable because of potential publication bias in non-randomised trials, and the randomised trials started to answer the question mostly closed early for poor accrual</w:t>
            </w:r>
          </w:p>
          <w:p>
            <w:pPr>
              <w:pStyle w:val="ListParagraph"/>
              <w:numPr>
                <w:ilvl w:val="0"/>
                <w:numId w:val="2"/>
              </w:numPr>
              <w:spacing w:after="45"/>
            </w:pPr>
            <w:r>
              <w:rPr>
                <w:sz w:val="15"/>
                <w:szCs w:val="15"/>
              </w:rPr>
              <w:t xml:space="preserve">ALPPS is reported only as increasing complications and mortality, with overall and long-term survival data still needed</w:t>
            </w:r>
          </w:p>
          <w:p>
            <w:pPr>
              <w:pStyle w:val="ListParagraph"/>
              <w:numPr>
                <w:ilvl w:val="0"/>
                <w:numId w:val="2"/>
              </w:numPr>
              <w:spacing w:after="45"/>
            </w:pPr>
            <w:r>
              <w:rPr>
                <w:sz w:val="15"/>
                <w:szCs w:val="15"/>
              </w:rPr>
              <w:t xml:space="preserve">The optimal resection margin width remains to be determined, and no biological marker has been identified that distinguishes synchronous from metachronous metastases</w:t>
            </w:r>
          </w:p>
          <w:p>
            <w:pPr>
              <w:pStyle w:val="ListParagraph"/>
              <w:numPr>
                <w:ilvl w:val="0"/>
                <w:numId w:val="2"/>
              </w:numPr>
              <w:spacing w:after="45"/>
            </w:pPr>
            <w:r>
              <w:rPr>
                <w:sz w:val="15"/>
                <w:szCs w:val="15"/>
              </w:rPr>
              <w:t xml:space="preserve">Burgundy registry survival figures are flagged as needing cautious interpretation because they cover 1976 to 2000</w:t>
            </w:r>
          </w:p>
          <w:p>
            <w:pPr>
              <w:pStyle w:val="ListParagraph"/>
              <w:numPr>
                <w:ilvl w:val="0"/>
                <w:numId w:val="2"/>
              </w:numPr>
              <w:spacing w:after="45"/>
            </w:pPr>
            <w:r>
              <w:rPr>
                <w:sz w:val="15"/>
                <w:szCs w:val="15"/>
              </w:rPr>
              <w:t xml:space="preserve">Some panel members were not present for the whole meeting and some abstained from voting on questions outside their area of expertise</w:t>
            </w:r>
          </w:p>
        </w:tc>
        <w:tc>
          <w:tcPr>
            <w:tcW w:type="dxa" w:w="4760"/>
            <w:shd w:fill="F1F4F8" w:color="auto" w:val="clear"/>
            <w:tcMar>
              <w:top w:type="dxa" w:w="70"/>
              <w:left w:type="dxa" w:w="110"/>
              <w:bottom w:type="dxa" w:w="70"/>
              <w:right w:type="dxa" w:w="110"/>
            </w:tcMar>
            <w:vAlign w:val="top"/>
          </w:tcPr>
          <w:p>
            <w:pPr>
              <w:spacing w:after="50"/>
            </w:pPr>
            <w:r>
              <w:rPr>
                <w:b/>
                <w:bCs/>
                <w:color w:val="8C2F26"/>
                <w:spacing w:val="12"/>
                <w:sz w:val="14"/>
                <w:szCs w:val="14"/>
              </w:rPr>
              <w:t xml:space="preserve">WHAT THEY DO NOT SAY</w:t>
            </w:r>
          </w:p>
          <w:p>
            <w:pPr>
              <w:pStyle w:val="ListParagraph"/>
              <w:numPr>
                <w:ilvl w:val="0"/>
                <w:numId w:val="2"/>
              </w:numPr>
              <w:spacing w:after="45"/>
            </w:pPr>
            <w:r>
              <w:rPr>
                <w:sz w:val="15"/>
                <w:szCs w:val="15"/>
              </w:rPr>
              <w:t xml:space="preserve">No systematic search is described. Meta-analyses, trials and practice studies were identified and circulated by the coordinator, with no databases, dates, search terms or selection criteria given, so the evidence base behind every graded recommendation is unreproducible.</w:t>
            </w:r>
          </w:p>
          <w:p>
            <w:pPr>
              <w:pStyle w:val="ListParagraph"/>
              <w:numPr>
                <w:ilvl w:val="0"/>
                <w:numId w:val="2"/>
              </w:numPr>
              <w:spacing w:after="45"/>
            </w:pPr>
            <w:r>
              <w:rPr>
                <w:sz w:val="15"/>
                <w:szCs w:val="15"/>
              </w:rPr>
              <w:t xml:space="preserve">Grade A in the Strength of Recommendation Taxonomy means consistent, good-quality, patient-oriented evidence, yet grade A is attached to recommendations that rest on nothing more than the panel's own vote - the nomenclature of synchronicity (question 1), the sequencing in a symptomatic primary (question 5), and that one-stage resection is riskier than staged (question 8), for which no comparative trial is cited anywhere in the text.</w:t>
            </w:r>
          </w:p>
          <w:p>
            <w:pPr>
              <w:pStyle w:val="ListParagraph"/>
              <w:numPr>
                <w:ilvl w:val="0"/>
                <w:numId w:val="2"/>
              </w:numPr>
              <w:spacing w:after="45"/>
            </w:pPr>
            <w:r>
              <w:rPr>
                <w:sz w:val="15"/>
                <w:szCs w:val="15"/>
              </w:rPr>
              <w:t xml:space="preserve">The 12-month cut-off adopted for early versus late metachronous disease is contradicted by the panel's own supporting figure: LiverMetSurvey showed no significant survival difference between metastases detected at diagnosis and those detected up to 6 months or 6 to 12 months afterwards, and a significant difference only beyond 12 months. The paper reports both and adopts the threshold regardless.</w:t>
            </w:r>
          </w:p>
          <w:p>
            <w:pPr>
              <w:pStyle w:val="ListParagraph"/>
              <w:numPr>
                <w:ilvl w:val="0"/>
                <w:numId w:val="2"/>
              </w:numPr>
              <w:spacing w:after="45"/>
            </w:pPr>
            <w:r>
              <w:rPr>
                <w:sz w:val="15"/>
                <w:szCs w:val="15"/>
              </w:rPr>
              <w:t xml:space="preserve">Voting denominators shift from question to question without explanation - 14 of 15, 10 of 11, 9 of 12, 8 of 12, 9 of 11, 2 of 11 - because members left or abstained, so 'complete agreement' in some scenarios means agreement among as few as 11 of the 15 named panellists.</w:t>
            </w:r>
          </w:p>
          <w:p>
            <w:pPr>
              <w:pStyle w:val="ListParagraph"/>
              <w:numPr>
                <w:ilvl w:val="0"/>
                <w:numId w:val="2"/>
              </w:numPr>
              <w:spacing w:after="45"/>
            </w:pPr>
            <w:r>
              <w:rPr>
                <w:sz w:val="15"/>
                <w:szCs w:val="15"/>
              </w:rPr>
              <w:t xml:space="preserve">The Delphi method, voting rules and the threshold that counts as consensus are relegated to Appendix 1; the main text gives only 'approved by all or a large majority', with no prespecified agreement percentage, no round structure and no record of how disagreement was resolved.</w:t>
            </w:r>
          </w:p>
          <w:p>
            <w:pPr>
              <w:pStyle w:val="ListParagraph"/>
              <w:numPr>
                <w:ilvl w:val="0"/>
                <w:numId w:val="2"/>
              </w:numPr>
              <w:spacing w:after="45"/>
            </w:pPr>
            <w:r>
              <w:rPr>
                <w:sz w:val="15"/>
                <w:szCs w:val="15"/>
              </w:rPr>
              <w:t xml:space="preserve">Two substantive claims are sourced to 'personal communication, Aimery de Gramont' from the GERCOR database - that response rates are higher in liver-limited disease, and that second-line response is independent of first-line response - unpublished data from a panel member that no reader can check.</w:t>
            </w:r>
          </w:p>
          <w:p>
            <w:pPr>
              <w:pStyle w:val="ListParagraph"/>
              <w:numPr>
                <w:ilvl w:val="0"/>
                <w:numId w:val="2"/>
              </w:numPr>
              <w:spacing w:after="45"/>
            </w:pPr>
            <w:r>
              <w:rPr>
                <w:sz w:val="15"/>
                <w:szCs w:val="15"/>
              </w:rPr>
              <w:t xml:space="preserve">LiverMetSurvey, the registry that supplies every supporting figure, is coordinated by the first author. Figures 2 to 5 carry no patient numbers, no confidence intervals and no p values, and the registry contains only patients who reached liver resection, so every strategy comparison is conditioned on having survived to surgery.</w:t>
            </w:r>
          </w:p>
          <w:p>
            <w:pPr>
              <w:pStyle w:val="ListParagraph"/>
              <w:numPr>
                <w:ilvl w:val="0"/>
                <w:numId w:val="2"/>
              </w:numPr>
              <w:spacing w:after="45"/>
            </w:pPr>
            <w:r>
              <w:rPr>
                <w:sz w:val="15"/>
                <w:szCs w:val="15"/>
              </w:rPr>
              <w:t xml:space="preserve">Where the registry numbers point the other way they are explained away rather than allowed to weigh: one-stage resection gave 5-year survival of 40% against 47% for liver-first and 44% for primary-first, and the reverse-approach advantage (42% vs 33% vs 28%) is described as supporting the recommendation despite not being statistically significant.</w:t>
            </w:r>
          </w:p>
          <w:p>
            <w:pPr>
              <w:pStyle w:val="ListParagraph"/>
              <w:numPr>
                <w:ilvl w:val="0"/>
                <w:numId w:val="2"/>
              </w:numPr>
              <w:spacing w:after="45"/>
            </w:pPr>
            <w:r>
              <w:rPr>
                <w:sz w:val="15"/>
                <w:szCs w:val="15"/>
              </w:rPr>
              <w:t xml:space="preserve">The meeting was funded by EXCEMED and the manuscript written with sponsor-funded medical writers, while the operative recommendations - six months of perioperative chemotherapy for everyone, at least four cycles of first-line doublet or triplet plus a biologic, response assessment every two months - all increase drug exposure. Merck Serono appears in ten of the fifteen disclosure statements.</w:t>
            </w:r>
          </w:p>
          <w:p>
            <w:pPr>
              <w:pStyle w:val="ListParagraph"/>
              <w:numPr>
                <w:ilvl w:val="0"/>
                <w:numId w:val="2"/>
              </w:numPr>
              <w:spacing w:after="45"/>
            </w:pPr>
            <w:r>
              <w:rPr>
                <w:sz w:val="15"/>
                <w:szCs w:val="15"/>
              </w:rPr>
              <w:t xml:space="preserve">The recommendation against targeted therapy after R0 resection of both sites carries grade A, but no randomised evidence is cited in that section; New EPOC, the trial that had shown cetuximab to shorten survival in exactly this population, is not discussed where the recommendation is made.</w:t>
            </w:r>
          </w:p>
          <w:p>
            <w:pPr>
              <w:pStyle w:val="ListParagraph"/>
              <w:numPr>
                <w:ilvl w:val="0"/>
                <w:numId w:val="2"/>
              </w:numPr>
              <w:spacing w:after="45"/>
            </w:pPr>
            <w:r>
              <w:rPr>
                <w:sz w:val="15"/>
                <w:szCs w:val="15"/>
              </w:rPr>
              <w:t xml:space="preserve">The six-month total duration of perioperative chemotherapy is stated three times as a recommendation with no supporting randomised comparison of durations in this population; the figure is carried over from adjuvant colon cancer practice without saying so.</w:t>
            </w:r>
          </w:p>
          <w:p>
            <w:pPr>
              <w:pStyle w:val="ListParagraph"/>
              <w:numPr>
                <w:ilvl w:val="0"/>
                <w:numId w:val="2"/>
              </w:numPr>
              <w:spacing w:after="45"/>
            </w:pPr>
            <w:r>
              <w:rPr>
                <w:sz w:val="15"/>
                <w:szCs w:val="15"/>
              </w:rPr>
              <w:t xml:space="preserve">A 1 mm margin is 'suggested as sufficient' on a single reference, two sentences after the same paragraph states that the optimal margin width remains to be determined; the qualifier is dropped when the sentence reappears as a consensus recommendation.</w:t>
            </w:r>
          </w:p>
          <w:p>
            <w:pPr>
              <w:pStyle w:val="ListParagraph"/>
              <w:numPr>
                <w:ilvl w:val="0"/>
                <w:numId w:val="2"/>
              </w:numPr>
              <w:spacing w:after="45"/>
            </w:pPr>
            <w:r>
              <w:rPr>
                <w:sz w:val="15"/>
                <w:szCs w:val="15"/>
              </w:rPr>
              <w:t xml:space="preserve">There is no limitations section and no statement of the limits of consensus methodology, no plan for updating, no external review, and no patient, methodologist, statistician or health economist on a panel of fifteen clinicians.</w:t>
            </w:r>
          </w:p>
          <w:p>
            <w:pPr>
              <w:pStyle w:val="ListParagraph"/>
              <w:numPr>
                <w:ilvl w:val="0"/>
                <w:numId w:val="2"/>
              </w:numPr>
              <w:spacing w:after="45"/>
            </w:pPr>
            <w:r>
              <w:rPr>
                <w:sz w:val="15"/>
                <w:szCs w:val="15"/>
              </w:rPr>
              <w:t xml:space="preserve">No linked editorial or comment on this consensus was found in PubMed, so no independent published critique informs this record.</w:t>
            </w:r>
          </w:p>
        </w:tc>
      </w:tr>
    </w:tbl>
    <w:p>
      <w:pPr>
        <w:spacing w:after="0" w:line="276"/>
      </w:pPr>
      <w:r>
        <w:rPr>
          <w:color w:val="5A6069"/>
          <w:sz w:val="14"/>
          <w:szCs w:val="14"/>
        </w:rPr>
        <w:t xml:space="preserve">Funding: The consensus meeting was supported by EXCEMED, Rome, Italy; editorial assistance was provided by Caudex, Oxford, supported by EXCEMED. Eleven of the fifteen panellists declare advisory roles, speaker fees or research funding from Amgen, Merck Serono, Roche, Sanofi-Aventis, Bayer, Pfizer, Lilly, Sirtex, Biocompatibles, Novartis, Bristol-Myers Squibb, Chugai, Servier, Keocyt, Boehringer, Dainippon Sumitomo or Taiho; four declare none</w:t>
      </w:r>
    </w:p>
    <w:p>
      <w:pPr>
        <w:keepNext/>
        <w:spacing w:after="50" w:before="260"/>
      </w:pPr>
      <w:r>
        <w:rPr>
          <w:rFonts w:ascii="Cambria" w:cs="Cambria" w:eastAsia="Cambria" w:hAnsi="Cambria"/>
          <w:b/>
          <w:bCs/>
          <w:color w:val="17365D"/>
          <w:sz w:val="20"/>
          <w:szCs w:val="20"/>
        </w:rPr>
        <w:t xml:space="preserve">ASCO 2023</w:t>
      </w:r>
      <w:r>
        <w:rPr>
          <w:b/>
          <w:bCs/>
          <w:color w:val="176A87"/>
          <w:sz w:val="15"/>
          <w:szCs w:val="15"/>
        </w:rPr>
        <w:t xml:space="preserve">   Guideline</w:t>
      </w:r>
      <w:r>
        <w:rPr>
          <w:color w:val="5A6069"/>
          <w:sz w:val="15"/>
          <w:szCs w:val="15"/>
        </w:rPr>
        <w:t xml:space="preserve">   PMID 36252154</w:t>
      </w:r>
    </w:p>
    <w:p>
      <w:pPr>
        <w:spacing w:after="50" w:line="276"/>
      </w:pPr>
      <w:r>
        <w:rPr>
          <w:color w:val="5A6069"/>
          <w:sz w:val="17"/>
          <w:szCs w:val="17"/>
        </w:rPr>
        <w:t xml:space="preserve">Treatment of Metastatic Colorectal Cancer: ASCO Guideline</w:t>
      </w:r>
    </w:p>
    <w:p>
      <w:pPr>
        <w:spacing w:after="70"/>
      </w:pPr>
      <w:r>
        <w:rPr>
          <w:b/>
          <w:bCs/>
          <w:color w:val="17365D"/>
          <w:sz w:val="16"/>
          <w:szCs w:val="16"/>
        </w:rPr>
        <w:t xml:space="preserve">Bottom line. </w:t>
      </w:r>
      <w:r>
        <w:rPr>
          <w:sz w:val="16"/>
          <w:szCs w:val="16"/>
        </w:rPr>
        <w:t xml:space="preserve">Gives a clear, GRADE-graded statement of first-line systemic therapy in metastatic colorectal cancer - doublet chemotherapy for most, anti-EGFR only for left-sided RAS wild-type disease, no oxaliplatin HIPEC - and confirms that surgery should be offered to anyone resectable. It answers almost none of the questions a hepatobiliary surgeon asks: resectability, future liver remnant, staged hepatectomy, conversion strategy and the timing of surgery are all declared out of scope, thermal ablation is excluded from the search protocol altogether, SBRT is recommended on 18 uncontrolled series after the only randomised trial was excluded, and the perioperative chemotherapy recommendation rests on the resected subgroup of a trial that missed its primary endpoint. Its search closed in June 2022, before COLLISION, TRANSMET, BREAKWATER and CheckMate 8HW.</w:t>
      </w:r>
    </w:p>
    <w:tbl>
      <w:tblPr>
        <w:tblW w:type="dxa" w:w="9360"/>
        <w:tblBorders>
          <w:top w:val="single" w:color="D3DCE4" w:sz="4"/>
          <w:left w:val="single" w:color="D3DCE4" w:sz="4"/>
          <w:bottom w:val="single" w:color="D3DCE4" w:sz="4"/>
          <w:right w:val="single" w:color="D3DCE4" w:sz="4"/>
          <w:insideH w:val="single" w:color="D3DCE4" w:sz="4"/>
          <w:insideV w:val="single" w:color="D3DCE4" w:sz="4"/>
        </w:tblBorders>
      </w:tblPr>
      <w:tblGrid>
        <w:gridCol w:w="4600"/>
        <w:gridCol w:w="4760"/>
      </w:tblGrid>
      <w:tr>
        <w:tc>
          <w:tcPr>
            <w:tcW w:type="dxa" w:w="4600"/>
            <w:shd w:fill="F1F4F8" w:color="auto" w:val="clear"/>
            <w:tcMar>
              <w:top w:type="dxa" w:w="70"/>
              <w:left w:type="dxa" w:w="110"/>
              <w:bottom w:type="dxa" w:w="70"/>
              <w:right w:type="dxa" w:w="110"/>
            </w:tcMar>
            <w:vAlign w:val="top"/>
          </w:tcPr>
          <w:p>
            <w:pPr>
              <w:spacing w:after="50"/>
            </w:pPr>
            <w:r>
              <w:rPr>
                <w:b/>
                <w:bCs/>
                <w:color w:val="8E5008"/>
                <w:spacing w:val="12"/>
                <w:sz w:val="14"/>
                <w:szCs w:val="14"/>
              </w:rPr>
              <w:t xml:space="preserve">LIMITATIONS THE AUTHORS STATE</w:t>
            </w:r>
          </w:p>
          <w:p>
            <w:pPr>
              <w:pStyle w:val="ListParagraph"/>
              <w:numPr>
                <w:ilvl w:val="0"/>
                <w:numId w:val="2"/>
              </w:numPr>
              <w:spacing w:after="45"/>
            </w:pPr>
            <w:r>
              <w:rPr>
                <w:sz w:val="15"/>
                <w:szCs w:val="15"/>
              </w:rPr>
              <w:t xml:space="preserve">The panel states that the scope was designed to address selected areas of uncertainty, so not all possible treatment options have been addressed, particularly for liver-directed therapy</w:t>
            </w:r>
          </w:p>
          <w:p>
            <w:pPr>
              <w:pStyle w:val="ListParagraph"/>
              <w:numPr>
                <w:ilvl w:val="0"/>
                <w:numId w:val="2"/>
              </w:numPr>
              <w:spacing w:after="45"/>
            </w:pPr>
            <w:r>
              <w:rPr>
                <w:sz w:val="15"/>
                <w:szCs w:val="15"/>
              </w:rPr>
              <w:t xml:space="preserve">Selection criteria for identifying appropriate surgical candidates and the timing of surgery are explicitly outside the scope of the systematic review</w:t>
            </w:r>
          </w:p>
          <w:p>
            <w:pPr>
              <w:pStyle w:val="ListParagraph"/>
              <w:numPr>
                <w:ilvl w:val="0"/>
                <w:numId w:val="2"/>
              </w:numPr>
              <w:spacing w:after="45"/>
            </w:pPr>
            <w:r>
              <w:rPr>
                <w:sz w:val="15"/>
                <w:szCs w:val="15"/>
              </w:rPr>
              <w:t xml:space="preserve">Testing for molecular subtypes was outside scope, and the guideline assumes patients will have access to the molecular testing its own sidedness, RAS, BRAF and mismatch repair recommendations require; HER2-amplified and TRK-fusion disease were also out of scope</w:t>
            </w:r>
          </w:p>
          <w:p>
            <w:pPr>
              <w:pStyle w:val="ListParagraph"/>
              <w:numPr>
                <w:ilvl w:val="0"/>
                <w:numId w:val="2"/>
              </w:numPr>
              <w:spacing w:after="45"/>
            </w:pPr>
            <w:r>
              <w:rPr>
                <w:sz w:val="15"/>
                <w:szCs w:val="15"/>
              </w:rPr>
              <w:t xml:space="preserve">The randomised phase 2 SABR-COMET trial did not meet the inclusion criteria because it included only a small proportion of colorectal patients</w:t>
            </w:r>
          </w:p>
          <w:p>
            <w:pPr>
              <w:pStyle w:val="ListParagraph"/>
              <w:numPr>
                <w:ilvl w:val="0"/>
                <w:numId w:val="2"/>
              </w:numPr>
              <w:spacing w:after="45"/>
            </w:pPr>
            <w:r>
              <w:rPr>
                <w:sz w:val="15"/>
                <w:szCs w:val="15"/>
              </w:rPr>
              <w:t xml:space="preserve">Many recommendations are graded weak on moderate or lower quality evidence, which under GRADE means most informed people would choose the recommended course and a substantial number would not</w:t>
            </w:r>
          </w:p>
          <w:p>
            <w:pPr>
              <w:pStyle w:val="ListParagraph"/>
              <w:numPr>
                <w:ilvl w:val="0"/>
                <w:numId w:val="2"/>
              </w:numPr>
              <w:spacing w:after="45"/>
            </w:pPr>
            <w:r>
              <w:rPr>
                <w:sz w:val="15"/>
                <w:szCs w:val="15"/>
              </w:rPr>
              <w:t xml:space="preserve">The search closed on 20 June 2022, and the guideline disclaimer states the information should not be relied upon as complete or accurate, is not continually updated, and may not reflect the most recent evidence</w:t>
            </w:r>
          </w:p>
          <w:p>
            <w:pPr>
              <w:pStyle w:val="ListParagraph"/>
              <w:numPr>
                <w:ilvl w:val="0"/>
                <w:numId w:val="2"/>
              </w:numPr>
              <w:spacing w:after="45"/>
            </w:pPr>
            <w:r>
              <w:rPr>
                <w:sz w:val="15"/>
                <w:szCs w:val="15"/>
              </w:rPr>
              <w:t xml:space="preserve">Cytoreductive surgery is qualified as suitable only for higher-volume or specialised centres and experienced operators</w:t>
            </w:r>
          </w:p>
        </w:tc>
        <w:tc>
          <w:tcPr>
            <w:tcW w:type="dxa" w:w="4760"/>
            <w:shd w:fill="F1F4F8" w:color="auto" w:val="clear"/>
            <w:tcMar>
              <w:top w:type="dxa" w:w="70"/>
              <w:left w:type="dxa" w:w="110"/>
              <w:bottom w:type="dxa" w:w="70"/>
              <w:right w:type="dxa" w:w="110"/>
            </w:tcMar>
            <w:vAlign w:val="top"/>
          </w:tcPr>
          <w:p>
            <w:pPr>
              <w:spacing w:after="50"/>
            </w:pPr>
            <w:r>
              <w:rPr>
                <w:b/>
                <w:bCs/>
                <w:color w:val="8C2F26"/>
                <w:spacing w:val="12"/>
                <w:sz w:val="14"/>
                <w:szCs w:val="14"/>
              </w:rPr>
              <w:t xml:space="preserve">WHAT THEY DO NOT SAY</w:t>
            </w:r>
          </w:p>
          <w:p>
            <w:pPr>
              <w:pStyle w:val="ListParagraph"/>
              <w:numPr>
                <w:ilvl w:val="0"/>
                <w:numId w:val="2"/>
              </w:numPr>
              <w:spacing w:after="45"/>
            </w:pPr>
            <w:r>
              <w:rPr>
                <w:sz w:val="15"/>
                <w:szCs w:val="15"/>
              </w:rPr>
              <w:t xml:space="preserve">On the one liver question with randomised evidence, the guideline recommends a treatment that failed its trial. EORTC 40983's intention-to-treat progression-free survival hazard ratio was 0.79 (95% CI 0.62-1.02) with no survival benefit; the recommendation for perioperative chemotherapy is graded evidence-based with benefits outweighing harms on the strength of an exploratory analysis restricted to the 83% of patients who were resected (HR 0.73, 0.55-0.97).</w:t>
            </w:r>
          </w:p>
          <w:p>
            <w:pPr>
              <w:pStyle w:val="ListParagraph"/>
              <w:numPr>
                <w:ilvl w:val="0"/>
                <w:numId w:val="2"/>
              </w:numPr>
              <w:spacing w:after="45"/>
            </w:pPr>
            <w:r>
              <w:rPr>
                <w:sz w:val="15"/>
                <w:szCs w:val="15"/>
              </w:rPr>
              <w:t xml:space="preserve">The prescribed duration is a trial artefact. Six months of total perioperative chemotherapy is recommended because six months is what EORTC 40983 administered, in a guideline that reports the same trial's primary endpoint as non-significant two paragraphs earlier, and that elsewhere cites evidence that six or more cycles increases surgical morbidity.</w:t>
            </w:r>
          </w:p>
          <w:p>
            <w:pPr>
              <w:pStyle w:val="ListParagraph"/>
              <w:numPr>
                <w:ilvl w:val="0"/>
                <w:numId w:val="2"/>
              </w:numPr>
              <w:spacing w:after="45"/>
            </w:pPr>
            <w:r>
              <w:rPr>
                <w:sz w:val="15"/>
                <w:szCs w:val="15"/>
              </w:rPr>
              <w:t xml:space="preserve">The second supporting trial points the other way on the endpoint that matters: JCOG0603 improved disease-free survival (HR 0.67, 95% CI 0.50-0.92) with an overall survival hazard ratio of 1.25 (0.78-2.0). The guideline reports both numbers and reasons from the first.</w:t>
            </w:r>
          </w:p>
          <w:p>
            <w:pPr>
              <w:pStyle w:val="ListParagraph"/>
              <w:numPr>
                <w:ilvl w:val="0"/>
                <w:numId w:val="2"/>
              </w:numPr>
              <w:spacing w:after="45"/>
            </w:pPr>
            <w:r>
              <w:rPr>
                <w:sz w:val="15"/>
                <w:szCs w:val="15"/>
              </w:rPr>
              <w:t xml:space="preserve">For SBRT the panel excluded the only randomised trial and recommended on uncontrolled data. SABR-COMET was ruled out for having few colorectal patients, and the recommendation then rests on a pooled analysis of 18 non-randomised single-arm series published 2006 to 2017, in previously treated patients, with no comparator of any kind.</w:t>
            </w:r>
          </w:p>
          <w:p>
            <w:pPr>
              <w:pStyle w:val="ListParagraph"/>
              <w:numPr>
                <w:ilvl w:val="0"/>
                <w:numId w:val="2"/>
              </w:numPr>
              <w:spacing w:after="45"/>
            </w:pPr>
            <w:r>
              <w:rPr>
                <w:sz w:val="15"/>
                <w:szCs w:val="15"/>
              </w:rPr>
              <w:t xml:space="preserve">The SBRT evidence contains a signal against itself that is reported and not acted on: the correlation between dose and 2-year overall survival was 0.29. If radiation dose does not track survival, the survival figures quoted (67% at 1 year, 57% at 2 years) are more plausibly describing patient selection than treatment effect.</w:t>
            </w:r>
          </w:p>
          <w:p>
            <w:pPr>
              <w:pStyle w:val="ListParagraph"/>
              <w:numPr>
                <w:ilvl w:val="0"/>
                <w:numId w:val="2"/>
              </w:numPr>
              <w:spacing w:after="45"/>
            </w:pPr>
            <w:r>
              <w:rPr>
                <w:sz w:val="15"/>
                <w:szCs w:val="15"/>
              </w:rPr>
              <w:t xml:space="preserve">The SIRT section recommends against routine use and simultaneously describes SIRT as an option to explore for downstaging hepatic metastases to operability - an indication no included study tested. Neither the first-line meta-analysis nor EPOCH had conversion to resection as an endpoint.</w:t>
            </w:r>
          </w:p>
          <w:p>
            <w:pPr>
              <w:pStyle w:val="ListParagraph"/>
              <w:numPr>
                <w:ilvl w:val="0"/>
                <w:numId w:val="2"/>
              </w:numPr>
              <w:spacing w:after="45"/>
            </w:pPr>
            <w:r>
              <w:rPr>
                <w:sz w:val="15"/>
                <w:szCs w:val="15"/>
              </w:rPr>
              <w:t xml:space="preserve">Thermal ablation is absent from the guideline entirely. It is not among the interventions listed in the search protocol, so the commonest liver-directed treatment for small colorectal liver metastases is excluded by design, not for want of randomised evidence - CLOCC had been published in 2012 and 2017.</w:t>
            </w:r>
          </w:p>
          <w:p>
            <w:pPr>
              <w:pStyle w:val="ListParagraph"/>
              <w:numPr>
                <w:ilvl w:val="0"/>
                <w:numId w:val="2"/>
              </w:numPr>
              <w:spacing w:after="45"/>
            </w:pPr>
            <w:r>
              <w:rPr>
                <w:sz w:val="15"/>
                <w:szCs w:val="15"/>
              </w:rPr>
              <w:t xml:space="preserve">Several inclusion rules narrow the evidence base without justification: where more than one systematic review or trial report addressed a question, only the most recent was retained; non-English publications were excluded; and conference data were excluded unless published within two years. A guideline built on single most-recent reviews inherits each review's choices without examining them.</w:t>
            </w:r>
          </w:p>
          <w:p>
            <w:pPr>
              <w:pStyle w:val="ListParagraph"/>
              <w:numPr>
                <w:ilvl w:val="0"/>
                <w:numId w:val="2"/>
              </w:numPr>
              <w:spacing w:after="45"/>
            </w:pPr>
            <w:r>
              <w:rPr>
                <w:sz w:val="15"/>
                <w:szCs w:val="15"/>
              </w:rPr>
              <w:t xml:space="preserve">The public review consisted of a two-week open comment period that required submitting a confidentiality agreement before commenting, and the guideline does not report what comments were received or what changed in response.</w:t>
            </w:r>
          </w:p>
          <w:p>
            <w:pPr>
              <w:pStyle w:val="ListParagraph"/>
              <w:numPr>
                <w:ilvl w:val="0"/>
                <w:numId w:val="2"/>
              </w:numPr>
              <w:spacing w:after="45"/>
            </w:pPr>
            <w:r>
              <w:rPr>
                <w:sz w:val="15"/>
                <w:szCs w:val="15"/>
              </w:rPr>
              <w:t xml:space="preserve">No update interval is specified: ASCO states it will determine the need to update on the basis of formal review. A guideline whose own disclaimer says it is not continually updated also sets no date at which it expires.</w:t>
            </w:r>
          </w:p>
          <w:p>
            <w:pPr>
              <w:pStyle w:val="ListParagraph"/>
              <w:numPr>
                <w:ilvl w:val="0"/>
                <w:numId w:val="2"/>
              </w:numPr>
              <w:spacing w:after="45"/>
            </w:pPr>
            <w:r>
              <w:rPr>
                <w:sz w:val="15"/>
                <w:szCs w:val="15"/>
              </w:rPr>
              <w:t xml:space="preserve">The search closed before most of the evidence a liver surgeon now works from. COLLISION, TRANSMET, BREAKWATER, CheckMate 8HW and the CAIRO5 report all postdate 20 June 2022, and all four of the first concern exactly the patients this guideline's liver questions address.</w:t>
            </w:r>
          </w:p>
          <w:p>
            <w:pPr>
              <w:pStyle w:val="ListParagraph"/>
              <w:numPr>
                <w:ilvl w:val="0"/>
                <w:numId w:val="2"/>
              </w:numPr>
              <w:spacing w:after="45"/>
            </w:pPr>
            <w:r>
              <w:rPr>
                <w:sz w:val="15"/>
                <w:szCs w:val="15"/>
              </w:rPr>
              <w:t xml:space="preserve">The cost section discusses out-of-pocket burden at length but presents no cost-effectiveness analysis of any liver-directed recommendation; the analyses it does cite concern molecular testing and anti-EGFR selection, and report costs per quality-adjusted life year above conventionally accepted thresholds.</w:t>
            </w:r>
          </w:p>
          <w:p>
            <w:pPr>
              <w:pStyle w:val="ListParagraph"/>
              <w:numPr>
                <w:ilvl w:val="0"/>
                <w:numId w:val="2"/>
              </w:numPr>
              <w:spacing w:after="45"/>
            </w:pPr>
            <w:r>
              <w:rPr>
                <w:sz w:val="15"/>
                <w:szCs w:val="15"/>
              </w:rPr>
              <w:t xml:space="preserve">One patient representative sat on a panel of around twenty clinicians, and nothing in the document records how patient input affected any recommendation, despite shared decision making being invoked as the fallback for every weak recommendation.</w:t>
            </w:r>
          </w:p>
          <w:p>
            <w:pPr>
              <w:pStyle w:val="ListParagraph"/>
              <w:numPr>
                <w:ilvl w:val="0"/>
                <w:numId w:val="2"/>
              </w:numPr>
              <w:spacing w:after="45"/>
            </w:pPr>
            <w:r>
              <w:rPr>
                <w:sz w:val="15"/>
                <w:szCs w:val="15"/>
              </w:rPr>
              <w:t xml:space="preserve">The conflict-of-interest statement is a statement about ASCO's policy rather than about the relationships, which run to more than a hundred lines of declared industry funding at the head of the manuscript, in a guideline that recommends for and against specific drugs and devices.</w:t>
            </w:r>
          </w:p>
          <w:p>
            <w:pPr>
              <w:pStyle w:val="ListParagraph"/>
              <w:numPr>
                <w:ilvl w:val="0"/>
                <w:numId w:val="2"/>
              </w:numPr>
              <w:spacing w:after="45"/>
            </w:pPr>
            <w:r>
              <w:rPr>
                <w:sz w:val="15"/>
                <w:szCs w:val="15"/>
              </w:rPr>
              <w:t xml:space="preserve">No linked editorial or comment on this guideline was found in PubMed, so no independent published critique informs this record.</w:t>
            </w:r>
          </w:p>
        </w:tc>
      </w:tr>
    </w:tbl>
    <w:p>
      <w:pPr>
        <w:spacing w:after="0" w:line="276"/>
      </w:pPr>
      <w:r>
        <w:rPr>
          <w:color w:val="5A6069"/>
          <w:sz w:val="14"/>
          <w:szCs w:val="14"/>
        </w:rPr>
        <w:t xml:space="preserve">Funding: All funding for the administration of the project was provided by ASCO. The panel's disclosures, printed ahead of the manuscript, list consulting or advisory roles, speakers' bureaux, stock, patents and institutional research funding from the manufacturers of most of the drugs and devices considered, including Bristol Myers Squibb, Merck, Roche/Genentech, Amgen, Bayer, Pfizer, AstraZeneca, Taiho, Servier, Guerbet and InSightec; ASCO states that in accordance with its policy the majority of panel members did not disclose any relationship constituting a conflict</w:t>
      </w:r>
    </w:p>
    <w:p>
      <w:pPr>
        <w:keepNext/>
        <w:spacing w:after="50" w:before="260"/>
      </w:pPr>
      <w:r>
        <w:rPr>
          <w:rFonts w:ascii="Cambria" w:cs="Cambria" w:eastAsia="Cambria" w:hAnsi="Cambria"/>
          <w:b/>
          <w:bCs/>
          <w:color w:val="17365D"/>
          <w:sz w:val="20"/>
          <w:szCs w:val="20"/>
        </w:rPr>
        <w:t xml:space="preserve">BREAKWATER</w:t>
      </w:r>
      <w:r>
        <w:rPr>
          <w:b/>
          <w:bCs/>
          <w:color w:val="176A87"/>
          <w:sz w:val="15"/>
          <w:szCs w:val="15"/>
        </w:rPr>
        <w:t xml:space="preserve">   Randomised trial</w:t>
      </w:r>
      <w:r>
        <w:rPr>
          <w:color w:val="5A6069"/>
          <w:sz w:val="15"/>
          <w:szCs w:val="15"/>
        </w:rPr>
        <w:t xml:space="preserve">   PMID 40444708</w:t>
      </w:r>
    </w:p>
    <w:p>
      <w:pPr>
        <w:spacing w:after="50" w:line="276"/>
      </w:pPr>
      <w:r>
        <w:rPr>
          <w:color w:val="5A6069"/>
          <w:sz w:val="17"/>
          <w:szCs w:val="17"/>
        </w:rPr>
        <w:t xml:space="preserve">Encorafenib, Cetuximab and mFOLFOX6 in BRAF-mutant Colorectal Cancer</w:t>
      </w:r>
    </w:p>
    <w:p>
      <w:pPr>
        <w:spacing w:after="50"/>
      </w:pPr>
      <w:r>
        <w:rPr>
          <w:b/>
          <w:bCs/>
          <w:color w:val="176A87"/>
          <w:sz w:val="16"/>
          <w:szCs w:val="16"/>
        </w:rPr>
        <w:t xml:space="preserve">Population. </w:t>
      </w:r>
      <w:r>
        <w:rPr>
          <w:sz w:val="16"/>
          <w:szCs w:val="16"/>
        </w:rPr>
        <w:t xml:space="preserve">637 patients with previously untreated BRAF V600E-mutant metastatic colorectal cancer randomised in the phase 3 portion across 28 countries between November 2021 and December 2023: 158 to encorafenib-cetuximab, 236 to encorafenib-cetuximab plus mFOLFOX6 and 243 to investigator's choice chemotherapy, of whom 197 (81.1%) also received bevacizumab. Liver metastases were present in 62.3% and 65.8% of the two main arms. At the January 2025 cut-off 242 deaths had occurred, 81.5% of the 297 expected at final analysis</w:t>
      </w:r>
    </w:p>
    <w:p>
      <w:pPr>
        <w:spacing w:after="70"/>
      </w:pPr>
      <w:r>
        <w:rPr>
          <w:b/>
          <w:bCs/>
          <w:color w:val="17365D"/>
          <w:sz w:val="16"/>
          <w:szCs w:val="16"/>
        </w:rPr>
        <w:t xml:space="preserve">Bottom line. </w:t>
      </w:r>
      <w:r>
        <w:rPr>
          <w:sz w:val="16"/>
          <w:szCs w:val="16"/>
        </w:rPr>
        <w:t xml:space="preserve">Establishes that first-line encorafenib and cetuximab added to mFOLFOX6 roughly doubles median survival in BRAF V600E-mutant metastatic colorectal cancer, from 15.1 to 30.3 months (HR 0.49, 95% CI 0.375-0.632), with progression-free survival of 12.8 against 7.1 months and response in two-thirds of patients - bringing this subtype's prognosis close to BRAF wild-type disease. It does not establish what it costs or how it should be sequenced: survival is an interim result, control-arm follow-up is nearly seven months shorter, 72% of control patients later received a BRAF inhibitor anyway, and a regimen causing grade 3-4 toxicity in 81.5% of patients is reported without a single patient-reported outcome. Nothing in it speaks to resection, so for a liver surgeon it changes the systemic plan and the expected prognosis, not the operative decision.</w:t>
      </w:r>
    </w:p>
    <w:tbl>
      <w:tblPr>
        <w:tblW w:type="dxa" w:w="9360"/>
        <w:tblBorders>
          <w:top w:val="single" w:color="D3DCE4" w:sz="4"/>
          <w:left w:val="single" w:color="D3DCE4" w:sz="4"/>
          <w:bottom w:val="single" w:color="D3DCE4" w:sz="4"/>
          <w:right w:val="single" w:color="D3DCE4" w:sz="4"/>
          <w:insideH w:val="single" w:color="D3DCE4" w:sz="4"/>
          <w:insideV w:val="single" w:color="D3DCE4" w:sz="4"/>
        </w:tblBorders>
      </w:tblPr>
      <w:tblGrid>
        <w:gridCol w:w="4600"/>
        <w:gridCol w:w="4760"/>
      </w:tblGrid>
      <w:tr>
        <w:tc>
          <w:tcPr>
            <w:tcW w:type="dxa" w:w="4600"/>
            <w:shd w:fill="F1F4F8" w:color="auto" w:val="clear"/>
            <w:tcMar>
              <w:top w:type="dxa" w:w="70"/>
              <w:left w:type="dxa" w:w="110"/>
              <w:bottom w:type="dxa" w:w="70"/>
              <w:right w:type="dxa" w:w="110"/>
            </w:tcMar>
            <w:vAlign w:val="top"/>
          </w:tcPr>
          <w:p>
            <w:pPr>
              <w:spacing w:after="50"/>
            </w:pPr>
            <w:r>
              <w:rPr>
                <w:b/>
                <w:bCs/>
                <w:color w:val="8E5008"/>
                <w:spacing w:val="12"/>
                <w:sz w:val="14"/>
                <w:szCs w:val="14"/>
              </w:rPr>
              <w:t xml:space="preserve">LIMITATIONS THE AUTHORS STATE</w:t>
            </w:r>
          </w:p>
          <w:p>
            <w:pPr>
              <w:pStyle w:val="ListParagraph"/>
              <w:numPr>
                <w:ilvl w:val="0"/>
                <w:numId w:val="2"/>
              </w:numPr>
              <w:spacing w:after="45"/>
            </w:pPr>
            <w:r>
              <w:rPr>
                <w:sz w:val="15"/>
                <w:szCs w:val="15"/>
              </w:rPr>
              <w:t xml:space="preserve">No limitations section; the paper states design features without conceding any limits. The authors note only that overall survival is an interim analysis at 242 of the 297 events expected for the final analysis, that the encorafenib-cetuximab doublet arm was closed on the basis of an external phase 2 study, that the objective response, time to response and duration of response analyses at this cut-off are descriptive, and that MSI-high or mismatch repair-deficient patients were excluded unless unable to receive checkpoint inhibitors</w:t>
            </w:r>
          </w:p>
          <w:p>
            <w:pPr>
              <w:pStyle w:val="ListParagraph"/>
              <w:numPr>
                <w:ilvl w:val="0"/>
                <w:numId w:val="2"/>
              </w:numPr>
              <w:spacing w:after="45"/>
            </w:pPr>
            <w:r>
              <w:rPr>
                <w:sz w:val="15"/>
                <w:szCs w:val="15"/>
              </w:rPr>
              <w:t xml:space="preserve">They state that hypothesis testing was one-sided while two-sided p values and confidence intervals are reported in the manuscript by convention</w:t>
            </w:r>
          </w:p>
          <w:p>
            <w:pPr>
              <w:pStyle w:val="ListParagraph"/>
              <w:numPr>
                <w:ilvl w:val="0"/>
                <w:numId w:val="2"/>
              </w:numPr>
              <w:spacing w:after="45"/>
            </w:pPr>
            <w:r>
              <w:rPr>
                <w:sz w:val="15"/>
                <w:szCs w:val="15"/>
              </w:rPr>
              <w:t xml:space="preserve">They acknowledge that the first-line encorafenib-cetuximab doublet gave shorter survival than the chemotherapy triplet and offer it only for patients unable to tolerate chemotherapy</w:t>
            </w:r>
          </w:p>
        </w:tc>
        <w:tc>
          <w:tcPr>
            <w:tcW w:type="dxa" w:w="4760"/>
            <w:shd w:fill="F1F4F8" w:color="auto" w:val="clear"/>
            <w:tcMar>
              <w:top w:type="dxa" w:w="70"/>
              <w:left w:type="dxa" w:w="110"/>
              <w:bottom w:type="dxa" w:w="70"/>
              <w:right w:type="dxa" w:w="110"/>
            </w:tcMar>
            <w:vAlign w:val="top"/>
          </w:tcPr>
          <w:p>
            <w:pPr>
              <w:spacing w:after="50"/>
            </w:pPr>
            <w:r>
              <w:rPr>
                <w:b/>
                <w:bCs/>
                <w:color w:val="8C2F26"/>
                <w:spacing w:val="12"/>
                <w:sz w:val="14"/>
                <w:szCs w:val="14"/>
              </w:rPr>
              <w:t xml:space="preserve">WHAT THEY DO NOT SAY</w:t>
            </w:r>
          </w:p>
          <w:p>
            <w:pPr>
              <w:pStyle w:val="ListParagraph"/>
              <w:numPr>
                <w:ilvl w:val="0"/>
                <w:numId w:val="2"/>
              </w:numPr>
              <w:spacing w:after="45"/>
            </w:pPr>
            <w:r>
              <w:rPr>
                <w:sz w:val="15"/>
                <w:szCs w:val="15"/>
              </w:rPr>
              <w:t xml:space="preserve">Follow-up is grossly asymmetric between the arms being compared: median follow-up for progression-free survival was 16.8 months with encorafenib-cetuximab plus mFOLFOX6 and 9.8 months with standard care. The control arm's curve is estimated over little more than half the observation time, and no sensitivity analysis addresses the resulting difference in censoring.</w:t>
            </w:r>
          </w:p>
          <w:p>
            <w:pPr>
              <w:pStyle w:val="ListParagraph"/>
              <w:numPr>
                <w:ilvl w:val="0"/>
                <w:numId w:val="2"/>
              </w:numPr>
              <w:spacing w:after="45"/>
            </w:pPr>
            <w:r>
              <w:rPr>
                <w:sz w:val="15"/>
                <w:szCs w:val="15"/>
              </w:rPr>
              <w:t xml:space="preserve">The response figures that led to accelerated approval and that the paper repeats (65.7% versus 37.4%) are explicitly descriptive at this cut-off; the formally tested comparison was made at an earlier data cut in a response analysis set of 220 patients. Two different analyses, populations and cut-offs are presented under one endpoint.</w:t>
            </w:r>
          </w:p>
          <w:p>
            <w:pPr>
              <w:pStyle w:val="ListParagraph"/>
              <w:numPr>
                <w:ilvl w:val="0"/>
                <w:numId w:val="2"/>
              </w:numPr>
              <w:spacing w:after="45"/>
            </w:pPr>
            <w:r>
              <w:rPr>
                <w:sz w:val="15"/>
                <w:szCs w:val="15"/>
              </w:rPr>
              <w:t xml:space="preserve">The Discussion contradicts its own results on toxicity. It states that grade 3 or higher adverse events occurred in more than half the patients when Table S7 gives 81.5%, and that no substantial increase in chemotherapy dose reduction or discontinuation was needed when the same table gives 59.9% against 54.1% and 20.7% against 17.5%. The claim that the events were largely reversible is made with no supporting data.</w:t>
            </w:r>
          </w:p>
          <w:p>
            <w:pPr>
              <w:pStyle w:val="ListParagraph"/>
              <w:numPr>
                <w:ilvl w:val="0"/>
                <w:numId w:val="2"/>
              </w:numPr>
              <w:spacing w:after="45"/>
            </w:pPr>
            <w:r>
              <w:rPr>
                <w:sz w:val="15"/>
                <w:szCs w:val="15"/>
              </w:rPr>
              <w:t xml:space="preserve">Almost everything a reader needs to check is in the supplement: the safety summary, the response table, subsequent therapies, the stratification scheme and the subgroup forests are all Tables S1 to S9, leaving the main text to report conclusions rather than data.</w:t>
            </w:r>
          </w:p>
          <w:p>
            <w:pPr>
              <w:pStyle w:val="ListParagraph"/>
              <w:numPr>
                <w:ilvl w:val="0"/>
                <w:numId w:val="2"/>
              </w:numPr>
              <w:spacing w:after="45"/>
            </w:pPr>
            <w:r>
              <w:rPr>
                <w:sz w:val="15"/>
                <w:szCs w:val="15"/>
              </w:rPr>
              <w:t xml:space="preserve">The comparator is investigator's choice between mFOLFOX6, FOLFOXIRI and CAPOX with or without bevacizumab, and the main text reports only the bevacizumab proportion. How many control patients received the most active available regimen, a triplet, is not stated, so whether this is a comparison against best standard care cannot be verified.</w:t>
            </w:r>
          </w:p>
          <w:p>
            <w:pPr>
              <w:pStyle w:val="ListParagraph"/>
              <w:numPr>
                <w:ilvl w:val="0"/>
                <w:numId w:val="2"/>
              </w:numPr>
              <w:spacing w:after="45"/>
            </w:pPr>
            <w:r>
              <w:rPr>
                <w:sz w:val="15"/>
                <w:szCs w:val="15"/>
              </w:rPr>
              <w:t xml:space="preserve">Nearly three-quarters of control patients who received any further systemic therapy (100 of 139, 71.9%) went on to a BRAF inhibitor-based regimen. The trial therefore compares giving encorafenib first against giving it later, not against withholding it, and the paper reads the result as showing the importance of first-line encorafenib without analysing what happened to the crossed-over patients.</w:t>
            </w:r>
          </w:p>
          <w:p>
            <w:pPr>
              <w:pStyle w:val="ListParagraph"/>
              <w:numPr>
                <w:ilvl w:val="0"/>
                <w:numId w:val="2"/>
              </w:numPr>
              <w:spacing w:after="45"/>
            </w:pPr>
            <w:r>
              <w:rPr>
                <w:sz w:val="15"/>
                <w:szCs w:val="15"/>
              </w:rPr>
              <w:t xml:space="preserve">The encorafenib-cetuximab doublet arm was closed not on its own interim data but on the results of a different phase 2 study (ANCHOR). Its outcomes are then reported alongside the randomised arms and used to recommend the doublet for chemotherapy-intolerant patients, which is a non-randomised comparison between a closed arm and a continuing one.</w:t>
            </w:r>
          </w:p>
          <w:p>
            <w:pPr>
              <w:pStyle w:val="ListParagraph"/>
              <w:numPr>
                <w:ilvl w:val="0"/>
                <w:numId w:val="2"/>
              </w:numPr>
              <w:spacing w:after="45"/>
            </w:pPr>
            <w:r>
              <w:rPr>
                <w:sz w:val="15"/>
                <w:szCs w:val="15"/>
              </w:rPr>
              <w:t xml:space="preserve">No patient-reported outcome or quality-of-life result appears anywhere, in a regimen that produced treatment-emergent adverse events in 100% of patients, grade 3-4 events in 81.5%, dose reduction in 65.5% and permanent discontinuation in 26.7%. The trade-off the regimen demands is therefore not measurable from this report.</w:t>
            </w:r>
          </w:p>
          <w:p>
            <w:pPr>
              <w:pStyle w:val="ListParagraph"/>
              <w:numPr>
                <w:ilvl w:val="0"/>
                <w:numId w:val="2"/>
              </w:numPr>
              <w:spacing w:after="45"/>
            </w:pPr>
            <w:r>
              <w:rPr>
                <w:sz w:val="15"/>
                <w:szCs w:val="15"/>
              </w:rPr>
              <w:t xml:space="preserve">BRAF V600E status could be established by local testing on tissue or blood or by the central laboratory, with no concordance data between methods reported, in a trial whose entire population is defined by that result.</w:t>
            </w:r>
          </w:p>
          <w:p>
            <w:pPr>
              <w:pStyle w:val="ListParagraph"/>
              <w:numPr>
                <w:ilvl w:val="0"/>
                <w:numId w:val="2"/>
              </w:numPr>
              <w:spacing w:after="45"/>
            </w:pPr>
            <w:r>
              <w:rPr>
                <w:sz w:val="15"/>
                <w:szCs w:val="15"/>
              </w:rPr>
              <w:t xml:space="preserve">Eligibility was open from age 16 where locally permitted, and no separate accounting of adolescent patients, their dosing or their outcomes appears.</w:t>
            </w:r>
          </w:p>
          <w:p>
            <w:pPr>
              <w:pStyle w:val="ListParagraph"/>
              <w:numPr>
                <w:ilvl w:val="0"/>
                <w:numId w:val="2"/>
              </w:numPr>
              <w:spacing w:after="45"/>
            </w:pPr>
            <w:r>
              <w:rPr>
                <w:sz w:val="15"/>
                <w:szCs w:val="15"/>
              </w:rPr>
              <w:t xml:space="preserve">For this depot's purposes the trial contains no liver-directed endpoint at all: resection, conversion and ablation are neither protocol interventions nor outcomes, despite liver metastases in roughly two-thirds of patients, and the liver-metastasis subgroup appears only as one line of a forest plot. Whether a BRAF V600E liver metastasis responding to this regimen should then be resected is untouched.</w:t>
            </w:r>
          </w:p>
          <w:p>
            <w:pPr>
              <w:pStyle w:val="ListParagraph"/>
              <w:numPr>
                <w:ilvl w:val="0"/>
                <w:numId w:val="2"/>
              </w:numPr>
              <w:spacing w:after="45"/>
            </w:pPr>
            <w:r>
              <w:rPr>
                <w:sz w:val="15"/>
                <w:szCs w:val="15"/>
              </w:rPr>
              <w:t xml:space="preserve">The manufacturers of both targeted drugs are inside the trial - Pfizer as sponsor for encorafenib and Merck KGaA supporting it for cetuximab - and the sponsor funded the medical writing. The paper does not state who collected, held or analysed the data.</w:t>
            </w:r>
          </w:p>
          <w:p>
            <w:pPr>
              <w:pStyle w:val="ListParagraph"/>
              <w:numPr>
                <w:ilvl w:val="0"/>
                <w:numId w:val="2"/>
              </w:numPr>
              <w:spacing w:after="45"/>
            </w:pPr>
            <w:r>
              <w:rPr>
                <w:sz w:val="15"/>
                <w:szCs w:val="15"/>
              </w:rPr>
              <w:t xml:space="preserve">No linked editorial or comment on this trial was found in PubMed, so no independent published critique informs this record.</w:t>
            </w:r>
          </w:p>
        </w:tc>
      </w:tr>
    </w:tbl>
    <w:p>
      <w:pPr>
        <w:spacing w:after="0" w:line="276"/>
      </w:pPr>
      <w:r>
        <w:rPr>
          <w:color w:val="5A6069"/>
          <w:sz w:val="14"/>
          <w:szCs w:val="14"/>
        </w:rPr>
        <w:t xml:space="preserve">Funding: Sponsored by Pfizer, which makes encorafenib, with support from Ono Pharmaceutical, Merck KGaA (the maker of cetuximab) and Eli Lilly, and additional support from an NIH/NCI Cancer Center Core Grant (P30 CA008748). Medical writing support was provided by Nucleus Global and funded by Pfizer</w:t>
      </w:r>
    </w:p>
    <w:p>
      <w:pPr>
        <w:keepNext/>
        <w:spacing w:after="50" w:before="260"/>
      </w:pPr>
      <w:r>
        <w:rPr>
          <w:rFonts w:ascii="Cambria" w:cs="Cambria" w:eastAsia="Cambria" w:hAnsi="Cambria"/>
          <w:b/>
          <w:bCs/>
          <w:color w:val="17365D"/>
          <w:sz w:val="20"/>
          <w:szCs w:val="20"/>
        </w:rPr>
        <w:t xml:space="preserve">CAIRO5</w:t>
      </w:r>
      <w:r>
        <w:rPr>
          <w:b/>
          <w:bCs/>
          <w:color w:val="176A87"/>
          <w:sz w:val="15"/>
          <w:szCs w:val="15"/>
        </w:rPr>
        <w:t xml:space="preserve">   Randomised trial</w:t>
      </w:r>
      <w:r>
        <w:rPr>
          <w:color w:val="5A6069"/>
          <w:sz w:val="15"/>
          <w:szCs w:val="15"/>
        </w:rPr>
        <w:t xml:space="preserve">   PMID 37329889</w:t>
      </w:r>
    </w:p>
    <w:p>
      <w:pPr>
        <w:spacing w:after="50" w:line="276"/>
      </w:pPr>
      <w:r>
        <w:rPr>
          <w:color w:val="5A6069"/>
          <w:sz w:val="17"/>
          <w:szCs w:val="17"/>
        </w:rPr>
        <w:t xml:space="preserve">First-line systemic treatment strategies in patients with initially unresectable colorectal cancer liver metastases (CAIRO5): an open-label, multicentre, randomised, controlled, phase 3 study from the Dutch Colorectal Cancer Group</w:t>
      </w:r>
    </w:p>
    <w:p>
      <w:pPr>
        <w:spacing w:after="50"/>
      </w:pPr>
      <w:r>
        <w:rPr>
          <w:b/>
          <w:bCs/>
          <w:color w:val="176A87"/>
          <w:sz w:val="16"/>
          <w:szCs w:val="16"/>
        </w:rPr>
        <w:t xml:space="preserve">Population. </w:t>
      </w:r>
      <w:r>
        <w:rPr>
          <w:sz w:val="16"/>
          <w:szCs w:val="16"/>
        </w:rPr>
        <w:t xml:space="preserve">530 patients with previously untreated, liver-only colorectal metastases centrally judged unresectable, randomised at 46 Dutch and one Belgian centre from 584 assessed (148 group A, 146 group B, 118 group C, 118 group D); 521 in the modified intention-to-treat analysis after nine exclusions (147, 144, 114, 116). Median age 62, 327 men (62%); median 12 liver metastases across 6 segments, most synchronous and with the primary tumour still in situ. Median follow-up 51.1 months</w:t>
      </w:r>
    </w:p>
    <w:p>
      <w:pPr>
        <w:spacing w:after="70"/>
      </w:pPr>
      <w:r>
        <w:rPr>
          <w:b/>
          <w:bCs/>
          <w:color w:val="17365D"/>
          <w:sz w:val="16"/>
          <w:szCs w:val="16"/>
        </w:rPr>
        <w:t xml:space="preserve">Bottom line. </w:t>
      </w:r>
      <w:r>
        <w:rPr>
          <w:sz w:val="16"/>
          <w:szCs w:val="16"/>
        </w:rPr>
        <w:t xml:space="preserve">Establishes that for initially unresectable liver-only colorectal metastases with a right-sided or RAS/BRAF-mutant primary, FOLFOXIRI plus bevacizumab lengthens progression-free survival by a median of 1.6 months and raises complete local treatment from 37% to 51% against a doublet, and that for left-sided wild-type disease panitumumab raises response from 53% to 80% without converting a single extra patient (58% in both arms). It does not establish that either strategy prolongs life: overall survival was held back for a separate paper despite 344 deaths having occurred, the panitumumab comparison was stopped for futility and cannot exclude meaningful effects either way, and the resectability endpoint was decided by a panel that failed to reach consensus in 58% of follow-up assessments.</w:t>
      </w:r>
    </w:p>
    <w:tbl>
      <w:tblPr>
        <w:tblW w:type="dxa" w:w="9360"/>
        <w:tblBorders>
          <w:top w:val="single" w:color="D3DCE4" w:sz="4"/>
          <w:left w:val="single" w:color="D3DCE4" w:sz="4"/>
          <w:bottom w:val="single" w:color="D3DCE4" w:sz="4"/>
          <w:right w:val="single" w:color="D3DCE4" w:sz="4"/>
          <w:insideH w:val="single" w:color="D3DCE4" w:sz="4"/>
          <w:insideV w:val="single" w:color="D3DCE4" w:sz="4"/>
        </w:tblBorders>
      </w:tblPr>
      <w:tblGrid>
        <w:gridCol w:w="4600"/>
        <w:gridCol w:w="4760"/>
      </w:tblGrid>
      <w:tr>
        <w:tc>
          <w:tcPr>
            <w:tcW w:type="dxa" w:w="4600"/>
            <w:shd w:fill="F1F4F8" w:color="auto" w:val="clear"/>
            <w:tcMar>
              <w:top w:type="dxa" w:w="70"/>
              <w:left w:type="dxa" w:w="110"/>
              <w:bottom w:type="dxa" w:w="70"/>
              <w:right w:type="dxa" w:w="110"/>
            </w:tcMar>
            <w:vAlign w:val="top"/>
          </w:tcPr>
          <w:p>
            <w:pPr>
              <w:spacing w:after="50"/>
            </w:pPr>
            <w:r>
              <w:rPr>
                <w:b/>
                <w:bCs/>
                <w:color w:val="8E5008"/>
                <w:spacing w:val="12"/>
                <w:sz w:val="14"/>
                <w:szCs w:val="14"/>
              </w:rPr>
              <w:t xml:space="preserve">LIMITATIONS THE AUTHORS STATE</w:t>
            </w:r>
          </w:p>
          <w:p>
            <w:pPr>
              <w:pStyle w:val="ListParagraph"/>
              <w:numPr>
                <w:ilvl w:val="0"/>
                <w:numId w:val="2"/>
              </w:numPr>
              <w:spacing w:after="45"/>
            </w:pPr>
            <w:r>
              <w:rPr>
                <w:sz w:val="15"/>
                <w:szCs w:val="15"/>
              </w:rPr>
              <w:t xml:space="preserve">Overall survival was not mature at the time of this report and will be published separately; the authors state twice that definitive conclusions should await it</w:t>
            </w:r>
          </w:p>
          <w:p>
            <w:pPr>
              <w:pStyle w:val="ListParagraph"/>
              <w:numPr>
                <w:ilvl w:val="0"/>
                <w:numId w:val="2"/>
              </w:numPr>
              <w:spacing w:after="45"/>
            </w:pPr>
            <w:r>
              <w:rPr>
                <w:sz w:val="15"/>
                <w:szCs w:val="15"/>
              </w:rPr>
              <w:t xml:space="preserve">FOLFOXIRI was not investigated in patients with a left-sided RAS and BRAF wild-type tumour, so the trial does not identify one optimal induction regimen across the whole population</w:t>
            </w:r>
          </w:p>
          <w:p>
            <w:pPr>
              <w:pStyle w:val="ListParagraph"/>
              <w:numPr>
                <w:ilvl w:val="0"/>
                <w:numId w:val="2"/>
              </w:numPr>
              <w:spacing w:after="45"/>
            </w:pPr>
            <w:r>
              <w:rPr>
                <w:sz w:val="15"/>
                <w:szCs w:val="15"/>
              </w:rPr>
              <w:t xml:space="preserve">The baseline unresectability criterion - no R0 achievable with resection alone in one stage - means some patients could have been treated locally upfront by adding ablation or by a two-stage resection with or without portal vein embolisation</w:t>
            </w:r>
          </w:p>
          <w:p>
            <w:pPr>
              <w:pStyle w:val="ListParagraph"/>
              <w:numPr>
                <w:ilvl w:val="0"/>
                <w:numId w:val="2"/>
              </w:numPr>
              <w:spacing w:after="45"/>
            </w:pPr>
            <w:r>
              <w:rPr>
                <w:sz w:val="15"/>
                <w:szCs w:val="15"/>
              </w:rPr>
              <w:t xml:space="preserve">The authors note that the relevance of progression-free survival as a surrogate for overall survival has been questioned, and that reporting a conversion rate without long-term outcome may be misleading</w:t>
            </w:r>
          </w:p>
          <w:p>
            <w:pPr>
              <w:pStyle w:val="ListParagraph"/>
              <w:numPr>
                <w:ilvl w:val="0"/>
                <w:numId w:val="2"/>
              </w:numPr>
              <w:spacing w:after="45"/>
            </w:pPr>
            <w:r>
              <w:rPr>
                <w:sz w:val="15"/>
                <w:szCs w:val="15"/>
              </w:rPr>
              <w:t xml:space="preserve">Panel surgeons varied in their resectability assessments, which the authors report and interpret as an argument for panel review rather than single-surgeon judgment</w:t>
            </w:r>
          </w:p>
          <w:p>
            <w:pPr>
              <w:pStyle w:val="ListParagraph"/>
              <w:numPr>
                <w:ilvl w:val="0"/>
                <w:numId w:val="2"/>
              </w:numPr>
              <w:spacing w:after="45"/>
            </w:pPr>
            <w:r>
              <w:rPr>
                <w:sz w:val="15"/>
                <w:szCs w:val="15"/>
              </w:rPr>
              <w:t xml:space="preserve">Adjuvant chemotherapy after local treatment was given to only a small number of patients, which the authors attribute mainly to Dutch guidelines not recommending it, since its value after downsizing is unknown</w:t>
            </w:r>
          </w:p>
        </w:tc>
        <w:tc>
          <w:tcPr>
            <w:tcW w:type="dxa" w:w="4760"/>
            <w:shd w:fill="F1F4F8" w:color="auto" w:val="clear"/>
            <w:tcMar>
              <w:top w:type="dxa" w:w="70"/>
              <w:left w:type="dxa" w:w="110"/>
              <w:bottom w:type="dxa" w:w="70"/>
              <w:right w:type="dxa" w:w="110"/>
            </w:tcMar>
            <w:vAlign w:val="top"/>
          </w:tcPr>
          <w:p>
            <w:pPr>
              <w:spacing w:after="50"/>
            </w:pPr>
            <w:r>
              <w:rPr>
                <w:b/>
                <w:bCs/>
                <w:color w:val="8C2F26"/>
                <w:spacing w:val="12"/>
                <w:sz w:val="14"/>
                <w:szCs w:val="14"/>
              </w:rPr>
              <w:t xml:space="preserve">WHAT THEY DO NOT SAY</w:t>
            </w:r>
          </w:p>
          <w:p>
            <w:pPr>
              <w:pStyle w:val="ListParagraph"/>
              <w:numPr>
                <w:ilvl w:val="0"/>
                <w:numId w:val="2"/>
              </w:numPr>
              <w:spacing w:after="45"/>
            </w:pPr>
            <w:r>
              <w:rPr>
                <w:sz w:val="15"/>
                <w:szCs w:val="15"/>
              </w:rPr>
              <w:t xml:space="preserve">The resectability endpoint rests on a panel that mostly did not agree. Consensus among panel surgeons was present in 345 of 521 baseline evaluations (66%) and in only 286 of 689 follow-up evaluations (42%); where surgeons split, the panel chair cast the deciding vote. In more than half the follow-up assessments the conversion endpoint was therefore decided by one surgeon's opinion.</w:t>
            </w:r>
          </w:p>
          <w:p>
            <w:pPr>
              <w:pStyle w:val="ListParagraph"/>
              <w:numPr>
                <w:ilvl w:val="0"/>
                <w:numId w:val="2"/>
              </w:numPr>
              <w:spacing w:after="45"/>
            </w:pPr>
            <w:r>
              <w:rPr>
                <w:sz w:val="15"/>
                <w:szCs w:val="15"/>
              </w:rPr>
              <w:t xml:space="preserve">Where evaluations fell outside the scheduled panel windows, or after local treatment had been given, or once the panel had called a patient permanently unresectable, the local investigator's assessment was used instead - in a trial where investigators and patients were unmasked to allocation.</w:t>
            </w:r>
          </w:p>
          <w:p>
            <w:pPr>
              <w:pStyle w:val="ListParagraph"/>
              <w:numPr>
                <w:ilvl w:val="0"/>
                <w:numId w:val="2"/>
              </w:numPr>
              <w:spacing w:after="45"/>
            </w:pPr>
            <w:r>
              <w:rPr>
                <w:sz w:val="15"/>
                <w:szCs w:val="15"/>
              </w:rPr>
              <w:t xml:space="preserve">The negative comparison was closed early for futility and so cannot support its conclusion. Groups C and D needed 256 events and were stopped in March 2022; the resulting hazard ratio of 1.11 (95% CI 0.84-1.48) is compatible with anything from a 16% benefit to a 48% harm from panitumumab, yet the Interpretation states panitumumab showed no clinical benefit.</w:t>
            </w:r>
          </w:p>
          <w:p>
            <w:pPr>
              <w:pStyle w:val="ListParagraph"/>
              <w:numPr>
                <w:ilvl w:val="0"/>
                <w:numId w:val="2"/>
              </w:numPr>
              <w:spacing w:after="45"/>
            </w:pPr>
            <w:r>
              <w:rPr>
                <w:sz w:val="15"/>
                <w:szCs w:val="15"/>
              </w:rPr>
              <w:t xml:space="preserve">The paper states the interim efficacy boundary (p 0.006 or less) but never states the adjusted significance level at the final analysis under the Hwang-Shih-DeCani spending function, so a reader cannot check whether the primary p=0.032 cleared the boundary that actually applied.</w:t>
            </w:r>
          </w:p>
          <w:p>
            <w:pPr>
              <w:pStyle w:val="ListParagraph"/>
              <w:numPr>
                <w:ilvl w:val="0"/>
                <w:numId w:val="2"/>
              </w:numPr>
              <w:spacing w:after="45"/>
            </w:pPr>
            <w:r>
              <w:rPr>
                <w:sz w:val="15"/>
                <w:szCs w:val="15"/>
              </w:rPr>
              <w:t xml:space="preserve">The randomised comparisons were redefined mid-trial. Until protocol amendment 7.0 in February 2017 allocation depended on RAS status alone, and 14 patients with right-sided or BRAF-mutant tumours were randomised into groups C and D. They stay in the modified intention-to-treat analysis of the comparison they do not belong to, and the per-protocol analysis excluding them is relegated to the appendix.</w:t>
            </w:r>
          </w:p>
          <w:p>
            <w:pPr>
              <w:pStyle w:val="ListParagraph"/>
              <w:numPr>
                <w:ilvl w:val="0"/>
                <w:numId w:val="2"/>
              </w:numPr>
              <w:spacing w:after="45"/>
            </w:pPr>
            <w:r>
              <w:rPr>
                <w:sz w:val="15"/>
                <w:szCs w:val="15"/>
              </w:rPr>
              <w:t xml:space="preserve">The chemotherapy backbone was not randomised in either comparison: FOLFOX versus FOLFIRI was chosen by local investigator and patient preference. Centre preference was a stratification factor, which balances the arms without making the backbone comparable within them.</w:t>
            </w:r>
          </w:p>
          <w:p>
            <w:pPr>
              <w:pStyle w:val="ListParagraph"/>
              <w:numPr>
                <w:ilvl w:val="0"/>
                <w:numId w:val="2"/>
              </w:numPr>
              <w:spacing w:after="45"/>
            </w:pPr>
            <w:r>
              <w:rPr>
                <w:sz w:val="15"/>
                <w:szCs w:val="15"/>
              </w:rPr>
              <w:t xml:space="preserve">Response and resectability came apart completely in groups C and D - objective response 53% versus 80% (p&lt;0.0001) and depth of response 33% versus 49% (p&lt;0.0001) with complete local treatment identical at 58% in both arms (p=1.00) - and the paper's explanation (vessels, biliary structures, too many segments) is offered as a possibility to be analysed in future, with no supporting data. Depth of response was a post hoc endpoint, and patients without post-baseline imaging were simply classed as not evaluable and dropped from it.</w:t>
            </w:r>
          </w:p>
          <w:p>
            <w:pPr>
              <w:pStyle w:val="ListParagraph"/>
              <w:numPr>
                <w:ilvl w:val="0"/>
                <w:numId w:val="2"/>
              </w:numPr>
              <w:spacing w:after="45"/>
            </w:pPr>
            <w:r>
              <w:rPr>
                <w:sz w:val="15"/>
                <w:szCs w:val="15"/>
              </w:rPr>
              <w:t xml:space="preserve">The entry definition of unresectability excludes exactly the techniques the participating centres use - ablation and staged hepatectomy - and only a minority were judged permanently unresectable. Most patients therefore entered a conversion trial while being locally treatable under a broader contemporary definition, which the authors state and then set aside on the grounds that stratification protects the comparison. It protects internal validity and says nothing about what the reported conversion rates mean outside the trial.</w:t>
            </w:r>
          </w:p>
          <w:p>
            <w:pPr>
              <w:pStyle w:val="ListParagraph"/>
              <w:numPr>
                <w:ilvl w:val="0"/>
                <w:numId w:val="2"/>
              </w:numPr>
              <w:spacing w:after="45"/>
            </w:pPr>
            <w:r>
              <w:rPr>
                <w:sz w:val="15"/>
                <w:szCs w:val="15"/>
              </w:rPr>
              <w:t xml:space="preserve">The price of the 1.6-month median progression-free survival gain with the triplet is itemised in tables but never weighed: grade 3 or worse adverse events 59% versus 76% (p=0.0027), dose reductions in 55% of group B, serious adverse events in 52%, seven treatment-related deaths in group B, and postoperative Clavien-Dindo grade 3 or worse complications in 15% versus 27% (p=0.076) after a regimen that doubled two-stage surgery (11% versus 28%).</w:t>
            </w:r>
          </w:p>
          <w:p>
            <w:pPr>
              <w:pStyle w:val="ListParagraph"/>
              <w:numPr>
                <w:ilvl w:val="0"/>
                <w:numId w:val="2"/>
              </w:numPr>
              <w:spacing w:after="45"/>
            </w:pPr>
            <w:r>
              <w:rPr>
                <w:sz w:val="15"/>
                <w:szCs w:val="15"/>
              </w:rPr>
              <w:t xml:space="preserve">Three patients (2%) had local treatment performed against panel advice, so the conversion endpoint includes operations the adjudicating body did not endorse.</w:t>
            </w:r>
          </w:p>
          <w:p>
            <w:pPr>
              <w:pStyle w:val="ListParagraph"/>
              <w:numPr>
                <w:ilvl w:val="0"/>
                <w:numId w:val="2"/>
              </w:numPr>
              <w:spacing w:after="45"/>
            </w:pPr>
            <w:r>
              <w:rPr>
                <w:sz w:val="15"/>
                <w:szCs w:val="15"/>
              </w:rPr>
              <w:t xml:space="preserve">Adjuvant chemotherapy after local treatment is reported only as given to few patients, without arm-level numbers, in a trial whose arms converted at different rates - so post-conversion management, which bears directly on the progression-free survival endpoint, is both uncontrolled and unreported.</w:t>
            </w:r>
          </w:p>
          <w:p>
            <w:pPr>
              <w:pStyle w:val="ListParagraph"/>
              <w:numPr>
                <w:ilvl w:val="0"/>
                <w:numId w:val="2"/>
              </w:numPr>
              <w:spacing w:after="45"/>
            </w:pPr>
            <w:r>
              <w:rPr>
                <w:sz w:val="15"/>
                <w:szCs w:val="15"/>
              </w:rPr>
              <w:t xml:space="preserve">Survival data existed at analysis and were withheld: the paper prints 219 deaths (75%) in groups A and B and 125 (54%) in groups C and D, then defers the endpoint to a separate publication while recommending FOLFOXIRI-bevacizumab as the preferred regimen.</w:t>
            </w:r>
          </w:p>
          <w:p>
            <w:pPr>
              <w:pStyle w:val="ListParagraph"/>
              <w:numPr>
                <w:ilvl w:val="0"/>
                <w:numId w:val="2"/>
              </w:numPr>
              <w:spacing w:after="45"/>
            </w:pPr>
            <w:r>
              <w:rPr>
                <w:sz w:val="15"/>
                <w:szCs w:val="15"/>
              </w:rPr>
              <w:t xml:space="preserve">The trial was funded by unrestricted grants from Roche and Amgen, whose drugs are the two targeted agents being compared in groups C and D, and the comparison between them was the one closed for futility.</w:t>
            </w:r>
          </w:p>
          <w:p>
            <w:pPr>
              <w:pStyle w:val="ListParagraph"/>
              <w:numPr>
                <w:ilvl w:val="0"/>
                <w:numId w:val="2"/>
              </w:numPr>
              <w:spacing w:after="45"/>
            </w:pPr>
            <w:r>
              <w:rPr>
                <w:sz w:val="15"/>
                <w:szCs w:val="15"/>
              </w:rPr>
              <w:t xml:space="preserve">A linked Lancet Oncology comment (PMID 37329890, Imai and Baba, 2023) was identified in PubMed but its text was not available here, so its objections are not reflected in this record.</w:t>
            </w:r>
          </w:p>
        </w:tc>
      </w:tr>
    </w:tbl>
    <w:p>
      <w:pPr>
        <w:spacing w:after="0" w:line="276"/>
      </w:pPr>
      <w:r>
        <w:rPr>
          <w:color w:val="5A6069"/>
          <w:sz w:val="14"/>
          <w:szCs w:val="14"/>
        </w:rPr>
        <w:t xml:space="preserve">Funding: Unrestricted scientific grants from Roche and Amgen, the Netherlands - the manufacturers of bevacizumab and panitumumab, the two targeted agents compared in groups C and D; the funders are stated to have had no role in design, data collection, analysis, interpretation or writing. Declarations of interest are sparse: institutional advisory fees from Nordic Pharma and from Amgen for two authors and personal fees from Bristol Myers Squibb for a third, with all other authors declaring none</w:t>
      </w:r>
    </w:p>
    <w:p>
      <w:pPr>
        <w:keepNext/>
        <w:spacing w:after="50" w:before="260"/>
      </w:pPr>
      <w:r>
        <w:rPr>
          <w:rFonts w:ascii="Cambria" w:cs="Cambria" w:eastAsia="Cambria" w:hAnsi="Cambria"/>
          <w:b/>
          <w:bCs/>
          <w:color w:val="17365D"/>
          <w:sz w:val="20"/>
          <w:szCs w:val="20"/>
        </w:rPr>
        <w:t xml:space="preserve">CALGB 9481</w:t>
      </w:r>
      <w:r>
        <w:rPr>
          <w:b/>
          <w:bCs/>
          <w:color w:val="176A87"/>
          <w:sz w:val="15"/>
          <w:szCs w:val="15"/>
        </w:rPr>
        <w:t xml:space="preserve">   Randomised trial</w:t>
      </w:r>
      <w:r>
        <w:rPr>
          <w:color w:val="5A6069"/>
          <w:sz w:val="15"/>
          <w:szCs w:val="15"/>
        </w:rPr>
        <w:t xml:space="preserve">   PMID 16505413</w:t>
      </w:r>
    </w:p>
    <w:p>
      <w:pPr>
        <w:spacing w:after="50" w:line="276"/>
      </w:pPr>
      <w:r>
        <w:rPr>
          <w:color w:val="5A6069"/>
          <w:sz w:val="17"/>
          <w:szCs w:val="17"/>
        </w:rPr>
        <w:t xml:space="preserve">Hepatic arterial infusion versus systemic therapy for hepatic metastases from colorectal cancer: a randomized trial of efficacy, quality of life, and molecular markers (CALGB 9481)</w:t>
      </w:r>
    </w:p>
    <w:p>
      <w:pPr>
        <w:spacing w:after="50"/>
      </w:pPr>
      <w:r>
        <w:rPr>
          <w:b/>
          <w:bCs/>
          <w:color w:val="176A87"/>
          <w:sz w:val="16"/>
          <w:szCs w:val="16"/>
        </w:rPr>
        <w:t xml:space="preserve">Population. </w:t>
      </w:r>
      <w:r>
        <w:rPr>
          <w:sz w:val="16"/>
          <w:szCs w:val="16"/>
        </w:rPr>
        <w:t xml:space="preserve">135 patients with unresectable liver-only colorectal metastases occupying less than 70% of the liver, randomised at nine sites between January 1996 and December 2000 (68 to hepatic arterial floxuridine with leucovorin and dexamethasone through an implanted pump, 67 to systemic bolus fluorouracil and leucovorin); 59% male, 79% synchronous, 70% with more than 30% of the liver involved. Eighteen patients (nine per arm) never received protocol treatment, and the median number of cycles delivered was three with hepatic arterial infusion and four with systemic therapy</w:t>
      </w:r>
    </w:p>
    <w:p>
      <w:pPr>
        <w:spacing w:after="70"/>
      </w:pPr>
      <w:r>
        <w:rPr>
          <w:b/>
          <w:bCs/>
          <w:color w:val="17365D"/>
          <w:sz w:val="16"/>
          <w:szCs w:val="16"/>
        </w:rPr>
        <w:t xml:space="preserve">Bottom line. </w:t>
      </w:r>
      <w:r>
        <w:rPr>
          <w:sz w:val="16"/>
          <w:szCs w:val="16"/>
        </w:rPr>
        <w:t xml:space="preserve">Establishes that hepatic arterial floxuridine with dexamethasone beats bolus fluorouracil and leucovorin in unresectable liver-only colorectal metastases on survival (24.4 against 20.0 months, p=0.0034), hepatic response (47% against 24%) and systemic toxicity, at the cost of biliary injury in a third of patients and faster extrahepatic progression. It cannot establish regional therapy against modern systemic treatment: the comparator is a 1996 regimen the authors themselves call superseded, overall time to progression was identical, the trial reports no power calculation or interim plan, and the quality-of-life advantage fails the paper's own Bonferroni threshold. Its molecular marker work is single-arm and non-significant.</w:t>
      </w:r>
    </w:p>
    <w:tbl>
      <w:tblPr>
        <w:tblW w:type="dxa" w:w="9360"/>
        <w:tblBorders>
          <w:top w:val="single" w:color="D3DCE4" w:sz="4"/>
          <w:left w:val="single" w:color="D3DCE4" w:sz="4"/>
          <w:bottom w:val="single" w:color="D3DCE4" w:sz="4"/>
          <w:right w:val="single" w:color="D3DCE4" w:sz="4"/>
          <w:insideH w:val="single" w:color="D3DCE4" w:sz="4"/>
          <w:insideV w:val="single" w:color="D3DCE4" w:sz="4"/>
        </w:tblBorders>
      </w:tblPr>
      <w:tblGrid>
        <w:gridCol w:w="4600"/>
        <w:gridCol w:w="4760"/>
      </w:tblGrid>
      <w:tr>
        <w:tc>
          <w:tcPr>
            <w:tcW w:type="dxa" w:w="4600"/>
            <w:shd w:fill="F1F4F8" w:color="auto" w:val="clear"/>
            <w:tcMar>
              <w:top w:type="dxa" w:w="70"/>
              <w:left w:type="dxa" w:w="110"/>
              <w:bottom w:type="dxa" w:w="70"/>
              <w:right w:type="dxa" w:w="110"/>
            </w:tcMar>
            <w:vAlign w:val="top"/>
          </w:tcPr>
          <w:p>
            <w:pPr>
              <w:spacing w:after="50"/>
            </w:pPr>
            <w:r>
              <w:rPr>
                <w:b/>
                <w:bCs/>
                <w:color w:val="8E5008"/>
                <w:spacing w:val="12"/>
                <w:sz w:val="14"/>
                <w:szCs w:val="14"/>
              </w:rPr>
              <w:t xml:space="preserve">LIMITATIONS THE AUTHORS STATE</w:t>
            </w:r>
          </w:p>
          <w:p>
            <w:pPr>
              <w:pStyle w:val="ListParagraph"/>
              <w:numPr>
                <w:ilvl w:val="0"/>
                <w:numId w:val="2"/>
              </w:numPr>
              <w:spacing w:after="45"/>
            </w:pPr>
            <w:r>
              <w:rPr>
                <w:sz w:val="15"/>
                <w:szCs w:val="15"/>
              </w:rPr>
              <w:t xml:space="preserve">The authors name as a criticism of the study that the systemic arm received bolus fluorouracil and leucovorin, which was standard when the trial opened in 1996 but has since been superseded by regimens containing irinotecan, oxaliplatin or bevacizumab</w:t>
            </w:r>
          </w:p>
          <w:p>
            <w:pPr>
              <w:pStyle w:val="ListParagraph"/>
              <w:numPr>
                <w:ilvl w:val="0"/>
                <w:numId w:val="2"/>
              </w:numPr>
              <w:spacing w:after="45"/>
            </w:pPr>
            <w:r>
              <w:rPr>
                <w:sz w:val="15"/>
                <w:szCs w:val="15"/>
              </w:rPr>
              <w:t xml:space="preserve">They note the once-daily-for-five-days fluorouracil schedule used has subsequently been shown to be more toxic than infusional fluorouracil</w:t>
            </w:r>
          </w:p>
          <w:p>
            <w:pPr>
              <w:pStyle w:val="ListParagraph"/>
              <w:numPr>
                <w:ilvl w:val="0"/>
                <w:numId w:val="2"/>
              </w:numPr>
              <w:spacing w:after="45"/>
            </w:pPr>
            <w:r>
              <w:rPr>
                <w:sz w:val="15"/>
                <w:szCs w:val="15"/>
              </w:rPr>
              <w:t xml:space="preserve">They argue the systemic arm's 20-month median survival is comparable to newer combinations because patients progressing on fluorouracil could receive the newer agents afterwards</w:t>
            </w:r>
          </w:p>
          <w:p>
            <w:pPr>
              <w:pStyle w:val="ListParagraph"/>
              <w:numPr>
                <w:ilvl w:val="0"/>
                <w:numId w:val="2"/>
              </w:numPr>
              <w:spacing w:after="45"/>
            </w:pPr>
            <w:r>
              <w:rPr>
                <w:sz w:val="15"/>
                <w:szCs w:val="15"/>
              </w:rPr>
              <w:t xml:space="preserve">They note that adding concurrent systemic therapy with newer agents to hepatic arterial infusion might have improved the regional results, and that this would be the subject of future work</w:t>
            </w:r>
          </w:p>
          <w:p>
            <w:pPr>
              <w:pStyle w:val="ListParagraph"/>
              <w:numPr>
                <w:ilvl w:val="0"/>
                <w:numId w:val="2"/>
              </w:numPr>
              <w:spacing w:after="45"/>
            </w:pPr>
            <w:r>
              <w:rPr>
                <w:sz w:val="15"/>
                <w:szCs w:val="15"/>
              </w:rPr>
              <w:t xml:space="preserve">They address, and reject, the suggestion that this was an unusually favourable cohort, citing 79% synchronous disease and 70% with more than 30% liver involvement</w:t>
            </w:r>
          </w:p>
        </w:tc>
        <w:tc>
          <w:tcPr>
            <w:tcW w:type="dxa" w:w="4760"/>
            <w:shd w:fill="F1F4F8" w:color="auto" w:val="clear"/>
            <w:tcMar>
              <w:top w:type="dxa" w:w="70"/>
              <w:left w:type="dxa" w:w="110"/>
              <w:bottom w:type="dxa" w:w="70"/>
              <w:right w:type="dxa" w:w="110"/>
            </w:tcMar>
            <w:vAlign w:val="top"/>
          </w:tcPr>
          <w:p>
            <w:pPr>
              <w:spacing w:after="50"/>
            </w:pPr>
            <w:r>
              <w:rPr>
                <w:b/>
                <w:bCs/>
                <w:color w:val="8C2F26"/>
                <w:spacing w:val="12"/>
                <w:sz w:val="14"/>
                <w:szCs w:val="14"/>
              </w:rPr>
              <w:t xml:space="preserve">WHAT THEY DO NOT SAY</w:t>
            </w:r>
          </w:p>
          <w:p>
            <w:pPr>
              <w:pStyle w:val="ListParagraph"/>
              <w:numPr>
                <w:ilvl w:val="0"/>
                <w:numId w:val="2"/>
              </w:numPr>
              <w:spacing w:after="45"/>
            </w:pPr>
            <w:r>
              <w:rPr>
                <w:sz w:val="15"/>
                <w:szCs w:val="15"/>
              </w:rPr>
              <w:t xml:space="preserve">No limitations section exists, and no sample size calculation, power statement, interim analysis plan or stopping rule for the primary endpoint appears anywhere in the methods, in a trial of 135 patients reporting a 4.4-month survival difference at p=0.0034.</w:t>
            </w:r>
          </w:p>
          <w:p>
            <w:pPr>
              <w:pStyle w:val="ListParagraph"/>
              <w:numPr>
                <w:ilvl w:val="0"/>
                <w:numId w:val="2"/>
              </w:numPr>
              <w:spacing w:after="45"/>
            </w:pPr>
            <w:r>
              <w:rPr>
                <w:sz w:val="15"/>
                <w:szCs w:val="15"/>
              </w:rPr>
              <w:t xml:space="preserve">Multiplicity was controlled for the quality-of-life endpoints and not for efficacy. Four quality-of-life outcomes were judged against a Bonferroni-adjusted threshold of 0.0125, while thirteen baseline variables were tested against three time-to-event endpoints - roughly forty comparisons - with no adjustment at all, and the sex-by-treatment interaction (p=0.016) comes from that set.</w:t>
            </w:r>
          </w:p>
          <w:p>
            <w:pPr>
              <w:pStyle w:val="ListParagraph"/>
              <w:numPr>
                <w:ilvl w:val="0"/>
                <w:numId w:val="2"/>
              </w:numPr>
              <w:spacing w:after="45"/>
            </w:pPr>
            <w:r>
              <w:rPr>
                <w:sz w:val="15"/>
                <w:szCs w:val="15"/>
              </w:rPr>
              <w:t xml:space="preserve">By the paper's own prespecified threshold the quality-of-life claim fails: physical functioning differed at 3 and 6 months with p=0.038 and p=0.024, both above the 0.0125 level the statistical plan set. The abstract and conclusion nonetheless report better physical functioning with hepatic arterial infusion.</w:t>
            </w:r>
          </w:p>
          <w:p>
            <w:pPr>
              <w:pStyle w:val="ListParagraph"/>
              <w:numPr>
                <w:ilvl w:val="0"/>
                <w:numId w:val="2"/>
              </w:numPr>
              <w:spacing w:after="45"/>
            </w:pPr>
            <w:r>
              <w:rPr>
                <w:sz w:val="15"/>
                <w:szCs w:val="15"/>
              </w:rPr>
              <w:t xml:space="preserve">The survival result sits oddly with the progression data and the paper does not reconcile them. Overall time to progression was identical (5.3 against 6.8 months, p=0.95) and extrahepatic progression was significantly faster with regional therapy (7.7 against 14.8 months, p=0.029). A survival advantage with no delay in progression and worse extrahepatic control has no mechanism offered beyond hepatic control.</w:t>
            </w:r>
          </w:p>
          <w:p>
            <w:pPr>
              <w:pStyle w:val="ListParagraph"/>
              <w:numPr>
                <w:ilvl w:val="0"/>
                <w:numId w:val="2"/>
              </w:numPr>
              <w:spacing w:after="45"/>
            </w:pPr>
            <w:r>
              <w:rPr>
                <w:sz w:val="15"/>
                <w:szCs w:val="15"/>
              </w:rPr>
              <w:t xml:space="preserve">Post-progression therapy is the strongest non-treatment predictor of survival in the paper's own table (p=0.0014) and is handled by entering it as a covariate; what each arm actually received after progression is never tabulated, in a trial whose defence of its obsolete comparator is precisely that control patients got modern drugs later.</w:t>
            </w:r>
          </w:p>
          <w:p>
            <w:pPr>
              <w:pStyle w:val="ListParagraph"/>
              <w:numPr>
                <w:ilvl w:val="0"/>
                <w:numId w:val="2"/>
              </w:numPr>
              <w:spacing w:after="45"/>
            </w:pPr>
            <w:r>
              <w:rPr>
                <w:sz w:val="15"/>
                <w:szCs w:val="15"/>
              </w:rPr>
              <w:t xml:space="preserve">Thirteen percent of randomised patients (18 of 135) never received protocol treatment, three of them regional-arm patients with catheter problems, and seven patients later found to have had extrahepatic disease at entry were kept in the analysis.</w:t>
            </w:r>
          </w:p>
          <w:p>
            <w:pPr>
              <w:pStyle w:val="ListParagraph"/>
              <w:numPr>
                <w:ilvl w:val="0"/>
                <w:numId w:val="2"/>
              </w:numPr>
              <w:spacing w:after="45"/>
            </w:pPr>
            <w:r>
              <w:rPr>
                <w:sz w:val="15"/>
                <w:szCs w:val="15"/>
              </w:rPr>
              <w:t xml:space="preserve">Treatment intensity differed between arms in a way that is reported and not analysed: a median of three cycles of regional therapy against four of systemic therapy, in a comparison framed as the same drug delivered two ways - which it is not, since the regional arm received floxuridine with dexamethasone and the systemic arm fluorouracil with leucovorin.</w:t>
            </w:r>
          </w:p>
          <w:p>
            <w:pPr>
              <w:pStyle w:val="ListParagraph"/>
              <w:numPr>
                <w:ilvl w:val="0"/>
                <w:numId w:val="2"/>
              </w:numPr>
              <w:spacing w:after="45"/>
            </w:pPr>
            <w:r>
              <w:rPr>
                <w:sz w:val="15"/>
                <w:szCs w:val="15"/>
              </w:rPr>
              <w:t xml:space="preserve">The molecular marker analyses cannot support the predictive reading they invite: thymidylate synthase in 40 and p53 in 42 biopsies, all from regional-arm patients, with no systemic-arm comparison, and the headline survival difference by thymidylate synthase level non-significant at p=0.17.</w:t>
            </w:r>
          </w:p>
          <w:p>
            <w:pPr>
              <w:pStyle w:val="ListParagraph"/>
              <w:numPr>
                <w:ilvl w:val="0"/>
                <w:numId w:val="2"/>
              </w:numPr>
              <w:spacing w:after="45"/>
            </w:pPr>
            <w:r>
              <w:rPr>
                <w:sz w:val="15"/>
                <w:szCs w:val="15"/>
              </w:rPr>
              <w:t xml:space="preserve">Biliary toxicity is the real price and is not weighed against the 4.4-month gain: bilirubin above 3 mg/dL in 18.6% against 0%, grade 3 or worse alkaline phosphatase in 33.8% and transaminase elevation in 27% of regional patients, four biliary stents, and a sex difference in biliary toxicity (men 38%, women 15%) that mirrors the sex difference in survival benefit without being linked to it.</w:t>
            </w:r>
          </w:p>
          <w:p>
            <w:pPr>
              <w:pStyle w:val="ListParagraph"/>
              <w:numPr>
                <w:ilvl w:val="0"/>
                <w:numId w:val="2"/>
              </w:numPr>
              <w:spacing w:after="45"/>
            </w:pPr>
            <w:r>
              <w:rPr>
                <w:sz w:val="15"/>
                <w:szCs w:val="15"/>
              </w:rPr>
              <w:t xml:space="preserve">Nine centres accrued 135 patients over five years, under three per site per year, and no centre-level or operator-level analysis is reported for an intervention requiring laparotomy, pump placement and continuing hepatobiliary management.</w:t>
            </w:r>
          </w:p>
          <w:p>
            <w:pPr>
              <w:pStyle w:val="ListParagraph"/>
              <w:numPr>
                <w:ilvl w:val="0"/>
                <w:numId w:val="2"/>
              </w:numPr>
              <w:spacing w:after="45"/>
            </w:pPr>
            <w:r>
              <w:rPr>
                <w:sz w:val="15"/>
                <w:szCs w:val="15"/>
              </w:rPr>
              <w:t xml:space="preserve">Cost was a stated secondary endpoint and no cost result is reported.</w:t>
            </w:r>
          </w:p>
          <w:p>
            <w:pPr>
              <w:pStyle w:val="ListParagraph"/>
              <w:numPr>
                <w:ilvl w:val="0"/>
                <w:numId w:val="2"/>
              </w:numPr>
              <w:spacing w:after="45"/>
            </w:pPr>
            <w:r>
              <w:rPr>
                <w:sz w:val="15"/>
                <w:szCs w:val="15"/>
              </w:rPr>
              <w:t xml:space="preserve">Internal inconsistencies: grade 3 or worse neutropenia is 2% in the published abstract and 0% in the Results, and biliary toxicity in men is 37% in the abstract and 38% in the Results.</w:t>
            </w:r>
          </w:p>
          <w:p>
            <w:pPr>
              <w:pStyle w:val="ListParagraph"/>
              <w:numPr>
                <w:ilvl w:val="0"/>
                <w:numId w:val="2"/>
              </w:numPr>
              <w:spacing w:after="45"/>
            </w:pPr>
            <w:r>
              <w:rPr>
                <w:sz w:val="15"/>
                <w:szCs w:val="15"/>
              </w:rPr>
              <w:t xml:space="preserve">No linked editorial or comment on this trial was found in PubMed, so no independent published critique informs this record.</w:t>
            </w:r>
          </w:p>
        </w:tc>
      </w:tr>
    </w:tbl>
    <w:p>
      <w:pPr>
        <w:spacing w:after="0" w:line="276"/>
      </w:pPr>
      <w:r>
        <w:rPr>
          <w:color w:val="5A6069"/>
          <w:sz w:val="14"/>
          <w:szCs w:val="14"/>
        </w:rPr>
        <w:t xml:space="preserve">Funding: Supported in part by National Cancer Institute grants to CALGB (CA31946), ECOG (CA23318), the CALGB Statistical Center (CA33601) and the participating centres. The disclosure table is garbled in this text extraction, but the article states that some authors or their immediate families indicated a financial interest; the pump used was a single commercial device</w:t>
      </w:r>
    </w:p>
    <w:p>
      <w:pPr>
        <w:keepNext/>
        <w:spacing w:after="50" w:before="260"/>
      </w:pPr>
      <w:r>
        <w:rPr>
          <w:rFonts w:ascii="Cambria" w:cs="Cambria" w:eastAsia="Cambria" w:hAnsi="Cambria"/>
          <w:b/>
          <w:bCs/>
          <w:color w:val="17365D"/>
          <w:sz w:val="20"/>
          <w:szCs w:val="20"/>
        </w:rPr>
        <w:t xml:space="preserve">CALGB/SWOG 80405</w:t>
      </w:r>
      <w:r>
        <w:rPr>
          <w:b/>
          <w:bCs/>
          <w:color w:val="176A87"/>
          <w:sz w:val="15"/>
          <w:szCs w:val="15"/>
        </w:rPr>
        <w:t xml:space="preserve">   Randomised trial</w:t>
      </w:r>
      <w:r>
        <w:rPr>
          <w:color w:val="5A6069"/>
          <w:sz w:val="15"/>
          <w:szCs w:val="15"/>
        </w:rPr>
        <w:t xml:space="preserve">   PMID 28632865</w:t>
      </w:r>
    </w:p>
    <w:p>
      <w:pPr>
        <w:spacing w:after="50" w:line="276"/>
      </w:pPr>
      <w:r>
        <w:rPr>
          <w:color w:val="5A6069"/>
          <w:sz w:val="17"/>
          <w:szCs w:val="17"/>
        </w:rPr>
        <w:t xml:space="preserve">Effect of First-Line Chemotherapy Combined With Cetuximab or Bevacizumab on Overall Survival in Patients With KRAS Wild-Type Advanced or Metastatic Colorectal Cancer: A Randomized Clinical Trial</w:t>
      </w:r>
    </w:p>
    <w:p>
      <w:pPr>
        <w:spacing w:after="50"/>
      </w:pPr>
      <w:r>
        <w:rPr>
          <w:b/>
          <w:bCs/>
          <w:color w:val="176A87"/>
          <w:sz w:val="16"/>
          <w:szCs w:val="16"/>
        </w:rPr>
        <w:t xml:space="preserve">Population. </w:t>
      </w:r>
      <w:r>
        <w:rPr>
          <w:sz w:val="16"/>
          <w:szCs w:val="16"/>
        </w:rPr>
        <w:t xml:space="preserve">1137 patients with centrally confirmed KRAS wild-type tumours (578 cetuximab, 559 bevacizumab) out of 2334 randomised and 3058 registered at 396 sites; median age 59, 440 women (39%), 874 deaths and 938 progressions by the December 2015 cut-off, median follow-up 47.4 months in the 263 survivors</w:t>
      </w:r>
    </w:p>
    <w:p>
      <w:pPr>
        <w:spacing w:after="70"/>
      </w:pPr>
      <w:r>
        <w:rPr>
          <w:b/>
          <w:bCs/>
          <w:color w:val="17365D"/>
          <w:sz w:val="16"/>
          <w:szCs w:val="16"/>
        </w:rPr>
        <w:t xml:space="preserve">Bottom line. </w:t>
      </w:r>
      <w:r>
        <w:rPr>
          <w:sz w:val="16"/>
          <w:szCs w:val="16"/>
        </w:rPr>
        <w:t xml:space="preserve">Establishes that in KRAS wild-type metastatic colorectal cancer, first-line cetuximab and bevacizumab added to FOLFOX or FOLFIRI give median survival around 29 to 30 months with no detectable difference, and that median survival exceeds five years in the 12% whose disease can be surgically cleared. It does not establish the two antibodies are equivalent: the trial was powered only for a 5.5-month gap, stopped for futility against that gap, and leaves a confidence interval reaching to a 23% survival advantage for cetuximab. The chemotherapy backbone was self-selected rather than randomised, primary tumour sidedness was never collected, and the surgical conversion figures that matter most to a liver surgeon are reported without denominators or arm-level counts.</w:t>
      </w:r>
    </w:p>
    <w:tbl>
      <w:tblPr>
        <w:tblW w:type="dxa" w:w="9360"/>
        <w:tblBorders>
          <w:top w:val="single" w:color="D3DCE4" w:sz="4"/>
          <w:left w:val="single" w:color="D3DCE4" w:sz="4"/>
          <w:bottom w:val="single" w:color="D3DCE4" w:sz="4"/>
          <w:right w:val="single" w:color="D3DCE4" w:sz="4"/>
          <w:insideH w:val="single" w:color="D3DCE4" w:sz="4"/>
          <w:insideV w:val="single" w:color="D3DCE4" w:sz="4"/>
        </w:tblBorders>
      </w:tblPr>
      <w:tblGrid>
        <w:gridCol w:w="4600"/>
        <w:gridCol w:w="4760"/>
      </w:tblGrid>
      <w:tr>
        <w:tc>
          <w:tcPr>
            <w:tcW w:type="dxa" w:w="4600"/>
            <w:shd w:fill="F1F4F8" w:color="auto" w:val="clear"/>
            <w:tcMar>
              <w:top w:type="dxa" w:w="70"/>
              <w:left w:type="dxa" w:w="110"/>
              <w:bottom w:type="dxa" w:w="70"/>
              <w:right w:type="dxa" w:w="110"/>
            </w:tcMar>
            <w:vAlign w:val="top"/>
          </w:tcPr>
          <w:p>
            <w:pPr>
              <w:spacing w:after="50"/>
            </w:pPr>
            <w:r>
              <w:rPr>
                <w:b/>
                <w:bCs/>
                <w:color w:val="8E5008"/>
                <w:spacing w:val="12"/>
                <w:sz w:val="14"/>
                <w:szCs w:val="14"/>
              </w:rPr>
              <w:t xml:space="preserve">LIMITATIONS THE AUTHORS STATE</w:t>
            </w:r>
          </w:p>
          <w:p>
            <w:pPr>
              <w:pStyle w:val="ListParagraph"/>
              <w:numPr>
                <w:ilvl w:val="0"/>
                <w:numId w:val="2"/>
              </w:numPr>
              <w:spacing w:after="45"/>
            </w:pPr>
            <w:r>
              <w:rPr>
                <w:sz w:val="15"/>
                <w:szCs w:val="15"/>
              </w:rPr>
              <w:t xml:space="preserve">The imbalance in the patient-and-physician choice of mFOLFOX6 versus FOLFIRI limits any statistical comparison of the chemotherapy regimens and of their possible interaction with the antibodies</w:t>
            </w:r>
          </w:p>
          <w:p>
            <w:pPr>
              <w:pStyle w:val="ListParagraph"/>
              <w:numPr>
                <w:ilvl w:val="0"/>
                <w:numId w:val="2"/>
              </w:numPr>
              <w:spacing w:after="45"/>
            </w:pPr>
            <w:r>
              <w:rPr>
                <w:sz w:val="15"/>
                <w:szCs w:val="15"/>
              </w:rPr>
              <w:t xml:space="preserve">Only first-line treatment was mandated, patients going more than 28 days without treatment were removed from study, treatment holidays became more common during the trial, and the drugs, schedules and doses of subsequent therapy were not reliably collected, so the effect of later management cannot be inferred</w:t>
            </w:r>
          </w:p>
          <w:p>
            <w:pPr>
              <w:pStyle w:val="ListParagraph"/>
              <w:numPr>
                <w:ilvl w:val="0"/>
                <w:numId w:val="2"/>
              </w:numPr>
              <w:spacing w:after="45"/>
            </w:pPr>
            <w:r>
              <w:rPr>
                <w:sz w:val="15"/>
                <w:szCs w:val="15"/>
              </w:rPr>
              <w:t xml:space="preserve">Primary tumour site (right versus left colon) was not captured on study and had to be obtained post hoc by chart review; the authors note it has since been suggested to influence outcome as a biological surrogate</w:t>
            </w:r>
          </w:p>
          <w:p>
            <w:pPr>
              <w:pStyle w:val="ListParagraph"/>
              <w:numPr>
                <w:ilvl w:val="0"/>
                <w:numId w:val="2"/>
              </w:numPr>
              <w:spacing w:after="45"/>
            </w:pPr>
            <w:r>
              <w:rPr>
                <w:sz w:val="15"/>
                <w:szCs w:val="15"/>
              </w:rPr>
              <w:t xml:space="preserve">No adjustment was made for multiple comparisons in the secondary endpoints, which the authors state should be considered exploratory, and the subgroup analyses by expanded RAS, sex, race and chemotherapy are labelled unplanned and post hoc</w:t>
            </w:r>
          </w:p>
          <w:p>
            <w:pPr>
              <w:pStyle w:val="ListParagraph"/>
              <w:numPr>
                <w:ilvl w:val="0"/>
                <w:numId w:val="2"/>
              </w:numPr>
              <w:spacing w:after="45"/>
            </w:pPr>
            <w:r>
              <w:rPr>
                <w:sz w:val="15"/>
                <w:szCs w:val="15"/>
              </w:rPr>
              <w:t xml:space="preserve">Observed survival greatly exceeded the 22 months assumed at design, which the authors attribute to better regimens, exclusion of KRAS-mutant patients, lower tumour burden from better imaging, commercial availability of both antibodies after progression, and the 12% rendered disease free by surgery</w:t>
            </w:r>
          </w:p>
          <w:p>
            <w:pPr>
              <w:pStyle w:val="ListParagraph"/>
              <w:numPr>
                <w:ilvl w:val="0"/>
                <w:numId w:val="2"/>
              </w:numPr>
              <w:spacing w:after="45"/>
            </w:pPr>
            <w:r>
              <w:rPr>
                <w:sz w:val="15"/>
                <w:szCs w:val="15"/>
              </w:rPr>
              <w:t xml:space="preserve">The authors state their explanation for the discrepancy with FIRE-3 (routine use of bevacizumab beyond progression in the United States) is speculative, and that the FIRE-3 sequencing hypothesis is not addressed by this trial</w:t>
            </w:r>
          </w:p>
        </w:tc>
        <w:tc>
          <w:tcPr>
            <w:tcW w:type="dxa" w:w="4760"/>
            <w:shd w:fill="F1F4F8" w:color="auto" w:val="clear"/>
            <w:tcMar>
              <w:top w:type="dxa" w:w="70"/>
              <w:left w:type="dxa" w:w="110"/>
              <w:bottom w:type="dxa" w:w="70"/>
              <w:right w:type="dxa" w:w="110"/>
            </w:tcMar>
            <w:vAlign w:val="top"/>
          </w:tcPr>
          <w:p>
            <w:pPr>
              <w:spacing w:after="50"/>
            </w:pPr>
            <w:r>
              <w:rPr>
                <w:b/>
                <w:bCs/>
                <w:color w:val="8C2F26"/>
                <w:spacing w:val="12"/>
                <w:sz w:val="14"/>
                <w:szCs w:val="14"/>
              </w:rPr>
              <w:t xml:space="preserve">WHAT THEY DO NOT SAY</w:t>
            </w:r>
          </w:p>
          <w:p>
            <w:pPr>
              <w:pStyle w:val="ListParagraph"/>
              <w:numPr>
                <w:ilvl w:val="0"/>
                <w:numId w:val="2"/>
              </w:numPr>
              <w:spacing w:after="45"/>
            </w:pPr>
            <w:r>
              <w:rPr>
                <w:sz w:val="15"/>
                <w:szCs w:val="15"/>
              </w:rPr>
              <w:t xml:space="preserve">The conclusion of 'no significant difference' is a failure to reject, not equivalence. The trial was powered only for a hazard ratio of 0.80 and a 5.5-month survival gain, and the observed overall survival HR of 0.88 has a 95% CI of 0.77 to 1.01 - compatible with up to a 23% reduction in the hazard of death with cetuximab. The paper nowhere states what differences the data exclude.</w:t>
            </w:r>
          </w:p>
          <w:p>
            <w:pPr>
              <w:pStyle w:val="ListParagraph"/>
              <w:numPr>
                <w:ilvl w:val="0"/>
                <w:numId w:val="2"/>
              </w:numPr>
              <w:spacing w:after="45"/>
            </w:pPr>
            <w:r>
              <w:rPr>
                <w:sz w:val="15"/>
                <w:szCs w:val="15"/>
              </w:rPr>
              <w:t xml:space="preserve">The trial was released after the 11th interim analysis on the ground that neither arm could still meet the 5.5-month superiority goal, which is a futility stop against a large prespecified effect; the adjusted two-sided significance level at the final analysis was 0.06 and the observed p was 0.08, so the primary comparison stopped just short of a boundary that was itself relaxed by the interim schedule.</w:t>
            </w:r>
          </w:p>
          <w:p>
            <w:pPr>
              <w:pStyle w:val="ListParagraph"/>
              <w:numPr>
                <w:ilvl w:val="0"/>
                <w:numId w:val="2"/>
              </w:numPr>
              <w:spacing w:after="45"/>
            </w:pPr>
            <w:r>
              <w:rPr>
                <w:sz w:val="15"/>
                <w:szCs w:val="15"/>
              </w:rPr>
              <w:t xml:space="preserve">Local and central KRAS results agreed poorly: the kappa statistic was 0.52 with a 90% lower confidence bound of 0.32, against the 0.75 benchmark the statistical plan set. Yet from July 2010 eligibility could be established in any CLIA-certified laboratory. The paper reports the failed benchmark and does not revisit what it means for a trial whose eligibility is a mutation test.</w:t>
            </w:r>
          </w:p>
          <w:p>
            <w:pPr>
              <w:pStyle w:val="ListParagraph"/>
              <w:numPr>
                <w:ilvl w:val="0"/>
                <w:numId w:val="2"/>
              </w:numPr>
              <w:spacing w:after="45"/>
            </w:pPr>
            <w:r>
              <w:rPr>
                <w:sz w:val="15"/>
                <w:szCs w:val="15"/>
              </w:rPr>
              <w:t xml:space="preserve">The reported response-rate difference is internally inconsistent as printed: 4.4% with a 95% CI of 1.0% to 9.0%, an interval excluding zero, alongside p=0.13. Two incompatible methods are reported side by side and neither is reconciled.</w:t>
            </w:r>
          </w:p>
          <w:p>
            <w:pPr>
              <w:pStyle w:val="ListParagraph"/>
              <w:numPr>
                <w:ilvl w:val="0"/>
                <w:numId w:val="2"/>
              </w:numPr>
              <w:spacing w:after="45"/>
            </w:pPr>
            <w:r>
              <w:rPr>
                <w:sz w:val="15"/>
                <w:szCs w:val="15"/>
              </w:rPr>
              <w:t xml:space="preserve">Only 1137 of 2334 randomised patients (49%) appear in the analysis. The dual-antibody arm was closed and its patients removed from study, KRAS-mutant patients were excluded, and 333 of the analysed patients were registered before KRAS eligibility existed and had their status established retrospectively. The reported population is a retrospectively defined biomarker subset of a three-arm trial.</w:t>
            </w:r>
          </w:p>
          <w:p>
            <w:pPr>
              <w:pStyle w:val="ListParagraph"/>
              <w:numPr>
                <w:ilvl w:val="0"/>
                <w:numId w:val="2"/>
              </w:numPr>
              <w:spacing w:after="45"/>
            </w:pPr>
            <w:r>
              <w:rPr>
                <w:sz w:val="15"/>
                <w:szCs w:val="15"/>
              </w:rPr>
              <w:t xml:space="preserve">The stated treatment goal was imbalanced in the direction of the subgroup the paper leans on: cure was the intent in 17.1% (99 of 578) of cetuximab patients against 13.2% (74 of 559) of bevacizumab patients. Intent was recorded at randomisation but was not a stratification factor and is not adjusted for in the surgery analysis.</w:t>
            </w:r>
          </w:p>
          <w:p>
            <w:pPr>
              <w:pStyle w:val="ListParagraph"/>
              <w:numPr>
                <w:ilvl w:val="0"/>
                <w:numId w:val="2"/>
              </w:numPr>
              <w:spacing w:after="45"/>
            </w:pPr>
            <w:r>
              <w:rPr>
                <w:sz w:val="15"/>
                <w:szCs w:val="15"/>
              </w:rPr>
              <w:t xml:space="preserve">The surgical conversion result most relevant to liver metastases - 140 patients rendered disease free with median overall survival of 64.7 and 62.2 months - is reported without the number converted in each arm, without a denominator for who was ever a candidate, and without any adjustment. A median survival of over five years in patients selected by having responded enough to be operated on is a statement about selection, not about either antibody.</w:t>
            </w:r>
          </w:p>
          <w:p>
            <w:pPr>
              <w:pStyle w:val="ListParagraph"/>
              <w:numPr>
                <w:ilvl w:val="0"/>
                <w:numId w:val="2"/>
              </w:numPr>
              <w:spacing w:after="45"/>
            </w:pPr>
            <w:r>
              <w:rPr>
                <w:sz w:val="15"/>
                <w:szCs w:val="15"/>
              </w:rPr>
              <w:t xml:space="preserve">Response and progression were assessed by the treating investigator in an open-label trial with no blinding and no central radiology review, and progression-free survival was a secondary endpoint evaluated on that basis.</w:t>
            </w:r>
          </w:p>
          <w:p>
            <w:pPr>
              <w:pStyle w:val="ListParagraph"/>
              <w:numPr>
                <w:ilvl w:val="0"/>
                <w:numId w:val="2"/>
              </w:numPr>
              <w:spacing w:after="45"/>
            </w:pPr>
            <w:r>
              <w:rPr>
                <w:sz w:val="15"/>
                <w:szCs w:val="15"/>
              </w:rPr>
              <w:t xml:space="preserve">Expanded RAS testing was done only in 'a subset of specimens' after the trial closed; the main text gives no number, no proportion and no account of why some specimens were testable, yet the expanded RAS analysis is used to argue the primary result holds in the population now treated.</w:t>
            </w:r>
          </w:p>
          <w:p>
            <w:pPr>
              <w:pStyle w:val="ListParagraph"/>
              <w:numPr>
                <w:ilvl w:val="0"/>
                <w:numId w:val="2"/>
              </w:numPr>
              <w:spacing w:after="45"/>
            </w:pPr>
            <w:r>
              <w:rPr>
                <w:sz w:val="15"/>
                <w:szCs w:val="15"/>
              </w:rPr>
              <w:t xml:space="preserve">Centre was explicitly excluded from the analysis because there were too many sites (396), so a trial run largely in community practice carries no accounting for centre effect in a disease where multidisciplinary management and hepatobiliary surgical availability vary enormously between sites.</w:t>
            </w:r>
          </w:p>
          <w:p>
            <w:pPr>
              <w:pStyle w:val="ListParagraph"/>
              <w:numPr>
                <w:ilvl w:val="0"/>
                <w:numId w:val="2"/>
              </w:numPr>
              <w:spacing w:after="45"/>
            </w:pPr>
            <w:r>
              <w:rPr>
                <w:sz w:val="15"/>
                <w:szCs w:val="15"/>
              </w:rPr>
              <w:t xml:space="preserve">The only positive signal in the paper - cetuximab better with mFOLFOX6 (HR 0.83, 95% CI 0.71-0.98) but not FOLFIRI (HR 1.04, 0.79-1.35) - arises from a comparison across groups that patients and physicians self-selected into before randomisation, and the interaction test itself is not significant (HR 1.27, 95% CI 0.94-1.73, p=0.11). It is reported in the abstract-level narrative nonetheless.</w:t>
            </w:r>
          </w:p>
          <w:p>
            <w:pPr>
              <w:pStyle w:val="ListParagraph"/>
              <w:numPr>
                <w:ilvl w:val="0"/>
                <w:numId w:val="2"/>
              </w:numPr>
              <w:spacing w:after="45"/>
            </w:pPr>
            <w:r>
              <w:rPr>
                <w:sz w:val="15"/>
                <w:szCs w:val="15"/>
              </w:rPr>
              <w:t xml:space="preserve">Race was collapsed to white versus non-white for analysis because 82% of the sample was white, and ethnicity was reported only descriptively, so the trial can say nothing about either; this is a methods decision with no accompanying caveat.</w:t>
            </w:r>
          </w:p>
          <w:p>
            <w:pPr>
              <w:pStyle w:val="ListParagraph"/>
              <w:numPr>
                <w:ilvl w:val="0"/>
                <w:numId w:val="2"/>
              </w:numPr>
              <w:spacing w:after="45"/>
            </w:pPr>
            <w:r>
              <w:rPr>
                <w:sz w:val="15"/>
                <w:szCs w:val="15"/>
              </w:rPr>
              <w:t xml:space="preserve">Both drug manufacturers were inside the trial: Genentech makes bevacizumab, Eli Lilly supplied the cetuximab, and both are recorded as participating in protocol development and in the review and approval of the final manuscript of a trial comparing their products.</w:t>
            </w:r>
          </w:p>
          <w:p>
            <w:pPr>
              <w:pStyle w:val="ListParagraph"/>
              <w:numPr>
                <w:ilvl w:val="0"/>
                <w:numId w:val="2"/>
              </w:numPr>
              <w:spacing w:after="45"/>
            </w:pPr>
            <w:r>
              <w:rPr>
                <w:sz w:val="15"/>
                <w:szCs w:val="15"/>
              </w:rPr>
              <w:t xml:space="preserve">The 12% rendered disease free and the 41% still disease free at a median of 5.5 years are offered in the Discussion as an explanation for the high survival, but no CONSORT-style accounting of who was resected, when, or with what margin appears anywhere, so this depot's interest in the paper - conversion to surgery - rests on two sentences without a table.</w:t>
            </w:r>
          </w:p>
          <w:p>
            <w:pPr>
              <w:pStyle w:val="ListParagraph"/>
              <w:numPr>
                <w:ilvl w:val="0"/>
                <w:numId w:val="2"/>
              </w:numPr>
              <w:spacing w:after="45"/>
            </w:pPr>
            <w:r>
              <w:rPr>
                <w:sz w:val="15"/>
                <w:szCs w:val="15"/>
              </w:rPr>
              <w:t xml:space="preserve">Lieu and Messersmith's linked JAMA editorial (PMID 28632850, 'No difference, but not the same') argues that absence of a detected difference does not make the antibodies interchangeable; its text was identified in PubMed but not read for this record, so its reasoning is not reflected here beyond its title claim.</w:t>
            </w:r>
          </w:p>
        </w:tc>
      </w:tr>
    </w:tbl>
    <w:p>
      <w:pPr>
        <w:spacing w:after="0" w:line="276"/>
      </w:pPr>
      <w:r>
        <w:rPr>
          <w:color w:val="5A6069"/>
          <w:sz w:val="14"/>
          <w:szCs w:val="14"/>
        </w:rPr>
        <w:t xml:space="preserve">Funding: National Cancer Institute grants to the Alliance for Clinical Trials in Oncology and participating centres (U10CA180821, U10CA180882 and others), supported in part by Eli Lilly, Genentech, Pfizer and Sanofi. The NCI, Eli Lilly, Genentech and Pfizer participated in protocol development and in review and approval of the final manuscript, and Eli Lilly provided the cetuximab. Most senior authors declare grants, personal fees or advisory roles with Genentech/Roche, Merck KGaA, Bristol-Myers Squibb, Lilly, Amgen, Bayer and others</w:t>
      </w:r>
    </w:p>
    <w:p>
      <w:pPr>
        <w:keepNext/>
        <w:spacing w:after="50" w:before="260"/>
      </w:pPr>
      <w:r>
        <w:rPr>
          <w:rFonts w:ascii="Cambria" w:cs="Cambria" w:eastAsia="Cambria" w:hAnsi="Cambria"/>
          <w:b/>
          <w:bCs/>
          <w:color w:val="17365D"/>
          <w:sz w:val="20"/>
          <w:szCs w:val="20"/>
        </w:rPr>
        <w:t xml:space="preserve">CheckMate 8HW</w:t>
      </w:r>
      <w:r>
        <w:rPr>
          <w:b/>
          <w:bCs/>
          <w:color w:val="176A87"/>
          <w:sz w:val="15"/>
          <w:szCs w:val="15"/>
        </w:rPr>
        <w:t xml:space="preserve">   Randomised trial</w:t>
      </w:r>
      <w:r>
        <w:rPr>
          <w:color w:val="5A6069"/>
          <w:sz w:val="15"/>
          <w:szCs w:val="15"/>
        </w:rPr>
        <w:t xml:space="preserve">   PMID 39874977</w:t>
      </w:r>
    </w:p>
    <w:p>
      <w:pPr>
        <w:spacing w:after="50" w:line="276"/>
      </w:pPr>
      <w:r>
        <w:rPr>
          <w:color w:val="5A6069"/>
          <w:sz w:val="17"/>
          <w:szCs w:val="17"/>
        </w:rPr>
        <w:t xml:space="preserve">Nivolumab plus ipilimumab versus nivolumab in microsatellite instability-high metastatic colorectal cancer (CheckMate 8HW): a randomised, open-label, phase 3 trial</w:t>
      </w:r>
    </w:p>
    <w:p>
      <w:pPr>
        <w:spacing w:after="50"/>
      </w:pPr>
      <w:r>
        <w:rPr>
          <w:b/>
          <w:bCs/>
          <w:color w:val="176A87"/>
          <w:sz w:val="16"/>
          <w:szCs w:val="16"/>
        </w:rPr>
        <w:t xml:space="preserve">Population. </w:t>
      </w:r>
      <w:r>
        <w:rPr>
          <w:sz w:val="16"/>
          <w:szCs w:val="16"/>
        </w:rPr>
        <w:t xml:space="preserve">839 patients with locally determined MSI-high or mismatch repair-deficient unresectable or metastatic colorectal cancer randomised at 128 hospitals in 23 countries (354 nivolumab plus ipilimumab, 353 nivolumab, 132 chemotherapy) from 1147 assessed for eligibility; the primary efficacy population is the 582 with centrally confirmed status (296 and 286), and 57% of each immunotherapy group was previously untreated. Median follow-up 47.0 months</w:t>
      </w:r>
    </w:p>
    <w:p>
      <w:pPr>
        <w:spacing w:after="70"/>
      </w:pPr>
      <w:r>
        <w:rPr>
          <w:b/>
          <w:bCs/>
          <w:color w:val="17365D"/>
          <w:sz w:val="16"/>
          <w:szCs w:val="16"/>
        </w:rPr>
        <w:t xml:space="preserve">Bottom line. </w:t>
      </w:r>
      <w:r>
        <w:rPr>
          <w:sz w:val="16"/>
          <w:szCs w:val="16"/>
        </w:rPr>
        <w:t xml:space="preserve">Shows that in MSI-high or mismatch repair-deficient metastatic colorectal cancer, adding ipilimumab to nivolumab lengthens centrally reviewed progression-free survival across all treatment lines (HR 0.62, 95% CI 0.48-0.81) and raises response from 58% to 71%, at the cost of roughly doubled grade 3-4 toxicity and discontinuation. It does not show this holds first line, where the same comparison failed its prespecified boundary at this interim and remains masked, nor that patients live longer, since overall survival is withheld even as the paper prints 29% against 42% deaths. Nothing in it addresses liver-directed treatment, so its bearing on colorectal liver metastases is confined to what to give before any local therapy is considered.</w:t>
      </w:r>
    </w:p>
    <w:tbl>
      <w:tblPr>
        <w:tblW w:type="dxa" w:w="9360"/>
        <w:tblBorders>
          <w:top w:val="single" w:color="D3DCE4" w:sz="4"/>
          <w:left w:val="single" w:color="D3DCE4" w:sz="4"/>
          <w:bottom w:val="single" w:color="D3DCE4" w:sz="4"/>
          <w:right w:val="single" w:color="D3DCE4" w:sz="4"/>
          <w:insideH w:val="single" w:color="D3DCE4" w:sz="4"/>
          <w:insideV w:val="single" w:color="D3DCE4" w:sz="4"/>
        </w:tblBorders>
      </w:tblPr>
      <w:tblGrid>
        <w:gridCol w:w="4600"/>
        <w:gridCol w:w="4760"/>
      </w:tblGrid>
      <w:tr>
        <w:tc>
          <w:tcPr>
            <w:tcW w:type="dxa" w:w="4600"/>
            <w:shd w:fill="F1F4F8" w:color="auto" w:val="clear"/>
            <w:tcMar>
              <w:top w:type="dxa" w:w="70"/>
              <w:left w:type="dxa" w:w="110"/>
              <w:bottom w:type="dxa" w:w="70"/>
              <w:right w:type="dxa" w:w="110"/>
            </w:tcMar>
            <w:vAlign w:val="top"/>
          </w:tcPr>
          <w:p>
            <w:pPr>
              <w:spacing w:after="50"/>
            </w:pPr>
            <w:r>
              <w:rPr>
                <w:b/>
                <w:bCs/>
                <w:color w:val="8E5008"/>
                <w:spacing w:val="12"/>
                <w:sz w:val="14"/>
                <w:szCs w:val="14"/>
              </w:rPr>
              <w:t xml:space="preserve">LIMITATIONS THE AUTHORS STATE</w:t>
            </w:r>
          </w:p>
          <w:p>
            <w:pPr>
              <w:pStyle w:val="ListParagraph"/>
              <w:numPr>
                <w:ilvl w:val="0"/>
                <w:numId w:val="2"/>
              </w:numPr>
              <w:spacing w:after="45"/>
            </w:pPr>
            <w:r>
              <w:rPr>
                <w:sz w:val="15"/>
                <w:szCs w:val="15"/>
              </w:rPr>
              <w:t xml:space="preserve">The trial was open label, so biases in reporting of treatment assessments are conceivable; the authors argue the high concordance between blinded central review and investigator assessment of progression-free survival (88% in the combination group and 89% with nivolumab) suggests the design did not affect efficacy assessment</w:t>
            </w:r>
          </w:p>
          <w:p>
            <w:pPr>
              <w:pStyle w:val="ListParagraph"/>
              <w:numPr>
                <w:ilvl w:val="0"/>
                <w:numId w:val="2"/>
              </w:numPr>
              <w:spacing w:after="45"/>
            </w:pPr>
            <w:r>
              <w:rPr>
                <w:sz w:val="15"/>
                <w:szCs w:val="15"/>
              </w:rPr>
              <w:t xml:space="preserve">Because of the shorter minimum follow-up at this interim analysis, secondary endpoints including duration of response remain immature</w:t>
            </w:r>
          </w:p>
          <w:p>
            <w:pPr>
              <w:pStyle w:val="ListParagraph"/>
              <w:numPr>
                <w:ilvl w:val="0"/>
                <w:numId w:val="2"/>
              </w:numPr>
              <w:spacing w:after="45"/>
            </w:pPr>
            <w:r>
              <w:rPr>
                <w:sz w:val="15"/>
                <w:szCs w:val="15"/>
              </w:rPr>
              <w:t xml:space="preserve">Patient numbers in some prespecified subgroups were low, limiting interpretation</w:t>
            </w:r>
          </w:p>
          <w:p>
            <w:pPr>
              <w:pStyle w:val="ListParagraph"/>
              <w:numPr>
                <w:ilvl w:val="0"/>
                <w:numId w:val="2"/>
              </w:numPr>
              <w:spacing w:after="45"/>
            </w:pPr>
            <w:r>
              <w:rPr>
                <w:sz w:val="15"/>
                <w:szCs w:val="15"/>
              </w:rPr>
              <w:t xml:space="preserve">Subgroup analyses of progression-free survival and response by line of treatment would have been of interest but treatment lines remain masked under the hierarchical testing plan</w:t>
            </w:r>
          </w:p>
          <w:p>
            <w:pPr>
              <w:pStyle w:val="ListParagraph"/>
              <w:numPr>
                <w:ilvl w:val="0"/>
                <w:numId w:val="2"/>
              </w:numPr>
              <w:spacing w:after="45"/>
            </w:pPr>
            <w:r>
              <w:rPr>
                <w:sz w:val="15"/>
                <w:szCs w:val="15"/>
              </w:rPr>
              <w:t xml:space="preserve">Overall survival data remain masked and will be valuable to contextualise the results</w:t>
            </w:r>
          </w:p>
        </w:tc>
        <w:tc>
          <w:tcPr>
            <w:tcW w:type="dxa" w:w="4760"/>
            <w:shd w:fill="F1F4F8" w:color="auto" w:val="clear"/>
            <w:tcMar>
              <w:top w:type="dxa" w:w="70"/>
              <w:left w:type="dxa" w:w="110"/>
              <w:bottom w:type="dxa" w:w="70"/>
              <w:right w:type="dxa" w:w="110"/>
            </w:tcMar>
            <w:vAlign w:val="top"/>
          </w:tcPr>
          <w:p>
            <w:pPr>
              <w:spacing w:after="50"/>
            </w:pPr>
            <w:r>
              <w:rPr>
                <w:b/>
                <w:bCs/>
                <w:color w:val="8C2F26"/>
                <w:spacing w:val="12"/>
                <w:sz w:val="14"/>
                <w:szCs w:val="14"/>
              </w:rPr>
              <w:t xml:space="preserve">WHAT THEY DO NOT SAY</w:t>
            </w:r>
          </w:p>
          <w:p>
            <w:pPr>
              <w:pStyle w:val="ListParagraph"/>
              <w:numPr>
                <w:ilvl w:val="0"/>
                <w:numId w:val="2"/>
              </w:numPr>
              <w:spacing w:after="45"/>
            </w:pPr>
            <w:r>
              <w:rPr>
                <w:sz w:val="15"/>
                <w:szCs w:val="15"/>
              </w:rPr>
              <w:t xml:space="preserve">The comparison that would license the headline recommendation was negative. The Outcomes section states that progression-free survival for nivolumab plus ipilimumab versus nivolumab in the first-line setting did not meet the prespecified statistical criteria at this interim analysis and remains masked. The Interpretation, abstract and Discussion nonetheless propose the combination as a potential new standard of care, supported only by the separate comparison against chemotherapy.</w:t>
            </w:r>
          </w:p>
          <w:p>
            <w:pPr>
              <w:pStyle w:val="ListParagraph"/>
              <w:numPr>
                <w:ilvl w:val="0"/>
                <w:numId w:val="2"/>
              </w:numPr>
              <w:spacing w:after="45"/>
            </w:pPr>
            <w:r>
              <w:rPr>
                <w:sz w:val="15"/>
                <w:szCs w:val="15"/>
              </w:rPr>
              <w:t xml:space="preserve">Overall survival is withheld under the testing plan, but the paper prints all-cause deaths of 103 of 352 (29%) with the combination against 149 of 351 (42%) with nivolumab in the safety section. The reader is handed a 13-percentage-point difference in deaths as a descriptive line while the analysis of that endpoint is masked.</w:t>
            </w:r>
          </w:p>
          <w:p>
            <w:pPr>
              <w:pStyle w:val="ListParagraph"/>
              <w:numPr>
                <w:ilvl w:val="0"/>
                <w:numId w:val="2"/>
              </w:numPr>
              <w:spacing w:after="45"/>
            </w:pPr>
            <w:r>
              <w:rPr>
                <w:sz w:val="15"/>
                <w:szCs w:val="15"/>
              </w:rPr>
              <w:t xml:space="preserve">The alpha against which p=0.0003 is judged was recycled. The 0.05 overall error was split 0.044 to the chemotherapy comparison and 0.006 to this one; once the chemotherapy comparison succeeded, 0.024 was passed across for a total of 0.03, and the group-sequential split between this interim and the final analysis is only in the appendix. The nominal p value in the abstract is not the test that was performed.</w:t>
            </w:r>
          </w:p>
          <w:p>
            <w:pPr>
              <w:pStyle w:val="ListParagraph"/>
              <w:numPr>
                <w:ilvl w:val="0"/>
                <w:numId w:val="2"/>
              </w:numPr>
              <w:spacing w:after="45"/>
            </w:pPr>
            <w:r>
              <w:rPr>
                <w:sz w:val="15"/>
                <w:szCs w:val="15"/>
              </w:rPr>
              <w:t xml:space="preserve">The primary efficacy population is 582 of 707 randomised immunotherapy patients (82%), because enrolment used local MSI or mismatch repair testing and 125 (18%) failed central confirmation for microsatellite stability, mismatch repair proficiency or unstated other reasons. A trial that depends on a biomarker enrolled a fifth of its patients without it.</w:t>
            </w:r>
          </w:p>
          <w:p>
            <w:pPr>
              <w:pStyle w:val="ListParagraph"/>
              <w:numPr>
                <w:ilvl w:val="0"/>
                <w:numId w:val="2"/>
              </w:numPr>
              <w:spacing w:after="45"/>
            </w:pPr>
            <w:r>
              <w:rPr>
                <w:sz w:val="15"/>
                <w:szCs w:val="15"/>
              </w:rPr>
              <w:t xml:space="preserve">The two populations give very different comparator results and this is not explained. Median progression-free survival in the nivolumab arm is 39.3 months in the centrally confirmed population but 18.4 months in all randomised patients, an 18-month swing, while the combination arm barely moves (not reached vs 54.1 months). The all-randomised analysis is described as consistent; what it actually shows is that the patients central testing excluded did far worse on nivolumab alone.</w:t>
            </w:r>
          </w:p>
          <w:p>
            <w:pPr>
              <w:pStyle w:val="ListParagraph"/>
              <w:numPr>
                <w:ilvl w:val="0"/>
                <w:numId w:val="2"/>
              </w:numPr>
              <w:spacing w:after="45"/>
            </w:pPr>
            <w:r>
              <w:rPr>
                <w:sz w:val="15"/>
                <w:szCs w:val="15"/>
              </w:rPr>
              <w:t xml:space="preserve">Sex was unevenly distributed - female 192 of 354 (54%) in the combination arm against 163 of 353 (46%) with nivolumab - and the baseline table is described as similar. The hazard ratio was estimated from a stratified Cox model with randomised group as the single covariate, so no baseline characteristic is adjusted for.</w:t>
            </w:r>
          </w:p>
          <w:p>
            <w:pPr>
              <w:pStyle w:val="ListParagraph"/>
              <w:numPr>
                <w:ilvl w:val="0"/>
                <w:numId w:val="2"/>
              </w:numPr>
              <w:spacing w:after="45"/>
            </w:pPr>
            <w:r>
              <w:rPr>
                <w:sz w:val="15"/>
                <w:szCs w:val="15"/>
              </w:rPr>
              <w:t xml:space="preserve">The defence against open-label bias is 88% and 89% concordance between central and investigator reads of the same scans. Concordance between two unmasked assessors does not address the mechanisms that matter in an unblinded trial: when imaging was ordered, when a borderline scan was called progression, and when a patient on single-agent therapy was taken off study.</w:t>
            </w:r>
          </w:p>
          <w:p>
            <w:pPr>
              <w:pStyle w:val="ListParagraph"/>
              <w:numPr>
                <w:ilvl w:val="0"/>
                <w:numId w:val="2"/>
              </w:numPr>
              <w:spacing w:after="45"/>
            </w:pPr>
            <w:r>
              <w:rPr>
                <w:sz w:val="15"/>
                <w:szCs w:val="15"/>
              </w:rPr>
              <w:t xml:space="preserve">The toxicity cost of the second drug is substantial and is not formally compared: grade 3-4 treatment-related events 78 of 352 (22%) against 50 of 351 (14%), discontinuation of any drug for treatment-related toxicity 48 (14%) against 21 (6%), and two of the three treatment-related deaths (myocarditis and pneumonitis) in the combination arm. No p value, risk difference or number-needed-to-harm appears for any of these.</w:t>
            </w:r>
          </w:p>
          <w:p>
            <w:pPr>
              <w:pStyle w:val="ListParagraph"/>
              <w:numPr>
                <w:ilvl w:val="0"/>
                <w:numId w:val="2"/>
              </w:numPr>
              <w:spacing w:after="45"/>
            </w:pPr>
            <w:r>
              <w:rPr>
                <w:sz w:val="15"/>
                <w:szCs w:val="15"/>
              </w:rPr>
              <w:t xml:space="preserve">The quality-of-life argument is exploratory and non-comparative: scores were assessed only in centrally confirmed treated patients with available questionnaire data, against a within-group 10-point threshold, with no completion rates in the main text. The conclusion that the efficacy gain was 'not at the expense of diminished health-related quality of life' rests on the absence of a within-arm change, not on a between-arm test.</w:t>
            </w:r>
          </w:p>
          <w:p>
            <w:pPr>
              <w:pStyle w:val="ListParagraph"/>
              <w:numPr>
                <w:ilvl w:val="0"/>
                <w:numId w:val="2"/>
              </w:numPr>
              <w:spacing w:after="45"/>
            </w:pPr>
            <w:r>
              <w:rPr>
                <w:sz w:val="15"/>
                <w:szCs w:val="15"/>
              </w:rPr>
              <w:t xml:space="preserve">Of 1147 patients assessed, 308 were ineligible and 239 of those 'no longer met study criteria' with no further breakdown, so the step between a patient with MSI-high disease in clinic and a patient in this trial is unquantified.</w:t>
            </w:r>
          </w:p>
          <w:p>
            <w:pPr>
              <w:pStyle w:val="ListParagraph"/>
              <w:numPr>
                <w:ilvl w:val="0"/>
                <w:numId w:val="2"/>
              </w:numPr>
              <w:spacing w:after="45"/>
            </w:pPr>
            <w:r>
              <w:rPr>
                <w:sz w:val="15"/>
                <w:szCs w:val="15"/>
              </w:rPr>
              <w:t xml:space="preserve">PD-L1 testing is described in the methods and its results appear nowhere in the main text, alongside the acknowledged under-populated subgroups, so the paper offers no basis for identifying who needs two drugs rather than one.</w:t>
            </w:r>
          </w:p>
          <w:p>
            <w:pPr>
              <w:pStyle w:val="ListParagraph"/>
              <w:numPr>
                <w:ilvl w:val="0"/>
                <w:numId w:val="2"/>
              </w:numPr>
              <w:spacing w:after="45"/>
            </w:pPr>
            <w:r>
              <w:rPr>
                <w:sz w:val="15"/>
                <w:szCs w:val="15"/>
              </w:rPr>
              <w:t xml:space="preserve">Duration of response was not reached in either arm and is conceded immature, so the response difference (71% vs 58%) and the progression-free survival difference are both statements about curves that have not yet separated into a durable-benefit claim.</w:t>
            </w:r>
          </w:p>
          <w:p>
            <w:pPr>
              <w:pStyle w:val="ListParagraph"/>
              <w:numPr>
                <w:ilvl w:val="0"/>
                <w:numId w:val="2"/>
              </w:numPr>
              <w:spacing w:after="45"/>
            </w:pPr>
            <w:r>
              <w:rPr>
                <w:sz w:val="15"/>
                <w:szCs w:val="15"/>
              </w:rPr>
              <w:t xml:space="preserve">For this depot's purposes the trial reports no local therapy at all: patients had unresectable or metastatic disease, resection and ablation were not endpoints, and nothing here addresses whether an MSI-high liver metastasis responding to checkpoint blockade should then be resected.</w:t>
            </w:r>
          </w:p>
          <w:p>
            <w:pPr>
              <w:pStyle w:val="ListParagraph"/>
              <w:numPr>
                <w:ilvl w:val="0"/>
                <w:numId w:val="2"/>
              </w:numPr>
              <w:spacing w:after="45"/>
            </w:pPr>
            <w:r>
              <w:rPr>
                <w:sz w:val="15"/>
                <w:szCs w:val="15"/>
              </w:rPr>
              <w:t xml:space="preserve">A linked Lancet Comment (PMID 39874978, Haldar and Kopetz, 2025;405:354-6) was identified in PubMed but its text was not available here, so its objections are not reflected in this record.</w:t>
            </w:r>
          </w:p>
        </w:tc>
      </w:tr>
    </w:tbl>
    <w:p>
      <w:pPr>
        <w:spacing w:after="0" w:line="276"/>
      </w:pPr>
      <w:r>
        <w:rPr>
          <w:color w:val="5A6069"/>
          <w:sz w:val="14"/>
          <w:szCs w:val="14"/>
        </w:rPr>
        <w:t xml:space="preserve">Funding: Bristol Myers Squibb and Ono Pharmaceutical. The sponsor funded the trial, provided the trial agents, collaborated with the academic authors on design and on the collection, analysis and interpretation of the data, and funded the medical writing including the first draft; the five contributors listed as responsible for data analysis are sponsor-affiliated. Nearly every academic author declares consulting, honoraria or institutional research funding from Bristol Myers Squibb, and one declares patents and royalties with the sponsor</w:t>
      </w:r>
    </w:p>
    <w:p>
      <w:pPr>
        <w:keepNext/>
        <w:spacing w:after="50" w:before="260"/>
      </w:pPr>
      <w:r>
        <w:rPr>
          <w:rFonts w:ascii="Cambria" w:cs="Cambria" w:eastAsia="Cambria" w:hAnsi="Cambria"/>
          <w:b/>
          <w:bCs/>
          <w:color w:val="17365D"/>
          <w:sz w:val="20"/>
          <w:szCs w:val="20"/>
        </w:rPr>
        <w:t xml:space="preserve">Chinese 2024 consensus</w:t>
      </w:r>
      <w:r>
        <w:rPr>
          <w:b/>
          <w:bCs/>
          <w:color w:val="176A87"/>
          <w:sz w:val="15"/>
          <w:szCs w:val="15"/>
        </w:rPr>
        <w:t xml:space="preserve">   Consensus statement</w:t>
      </w:r>
      <w:r>
        <w:rPr>
          <w:color w:val="5A6069"/>
          <w:sz w:val="15"/>
          <w:szCs w:val="15"/>
        </w:rPr>
        <w:t xml:space="preserve">   PMID 40640089</w:t>
      </w:r>
    </w:p>
    <w:p>
      <w:pPr>
        <w:spacing w:after="50" w:line="276"/>
      </w:pPr>
      <w:r>
        <w:rPr>
          <w:color w:val="5A6069"/>
          <w:sz w:val="17"/>
          <w:szCs w:val="17"/>
        </w:rPr>
        <w:t xml:space="preserve">Diagnosis and treatment of colorectal liver metastases: Chinese expert consensus-based multidisciplinary team (2024 edition)</w:t>
      </w:r>
    </w:p>
    <w:p>
      <w:pPr>
        <w:spacing w:after="70"/>
      </w:pPr>
      <w:r>
        <w:rPr>
          <w:b/>
          <w:bCs/>
          <w:color w:val="17365D"/>
          <w:sz w:val="16"/>
          <w:szCs w:val="16"/>
        </w:rPr>
        <w:t xml:space="preserve">Bottom line. </w:t>
      </w:r>
      <w:r>
        <w:rPr>
          <w:sz w:val="16"/>
          <w:szCs w:val="16"/>
        </w:rPr>
        <w:t xml:space="preserve">Sets out, in four pages, what a Chinese multidisciplinary consensus panel recommends across the whole colorectal liver metastasis pathway, organised usefully around whether no evidence of disease is achievable, potentially achievable or not - with liver MRI before any local treatment, universal molecular testing, and locoregional therapy after systemic failure. It is not an auditable guideline: no consensus method, search strategy or agreement threshold is described, the evidence base and the grade definitions are held in an online supplement, and the grading system does not map onto the Western guidelines a tumour board reads alongside it. For a liver surgeon the gaps matter most: no definition of an adequate remnant, no criteria for staged hepatectomy or ALPPS, and no mention of transplantation at all.</w:t>
      </w:r>
    </w:p>
    <w:tbl>
      <w:tblPr>
        <w:tblW w:type="dxa" w:w="9360"/>
        <w:tblBorders>
          <w:top w:val="single" w:color="D3DCE4" w:sz="4"/>
          <w:left w:val="single" w:color="D3DCE4" w:sz="4"/>
          <w:bottom w:val="single" w:color="D3DCE4" w:sz="4"/>
          <w:right w:val="single" w:color="D3DCE4" w:sz="4"/>
          <w:insideH w:val="single" w:color="D3DCE4" w:sz="4"/>
          <w:insideV w:val="single" w:color="D3DCE4" w:sz="4"/>
        </w:tblBorders>
      </w:tblPr>
      <w:tblGrid>
        <w:gridCol w:w="4600"/>
        <w:gridCol w:w="4760"/>
      </w:tblGrid>
      <w:tr>
        <w:tc>
          <w:tcPr>
            <w:tcW w:type="dxa" w:w="4600"/>
            <w:shd w:fill="F1F4F8" w:color="auto" w:val="clear"/>
            <w:tcMar>
              <w:top w:type="dxa" w:w="70"/>
              <w:left w:type="dxa" w:w="110"/>
              <w:bottom w:type="dxa" w:w="70"/>
              <w:right w:type="dxa" w:w="110"/>
            </w:tcMar>
            <w:vAlign w:val="top"/>
          </w:tcPr>
          <w:p>
            <w:pPr>
              <w:spacing w:after="50"/>
            </w:pPr>
            <w:r>
              <w:rPr>
                <w:b/>
                <w:bCs/>
                <w:color w:val="8E5008"/>
                <w:spacing w:val="12"/>
                <w:sz w:val="14"/>
                <w:szCs w:val="14"/>
              </w:rPr>
              <w:t xml:space="preserve">LIMITATIONS THE AUTHORS STATE</w:t>
            </w:r>
          </w:p>
          <w:p>
            <w:pPr>
              <w:pStyle w:val="ListParagraph"/>
              <w:numPr>
                <w:ilvl w:val="0"/>
                <w:numId w:val="2"/>
              </w:numPr>
              <w:spacing w:after="45"/>
            </w:pPr>
            <w:r>
              <w:rPr>
                <w:sz w:val="15"/>
                <w:szCs w:val="15"/>
              </w:rPr>
              <w:t xml:space="preserve">No limitations are stated anywhere in the paper. The only concession is the recommendation itself that adjuvant therapy after resection may improve disease-free survival but lacks overall survival evidence and should be used with caution (Grade III, Class 2B)</w:t>
            </w:r>
          </w:p>
          <w:p>
            <w:pPr>
              <w:pStyle w:val="ListParagraph"/>
              <w:numPr>
                <w:ilvl w:val="0"/>
                <w:numId w:val="2"/>
              </w:numPr>
              <w:spacing w:after="45"/>
            </w:pPr>
            <w:r>
              <w:rPr>
                <w:sz w:val="15"/>
                <w:szCs w:val="15"/>
              </w:rPr>
              <w:t xml:space="preserve">The authors state that the 2017 consensus could no longer meet clinical needs and that this edition summarises the latest domestic and international progress and gathers expert opinion</w:t>
            </w:r>
          </w:p>
          <w:p>
            <w:pPr>
              <w:pStyle w:val="ListParagraph"/>
              <w:numPr>
                <w:ilvl w:val="0"/>
                <w:numId w:val="2"/>
              </w:numPr>
              <w:spacing w:after="45"/>
            </w:pPr>
            <w:r>
              <w:rPr>
                <w:sz w:val="15"/>
                <w:szCs w:val="15"/>
              </w:rPr>
              <w:t xml:space="preserve">They state that the full-length consensus, the evidence categories and the recommendation grade definitions are all in an online supplement rather than in the published article</w:t>
            </w:r>
          </w:p>
        </w:tc>
        <w:tc>
          <w:tcPr>
            <w:tcW w:type="dxa" w:w="4760"/>
            <w:shd w:fill="F1F4F8" w:color="auto" w:val="clear"/>
            <w:tcMar>
              <w:top w:type="dxa" w:w="70"/>
              <w:left w:type="dxa" w:w="110"/>
              <w:bottom w:type="dxa" w:w="70"/>
              <w:right w:type="dxa" w:w="110"/>
            </w:tcMar>
            <w:vAlign w:val="top"/>
          </w:tcPr>
          <w:p>
            <w:pPr>
              <w:spacing w:after="50"/>
            </w:pPr>
            <w:r>
              <w:rPr>
                <w:b/>
                <w:bCs/>
                <w:color w:val="8C2F26"/>
                <w:spacing w:val="12"/>
                <w:sz w:val="14"/>
                <w:szCs w:val="14"/>
              </w:rPr>
              <w:t xml:space="preserve">WHAT THEY DO NOT SAY</w:t>
            </w:r>
          </w:p>
          <w:p>
            <w:pPr>
              <w:pStyle w:val="ListParagraph"/>
              <w:numPr>
                <w:ilvl w:val="0"/>
                <w:numId w:val="2"/>
              </w:numPr>
              <w:spacing w:after="45"/>
            </w:pPr>
            <w:r>
              <w:rPr>
                <w:sz w:val="15"/>
                <w:szCs w:val="15"/>
              </w:rPr>
              <w:t xml:space="preserve">No consensus methodology is described at all: no panel composition beyond the author list, no Delphi or voting process, no agreement threshold, no literature search, no dates, no inclusion criteria and no record of disagreement. A document of 31 graded recommendations gives the reader no way to know how any of them was arrived at.</w:t>
            </w:r>
          </w:p>
          <w:p>
            <w:pPr>
              <w:pStyle w:val="ListParagraph"/>
              <w:numPr>
                <w:ilvl w:val="0"/>
                <w:numId w:val="2"/>
              </w:numPr>
              <w:spacing w:after="45"/>
            </w:pPr>
            <w:r>
              <w:rPr>
                <w:sz w:val="15"/>
                <w:szCs w:val="15"/>
              </w:rPr>
              <w:t xml:space="preserve">The evidence base cannot be audited from the published paper. The full text, the grade definitions and the supplementary tables are all deferred to an online supplement, so every Grade and Class in the four published pages is an unverifiable label.</w:t>
            </w:r>
          </w:p>
          <w:p>
            <w:pPr>
              <w:pStyle w:val="ListParagraph"/>
              <w:numPr>
                <w:ilvl w:val="0"/>
                <w:numId w:val="2"/>
              </w:numPr>
              <w:spacing w:after="45"/>
            </w:pPr>
            <w:r>
              <w:rPr>
                <w:sz w:val="15"/>
                <w:szCs w:val="15"/>
              </w:rPr>
              <w:t xml:space="preserve">Grading uses the Chinese Society of Clinical Oncology recommendation grade and evidence class rather than GRADE, so the grades cannot be set beside the ESMO, ASCO or NCCN statements a tumour board reads alongside them; a Class 2B here is not a GRADE low-quality recommendation.</w:t>
            </w:r>
          </w:p>
          <w:p>
            <w:pPr>
              <w:pStyle w:val="ListParagraph"/>
              <w:numPr>
                <w:ilvl w:val="0"/>
                <w:numId w:val="2"/>
              </w:numPr>
              <w:spacing w:after="45"/>
            </w:pPr>
            <w:r>
              <w:rPr>
                <w:sz w:val="15"/>
                <w:szCs w:val="15"/>
              </w:rPr>
              <w:t xml:space="preserve">The most prescriptive surgical steers carry the weakest grades. Preferring simultaneous resection for synchronous disease and requiring intraoperative ultrasound in every surgical patient are both Grade III, Class 2B - that is, expert opinion - and the randomised and registry evidence on the timing of colorectal and liver resection, including the higher mortality of combined major hepatectomy, is not reconciled anywhere.</w:t>
            </w:r>
          </w:p>
          <w:p>
            <w:pPr>
              <w:pStyle w:val="ListParagraph"/>
              <w:numPr>
                <w:ilvl w:val="0"/>
                <w:numId w:val="2"/>
              </w:numPr>
              <w:spacing w:after="45"/>
            </w:pPr>
            <w:r>
              <w:rPr>
                <w:sz w:val="15"/>
                <w:szCs w:val="15"/>
              </w:rPr>
              <w:t xml:space="preserve">Liver transplantation for unresectable colorectal liver metastases is absent entirely, in a 2025 document published after TransMet, so the question of what to do with a patient whose disease is permanently unresectable but confined to the liver has no answer here.</w:t>
            </w:r>
          </w:p>
          <w:p>
            <w:pPr>
              <w:pStyle w:val="ListParagraph"/>
              <w:numPr>
                <w:ilvl w:val="0"/>
                <w:numId w:val="2"/>
              </w:numPr>
              <w:spacing w:after="45"/>
            </w:pPr>
            <w:r>
              <w:rPr>
                <w:sz w:val="15"/>
                <w:szCs w:val="15"/>
              </w:rPr>
              <w:t xml:space="preserve">The technical thresholds a hepatobiliary surgeon needs are unspecified: adequate residual liver volume is never defined, and two-stage hepatectomy, portal vein embolisation and ALPPS receive no criteria, no volume target and no recommendation.</w:t>
            </w:r>
          </w:p>
          <w:p>
            <w:pPr>
              <w:pStyle w:val="ListParagraph"/>
              <w:numPr>
                <w:ilvl w:val="0"/>
                <w:numId w:val="2"/>
              </w:numPr>
              <w:spacing w:after="45"/>
            </w:pPr>
            <w:r>
              <w:rPr>
                <w:sz w:val="15"/>
                <w:szCs w:val="15"/>
              </w:rPr>
              <w:t xml:space="preserve">Advising caution about adjuvant therapy after resection (Grade III, Class 2B) while recommending neoadjuvant chemotherapy for four or more metastases or a clinical risk score above 2 (Grade II, Class 1B) leaves the perioperative question unresolved: regimen, total duration, and the choice between perioperative and postoperative delivery are not addressed, and EORTC 40983 - the only adequately powered trial in the question - is not reconciled with either recommendation.</w:t>
            </w:r>
          </w:p>
          <w:p>
            <w:pPr>
              <w:pStyle w:val="ListParagraph"/>
              <w:numPr>
                <w:ilvl w:val="0"/>
                <w:numId w:val="2"/>
              </w:numPr>
              <w:spacing w:after="45"/>
            </w:pPr>
            <w:r>
              <w:rPr>
                <w:sz w:val="15"/>
                <w:szCs w:val="15"/>
              </w:rPr>
              <w:t xml:space="preserve">Molecular testing is recommended across five tiers down to POLE/POLD1, tumour mutational burden and PD-L1 at Grade III, Class 2B, with no statement of what action follows a positive result at the weaker tiers, so the testing recommendations outrun the treatment recommendations.</w:t>
            </w:r>
          </w:p>
          <w:p>
            <w:pPr>
              <w:pStyle w:val="ListParagraph"/>
              <w:numPr>
                <w:ilvl w:val="0"/>
                <w:numId w:val="2"/>
              </w:numPr>
              <w:spacing w:after="45"/>
            </w:pPr>
            <w:r>
              <w:rPr>
                <w:sz w:val="15"/>
                <w:szCs w:val="15"/>
              </w:rPr>
              <w:t xml:space="preserve">The headline local-therapy recommendations are given without the data that would let a reader weigh them: chemoembolisation and hepatic infusion chemotherapy are recommended after systemic failure at Grade I, Class 2A, and the combination of interventional and systemic therapy is said to beat either alone, with no effect size, no trial cited in the published text and no mention that the randomised radioembolization trials were negative for survival.</w:t>
            </w:r>
          </w:p>
          <w:p>
            <w:pPr>
              <w:pStyle w:val="ListParagraph"/>
              <w:numPr>
                <w:ilvl w:val="0"/>
                <w:numId w:val="2"/>
              </w:numPr>
              <w:spacing w:after="45"/>
            </w:pPr>
            <w:r>
              <w:rPr>
                <w:sz w:val="15"/>
                <w:szCs w:val="15"/>
              </w:rPr>
              <w:t xml:space="preserve">Stereotactic radiotherapy is recommended for selected patients at Grade II, Class 2A with no dose, no lesion size limit and no acknowledgement that randomised evidence in colorectal liver metastases does not exist.</w:t>
            </w:r>
          </w:p>
          <w:p>
            <w:pPr>
              <w:pStyle w:val="ListParagraph"/>
              <w:numPr>
                <w:ilvl w:val="0"/>
                <w:numId w:val="2"/>
              </w:numPr>
              <w:spacing w:after="45"/>
            </w:pPr>
            <w:r>
              <w:rPr>
                <w:sz w:val="15"/>
                <w:szCs w:val="15"/>
              </w:rPr>
              <w:t xml:space="preserve">The surgical benchmark offered - 48.2% five-year survival after resection of primary and metastases - is the authors' own institutional figure from a single reference, used to frame a national consensus.</w:t>
            </w:r>
          </w:p>
          <w:p>
            <w:pPr>
              <w:pStyle w:val="ListParagraph"/>
              <w:numPr>
                <w:ilvl w:val="0"/>
                <w:numId w:val="2"/>
              </w:numPr>
              <w:spacing w:after="45"/>
            </w:pPr>
            <w:r>
              <w:rPr>
                <w:sz w:val="15"/>
                <w:szCs w:val="15"/>
              </w:rPr>
              <w:t xml:space="preserve">No patient representative, methodologist or statistician is identified among the authors or the 23 acknowledged reviewers, there is no plan or date for updating, and no external review is described.</w:t>
            </w:r>
          </w:p>
          <w:p>
            <w:pPr>
              <w:pStyle w:val="ListParagraph"/>
              <w:numPr>
                <w:ilvl w:val="0"/>
                <w:numId w:val="2"/>
              </w:numPr>
              <w:spacing w:after="45"/>
            </w:pPr>
            <w:r>
              <w:rPr>
                <w:sz w:val="15"/>
                <w:szCs w:val="15"/>
              </w:rPr>
              <w:t xml:space="preserve">The title says 2024 edition while the article was published online on 10 July 2025, so the evidence cut-off is unstated and at least a year behind the publication date.</w:t>
            </w:r>
          </w:p>
          <w:p>
            <w:pPr>
              <w:pStyle w:val="ListParagraph"/>
              <w:numPr>
                <w:ilvl w:val="0"/>
                <w:numId w:val="2"/>
              </w:numPr>
              <w:spacing w:after="45"/>
            </w:pPr>
            <w:r>
              <w:rPr>
                <w:sz w:val="15"/>
                <w:szCs w:val="15"/>
              </w:rPr>
              <w:t xml:space="preserve">No linked editorial or comment on this consensus was found in PubMed, so no independent published critique informs this record.</w:t>
            </w:r>
          </w:p>
        </w:tc>
      </w:tr>
    </w:tbl>
    <w:p>
      <w:pPr>
        <w:spacing w:after="0" w:line="276"/>
      </w:pPr>
      <w:r>
        <w:rPr>
          <w:color w:val="5A6069"/>
          <w:sz w:val="14"/>
          <w:szCs w:val="14"/>
        </w:rPr>
        <w:t xml:space="preserve">Funding: No funding statement appears. Conflicts of interest are declared as 'None' for all authors. The consensus was issued by five branches of the China International Exchange and Promotive Association for Medical and Health Care and led from the Chinese Academy of Medical Sciences Cancer Hospital, with 23 further professors acknowledged as content reviewers</w:t>
      </w:r>
    </w:p>
    <w:p>
      <w:pPr>
        <w:keepNext/>
        <w:spacing w:after="50" w:before="260"/>
      </w:pPr>
      <w:r>
        <w:rPr>
          <w:rFonts w:ascii="Cambria" w:cs="Cambria" w:eastAsia="Cambria" w:hAnsi="Cambria"/>
          <w:b/>
          <w:bCs/>
          <w:color w:val="17365D"/>
          <w:sz w:val="20"/>
          <w:szCs w:val="20"/>
        </w:rPr>
        <w:t xml:space="preserve">CodeBreaK 300</w:t>
      </w:r>
      <w:r>
        <w:rPr>
          <w:b/>
          <w:bCs/>
          <w:color w:val="176A87"/>
          <w:sz w:val="15"/>
          <w:szCs w:val="15"/>
        </w:rPr>
        <w:t xml:space="preserve">   Randomised trial</w:t>
      </w:r>
      <w:r>
        <w:rPr>
          <w:color w:val="5A6069"/>
          <w:sz w:val="15"/>
          <w:szCs w:val="15"/>
        </w:rPr>
        <w:t xml:space="preserve">   PMID 37870968</w:t>
      </w:r>
    </w:p>
    <w:p>
      <w:pPr>
        <w:spacing w:after="50" w:line="276"/>
      </w:pPr>
      <w:r>
        <w:rPr>
          <w:color w:val="5A6069"/>
          <w:sz w:val="17"/>
          <w:szCs w:val="17"/>
        </w:rPr>
        <w:t xml:space="preserve">Sotorasib plus Panitumumab in Refractory Colorectal Cancer with Mutated KRAS G12C</w:t>
      </w:r>
    </w:p>
    <w:p>
      <w:pPr>
        <w:spacing w:after="50"/>
      </w:pPr>
      <w:r>
        <w:rPr>
          <w:b/>
          <w:bCs/>
          <w:color w:val="176A87"/>
          <w:sz w:val="16"/>
          <w:szCs w:val="16"/>
        </w:rPr>
        <w:t xml:space="preserve">Population. </w:t>
      </w:r>
      <w:r>
        <w:rPr>
          <w:sz w:val="16"/>
          <w:szCs w:val="16"/>
        </w:rPr>
        <w:t xml:space="preserve">160 patients with chemorefractory KRAS G12C-mutated metastatic colorectal cancer randomised 1:1:1 at 76 sites in 12 countries (53 to 960-mg sotorasib plus panitumumab, 53 to 240-mg, 54 to investigator's choice of trifluridine-tipiracil or regorafenib), from 219 screened; 55 of 160 (34.4%) had died at the data cut-off and median follow-up was 7.8 months</w:t>
      </w:r>
    </w:p>
    <w:p>
      <w:pPr>
        <w:spacing w:after="70"/>
      </w:pPr>
      <w:r>
        <w:rPr>
          <w:b/>
          <w:bCs/>
          <w:color w:val="17365D"/>
          <w:sz w:val="16"/>
          <w:szCs w:val="16"/>
        </w:rPr>
        <w:t xml:space="preserve">Bottom line. </w:t>
      </w:r>
      <w:r>
        <w:rPr>
          <w:sz w:val="16"/>
          <w:szCs w:val="16"/>
        </w:rPr>
        <w:t xml:space="preserve">Shows that in chemorefractory KRAS G12C-mutant colorectal cancer, sotorasib 960 mg plus panitumumab roughly doubles centrally reviewed progression-free survival over trifluridine-tipiracil or regorafenib monotherapy (5.6 vs 2.0 months) and produces responses where the control arm produces none, with tolerable and familiar toxicity. It does not show patients live longer: the trial was designed without the power to test survival, spent an alpha of 0.0001 on it, and its authors concede the planned final analysis will not be adequately powered either. The 240-mg comparison missed its own prespecified boundary (p=0.036 against 0.03125) yet is reported as significant, responses lasted a median 4.4 months, and the comparator was already outdated by publication.</w:t>
      </w:r>
    </w:p>
    <w:tbl>
      <w:tblPr>
        <w:tblW w:type="dxa" w:w="9360"/>
        <w:tblBorders>
          <w:top w:val="single" w:color="D3DCE4" w:sz="4"/>
          <w:left w:val="single" w:color="D3DCE4" w:sz="4"/>
          <w:bottom w:val="single" w:color="D3DCE4" w:sz="4"/>
          <w:right w:val="single" w:color="D3DCE4" w:sz="4"/>
          <w:insideH w:val="single" w:color="D3DCE4" w:sz="4"/>
          <w:insideV w:val="single" w:color="D3DCE4" w:sz="4"/>
        </w:tblBorders>
      </w:tblPr>
      <w:tblGrid>
        <w:gridCol w:w="4600"/>
        <w:gridCol w:w="4760"/>
      </w:tblGrid>
      <w:tr>
        <w:tc>
          <w:tcPr>
            <w:tcW w:type="dxa" w:w="4600"/>
            <w:shd w:fill="F1F4F8" w:color="auto" w:val="clear"/>
            <w:tcMar>
              <w:top w:type="dxa" w:w="70"/>
              <w:left w:type="dxa" w:w="110"/>
              <w:bottom w:type="dxa" w:w="70"/>
              <w:right w:type="dxa" w:w="110"/>
            </w:tcMar>
            <w:vAlign w:val="top"/>
          </w:tcPr>
          <w:p>
            <w:pPr>
              <w:spacing w:after="50"/>
            </w:pPr>
            <w:r>
              <w:rPr>
                <w:b/>
                <w:bCs/>
                <w:color w:val="8E5008"/>
                <w:spacing w:val="12"/>
                <w:sz w:val="14"/>
                <w:szCs w:val="14"/>
              </w:rPr>
              <w:t xml:space="preserve">LIMITATIONS THE AUTHORS STATE</w:t>
            </w:r>
          </w:p>
          <w:p>
            <w:pPr>
              <w:pStyle w:val="ListParagraph"/>
              <w:numPr>
                <w:ilvl w:val="0"/>
                <w:numId w:val="2"/>
              </w:numPr>
              <w:spacing w:after="45"/>
            </w:pPr>
            <w:r>
              <w:rPr>
                <w:sz w:val="15"/>
                <w:szCs w:val="15"/>
              </w:rPr>
              <w:t xml:space="preserve">The trial was neither designed nor powered to detect a difference in overall survival, because of the low prevalence of KRAS G12C in colorectal cancer; the authors state overall survival data are maturing and longer follow-up is needed</w:t>
            </w:r>
          </w:p>
          <w:p>
            <w:pPr>
              <w:pStyle w:val="ListParagraph"/>
              <w:numPr>
                <w:ilvl w:val="0"/>
                <w:numId w:val="2"/>
              </w:numPr>
              <w:spacing w:after="45"/>
            </w:pPr>
            <w:r>
              <w:rPr>
                <w:sz w:val="15"/>
                <w:szCs w:val="15"/>
              </w:rPr>
              <w:t xml:space="preserve">The authors state that even the planned final overall survival analysis, at about 80 deaths, will not provide sufficient power to detect the hypothesised survival difference under the trial's sample size</w:t>
            </w:r>
          </w:p>
          <w:p>
            <w:pPr>
              <w:pStyle w:val="ListParagraph"/>
              <w:numPr>
                <w:ilvl w:val="0"/>
                <w:numId w:val="2"/>
              </w:numPr>
              <w:spacing w:after="45"/>
            </w:pPr>
            <w:r>
              <w:rPr>
                <w:sz w:val="15"/>
                <w:szCs w:val="15"/>
              </w:rPr>
              <w:t xml:space="preserve">The trial was not powered to compare the 960-mg and 240-mg sotorasib groups with each other, although the paper concludes in favour of the 960-mg dose</w:t>
            </w:r>
          </w:p>
          <w:p>
            <w:pPr>
              <w:pStyle w:val="ListParagraph"/>
              <w:numPr>
                <w:ilvl w:val="0"/>
                <w:numId w:val="2"/>
              </w:numPr>
              <w:spacing w:after="45"/>
            </w:pPr>
            <w:r>
              <w:rPr>
                <w:sz w:val="15"/>
                <w:szCs w:val="15"/>
              </w:rPr>
              <w:t xml:space="preserve">Objective response was not formally assessed, as it sat last in the hierarchical testing sequence behind overall survival</w:t>
            </w:r>
          </w:p>
          <w:p>
            <w:pPr>
              <w:pStyle w:val="ListParagraph"/>
              <w:numPr>
                <w:ilvl w:val="0"/>
                <w:numId w:val="2"/>
              </w:numPr>
              <w:spacing w:after="45"/>
            </w:pPr>
            <w:r>
              <w:rPr>
                <w:sz w:val="15"/>
                <w:szCs w:val="15"/>
              </w:rPr>
              <w:t xml:space="preserve">The population was composed primarily of White and Asian patients, with one Black patient enrolled</w:t>
            </w:r>
          </w:p>
          <w:p>
            <w:pPr>
              <w:pStyle w:val="ListParagraph"/>
              <w:numPr>
                <w:ilvl w:val="0"/>
                <w:numId w:val="2"/>
              </w:numPr>
              <w:spacing w:after="45"/>
            </w:pPr>
            <w:r>
              <w:rPr>
                <w:sz w:val="15"/>
                <w:szCs w:val="15"/>
              </w:rPr>
              <w:t xml:space="preserve">The authors acknowledge the control regimens have been superseded: SUNLIGHT (trifluridine-tipiracil plus bevacizumab) and FRESCO-2 (fruquintinib) have since shown survival benefit over the monotherapies used as standard care here</w:t>
            </w:r>
          </w:p>
        </w:tc>
        <w:tc>
          <w:tcPr>
            <w:tcW w:type="dxa" w:w="4760"/>
            <w:shd w:fill="F1F4F8" w:color="auto" w:val="clear"/>
            <w:tcMar>
              <w:top w:type="dxa" w:w="70"/>
              <w:left w:type="dxa" w:w="110"/>
              <w:bottom w:type="dxa" w:w="70"/>
              <w:right w:type="dxa" w:w="110"/>
            </w:tcMar>
            <w:vAlign w:val="top"/>
          </w:tcPr>
          <w:p>
            <w:pPr>
              <w:spacing w:after="50"/>
            </w:pPr>
            <w:r>
              <w:rPr>
                <w:b/>
                <w:bCs/>
                <w:color w:val="8C2F26"/>
                <w:spacing w:val="12"/>
                <w:sz w:val="14"/>
                <w:szCs w:val="14"/>
              </w:rPr>
              <w:t xml:space="preserve">WHAT THEY DO NOT SAY</w:t>
            </w:r>
          </w:p>
          <w:p>
            <w:pPr>
              <w:pStyle w:val="ListParagraph"/>
              <w:numPr>
                <w:ilvl w:val="0"/>
                <w:numId w:val="2"/>
              </w:numPr>
              <w:spacing w:after="45"/>
            </w:pPr>
            <w:r>
              <w:rPr>
                <w:sz w:val="15"/>
                <w:szCs w:val="15"/>
              </w:rPr>
              <w:t xml:space="preserve">The 240-mg comparison does not meet the trial's own significance boundary. Table 2 states the boundary for 240-mg sotorasib-panitumumab versus standard care as 0.03125, and the observed p value is 0.036. The Discussion nonetheless reports that sotorasib at 960 mg or 240 mg resulted in significantly longer progression-free survival, and the dose-comparison argument is built on top of a comparison that formally failed.</w:t>
            </w:r>
          </w:p>
          <w:p>
            <w:pPr>
              <w:pStyle w:val="ListParagraph"/>
              <w:numPr>
                <w:ilvl w:val="0"/>
                <w:numId w:val="2"/>
              </w:numPr>
              <w:spacing w:after="45"/>
            </w:pPr>
            <w:r>
              <w:rPr>
                <w:sz w:val="15"/>
                <w:szCs w:val="15"/>
              </w:rPr>
              <w:t xml:space="preserve">At this interim the alpha available for overall survival was 0.0001, so the reported survival hazard ratios (0.77, 95% CI 0.40-1.45 and 0.91, 0.48-1.71) are uninterpretable as evidence either way, and by the same hierarchical plan the response rate - 26.4% versus 0%, the number the abstract leads with - could not be formally tested at all.</w:t>
            </w:r>
          </w:p>
          <w:p>
            <w:pPr>
              <w:pStyle w:val="ListParagraph"/>
              <w:numPr>
                <w:ilvl w:val="0"/>
                <w:numId w:val="2"/>
              </w:numPr>
              <w:spacing w:after="45"/>
            </w:pPr>
            <w:r>
              <w:rPr>
                <w:sz w:val="15"/>
                <w:szCs w:val="15"/>
              </w:rPr>
              <w:t xml:space="preserve">Missing tumour assessments are concentrated in the control arm: 11 of 54 (20.4%) standard-care patients were never assessed, against 2 of 53 (3.8%) and 1 of 53 (1.9%) in the sotorasib arms. In an open-label trial whose primary endpoint is centrally reviewed progression, differential early dropout shortens apparent control-arm progression-free survival, and no sensitivity analysis for informative censoring is reported.</w:t>
            </w:r>
          </w:p>
          <w:p>
            <w:pPr>
              <w:pStyle w:val="ListParagraph"/>
              <w:numPr>
                <w:ilvl w:val="0"/>
                <w:numId w:val="2"/>
              </w:numPr>
              <w:spacing w:after="45"/>
            </w:pPr>
            <w:r>
              <w:rPr>
                <w:sz w:val="15"/>
                <w:szCs w:val="15"/>
              </w:rPr>
              <w:t xml:space="preserve">Median duration of response in the only arm with responses was 4.4 months (95% CI 3.6 to not reached) and was not estimable in the others. The brevity of the benefit is in Table 2 and absent from the conclusions and abstract.</w:t>
            </w:r>
          </w:p>
          <w:p>
            <w:pPr>
              <w:pStyle w:val="ListParagraph"/>
              <w:numPr>
                <w:ilvl w:val="0"/>
                <w:numId w:val="2"/>
              </w:numPr>
              <w:spacing w:after="45"/>
            </w:pPr>
            <w:r>
              <w:rPr>
                <w:sz w:val="15"/>
                <w:szCs w:val="15"/>
              </w:rPr>
              <w:t xml:space="preserve">The trial was powered assuming a hazard ratio of 0.4 for progression or death and observed 0.48 with a 95% CI of 0.30 to 0.78 on roughly 90 events in 160 patients at 7.8 months median follow-up, so the point estimate is the smaller end of what was planned for and the medians rest on short follow-up with few patients at risk beyond six months.</w:t>
            </w:r>
          </w:p>
          <w:p>
            <w:pPr>
              <w:pStyle w:val="ListParagraph"/>
              <w:numPr>
                <w:ilvl w:val="0"/>
                <w:numId w:val="2"/>
              </w:numPr>
              <w:spacing w:after="45"/>
            </w:pPr>
            <w:r>
              <w:rPr>
                <w:sz w:val="15"/>
                <w:szCs w:val="15"/>
              </w:rPr>
              <w:t xml:space="preserve">Right-sided primaries were unevenly distributed - 45.3% of the 960-mg arm against 29.6% of the standard-care arm - and sidedness was not a stratification factor, in a disease where it is strongly prognostic and predictive of EGFR-antibody benefit. The paper reports sidedness only as a subgroup of the experimental arm.</w:t>
            </w:r>
          </w:p>
          <w:p>
            <w:pPr>
              <w:pStyle w:val="ListParagraph"/>
              <w:numPr>
                <w:ilvl w:val="0"/>
                <w:numId w:val="2"/>
              </w:numPr>
              <w:spacing w:after="45"/>
            </w:pPr>
            <w:r>
              <w:rPr>
                <w:sz w:val="15"/>
                <w:szCs w:val="15"/>
              </w:rPr>
              <w:t xml:space="preserve">No crossover from standard care to sotorasib is described and no post-progression therapy is reported for either arm, which makes the survival endpoint the trial says it will eventually test uninterpretable before it is run.</w:t>
            </w:r>
          </w:p>
          <w:p>
            <w:pPr>
              <w:pStyle w:val="ListParagraph"/>
              <w:numPr>
                <w:ilvl w:val="0"/>
                <w:numId w:val="2"/>
              </w:numPr>
              <w:spacing w:after="45"/>
            </w:pPr>
            <w:r>
              <w:rPr>
                <w:sz w:val="15"/>
                <w:szCs w:val="15"/>
              </w:rPr>
              <w:t xml:space="preserve">No patient-reported outcome or quality-of-life result appears anywhere, yet the Discussion argues the response rate matters because of the 'greater potential to relieve tumour-related symptoms' in late-line disease. The claim is made without the data that would support it.</w:t>
            </w:r>
          </w:p>
          <w:p>
            <w:pPr>
              <w:pStyle w:val="ListParagraph"/>
              <w:numPr>
                <w:ilvl w:val="0"/>
                <w:numId w:val="2"/>
              </w:numPr>
              <w:spacing w:after="45"/>
            </w:pPr>
            <w:r>
              <w:rPr>
                <w:sz w:val="15"/>
                <w:szCs w:val="15"/>
              </w:rPr>
              <w:t xml:space="preserve">Every stage of the trial ran through the manufacturer of the experimental drug: Amgen designed it, its employees analysed the data and performed the pharmacokinetic and safety analyses, its funded writers produced the first draft, and it took part in the decision to publish. Four authors are Amgen employees. The authors' attestation of data accuracy does not substitute for independent analysis.</w:t>
            </w:r>
          </w:p>
          <w:p>
            <w:pPr>
              <w:pStyle w:val="ListParagraph"/>
              <w:numPr>
                <w:ilvl w:val="0"/>
                <w:numId w:val="2"/>
              </w:numPr>
              <w:spacing w:after="45"/>
            </w:pPr>
            <w:r>
              <w:rPr>
                <w:sz w:val="15"/>
                <w:szCs w:val="15"/>
              </w:rPr>
              <w:t xml:space="preserve">Of 219 patients screened, 59 were not randomised and the paper gives no breakdown of why, on top of the prospective central molecular selection that reduces the eligible population to the 3 to 4% of colorectal cancers carrying KRAS G12C, so the trial population is remote from a general clinic and the paper quantifies neither step.</w:t>
            </w:r>
          </w:p>
          <w:p>
            <w:pPr>
              <w:pStyle w:val="ListParagraph"/>
              <w:numPr>
                <w:ilvl w:val="0"/>
                <w:numId w:val="2"/>
              </w:numPr>
              <w:spacing w:after="45"/>
            </w:pPr>
            <w:r>
              <w:rPr>
                <w:sz w:val="15"/>
                <w:szCs w:val="15"/>
              </w:rPr>
              <w:t xml:space="preserve">For this depot's purposes the paper contains no local-therapy outcome at all: no resection, ablation or conversion is reported, and the liver-metastasis subgroup hazard ratio of 0.35 (95% CI 0.20-0.61) comes from an unpowered subgroup forest with no multiplicity control, in patients with progression-free survival measured in months.</w:t>
            </w:r>
          </w:p>
          <w:p>
            <w:pPr>
              <w:pStyle w:val="ListParagraph"/>
              <w:numPr>
                <w:ilvl w:val="0"/>
                <w:numId w:val="2"/>
              </w:numPr>
              <w:spacing w:after="45"/>
            </w:pPr>
            <w:r>
              <w:rPr>
                <w:sz w:val="15"/>
                <w:szCs w:val="15"/>
              </w:rPr>
              <w:t xml:space="preserve">A linked correspondence (PMID 38986067, Fojo, N Engl J Med 2024;391:186-7) with an authors' reply (PMID 38986068) was identified in PubMed but its text was not available here, so its objections are not reflected in this record.</w:t>
            </w:r>
          </w:p>
        </w:tc>
      </w:tr>
    </w:tbl>
    <w:p>
      <w:pPr>
        <w:spacing w:after="0" w:line="276"/>
      </w:pPr>
      <w:r>
        <w:rPr>
          <w:color w:val="5A6069"/>
          <w:sz w:val="14"/>
          <w:szCs w:val="14"/>
        </w:rPr>
        <w:t xml:space="preserve">Funding: Funded by Amgen, which makes sotorasib. Amgen designed the trial, oversaw data collection, analysed the data through its own statisticians, performed the pharmacokinetic and safety analyses, funded the medical writers who produced the first draft, and was involved in the decision to submit; four co-authors are Amgen employees</w:t>
      </w:r>
    </w:p>
    <w:p>
      <w:pPr>
        <w:keepNext/>
        <w:spacing w:after="50" w:before="260"/>
      </w:pPr>
      <w:r>
        <w:rPr>
          <w:rFonts w:ascii="Cambria" w:cs="Cambria" w:eastAsia="Cambria" w:hAnsi="Cambria"/>
          <w:b/>
          <w:bCs/>
          <w:color w:val="17365D"/>
          <w:sz w:val="20"/>
          <w:szCs w:val="20"/>
        </w:rPr>
        <w:t xml:space="preserve">COLLISION</w:t>
      </w:r>
      <w:r>
        <w:rPr>
          <w:b/>
          <w:bCs/>
          <w:color w:val="176A87"/>
          <w:sz w:val="15"/>
          <w:szCs w:val="15"/>
        </w:rPr>
        <w:t xml:space="preserve">   Randomised trial</w:t>
      </w:r>
      <w:r>
        <w:rPr>
          <w:color w:val="5A6069"/>
          <w:sz w:val="15"/>
          <w:szCs w:val="15"/>
        </w:rPr>
        <w:t xml:space="preserve">   PMID 39848272</w:t>
      </w:r>
    </w:p>
    <w:p>
      <w:pPr>
        <w:spacing w:after="50" w:line="276"/>
      </w:pPr>
      <w:r>
        <w:rPr>
          <w:color w:val="5A6069"/>
          <w:sz w:val="17"/>
          <w:szCs w:val="17"/>
        </w:rPr>
        <w:t xml:space="preserve">Thermal ablation versus surgical resection of small-size colorectal liver metastases (COLLISION): an international, randomised, controlled, phase 3 non-inferiority trial</w:t>
      </w:r>
    </w:p>
    <w:p>
      <w:pPr>
        <w:spacing w:after="50"/>
      </w:pPr>
      <w:r>
        <w:rPr>
          <w:b/>
          <w:bCs/>
          <w:color w:val="176A87"/>
          <w:sz w:val="16"/>
          <w:szCs w:val="16"/>
        </w:rPr>
        <w:t xml:space="preserve">Population. </w:t>
      </w:r>
      <w:r>
        <w:rPr>
          <w:sz w:val="16"/>
          <w:szCs w:val="16"/>
        </w:rPr>
        <w:t xml:space="preserve">300 patients randomly assigned (148 thermal ablation, 148 resection after four post-randomisation exclusions for non-colorectal pathology), drawn from 448 assessed by the central review panel and 342 enrolled; 48% of the planned sample size of 618</w:t>
      </w:r>
    </w:p>
    <w:p>
      <w:pPr>
        <w:spacing w:after="70"/>
      </w:pPr>
      <w:r>
        <w:rPr>
          <w:b/>
          <w:bCs/>
          <w:color w:val="17365D"/>
          <w:sz w:val="16"/>
          <w:szCs w:val="16"/>
        </w:rPr>
        <w:t xml:space="preserve">Bottom line. </w:t>
      </w:r>
      <w:r>
        <w:rPr>
          <w:sz w:val="16"/>
          <w:szCs w:val="16"/>
        </w:rPr>
        <w:t xml:space="preserve">Shows that in centrally vetted patients with one to ten colorectal liver metastases of 3 cm or less, thermal ablation carries far less morbidity than resection (adverse events 19% vs 46%, no treatment-related deaths vs three, median stay 1 vs 4 days) with no detectable survival difference at 28.9 months of follow-up. It does not establish non-inferiority of overall survival: accrual stopped at 48% of the planned 618 patients on a projected conditional power of 90.5%, and the observed HR of 1.05 has a 95% CI (0.69-1.58) whose upper bound crosses the 1.30 margin. Because roughly a third of each arm also received the other modality for non-target lesions, what the trial compared is two mixed local-treatment strategies rather than ablation against resection.</w:t>
      </w:r>
    </w:p>
    <w:tbl>
      <w:tblPr>
        <w:tblW w:type="dxa" w:w="9360"/>
        <w:tblBorders>
          <w:top w:val="single" w:color="D3DCE4" w:sz="4"/>
          <w:left w:val="single" w:color="D3DCE4" w:sz="4"/>
          <w:bottom w:val="single" w:color="D3DCE4" w:sz="4"/>
          <w:right w:val="single" w:color="D3DCE4" w:sz="4"/>
          <w:insideH w:val="single" w:color="D3DCE4" w:sz="4"/>
          <w:insideV w:val="single" w:color="D3DCE4" w:sz="4"/>
        </w:tblBorders>
      </w:tblPr>
      <w:tblGrid>
        <w:gridCol w:w="4600"/>
        <w:gridCol w:w="4760"/>
      </w:tblGrid>
      <w:tr>
        <w:tc>
          <w:tcPr>
            <w:tcW w:type="dxa" w:w="4600"/>
            <w:shd w:fill="F1F4F8" w:color="auto" w:val="clear"/>
            <w:tcMar>
              <w:top w:type="dxa" w:w="70"/>
              <w:left w:type="dxa" w:w="110"/>
              <w:bottom w:type="dxa" w:w="70"/>
              <w:right w:type="dxa" w:w="110"/>
            </w:tcMar>
            <w:vAlign w:val="top"/>
          </w:tcPr>
          <w:p>
            <w:pPr>
              <w:spacing w:after="50"/>
            </w:pPr>
            <w:r>
              <w:rPr>
                <w:b/>
                <w:bCs/>
                <w:color w:val="8E5008"/>
                <w:spacing w:val="12"/>
                <w:sz w:val="14"/>
                <w:szCs w:val="14"/>
              </w:rPr>
              <w:t xml:space="preserve">LIMITATIONS THE AUTHORS STATE</w:t>
            </w:r>
          </w:p>
          <w:p>
            <w:pPr>
              <w:pStyle w:val="ListParagraph"/>
              <w:numPr>
                <w:ilvl w:val="0"/>
                <w:numId w:val="2"/>
              </w:numPr>
              <w:spacing w:after="45"/>
            </w:pPr>
            <w:r>
              <w:rPr>
                <w:sz w:val="15"/>
                <w:szCs w:val="15"/>
              </w:rPr>
              <w:t xml:space="preserve">Early cessation of accrual on the predefined stopping criteria makes it more difficult to draw definitive conclusions on non-inferiority for overall survival, specifically in the under-represented intermediate (n=91) and high (n=21) disease burden subgroups</w:t>
            </w:r>
          </w:p>
          <w:p>
            <w:pPr>
              <w:pStyle w:val="ListParagraph"/>
              <w:numPr>
                <w:ilvl w:val="0"/>
                <w:numId w:val="2"/>
              </w:numPr>
              <w:spacing w:after="45"/>
            </w:pPr>
            <w:r>
              <w:rPr>
                <w:sz w:val="15"/>
                <w:szCs w:val="15"/>
              </w:rPr>
              <w:t xml:space="preserve">Whether a subset of patients might have benefited more from surgical resection than from thermal ablation remains unclear</w:t>
            </w:r>
          </w:p>
          <w:p>
            <w:pPr>
              <w:pStyle w:val="ListParagraph"/>
              <w:numPr>
                <w:ilvl w:val="0"/>
                <w:numId w:val="2"/>
              </w:numPr>
              <w:spacing w:after="45"/>
            </w:pPr>
            <w:r>
              <w:rPr>
                <w:sz w:val="15"/>
                <w:szCs w:val="15"/>
              </w:rPr>
              <w:t xml:space="preserve">Including patients with both few and many metastases, and allowing resection of non-ablatable lesions and ablation of non-resectable lesions, might have influenced outcomes in some subgroups, potentially obscured by the broad inclusion criteria</w:t>
            </w:r>
          </w:p>
          <w:p>
            <w:pPr>
              <w:pStyle w:val="ListParagraph"/>
              <w:numPr>
                <w:ilvl w:val="0"/>
                <w:numId w:val="2"/>
              </w:numPr>
              <w:spacing w:after="45"/>
            </w:pPr>
            <w:r>
              <w:rPr>
                <w:sz w:val="15"/>
                <w:szCs w:val="15"/>
              </w:rPr>
              <w:t xml:space="preserve">The study was not powered to compare ablation approaches (percutaneous 57%, laparoscopic 7%, open 37%) or ablation alone against ablation plus resection (27 patients, 18%), either of which could have influenced overall outcomes</w:t>
            </w:r>
          </w:p>
          <w:p>
            <w:pPr>
              <w:pStyle w:val="ListParagraph"/>
              <w:numPr>
                <w:ilvl w:val="0"/>
                <w:numId w:val="2"/>
              </w:numPr>
              <w:spacing w:after="45"/>
            </w:pPr>
            <w:r>
              <w:rPr>
                <w:sz w:val="15"/>
                <w:szCs w:val="15"/>
              </w:rPr>
              <w:t xml:space="preserve">The April 2021 amendment excluding solitary deep-seated metastases requiring major hepatectomy likely reduced the number of eligible candidates and potentially affected outcomes in the control group</w:t>
            </w:r>
          </w:p>
          <w:p>
            <w:pPr>
              <w:pStyle w:val="ListParagraph"/>
              <w:numPr>
                <w:ilvl w:val="0"/>
                <w:numId w:val="2"/>
              </w:numPr>
              <w:spacing w:after="45"/>
            </w:pPr>
            <w:r>
              <w:rPr>
                <w:sz w:val="15"/>
                <w:szCs w:val="15"/>
              </w:rPr>
              <w:t xml:space="preserve">Procedures were done in dedicated high-volume centres by experienced operators, so the results cannot be automatically generalised to centres with less experience</w:t>
            </w:r>
          </w:p>
          <w:p>
            <w:pPr>
              <w:pStyle w:val="ListParagraph"/>
              <w:numPr>
                <w:ilvl w:val="0"/>
                <w:numId w:val="2"/>
              </w:numPr>
              <w:spacing w:after="45"/>
            </w:pPr>
            <w:r>
              <w:rPr>
                <w:sz w:val="15"/>
                <w:szCs w:val="15"/>
              </w:rPr>
              <w:t xml:space="preserve">Induction chemotherapy, although evenly distributed between groups (20% vs 24%), might have affected oncological outcomes, particularly in comparison with other geographical regions</w:t>
            </w:r>
          </w:p>
        </w:tc>
        <w:tc>
          <w:tcPr>
            <w:tcW w:type="dxa" w:w="4760"/>
            <w:shd w:fill="F1F4F8" w:color="auto" w:val="clear"/>
            <w:tcMar>
              <w:top w:type="dxa" w:w="70"/>
              <w:left w:type="dxa" w:w="110"/>
              <w:bottom w:type="dxa" w:w="70"/>
              <w:right w:type="dxa" w:w="110"/>
            </w:tcMar>
            <w:vAlign w:val="top"/>
          </w:tcPr>
          <w:p>
            <w:pPr>
              <w:spacing w:after="50"/>
            </w:pPr>
            <w:r>
              <w:rPr>
                <w:b/>
                <w:bCs/>
                <w:color w:val="8C2F26"/>
                <w:spacing w:val="12"/>
                <w:sz w:val="14"/>
                <w:szCs w:val="14"/>
              </w:rPr>
              <w:t xml:space="preserve">WHAT THEY DO NOT SAY</w:t>
            </w:r>
          </w:p>
          <w:p>
            <w:pPr>
              <w:pStyle w:val="ListParagraph"/>
              <w:numPr>
                <w:ilvl w:val="0"/>
                <w:numId w:val="2"/>
              </w:numPr>
              <w:spacing w:after="45"/>
            </w:pPr>
            <w:r>
              <w:rPr>
                <w:sz w:val="15"/>
                <w:szCs w:val="15"/>
              </w:rPr>
              <w:t xml:space="preserve">The trial claims a high likelihood of non-inferiority on a projected conditional power of 90.5% rather than on the data: the observed overall survival HR is 1.05 with a 95% CI of 0.69-1.58, and the upper bound exceeds the prespecified non-inferiority limit of 1.30, so by the trial's own criterion non-inferiority was not demonstrated. The paper nowhere states this.</w:t>
            </w:r>
          </w:p>
          <w:p>
            <w:pPr>
              <w:pStyle w:val="ListParagraph"/>
              <w:numPr>
                <w:ilvl w:val="0"/>
                <w:numId w:val="2"/>
              </w:numPr>
              <w:spacing w:after="45"/>
            </w:pPr>
            <w:r>
              <w:rPr>
                <w:sz w:val="15"/>
                <w:szCs w:val="15"/>
              </w:rPr>
              <w:t xml:space="preserve">The conditional power figure is explicitly calculated assuming six more years of recruitment at the observed accrual rate; a projection about a trial that was then stopped is presented in the abstract and Interpretation as the trial's finding.</w:t>
            </w:r>
          </w:p>
          <w:p>
            <w:pPr>
              <w:pStyle w:val="ListParagraph"/>
              <w:numPr>
                <w:ilvl w:val="0"/>
                <w:numId w:val="2"/>
              </w:numPr>
              <w:spacing w:after="45"/>
            </w:pPr>
            <w:r>
              <w:rPr>
                <w:sz w:val="15"/>
                <w:szCs w:val="15"/>
              </w:rPr>
              <w:t xml:space="preserve">The two arms were heavily cross-contaminated. Only 90 of 148 control patients (61%) had resection alone and 118 of 148 (80%) ablation alone: 27 ablation-arm patients (18%) also had a lesion resected and 52 resection-arm patients (35%) also had a lesion ablated. What was compared is two mixed local-treatment strategies, not ablation against resection.</w:t>
            </w:r>
          </w:p>
          <w:p>
            <w:pPr>
              <w:pStyle w:val="ListParagraph"/>
              <w:numPr>
                <w:ilvl w:val="0"/>
                <w:numId w:val="2"/>
              </w:numPr>
              <w:spacing w:after="45"/>
            </w:pPr>
            <w:r>
              <w:rPr>
                <w:sz w:val="15"/>
                <w:szCs w:val="15"/>
              </w:rPr>
              <w:t xml:space="preserve">Thirty-six percent of ablations were open and only 57% percutaneous, with general anaesthesia in 76% of the ablation arm, so the headline safety and length-of-stay advantages cannot be attributed to the ablation modality itself; the per-approach sensitivity analysis sits in the appendix and the trial admits it was not powered for it.</w:t>
            </w:r>
          </w:p>
          <w:p>
            <w:pPr>
              <w:pStyle w:val="ListParagraph"/>
              <w:numPr>
                <w:ilvl w:val="0"/>
                <w:numId w:val="2"/>
              </w:numPr>
              <w:spacing w:after="45"/>
            </w:pPr>
            <w:r>
              <w:rPr>
                <w:sz w:val="15"/>
                <w:szCs w:val="15"/>
              </w:rPr>
              <w:t xml:space="preserve">The superior per-tumour local control (HR 0.09, 95% CI 0.01-0.74) is generated by differential retreatment, not differential tumour control. Raw local progression was almost identical (ablation 18 of 148 patients and 25 of 349 target tumours; resection 21 of 148 and 24 of 304), but 16 of 18 progressing ablation patients were retreated versus 7 of 22 in the resection arm, with 15 resection patients carrying 17 untreated progressed tumours. The endpoint is defined as recurrence not retreated, so it measures how willing clinicians were to re-treat.</w:t>
            </w:r>
          </w:p>
          <w:p>
            <w:pPr>
              <w:pStyle w:val="ListParagraph"/>
              <w:numPr>
                <w:ilvl w:val="0"/>
                <w:numId w:val="2"/>
              </w:numPr>
              <w:spacing w:after="45"/>
            </w:pPr>
            <w:r>
              <w:rPr>
                <w:sz w:val="15"/>
                <w:szCs w:val="15"/>
              </w:rPr>
              <w:t xml:space="preserve">Per-tumour analyses treat 349 and 304 tumours as independent observations without any clustering by patient, which overstates precision; the per-tumour local control estimate rests on very few events and has a CI spanning an order of magnitude (0.01-0.74).</w:t>
            </w:r>
          </w:p>
          <w:p>
            <w:pPr>
              <w:pStyle w:val="ListParagraph"/>
              <w:numPr>
                <w:ilvl w:val="0"/>
                <w:numId w:val="2"/>
              </w:numPr>
              <w:spacing w:after="45"/>
            </w:pPr>
            <w:r>
              <w:rPr>
                <w:sz w:val="15"/>
                <w:szCs w:val="15"/>
              </w:rPr>
              <w:t xml:space="preserve">Baseline imbalances are tabulated but adjustment was only for centre and disease burden. The ablation arm was less fit (ASA 3 in 46 of 148, 31%, vs 27 of 148, 18%; Charlson intermediate 26, 18%, vs 4, 3%) while the resection arm was more node-positive (N0 in 33, 22%, vs 55, 37%). No multivariable model reconciles the two directions.</w:t>
            </w:r>
          </w:p>
          <w:p>
            <w:pPr>
              <w:pStyle w:val="ListParagraph"/>
              <w:numPr>
                <w:ilvl w:val="0"/>
                <w:numId w:val="2"/>
              </w:numPr>
              <w:spacing w:after="45"/>
            </w:pPr>
            <w:r>
              <w:rPr>
                <w:sz w:val="15"/>
                <w:szCs w:val="15"/>
              </w:rPr>
              <w:t xml:space="preserve">Molecular data are missing for most patients (RAS missing in 101 and 97, BRAF in 102 and 97, MSI in 50 and 4), yet the figure 3 forest plot reports RAS, BRAF and MSI subgroup hazard ratios as though the whole cohort contributed.</w:t>
            </w:r>
          </w:p>
          <w:p>
            <w:pPr>
              <w:pStyle w:val="ListParagraph"/>
              <w:numPr>
                <w:ilvl w:val="0"/>
                <w:numId w:val="2"/>
              </w:numPr>
              <w:spacing w:after="45"/>
            </w:pPr>
            <w:r>
              <w:rPr>
                <w:sz w:val="15"/>
                <w:szCs w:val="15"/>
              </w:rPr>
              <w:t xml:space="preserve">Figure 3 presents 35 univariate subgroup hazard ratios with no correction for multiplicity, and at least two are internally impossible as printed (male sex 0.14, 95% CI 0.70-1.87; left-sided primary 1.31, 95% CI 1.66-2.60), so the subgroup panel used to claim consistency cannot be checked as published.</w:t>
            </w:r>
          </w:p>
          <w:p>
            <w:pPr>
              <w:pStyle w:val="ListParagraph"/>
              <w:numPr>
                <w:ilvl w:val="0"/>
                <w:numId w:val="2"/>
              </w:numPr>
              <w:spacing w:after="45"/>
            </w:pPr>
            <w:r>
              <w:rPr>
                <w:sz w:val="15"/>
                <w:szCs w:val="15"/>
              </w:rPr>
              <w:t xml:space="preserve">The margin comparison sets pathology R1 (&lt;1 mm) against imaging-based A1 (&lt;5 mm) - different thresholds measured by different methods - and uses denominators of 274 resected and 322 ablated tumours rather than the 304 and 349 target tumours randomised, with the missing tumours unexplained.</w:t>
            </w:r>
          </w:p>
          <w:p>
            <w:pPr>
              <w:pStyle w:val="ListParagraph"/>
              <w:numPr>
                <w:ilvl w:val="0"/>
                <w:numId w:val="2"/>
              </w:numPr>
              <w:spacing w:after="45"/>
            </w:pPr>
            <w:r>
              <w:rPr>
                <w:sz w:val="15"/>
                <w:szCs w:val="15"/>
              </w:rPr>
              <w:t xml:space="preserve">Of 448 patients assessed, 40 were rejected by the panel, 12 later failed eligibility, 54 declined and 42 were excluded intraoperatively before randomisation; none of these 148 are described, so the trial population is a doubly vetted dual-eligible subset whose relation to the patients a surgeon actually sees is not quantified.</w:t>
            </w:r>
          </w:p>
          <w:p>
            <w:pPr>
              <w:pStyle w:val="ListParagraph"/>
              <w:numPr>
                <w:ilvl w:val="0"/>
                <w:numId w:val="2"/>
              </w:numPr>
              <w:spacing w:after="45"/>
            </w:pPr>
            <w:r>
              <w:rPr>
                <w:sz w:val="15"/>
                <w:szCs w:val="15"/>
              </w:rPr>
              <w:t xml:space="preserve">The trial was unmasked and the local tumour progression endpoint rests on local radiology reports, with central review used only to resolve discrepancies or ambiguities, in a trial whose funder makes the ablation devices.</w:t>
            </w:r>
          </w:p>
          <w:p>
            <w:pPr>
              <w:pStyle w:val="ListParagraph"/>
              <w:numPr>
                <w:ilvl w:val="0"/>
                <w:numId w:val="2"/>
              </w:numPr>
              <w:spacing w:after="45"/>
            </w:pPr>
            <w:r>
              <w:rPr>
                <w:sz w:val="15"/>
                <w:szCs w:val="15"/>
              </w:rPr>
              <w:t xml:space="preserve">A linked Lancet Oncology Comment on this trial (PMID 39848271, Stoffler and colleagues, 2025;26:149-50) was identified in PubMed but its text was not available here, so any objection it raises is not reflected in this record.</w:t>
            </w:r>
          </w:p>
        </w:tc>
      </w:tr>
    </w:tbl>
    <w:p>
      <w:pPr>
        <w:spacing w:after="0" w:line="276"/>
      </w:pPr>
      <w:r>
        <w:rPr>
          <w:color w:val="5A6069"/>
          <w:sz w:val="14"/>
          <w:szCs w:val="14"/>
        </w:rPr>
        <w:t xml:space="preserve">Funding: Medtronic-Covidien, a manufacturer of ablation devices; the funder is stated to have had no role in design, data collection, analysis, interpretation or writing. The senior author declares trial funding from Medtronic Covidien plus institutional grants from Medtronic Covidien, Angiodynamics, Johnson &amp; Johnson and Immunophotonics, consulting fees from Angiodynamics and lecture payments from Medtronic Covidien, Johnson &amp; Johnson and Philips Medical; the joint first author declares a Medtronic Covidien institutional grant, and many co-authors declare device-industry grants, proctoring or lecture fees</w:t>
      </w:r>
    </w:p>
    <w:p>
      <w:pPr>
        <w:keepNext/>
        <w:spacing w:after="50" w:before="260"/>
      </w:pPr>
      <w:r>
        <w:rPr>
          <w:rFonts w:ascii="Cambria" w:cs="Cambria" w:eastAsia="Cambria" w:hAnsi="Cambria"/>
          <w:b/>
          <w:bCs/>
          <w:color w:val="17365D"/>
          <w:sz w:val="20"/>
          <w:szCs w:val="20"/>
        </w:rPr>
        <w:t xml:space="preserve">DEBIRI</w:t>
      </w:r>
      <w:r>
        <w:rPr>
          <w:b/>
          <w:bCs/>
          <w:color w:val="176A87"/>
          <w:sz w:val="15"/>
          <w:szCs w:val="15"/>
        </w:rPr>
        <w:t xml:space="preserve">   Randomised trial</w:t>
      </w:r>
      <w:r>
        <w:rPr>
          <w:color w:val="5A6069"/>
          <w:sz w:val="15"/>
          <w:szCs w:val="15"/>
        </w:rPr>
        <w:t xml:space="preserve">   PMID 22493375</w:t>
      </w:r>
    </w:p>
    <w:p>
      <w:pPr>
        <w:spacing w:after="50" w:line="276"/>
      </w:pPr>
      <w:r>
        <w:rPr>
          <w:color w:val="5A6069"/>
          <w:sz w:val="17"/>
          <w:szCs w:val="17"/>
        </w:rPr>
        <w:t xml:space="preserve">Intra-arterial infusion of irinotecan-loaded drug-eluting beads (DEBIRI) versus intravenous therapy (FOLFIRI) for hepatic metastases from colorectal cancer: final results of a phase III study</w:t>
      </w:r>
    </w:p>
    <w:p>
      <w:pPr>
        <w:spacing w:after="50"/>
      </w:pPr>
      <w:r>
        <w:rPr>
          <w:b/>
          <w:bCs/>
          <w:color w:val="176A87"/>
          <w:sz w:val="16"/>
          <w:szCs w:val="16"/>
        </w:rPr>
        <w:t xml:space="preserve">Population. </w:t>
      </w:r>
      <w:r>
        <w:rPr>
          <w:sz w:val="16"/>
          <w:szCs w:val="16"/>
        </w:rPr>
        <w:t xml:space="preserve">74 patients randomised of 144 evaluated at two Italian centres from December 2006, all with metachronous unresectable liver-only colorectal metastases occupying less than 50% of the liver after two or three previous lines of chemotherapy (36 to irinotecan-loaded drug-eluting bead chemoembolization, 38 to FOLFIRI); 35 per arm were treated, and liver involvement was 25% or less in 52 of 74. Seventy chemoembolization procedures were delivered against 277 FOLFIRI cycles. Median follow-up 50 months</w:t>
      </w:r>
    </w:p>
    <w:p>
      <w:pPr>
        <w:spacing w:after="70"/>
      </w:pPr>
      <w:r>
        <w:rPr>
          <w:b/>
          <w:bCs/>
          <w:color w:val="17365D"/>
          <w:sz w:val="16"/>
          <w:szCs w:val="16"/>
        </w:rPr>
        <w:t xml:space="preserve">Bottom line. </w:t>
      </w:r>
      <w:r>
        <w:rPr>
          <w:sz w:val="16"/>
          <w:szCs w:val="16"/>
        </w:rPr>
        <w:t xml:space="preserve">Reports the largest survival advantage for any liver-directed therapy in this depot - median overall survival 22 against 15 months, hepatic response 68.6% against 20%, and quality of life preserved for 8 against 3 months - from irinotecan-loaded bead chemoembolization against FOLFIRI in heavily pretreated liver-only disease. The result should not be relied on: 74 patients at two centres, powered for a 40% survival difference, open label with investigators free to score response by RECIST or EASL, a comparator the authors concede was obsolete and capped at four months while the experimental arm could be retreated, p values that differ between abstract and results, and no funding or conflict statement anywhere. The authors' own framing is that the trial exists to size a larger one, and no larger trial has reproduced it.</w:t>
      </w:r>
    </w:p>
    <w:tbl>
      <w:tblPr>
        <w:tblW w:type="dxa" w:w="9360"/>
        <w:tblBorders>
          <w:top w:val="single" w:color="D3DCE4" w:sz="4"/>
          <w:left w:val="single" w:color="D3DCE4" w:sz="4"/>
          <w:bottom w:val="single" w:color="D3DCE4" w:sz="4"/>
          <w:right w:val="single" w:color="D3DCE4" w:sz="4"/>
          <w:insideH w:val="single" w:color="D3DCE4" w:sz="4"/>
          <w:insideV w:val="single" w:color="D3DCE4" w:sz="4"/>
        </w:tblBorders>
      </w:tblPr>
      <w:tblGrid>
        <w:gridCol w:w="4600"/>
        <w:gridCol w:w="4760"/>
      </w:tblGrid>
      <w:tr>
        <w:tc>
          <w:tcPr>
            <w:tcW w:type="dxa" w:w="4600"/>
            <w:shd w:fill="F1F4F8" w:color="auto" w:val="clear"/>
            <w:tcMar>
              <w:top w:type="dxa" w:w="70"/>
              <w:left w:type="dxa" w:w="110"/>
              <w:bottom w:type="dxa" w:w="70"/>
              <w:right w:type="dxa" w:w="110"/>
            </w:tcMar>
            <w:vAlign w:val="top"/>
          </w:tcPr>
          <w:p>
            <w:pPr>
              <w:spacing w:after="50"/>
            </w:pPr>
            <w:r>
              <w:rPr>
                <w:b/>
                <w:bCs/>
                <w:color w:val="8E5008"/>
                <w:spacing w:val="12"/>
                <w:sz w:val="14"/>
                <w:szCs w:val="14"/>
              </w:rPr>
              <w:t xml:space="preserve">LIMITATIONS THE AUTHORS STATE</w:t>
            </w:r>
          </w:p>
          <w:p>
            <w:pPr>
              <w:pStyle w:val="ListParagraph"/>
              <w:numPr>
                <w:ilvl w:val="0"/>
                <w:numId w:val="2"/>
              </w:numPr>
              <w:spacing w:after="45"/>
            </w:pPr>
            <w:r>
              <w:rPr>
                <w:sz w:val="15"/>
                <w:szCs w:val="15"/>
              </w:rPr>
              <w:t xml:space="preserve">The authors name as a criticism of the study that the systemic comparator was FOLFIRI, because the trial was planned in 2005 when FOLFIRI was standard second- or third-line therapy and biological agents were not widespread; they acknowledge that adding oxaliplatin, bevacizumab, cetuximab or panitumumab increases survival over FOLFIRI alone</w:t>
            </w:r>
          </w:p>
          <w:p>
            <w:pPr>
              <w:pStyle w:val="ListParagraph"/>
              <w:numPr>
                <w:ilvl w:val="0"/>
                <w:numId w:val="2"/>
              </w:numPr>
              <w:spacing w:after="45"/>
            </w:pPr>
            <w:r>
              <w:rPr>
                <w:sz w:val="15"/>
                <w:szCs w:val="15"/>
              </w:rPr>
              <w:t xml:space="preserve">They state that concurrent systemic therapy with newer agents in the chemoembolization arm might have improved its results further</w:t>
            </w:r>
          </w:p>
          <w:p>
            <w:pPr>
              <w:pStyle w:val="ListParagraph"/>
              <w:numPr>
                <w:ilvl w:val="0"/>
                <w:numId w:val="2"/>
              </w:numPr>
              <w:spacing w:after="45"/>
            </w:pPr>
            <w:r>
              <w:rPr>
                <w:sz w:val="15"/>
                <w:szCs w:val="15"/>
              </w:rPr>
              <w:t xml:space="preserve">They state the study serves to establish the expected difference between the two options in order to plan future large randomised studies</w:t>
            </w:r>
          </w:p>
          <w:p>
            <w:pPr>
              <w:pStyle w:val="ListParagraph"/>
              <w:numPr>
                <w:ilvl w:val="0"/>
                <w:numId w:val="2"/>
              </w:numPr>
              <w:spacing w:after="45"/>
            </w:pPr>
            <w:r>
              <w:rPr>
                <w:sz w:val="15"/>
                <w:szCs w:val="15"/>
              </w:rPr>
              <w:t xml:space="preserve">They report that time to extrahepatic progression was similar in both groups</w:t>
            </w:r>
          </w:p>
        </w:tc>
        <w:tc>
          <w:tcPr>
            <w:tcW w:type="dxa" w:w="4760"/>
            <w:shd w:fill="F1F4F8" w:color="auto" w:val="clear"/>
            <w:tcMar>
              <w:top w:type="dxa" w:w="70"/>
              <w:left w:type="dxa" w:w="110"/>
              <w:bottom w:type="dxa" w:w="70"/>
              <w:right w:type="dxa" w:w="110"/>
            </w:tcMar>
            <w:vAlign w:val="top"/>
          </w:tcPr>
          <w:p>
            <w:pPr>
              <w:spacing w:after="50"/>
            </w:pPr>
            <w:r>
              <w:rPr>
                <w:b/>
                <w:bCs/>
                <w:color w:val="8C2F26"/>
                <w:spacing w:val="12"/>
                <w:sz w:val="14"/>
                <w:szCs w:val="14"/>
              </w:rPr>
              <w:t xml:space="preserve">WHAT THEY DO NOT SAY</w:t>
            </w:r>
          </w:p>
          <w:p>
            <w:pPr>
              <w:pStyle w:val="ListParagraph"/>
              <w:numPr>
                <w:ilvl w:val="0"/>
                <w:numId w:val="2"/>
              </w:numPr>
              <w:spacing w:after="45"/>
            </w:pPr>
            <w:r>
              <w:rPr>
                <w:sz w:val="15"/>
                <w:szCs w:val="15"/>
              </w:rPr>
              <w:t xml:space="preserve">The paper is internally inconsistent in places that bear on its conclusions: the extrahepatic progression p value is 0.064 in the abstract and 0.64 in the Results, the quality-of-life p value is 0.00002 in the abstract and 0.0002 in the Results, and enrolment closes in December 2008 in the Methods but October 2008 in the Results.</w:t>
            </w:r>
          </w:p>
          <w:p>
            <w:pPr>
              <w:pStyle w:val="ListParagraph"/>
              <w:numPr>
                <w:ilvl w:val="0"/>
                <w:numId w:val="2"/>
              </w:numPr>
              <w:spacing w:after="45"/>
            </w:pPr>
            <w:r>
              <w:rPr>
                <w:sz w:val="15"/>
                <w:szCs w:val="15"/>
              </w:rPr>
              <w:t xml:space="preserve">The design was powered to detect a 40% increase in median survival at two years in a two-centre trial, and 74 randomised patients produced a reported 7-month median survival gain with p=0.031. An effect of that size from a sample of this size, in a journal of this profile, with no independent verification, is the definition of a result requiring replication - and the authors say as much.</w:t>
            </w:r>
          </w:p>
          <w:p>
            <w:pPr>
              <w:pStyle w:val="ListParagraph"/>
              <w:numPr>
                <w:ilvl w:val="0"/>
                <w:numId w:val="2"/>
              </w:numPr>
              <w:spacing w:after="45"/>
            </w:pPr>
            <w:r>
              <w:rPr>
                <w:sz w:val="15"/>
                <w:szCs w:val="15"/>
              </w:rPr>
              <w:t xml:space="preserve">The two arms differ in intensity and duration as well as route: 70 procedures (two per patient, a month apart) against 277 FOLFIRI cycles capped at eight over four months, after which systemic patients had no protocol therapy while chemoembolization patients could be retreated. The comparison is of two treatment programmes, not of two delivery routes for irinotecan.</w:t>
            </w:r>
          </w:p>
          <w:p>
            <w:pPr>
              <w:pStyle w:val="ListParagraph"/>
              <w:numPr>
                <w:ilvl w:val="0"/>
                <w:numId w:val="2"/>
              </w:numPr>
              <w:spacing w:after="45"/>
            </w:pPr>
            <w:r>
              <w:rPr>
                <w:sz w:val="15"/>
                <w:szCs w:val="15"/>
              </w:rPr>
              <w:t xml:space="preserve">Six stratification factors are listed for a 74-patient trial - liver involvement, prior irinotecan, weight loss, CEA, KRAS status and p53 immunohistochemistry - which in a sample this small cannot balance and is not accompanied by any adjusted analysis.</w:t>
            </w:r>
          </w:p>
          <w:p>
            <w:pPr>
              <w:pStyle w:val="ListParagraph"/>
              <w:numPr>
                <w:ilvl w:val="0"/>
                <w:numId w:val="2"/>
              </w:numPr>
              <w:spacing w:after="45"/>
            </w:pPr>
            <w:r>
              <w:rPr>
                <w:sz w:val="15"/>
                <w:szCs w:val="15"/>
              </w:rPr>
              <w:t xml:space="preserve">The trial was open label, and response was scored by either RECIST or EASL criteria at investigator discretion - two different response definitions applied within one trial, in the arm where an embolic effect changes enhancement.</w:t>
            </w:r>
          </w:p>
          <w:p>
            <w:pPr>
              <w:pStyle w:val="ListParagraph"/>
              <w:numPr>
                <w:ilvl w:val="0"/>
                <w:numId w:val="2"/>
              </w:numPr>
              <w:spacing w:after="45"/>
            </w:pPr>
            <w:r>
              <w:rPr>
                <w:sz w:val="15"/>
                <w:szCs w:val="15"/>
              </w:rPr>
              <w:t xml:space="preserve">Quality of life was measured by a symptom scale while chemoembolization patients received prophylactic morphine, steroids, antiemetics and antibiotics around each procedure, so the reported eight months against three months of preserved quality of life compares a premedicated arm with an unmedicated one.</w:t>
            </w:r>
          </w:p>
          <w:p>
            <w:pPr>
              <w:pStyle w:val="ListParagraph"/>
              <w:numPr>
                <w:ilvl w:val="0"/>
                <w:numId w:val="2"/>
              </w:numPr>
              <w:spacing w:after="45"/>
            </w:pPr>
            <w:r>
              <w:rPr>
                <w:sz w:val="15"/>
                <w:szCs w:val="15"/>
              </w:rPr>
              <w:t xml:space="preserve">Grade 2 to 3 pain occurred in 30% of chemoembolization cycles and liver enzyme elevation above three times normal in 58%, with bilirubin rises in 18%; this hepatic cost is reported and then set aside in favour of the systemic toxicity comparison, which naturally favours a locoregional treatment.</w:t>
            </w:r>
          </w:p>
          <w:p>
            <w:pPr>
              <w:pStyle w:val="ListParagraph"/>
              <w:numPr>
                <w:ilvl w:val="0"/>
                <w:numId w:val="2"/>
              </w:numPr>
              <w:spacing w:after="45"/>
            </w:pPr>
            <w:r>
              <w:rPr>
                <w:sz w:val="15"/>
                <w:szCs w:val="15"/>
              </w:rPr>
              <w:t xml:space="preserve">The KRAS finding - 26 against 14 months and a major response in 14 of 14 wild-type patients - comes from a subgroup of a 35-patient arm with no multiplicity control, and would be remarkable if true for a treatment whose mechanism is local drug delivery and embolisation.</w:t>
            </w:r>
          </w:p>
          <w:p>
            <w:pPr>
              <w:pStyle w:val="ListParagraph"/>
              <w:numPr>
                <w:ilvl w:val="0"/>
                <w:numId w:val="2"/>
              </w:numPr>
              <w:spacing w:after="45"/>
            </w:pPr>
            <w:r>
              <w:rPr>
                <w:sz w:val="15"/>
                <w:szCs w:val="15"/>
              </w:rPr>
              <w:t xml:space="preserve">The suggestion that chemoembolization also delays extrahepatic progression, offered as evidence of systemic activity, rests on a non-significant difference (13 against 9 months) whose p value is printed two different ways, and contradicts the biology of an intrahepatic embolic therapy.</w:t>
            </w:r>
          </w:p>
          <w:p>
            <w:pPr>
              <w:pStyle w:val="ListParagraph"/>
              <w:numPr>
                <w:ilvl w:val="0"/>
                <w:numId w:val="2"/>
              </w:numPr>
              <w:spacing w:after="45"/>
            </w:pPr>
            <w:r>
              <w:rPr>
                <w:sz w:val="15"/>
                <w:szCs w:val="15"/>
              </w:rPr>
              <w:t xml:space="preserve">Post-progression therapy is invoked to defend the survival result - both arms are said to have had access to new drugs at progression and the difference to remain attributable to treatment - with no table of subsequent therapy by arm and no analysis supporting that attribution.</w:t>
            </w:r>
          </w:p>
          <w:p>
            <w:pPr>
              <w:pStyle w:val="ListParagraph"/>
              <w:numPr>
                <w:ilvl w:val="0"/>
                <w:numId w:val="2"/>
              </w:numPr>
              <w:spacing w:after="45"/>
            </w:pPr>
            <w:r>
              <w:rPr>
                <w:sz w:val="15"/>
                <w:szCs w:val="15"/>
              </w:rPr>
              <w:t xml:space="preserve">No funding or conflict-of-interest statement appears anywhere, in a trial of a commercially manufactured device, which makes the sponsorship of this result unverifiable.</w:t>
            </w:r>
          </w:p>
          <w:p>
            <w:pPr>
              <w:pStyle w:val="ListParagraph"/>
              <w:numPr>
                <w:ilvl w:val="0"/>
                <w:numId w:val="2"/>
              </w:numPr>
              <w:spacing w:after="45"/>
            </w:pPr>
            <w:r>
              <w:rPr>
                <w:sz w:val="15"/>
                <w:szCs w:val="15"/>
              </w:rPr>
              <w:t xml:space="preserve">The cost comparison (8,000 against 20,000 euro) is presented without any formal cost-effectiveness analysis, discounting, or accounting for the salvage therapy each arm went on to receive.</w:t>
            </w:r>
          </w:p>
          <w:p>
            <w:pPr>
              <w:pStyle w:val="ListParagraph"/>
              <w:numPr>
                <w:ilvl w:val="0"/>
                <w:numId w:val="2"/>
              </w:numPr>
              <w:spacing w:after="45"/>
            </w:pPr>
            <w:r>
              <w:rPr>
                <w:sz w:val="15"/>
                <w:szCs w:val="15"/>
              </w:rPr>
              <w:t xml:space="preserve">No linked editorial or comment on this trial was found in PubMed, and no subsequent randomised work has reproduced a survival advantage of this magnitude for chemoembolization in this setting.</w:t>
            </w:r>
          </w:p>
        </w:tc>
      </w:tr>
    </w:tbl>
    <w:p>
      <w:pPr>
        <w:spacing w:after="0" w:line="276"/>
      </w:pPr>
      <w:r>
        <w:rPr>
          <w:color w:val="5A6069"/>
          <w:sz w:val="14"/>
          <w:szCs w:val="14"/>
        </w:rPr>
        <w:t xml:space="preserve">Funding: No funding, sponsorship or conflict-of-interest statement appears anywhere in the paper, in a trial of a commercial drug-eluting bead device</w:t>
      </w:r>
    </w:p>
    <w:p>
      <w:pPr>
        <w:keepNext/>
        <w:spacing w:after="50" w:before="260"/>
      </w:pPr>
      <w:r>
        <w:rPr>
          <w:rFonts w:ascii="Cambria" w:cs="Cambria" w:eastAsia="Cambria" w:hAnsi="Cambria"/>
          <w:b/>
          <w:bCs/>
          <w:color w:val="17365D"/>
          <w:sz w:val="20"/>
          <w:szCs w:val="20"/>
        </w:rPr>
        <w:t xml:space="preserve">Dutch HAI phase II</w:t>
      </w:r>
      <w:r>
        <w:rPr>
          <w:b/>
          <w:bCs/>
          <w:color w:val="176A87"/>
          <w:sz w:val="15"/>
          <w:szCs w:val="15"/>
        </w:rPr>
        <w:t xml:space="preserve">   cohort</w:t>
      </w:r>
      <w:r>
        <w:rPr>
          <w:color w:val="5A6069"/>
          <w:sz w:val="15"/>
          <w:szCs w:val="15"/>
        </w:rPr>
        <w:t xml:space="preserve">   PMID 38608150</w:t>
      </w:r>
    </w:p>
    <w:p>
      <w:pPr>
        <w:spacing w:after="50" w:line="276"/>
      </w:pPr>
      <w:r>
        <w:rPr>
          <w:color w:val="5A6069"/>
          <w:sz w:val="17"/>
          <w:szCs w:val="17"/>
        </w:rPr>
        <w:t xml:space="preserve">Hepatic arterial infusion pump chemotherapy combined with systemic chemotherapy for borderline resectable and unresectable colorectal liver metastases: phase II feasibility study</w:t>
      </w:r>
    </w:p>
    <w:p>
      <w:pPr>
        <w:spacing w:after="50"/>
      </w:pPr>
      <w:r>
        <w:rPr>
          <w:b/>
          <w:bCs/>
          <w:color w:val="176A87"/>
          <w:sz w:val="16"/>
          <w:szCs w:val="16"/>
        </w:rPr>
        <w:t xml:space="preserve">Population. </w:t>
      </w:r>
      <w:r>
        <w:rPr>
          <w:sz w:val="16"/>
          <w:szCs w:val="16"/>
        </w:rPr>
        <w:t xml:space="preserve">31 patients with liver-only borderline resectable (6) or unresectable (25) colorectal liver metastases enrolled at two Dutch tertiary centres between September 2020 and November 2022; median 13 metastases (IQR 6-23), all bilobar, Fong score 3 or more in 27 of 31, 84% synchronous, primary tumour in situ in 77%. The pump was implanted in 30 of 31, and 29 were evaluable for response</w:t>
      </w:r>
    </w:p>
    <w:p>
      <w:pPr>
        <w:spacing w:after="70"/>
      </w:pPr>
      <w:r>
        <w:rPr>
          <w:b/>
          <w:bCs/>
          <w:color w:val="17365D"/>
          <w:sz w:val="16"/>
          <w:szCs w:val="16"/>
        </w:rPr>
        <w:t xml:space="preserve">Bottom line. </w:t>
      </w:r>
      <w:r>
        <w:rPr>
          <w:sz w:val="16"/>
          <w:szCs w:val="16"/>
        </w:rPr>
        <w:t xml:space="preserve">Shows that hepatic arterial floxuridine with concomitant FOLFOX or FOLFIRI can be delivered outside the United States: pumps were implanted in 30 of 31 patients, 90% completed two combined cycles against a 70% threshold, device complications were 16% and no hepatic artery thrombosis or biliary sclerosis occurred within six months. It establishes nothing about benefit - there is no control arm, the primary endpoint is deliverability, and conversion, pathology and survival data are explicitly immature. The costs it does document are real: 45% grade 3 or worse events in the first two cycles rising to 66% by six months, and a protocol-wide dose reduction after the first nine patients for liver toxicity. It is the feasibility step before the PUMP-IT and EA2222 randomised trials, and should be read as that.</w:t>
      </w:r>
    </w:p>
    <w:tbl>
      <w:tblPr>
        <w:tblW w:type="dxa" w:w="9360"/>
        <w:tblBorders>
          <w:top w:val="single" w:color="D3DCE4" w:sz="4"/>
          <w:left w:val="single" w:color="D3DCE4" w:sz="4"/>
          <w:bottom w:val="single" w:color="D3DCE4" w:sz="4"/>
          <w:right w:val="single" w:color="D3DCE4" w:sz="4"/>
          <w:insideH w:val="single" w:color="D3DCE4" w:sz="4"/>
          <w:insideV w:val="single" w:color="D3DCE4" w:sz="4"/>
        </w:tblBorders>
      </w:tblPr>
      <w:tblGrid>
        <w:gridCol w:w="4600"/>
        <w:gridCol w:w="4760"/>
      </w:tblGrid>
      <w:tr>
        <w:tc>
          <w:tcPr>
            <w:tcW w:type="dxa" w:w="4600"/>
            <w:shd w:fill="F1F4F8" w:color="auto" w:val="clear"/>
            <w:tcMar>
              <w:top w:type="dxa" w:w="70"/>
              <w:left w:type="dxa" w:w="110"/>
              <w:bottom w:type="dxa" w:w="70"/>
              <w:right w:type="dxa" w:w="110"/>
            </w:tcMar>
            <w:vAlign w:val="top"/>
          </w:tcPr>
          <w:p>
            <w:pPr>
              <w:spacing w:after="50"/>
            </w:pPr>
            <w:r>
              <w:rPr>
                <w:b/>
                <w:bCs/>
                <w:color w:val="8E5008"/>
                <w:spacing w:val="12"/>
                <w:sz w:val="14"/>
                <w:szCs w:val="14"/>
              </w:rPr>
              <w:t xml:space="preserve">LIMITATIONS THE AUTHORS STATE</w:t>
            </w:r>
          </w:p>
          <w:p>
            <w:pPr>
              <w:pStyle w:val="ListParagraph"/>
              <w:numPr>
                <w:ilvl w:val="0"/>
                <w:numId w:val="2"/>
              </w:numPr>
              <w:spacing w:after="45"/>
            </w:pPr>
            <w:r>
              <w:rPr>
                <w:sz w:val="15"/>
                <w:szCs w:val="15"/>
              </w:rPr>
              <w:t xml:space="preserve">The authors state the sample size does not allow conclusions on survival: the study was sized to establish feasibility and was not powered for oncological benefit</w:t>
            </w:r>
          </w:p>
          <w:p>
            <w:pPr>
              <w:pStyle w:val="ListParagraph"/>
              <w:numPr>
                <w:ilvl w:val="0"/>
                <w:numId w:val="2"/>
              </w:numPr>
              <w:spacing w:after="45"/>
            </w:pPr>
            <w:r>
              <w:rPr>
                <w:sz w:val="15"/>
                <w:szCs w:val="15"/>
              </w:rPr>
              <w:t xml:space="preserve">They state that long-term data on biliary sclerosis and on the safety of conversion surgery after pump plus systemic chemotherapy must be awaited, despite a good short-term safety profile</w:t>
            </w:r>
          </w:p>
          <w:p>
            <w:pPr>
              <w:pStyle w:val="ListParagraph"/>
              <w:numPr>
                <w:ilvl w:val="0"/>
                <w:numId w:val="2"/>
              </w:numPr>
              <w:spacing w:after="45"/>
            </w:pPr>
            <w:r>
              <w:rPr>
                <w:sz w:val="15"/>
                <w:szCs w:val="15"/>
              </w:rPr>
              <w:t xml:space="preserve">They state that data on conversion-to-resection rates, pathological response and survival are not yet mature</w:t>
            </w:r>
          </w:p>
          <w:p>
            <w:pPr>
              <w:pStyle w:val="ListParagraph"/>
              <w:numPr>
                <w:ilvl w:val="0"/>
                <w:numId w:val="2"/>
              </w:numPr>
              <w:spacing w:after="45"/>
            </w:pPr>
            <w:r>
              <w:rPr>
                <w:sz w:val="15"/>
                <w:szCs w:val="15"/>
              </w:rPr>
              <w:t xml:space="preserve">They note that systemic starting doses had to be cut to Memorial Sloan Kettering levels after the first nine patients because of early liver toxicity</w:t>
            </w:r>
          </w:p>
          <w:p>
            <w:pPr>
              <w:pStyle w:val="ListParagraph"/>
              <w:numPr>
                <w:ilvl w:val="0"/>
                <w:numId w:val="2"/>
              </w:numPr>
              <w:spacing w:after="45"/>
            </w:pPr>
            <w:r>
              <w:rPr>
                <w:sz w:val="15"/>
                <w:szCs w:val="15"/>
              </w:rPr>
              <w:t xml:space="preserve">They note there is no consensus definition of borderline resectable disease, and that the successor PUMP-IT trial will use a central panel as CAIRO5 did</w:t>
            </w:r>
          </w:p>
        </w:tc>
        <w:tc>
          <w:tcPr>
            <w:tcW w:type="dxa" w:w="4760"/>
            <w:shd w:fill="F1F4F8" w:color="auto" w:val="clear"/>
            <w:tcMar>
              <w:top w:type="dxa" w:w="70"/>
              <w:left w:type="dxa" w:w="110"/>
              <w:bottom w:type="dxa" w:w="70"/>
              <w:right w:type="dxa" w:w="110"/>
            </w:tcMar>
            <w:vAlign w:val="top"/>
          </w:tcPr>
          <w:p>
            <w:pPr>
              <w:spacing w:after="50"/>
            </w:pPr>
            <w:r>
              <w:rPr>
                <w:b/>
                <w:bCs/>
                <w:color w:val="8C2F26"/>
                <w:spacing w:val="12"/>
                <w:sz w:val="14"/>
                <w:szCs w:val="14"/>
              </w:rPr>
              <w:t xml:space="preserve">WHAT THEY DO NOT SAY</w:t>
            </w:r>
          </w:p>
          <w:p>
            <w:pPr>
              <w:pStyle w:val="ListParagraph"/>
              <w:numPr>
                <w:ilvl w:val="0"/>
                <w:numId w:val="2"/>
              </w:numPr>
              <w:spacing w:after="45"/>
            </w:pPr>
            <w:r>
              <w:rPr>
                <w:sz w:val="15"/>
                <w:szCs w:val="15"/>
              </w:rPr>
              <w:t xml:space="preserve">The endpoint is whether the treatment can be given, not whether it helps, and the threshold was set where it could hardly fail: 70% of patients completing two cycles. Ninety percent did. Nothing follows about conversion, pathological response or survival, and the paper says so.</w:t>
            </w:r>
          </w:p>
          <w:p>
            <w:pPr>
              <w:pStyle w:val="ListParagraph"/>
              <w:numPr>
                <w:ilvl w:val="0"/>
                <w:numId w:val="2"/>
              </w:numPr>
              <w:spacing w:after="45"/>
            </w:pPr>
            <w:r>
              <w:rPr>
                <w:sz w:val="15"/>
                <w:szCs w:val="15"/>
              </w:rPr>
              <w:t xml:space="preserve">There is no control arm in a setting where the comparator is unusually well quantified. CAIRO5 achieved complete local treatment in 37% to 58% of initially unresectable patients with systemic therapy alone, and this study reports a disease control rate rather than a conversion rate, so the two cannot be set side by side - although the 9 of 29 patients who reached conversion surgery or its first stage within six months is the figure a reader will want to compare and it is not presented as an endpoint.</w:t>
            </w:r>
          </w:p>
          <w:p>
            <w:pPr>
              <w:pStyle w:val="ListParagraph"/>
              <w:numPr>
                <w:ilvl w:val="0"/>
                <w:numId w:val="2"/>
              </w:numPr>
              <w:spacing w:after="45"/>
            </w:pPr>
            <w:r>
              <w:rPr>
                <w:sz w:val="15"/>
                <w:szCs w:val="15"/>
              </w:rPr>
              <w:t xml:space="preserve">Toxicity is heavy and escalates with exposure: 14 of 31 patients (45%) had a grade 3 or worse event in the first two cycles, and grade 3 or worse chemotherapy toxicity reached 19 of 29 (66%) by six months. A feasibility study that meets its threshold while two-thirds of patients sustain severe toxicity has demonstrated deliverability, not tolerability.</w:t>
            </w:r>
          </w:p>
          <w:p>
            <w:pPr>
              <w:pStyle w:val="ListParagraph"/>
              <w:numPr>
                <w:ilvl w:val="0"/>
                <w:numId w:val="2"/>
              </w:numPr>
              <w:spacing w:after="45"/>
            </w:pPr>
            <w:r>
              <w:rPr>
                <w:sz w:val="15"/>
                <w:szCs w:val="15"/>
              </w:rPr>
              <w:t xml:space="preserve">The protocol changed partway through. Systemic irinotecan and fluorouracil doses were reduced to Memorial Sloan Kettering levels after the first nine patients because of hepatic injury, so the regimen reported is not the regimen the first third of the cohort received, and the toxicity figures pool both.</w:t>
            </w:r>
          </w:p>
          <w:p>
            <w:pPr>
              <w:pStyle w:val="ListParagraph"/>
              <w:numPr>
                <w:ilvl w:val="0"/>
                <w:numId w:val="2"/>
              </w:numPr>
              <w:spacing w:after="45"/>
            </w:pPr>
            <w:r>
              <w:rPr>
                <w:sz w:val="15"/>
                <w:szCs w:val="15"/>
              </w:rPr>
              <w:t xml:space="preserve">Resectability - the variable that defines the population and would define any benefit - was judged by the two participating local multidisciplinary teams, not by a central panel, and the authors concede there is no consensus on what borderline resectable means. CAIRO5, in the same country, found panel surgeons failed to reach consensus in 58% of follow-up assessments.</w:t>
            </w:r>
          </w:p>
          <w:p>
            <w:pPr>
              <w:pStyle w:val="ListParagraph"/>
              <w:numPr>
                <w:ilvl w:val="0"/>
                <w:numId w:val="2"/>
              </w:numPr>
              <w:spacing w:after="45"/>
            </w:pPr>
            <w:r>
              <w:rPr>
                <w:sz w:val="15"/>
                <w:szCs w:val="15"/>
              </w:rPr>
              <w:t xml:space="preserve">Response at the primary evaluation was assessed at a median of seven weeks from pump start in 29 patients, with 5 (17%) already progressing; the 83% disease control rate includes 48% stable disease, which in a conversion setting is not an outcome a surgeon can act on.</w:t>
            </w:r>
          </w:p>
          <w:p>
            <w:pPr>
              <w:pStyle w:val="ListParagraph"/>
              <w:numPr>
                <w:ilvl w:val="0"/>
                <w:numId w:val="2"/>
              </w:numPr>
              <w:spacing w:after="45"/>
            </w:pPr>
            <w:r>
              <w:rPr>
                <w:sz w:val="15"/>
                <w:szCs w:val="15"/>
              </w:rPr>
              <w:t xml:space="preserve">Mismatch repair-deficient tumours were excluded and prior systemic therapy was allowed only without progression, so the cohort is filtered for chemosensitivity before the regional treatment is added - the same selection that makes single-arm conversion series look favourable.</w:t>
            </w:r>
          </w:p>
          <w:p>
            <w:pPr>
              <w:pStyle w:val="ListParagraph"/>
              <w:numPr>
                <w:ilvl w:val="0"/>
                <w:numId w:val="2"/>
              </w:numPr>
              <w:spacing w:after="45"/>
            </w:pPr>
            <w:r>
              <w:rPr>
                <w:sz w:val="15"/>
                <w:szCs w:val="15"/>
              </w:rPr>
              <w:t xml:space="preserve">The surgical burden is reported as medians without a complication-by-procedure breakdown: the primary tumour was resected at the same laparotomy in 22 of 30 patients with primary anastomosis in 19, and grade 3 or worse surgical or device complications occurred in 5 (16%), but which complications followed which combination of procedures is not given.</w:t>
            </w:r>
          </w:p>
          <w:p>
            <w:pPr>
              <w:pStyle w:val="ListParagraph"/>
              <w:numPr>
                <w:ilvl w:val="0"/>
                <w:numId w:val="2"/>
              </w:numPr>
              <w:spacing w:after="45"/>
            </w:pPr>
            <w:r>
              <w:rPr>
                <w:sz w:val="15"/>
                <w:szCs w:val="15"/>
              </w:rPr>
              <w:t xml:space="preserve">Absence of hepatic artery thrombosis, bleeding or biliary sclerosis is reported at six months, which is earlier than biliary sclerosis characteristically appears, and the authors acknowledge this; the paper's safety claim therefore does not cover the toxicity that has historically limited the technique.</w:t>
            </w:r>
          </w:p>
          <w:p>
            <w:pPr>
              <w:pStyle w:val="ListParagraph"/>
              <w:numPr>
                <w:ilvl w:val="0"/>
                <w:numId w:val="2"/>
              </w:numPr>
              <w:spacing w:after="45"/>
            </w:pPr>
            <w:r>
              <w:rPr>
                <w:sz w:val="15"/>
                <w:szCs w:val="15"/>
              </w:rPr>
              <w:t xml:space="preserve">The device manufacturer supplied the pumps and the study had no other funding, and the proctoring team from the institution whose results the study was designed to reproduce are co-authors - so the evaluation of transferability was conducted with the originators and the device company inside it.</w:t>
            </w:r>
          </w:p>
          <w:p>
            <w:pPr>
              <w:pStyle w:val="ListParagraph"/>
              <w:numPr>
                <w:ilvl w:val="0"/>
                <w:numId w:val="2"/>
              </w:numPr>
              <w:spacing w:after="45"/>
            </w:pPr>
            <w:r>
              <w:rPr>
                <w:sz w:val="15"/>
                <w:szCs w:val="15"/>
              </w:rPr>
              <w:t xml:space="preserve">Thirty-one patients at two centres cannot establish that the technique travels; the relevant historical warning, a 26-centre German intra-arterial trial stopped early for complications, is cited in the companion PUMP protocol and the difference here is intensive proctoring, which is itself the thing that limits generalisation.</w:t>
            </w:r>
          </w:p>
          <w:p>
            <w:pPr>
              <w:pStyle w:val="ListParagraph"/>
              <w:numPr>
                <w:ilvl w:val="0"/>
                <w:numId w:val="2"/>
              </w:numPr>
              <w:spacing w:after="45"/>
            </w:pPr>
            <w:r>
              <w:rPr>
                <w:sz w:val="15"/>
                <w:szCs w:val="15"/>
              </w:rPr>
              <w:t xml:space="preserve">PubMed indexes this study with a Randomized Controlled Trial publication type, which is incorrect - the study is single-arm - so a reader relying on database metadata will overstate its design.</w:t>
            </w:r>
          </w:p>
          <w:p>
            <w:pPr>
              <w:pStyle w:val="ListParagraph"/>
              <w:numPr>
                <w:ilvl w:val="0"/>
                <w:numId w:val="2"/>
              </w:numPr>
              <w:spacing w:after="45"/>
            </w:pPr>
            <w:r>
              <w:rPr>
                <w:sz w:val="15"/>
                <w:szCs w:val="15"/>
              </w:rPr>
              <w:t xml:space="preserve">No linked editorial or comment on this paper was found in PubMed, so no independent published critique informs this record.</w:t>
            </w:r>
          </w:p>
        </w:tc>
      </w:tr>
    </w:tbl>
    <w:p>
      <w:pPr>
        <w:spacing w:after="0" w:line="276"/>
      </w:pPr>
      <w:r>
        <w:rPr>
          <w:color w:val="5A6069"/>
          <w:sz w:val="14"/>
          <w:szCs w:val="14"/>
        </w:rPr>
        <w:t xml:space="preserve">Funding: The research received no specific grant from a funding agency; Tricumed Medizintechnik GmbH provided the pumps for the study. The authors state no conflicts of interest related to the work. The two centres were proctored by the Memorial Sloan Kettering team, three of whose members are co-authors</w:t>
      </w:r>
    </w:p>
    <w:p>
      <w:pPr>
        <w:keepNext/>
        <w:spacing w:after="50" w:before="260"/>
      </w:pPr>
      <w:r>
        <w:rPr>
          <w:rFonts w:ascii="Cambria" w:cs="Cambria" w:eastAsia="Cambria" w:hAnsi="Cambria"/>
          <w:b/>
          <w:bCs/>
          <w:color w:val="17365D"/>
          <w:sz w:val="20"/>
          <w:szCs w:val="20"/>
        </w:rPr>
        <w:t xml:space="preserve">EORTC 40004 (CLOCC)</w:t>
      </w:r>
      <w:r>
        <w:rPr>
          <w:b/>
          <w:bCs/>
          <w:color w:val="176A87"/>
          <w:sz w:val="15"/>
          <w:szCs w:val="15"/>
        </w:rPr>
        <w:t xml:space="preserve">   Randomised trial</w:t>
      </w:r>
      <w:r>
        <w:rPr>
          <w:color w:val="5A6069"/>
          <w:sz w:val="15"/>
          <w:szCs w:val="15"/>
        </w:rPr>
        <w:t xml:space="preserve">   PMID 28376151</w:t>
      </w:r>
    </w:p>
    <w:p>
      <w:pPr>
        <w:spacing w:after="50" w:line="276"/>
      </w:pPr>
      <w:r>
        <w:rPr>
          <w:color w:val="5A6069"/>
          <w:sz w:val="17"/>
          <w:szCs w:val="17"/>
        </w:rPr>
        <w:t xml:space="preserve">Local Treatment of Unresectable Colorectal Liver Metastases: Results of a Randomized Phase II Trial</w:t>
      </w:r>
    </w:p>
    <w:p>
      <w:pPr>
        <w:spacing w:after="50"/>
      </w:pPr>
      <w:r>
        <w:rPr>
          <w:b/>
          <w:bCs/>
          <w:color w:val="176A87"/>
          <w:sz w:val="16"/>
          <w:szCs w:val="16"/>
        </w:rPr>
        <w:t xml:space="preserve">Population. </w:t>
      </w:r>
      <w:r>
        <w:rPr>
          <w:sz w:val="16"/>
          <w:szCs w:val="16"/>
        </w:rPr>
        <w:t xml:space="preserve">119 patients aged 18 to 80 with liver-only, locally unresectable colorectal metastases and fewer than 10 lesions, randomised at 22 European centres from 2002 until premature closure in 2007 (60 to combined local plus systemic treatment, 59 to systemic treatment alone); 57 received local treatment - radiofrequency ablation alone in 30, ablation plus resection in 26, resection alone in 1 - with 170 lesions ablated, 89.5% at laparotomy. 92 of 119 patients (77.3%) had died at a median follow-up of 9.7 years</w:t>
      </w:r>
    </w:p>
    <w:p>
      <w:pPr>
        <w:spacing w:after="70"/>
      </w:pPr>
      <w:r>
        <w:rPr>
          <w:b/>
          <w:bCs/>
          <w:color w:val="17365D"/>
          <w:sz w:val="16"/>
          <w:szCs w:val="16"/>
        </w:rPr>
        <w:t xml:space="preserve">Bottom line. </w:t>
      </w:r>
      <w:r>
        <w:rPr>
          <w:sz w:val="16"/>
          <w:szCs w:val="16"/>
        </w:rPr>
        <w:t xml:space="preserve">Provides the only randomised evidence that clearing all liver disease in unresectable, liver-only colorectal metastases adds survival to systemic therapy: 8-year survival 35.9% against 8.9%, HR 0.58 (95% CI 0.38-0.88), with hepatic progression at five years cut from 88.2% to 62.1% and no change in extrahepatic progression. It does not establish this as a trial of ablation or as a trial powered for survival: the design was randomised phase 2 with a single-arm 30-month primary endpoint, accrual failed at 119 patients because surgeons would not randomise, almost half the experimental arm needed resection as well, 89.5% of ablations were done at laparotomy, and the survival curves are indistinguishable for the first three years. Its control arm is six months of FOLFOX4 without modern biologics or molecular selection.</w:t>
      </w:r>
    </w:p>
    <w:tbl>
      <w:tblPr>
        <w:tblW w:type="dxa" w:w="9360"/>
        <w:tblBorders>
          <w:top w:val="single" w:color="D3DCE4" w:sz="4"/>
          <w:left w:val="single" w:color="D3DCE4" w:sz="4"/>
          <w:bottom w:val="single" w:color="D3DCE4" w:sz="4"/>
          <w:right w:val="single" w:color="D3DCE4" w:sz="4"/>
          <w:insideH w:val="single" w:color="D3DCE4" w:sz="4"/>
          <w:insideV w:val="single" w:color="D3DCE4" w:sz="4"/>
        </w:tblBorders>
      </w:tblPr>
      <w:tblGrid>
        <w:gridCol w:w="4600"/>
        <w:gridCol w:w="4760"/>
      </w:tblGrid>
      <w:tr>
        <w:tc>
          <w:tcPr>
            <w:tcW w:type="dxa" w:w="4600"/>
            <w:shd w:fill="F1F4F8" w:color="auto" w:val="clear"/>
            <w:tcMar>
              <w:top w:type="dxa" w:w="70"/>
              <w:left w:type="dxa" w:w="110"/>
              <w:bottom w:type="dxa" w:w="70"/>
              <w:right w:type="dxa" w:w="110"/>
            </w:tcMar>
            <w:vAlign w:val="top"/>
          </w:tcPr>
          <w:p>
            <w:pPr>
              <w:spacing w:after="50"/>
            </w:pPr>
            <w:r>
              <w:rPr>
                <w:b/>
                <w:bCs/>
                <w:color w:val="8E5008"/>
                <w:spacing w:val="12"/>
                <w:sz w:val="14"/>
                <w:szCs w:val="14"/>
              </w:rPr>
              <w:t xml:space="preserve">LIMITATIONS THE AUTHORS STATE</w:t>
            </w:r>
          </w:p>
          <w:p>
            <w:pPr>
              <w:pStyle w:val="ListParagraph"/>
              <w:numPr>
                <w:ilvl w:val="0"/>
                <w:numId w:val="2"/>
              </w:numPr>
              <w:spacing w:after="45"/>
            </w:pPr>
            <w:r>
              <w:rPr>
                <w:sz w:val="15"/>
                <w:szCs w:val="15"/>
              </w:rPr>
              <w:t xml:space="preserve">This is a phase 2 trial with a sample size below the phase 3 design originally planned, which the authors say would have offered better protection against imbalance between arms and better reassurance on external validity</w:t>
            </w:r>
          </w:p>
          <w:p>
            <w:pPr>
              <w:pStyle w:val="ListParagraph"/>
              <w:numPr>
                <w:ilvl w:val="0"/>
                <w:numId w:val="2"/>
              </w:numPr>
              <w:spacing w:after="45"/>
            </w:pPr>
            <w:r>
              <w:rPr>
                <w:sz w:val="15"/>
                <w:szCs w:val="15"/>
              </w:rPr>
              <w:t xml:space="preserve">Overall survival was a secondary endpoint of the phase 2 trial, whose primary endpoint was a 30-month survival rate above 38% in the combined arm</w:t>
            </w:r>
          </w:p>
          <w:p>
            <w:pPr>
              <w:pStyle w:val="ListParagraph"/>
              <w:numPr>
                <w:ilvl w:val="0"/>
                <w:numId w:val="2"/>
              </w:numPr>
              <w:spacing w:after="45"/>
            </w:pPr>
            <w:r>
              <w:rPr>
                <w:sz w:val="15"/>
                <w:szCs w:val="15"/>
              </w:rPr>
              <w:t xml:space="preserve">The trial was closed prematurely for poor accrual, driven by physician treatment preferences</w:t>
            </w:r>
          </w:p>
          <w:p>
            <w:pPr>
              <w:pStyle w:val="ListParagraph"/>
              <w:numPr>
                <w:ilvl w:val="0"/>
                <w:numId w:val="2"/>
              </w:numPr>
              <w:spacing w:after="45"/>
            </w:pPr>
            <w:r>
              <w:rPr>
                <w:sz w:val="15"/>
                <w:szCs w:val="15"/>
              </w:rPr>
              <w:t xml:space="preserve">The authors state that with this sample size small baseline imbalances - in the number of lesions and in synchronicity - could not be excluded, and they report sensitivity analyses adjusting for both</w:t>
            </w:r>
          </w:p>
          <w:p>
            <w:pPr>
              <w:pStyle w:val="ListParagraph"/>
              <w:numPr>
                <w:ilvl w:val="0"/>
                <w:numId w:val="2"/>
              </w:numPr>
              <w:spacing w:after="45"/>
            </w:pPr>
            <w:r>
              <w:rPr>
                <w:sz w:val="15"/>
                <w:szCs w:val="15"/>
              </w:rPr>
              <w:t xml:space="preserve">Complete tumour clearance required ablation combined with resection in 45.6% of the combined arm, and two patients were not completely treated (one positive margin, one lesion adjacent to the stomach)</w:t>
            </w:r>
          </w:p>
          <w:p>
            <w:pPr>
              <w:pStyle w:val="ListParagraph"/>
              <w:numPr>
                <w:ilvl w:val="0"/>
                <w:numId w:val="2"/>
              </w:numPr>
              <w:spacing w:after="45"/>
            </w:pPr>
            <w:r>
              <w:rPr>
                <w:sz w:val="15"/>
                <w:szCs w:val="15"/>
              </w:rPr>
              <w:t xml:space="preserve">The authors emphasise that the result depends on assessment by specialised multidisciplinary teams and experienced liver surgeons, with over 90% of patients enrolled in tertiary referral centres</w:t>
            </w:r>
          </w:p>
        </w:tc>
        <w:tc>
          <w:tcPr>
            <w:tcW w:type="dxa" w:w="4760"/>
            <w:shd w:fill="F1F4F8" w:color="auto" w:val="clear"/>
            <w:tcMar>
              <w:top w:type="dxa" w:w="70"/>
              <w:left w:type="dxa" w:w="110"/>
              <w:bottom w:type="dxa" w:w="70"/>
              <w:right w:type="dxa" w:w="110"/>
            </w:tcMar>
            <w:vAlign w:val="top"/>
          </w:tcPr>
          <w:p>
            <w:pPr>
              <w:spacing w:after="50"/>
            </w:pPr>
            <w:r>
              <w:rPr>
                <w:b/>
                <w:bCs/>
                <w:color w:val="8C2F26"/>
                <w:spacing w:val="12"/>
                <w:sz w:val="14"/>
                <w:szCs w:val="14"/>
              </w:rPr>
              <w:t xml:space="preserve">WHAT THEY DO NOT SAY</w:t>
            </w:r>
          </w:p>
          <w:p>
            <w:pPr>
              <w:pStyle w:val="ListParagraph"/>
              <w:numPr>
                <w:ilvl w:val="0"/>
                <w:numId w:val="2"/>
              </w:numPr>
              <w:spacing w:after="45"/>
            </w:pPr>
            <w:r>
              <w:rPr>
                <w:sz w:val="15"/>
                <w:szCs w:val="15"/>
              </w:rPr>
              <w:t xml:space="preserve">The survival comparison this paper is cited for was never the trial's question. The prespecified primary endpoint was a single-arm threshold - 30-month survival above 38% in the combined arm - so the between-arm hazard ratio of 0.58 (95% CI 0.38-0.88, p=0.01) is an unprotected secondary comparison at an analysis time chosen after the fact, with no multiplicity control.</w:t>
            </w:r>
          </w:p>
          <w:p>
            <w:pPr>
              <w:pStyle w:val="ListParagraph"/>
              <w:numPr>
                <w:ilvl w:val="0"/>
                <w:numId w:val="2"/>
              </w:numPr>
              <w:spacing w:after="45"/>
            </w:pPr>
            <w:r>
              <w:rPr>
                <w:sz w:val="15"/>
                <w:szCs w:val="15"/>
              </w:rPr>
              <w:t xml:space="preserve">The curves are superimposed for three years and diverge only where the numbers at risk collapse: median survival 45.6 against 40.5 months, 3-year survival 56.9% against 55.2%, and the headline separation appears at 5 and 8 years (43.1% vs 30.3%, 35.9% vs 8.9%) with roughly a dozen patients at risk per arm. A single hazard ratio is reported for curves that plainly do not satisfy proportional hazards, and no test of that assumption appears.</w:t>
            </w:r>
          </w:p>
          <w:p>
            <w:pPr>
              <w:pStyle w:val="ListParagraph"/>
              <w:numPr>
                <w:ilvl w:val="0"/>
                <w:numId w:val="2"/>
              </w:numPr>
              <w:spacing w:after="45"/>
            </w:pPr>
            <w:r>
              <w:rPr>
                <w:sz w:val="15"/>
                <w:szCs w:val="15"/>
              </w:rPr>
              <w:t xml:space="preserve">Accrual was 119 patients across 22 centres in five years, about one patient per centre per year, and recruitment failed because surgeons preferred one treatment. The enrolled population is therefore the narrow slice over which individual surgeons held genuine equipoise, and the paper offers no screening log to show what that slice looks like.</w:t>
            </w:r>
          </w:p>
          <w:p>
            <w:pPr>
              <w:pStyle w:val="ListParagraph"/>
              <w:numPr>
                <w:ilvl w:val="0"/>
                <w:numId w:val="2"/>
              </w:numPr>
              <w:spacing w:after="45"/>
            </w:pPr>
            <w:r>
              <w:rPr>
                <w:sz w:val="15"/>
                <w:szCs w:val="15"/>
              </w:rPr>
              <w:t xml:space="preserve">The intervention is complete liver clearance, not ablation. Only 30 of 57 treated patients had ablation alone; 26 also had a resection and one had resection alone, almost all through a laparotomy (89.5%). Any attribution of the survival gain to ablation, or any transfer to today's percutaneous practice, goes beyond what was randomised.</w:t>
            </w:r>
          </w:p>
          <w:p>
            <w:pPr>
              <w:pStyle w:val="ListParagraph"/>
              <w:numPr>
                <w:ilvl w:val="0"/>
                <w:numId w:val="2"/>
              </w:numPr>
              <w:spacing w:after="45"/>
            </w:pPr>
            <w:r>
              <w:rPr>
                <w:sz w:val="15"/>
                <w:szCs w:val="15"/>
              </w:rPr>
              <w:t xml:space="preserve">The quality of the ablations is reported and then left unexamined: 58.9% of ablated lesions had a margin under 1 cm and 8.9% no margin at all, with local failure as first progression in 9 of 56 patients and 11 of 170 lesions. No analysis relates margin to local failure, in a trial whose entire claim is that local control changes survival.</w:t>
            </w:r>
          </w:p>
          <w:p>
            <w:pPr>
              <w:pStyle w:val="ListParagraph"/>
              <w:numPr>
                <w:ilvl w:val="0"/>
                <w:numId w:val="2"/>
              </w:numPr>
              <w:spacing w:after="45"/>
            </w:pPr>
            <w:r>
              <w:rPr>
                <w:sz w:val="15"/>
                <w:szCs w:val="15"/>
              </w:rPr>
              <w:t xml:space="preserve">The experimental arm received less systemic therapy and more harm from the procedure: 6 of 60 patients never received systemic treatment at all, three because of postoperative complications, and one patient died of sepsis and multiorgan failure after ablation and surgery. Both facts are single sentences, and no morbidity table appears for an operation performed in 57 patients.</w:t>
            </w:r>
          </w:p>
          <w:p>
            <w:pPr>
              <w:pStyle w:val="ListParagraph"/>
              <w:numPr>
                <w:ilvl w:val="0"/>
                <w:numId w:val="2"/>
              </w:numPr>
              <w:spacing w:after="45"/>
            </w:pPr>
            <w:r>
              <w:rPr>
                <w:sz w:val="15"/>
                <w:szCs w:val="15"/>
              </w:rPr>
              <w:t xml:space="preserve">Baseline imbalance ran in the experimental arm's favour - median 4 versus 5 lesions and solitary metastases in 25.0% versus 11.9% - and the correction offered is univariate sensitivity analysis adjusting for lesion number dichotomised at four and for synchronicity, in 119 patients. That is not adjustment, it is reassurance.</w:t>
            </w:r>
          </w:p>
          <w:p>
            <w:pPr>
              <w:pStyle w:val="ListParagraph"/>
              <w:numPr>
                <w:ilvl w:val="0"/>
                <w:numId w:val="2"/>
              </w:numPr>
              <w:spacing w:after="45"/>
            </w:pPr>
            <w:r>
              <w:rPr>
                <w:sz w:val="15"/>
                <w:szCs w:val="15"/>
              </w:rPr>
              <w:t xml:space="preserve">Clearing the liver changed where patients failed: extrahepatic disease as the only first progression occurred in 25.0% of the combined arm against 13.6% of the systemic arm, while cumulative extrahepatic progression was identical at five years (60.4% vs 60.2%). The possibility that local treatment delays or displaces systemic control is not discussed.</w:t>
            </w:r>
          </w:p>
          <w:p>
            <w:pPr>
              <w:pStyle w:val="ListParagraph"/>
              <w:numPr>
                <w:ilvl w:val="0"/>
                <w:numId w:val="2"/>
              </w:numPr>
              <w:spacing w:after="45"/>
            </w:pPr>
            <w:r>
              <w:rPr>
                <w:sz w:val="15"/>
                <w:szCs w:val="15"/>
              </w:rPr>
              <w:t xml:space="preserve">The control arm is six months of FOLFOX4, with bevacizumab permitted only from October 2005 and no anti-EGFR antibody, no RAS or BRAF selection, and no maintenance. The authors defend it by noting the control arm's survival resembles modern series, which if anything argues that the trial's advantage would shrink against contemporary systemic therapy.</w:t>
            </w:r>
          </w:p>
          <w:p>
            <w:pPr>
              <w:pStyle w:val="ListParagraph"/>
              <w:numPr>
                <w:ilvl w:val="0"/>
                <w:numId w:val="2"/>
              </w:numPr>
              <w:spacing w:after="45"/>
            </w:pPr>
            <w:r>
              <w:rPr>
                <w:sz w:val="15"/>
                <w:szCs w:val="15"/>
              </w:rPr>
              <w:t xml:space="preserve">Unresectability was decided by each local multidisciplinary team with no central review, and included isolated lesions at the origin of the hepatic veins - lesions that many units would now resect or ablate percutaneously. The claim that these criteria still apply in the current era is asserted, not tested, about a trial that opened in 2002.</w:t>
            </w:r>
          </w:p>
          <w:p>
            <w:pPr>
              <w:pStyle w:val="ListParagraph"/>
              <w:numPr>
                <w:ilvl w:val="0"/>
                <w:numId w:val="2"/>
              </w:numPr>
              <w:spacing w:after="45"/>
            </w:pPr>
            <w:r>
              <w:rPr>
                <w:sz w:val="15"/>
                <w:szCs w:val="15"/>
              </w:rPr>
              <w:t xml:space="preserve">Salvage treatment differed systematically between arms - more systemic therapy in the control arm, more surgery and ablation in the combined arm - and the defence that survival after progression did not differ (19.5 vs 21.0 months, HR 0.86, 95% CI 0.56-1.31) comes from a supplementary analysis with an interval wide enough to hide a substantial effect either way.</w:t>
            </w:r>
          </w:p>
          <w:p>
            <w:pPr>
              <w:pStyle w:val="ListParagraph"/>
              <w:numPr>
                <w:ilvl w:val="0"/>
                <w:numId w:val="2"/>
              </w:numPr>
              <w:spacing w:after="45"/>
            </w:pPr>
            <w:r>
              <w:rPr>
                <w:sz w:val="15"/>
                <w:szCs w:val="15"/>
              </w:rPr>
              <w:t xml:space="preserve">The 36% eight-year survival in the combined arm is set beside the 40% of EPOC, a trial of one to four resectable metastases with a median of one lesion, with no matching and no acknowledgement that the populations are not comparable.</w:t>
            </w:r>
          </w:p>
          <w:p>
            <w:pPr>
              <w:pStyle w:val="ListParagraph"/>
              <w:numPr>
                <w:ilvl w:val="0"/>
                <w:numId w:val="2"/>
              </w:numPr>
              <w:spacing w:after="45"/>
            </w:pPr>
            <w:r>
              <w:rPr>
                <w:sz w:val="15"/>
                <w:szCs w:val="15"/>
              </w:rPr>
              <w:t xml:space="preserve">Three ablation device manufacturers supplied the needles used in the experimental arm free of charge. The EORTC's independence of analysis is stated, and the device contribution is not mentioned again.</w:t>
            </w:r>
          </w:p>
          <w:p>
            <w:pPr>
              <w:pStyle w:val="ListParagraph"/>
              <w:numPr>
                <w:ilvl w:val="0"/>
                <w:numId w:val="2"/>
              </w:numPr>
              <w:spacing w:after="45"/>
            </w:pPr>
            <w:r>
              <w:rPr>
                <w:sz w:val="15"/>
                <w:szCs w:val="15"/>
              </w:rPr>
              <w:t xml:space="preserve">No quality-of-life or patient-reported outcome is reported, in a trial comparing a laparotomy plus chemotherapy against chemotherapy alone.</w:t>
            </w:r>
          </w:p>
          <w:p>
            <w:pPr>
              <w:pStyle w:val="ListParagraph"/>
              <w:numPr>
                <w:ilvl w:val="0"/>
                <w:numId w:val="2"/>
              </w:numPr>
              <w:spacing w:after="45"/>
            </w:pPr>
            <w:r>
              <w:rPr>
                <w:sz w:val="15"/>
                <w:szCs w:val="15"/>
              </w:rPr>
              <w:t xml:space="preserve">No linked editorial or comment on this report was found in PubMed, so no independent published critique informs this record.</w:t>
            </w:r>
          </w:p>
        </w:tc>
      </w:tr>
    </w:tbl>
    <w:p>
      <w:pPr>
        <w:spacing w:after="0" w:line="276"/>
      </w:pPr>
      <w:r>
        <w:rPr>
          <w:color w:val="5A6069"/>
          <w:sz w:val="14"/>
          <w:szCs w:val="14"/>
        </w:rPr>
        <w:t xml:space="preserve">Funding: Sponsored by the EORTC, with grants from Cancer Research UK (C837/A3488), ALM-CAO, the Dutch Cancer Foundation, the US National Cancer Institute (5U10 CA11488-32 to -40), a KWF donation through the EORTC Charitable Trust, and an unrestricted scientific grant from Sanofi-Aventis. Radionics, Radiotherapeutics and Rita provided radiofrequency ablation needles free of charge. Trial management and analysis were done at the EORTC Data Center independently of commercial interest, and no author declares a conflict of interest</w:t>
      </w:r>
    </w:p>
    <w:p>
      <w:pPr>
        <w:keepNext/>
        <w:spacing w:after="50" w:before="260"/>
      </w:pPr>
      <w:r>
        <w:rPr>
          <w:rFonts w:ascii="Cambria" w:cs="Cambria" w:eastAsia="Cambria" w:hAnsi="Cambria"/>
          <w:b/>
          <w:bCs/>
          <w:color w:val="17365D"/>
          <w:sz w:val="20"/>
          <w:szCs w:val="20"/>
        </w:rPr>
        <w:t xml:space="preserve">EORTC 40983</w:t>
      </w:r>
      <w:r>
        <w:rPr>
          <w:b/>
          <w:bCs/>
          <w:color w:val="176A87"/>
          <w:sz w:val="15"/>
          <w:szCs w:val="15"/>
        </w:rPr>
        <w:t xml:space="preserve">   Randomised trial</w:t>
      </w:r>
      <w:r>
        <w:rPr>
          <w:color w:val="5A6069"/>
          <w:sz w:val="15"/>
          <w:szCs w:val="15"/>
        </w:rPr>
        <w:t xml:space="preserve">   PMID 18358928</w:t>
      </w:r>
    </w:p>
    <w:p>
      <w:pPr>
        <w:spacing w:after="50" w:line="276"/>
      </w:pPr>
      <w:r>
        <w:rPr>
          <w:color w:val="5A6069"/>
          <w:sz w:val="17"/>
          <w:szCs w:val="17"/>
        </w:rPr>
        <w:t xml:space="preserve">Perioperative chemotherapy with FOLFOX4 and surgery versus surgery alone for resectable liver metastases from colorectal cancer (EORTC Intergroup trial 40983): a randomised controlled trial</w:t>
      </w:r>
    </w:p>
    <w:p>
      <w:pPr>
        <w:spacing w:after="50"/>
      </w:pPr>
      <w:r>
        <w:rPr>
          <w:b/>
          <w:bCs/>
          <w:color w:val="176A87"/>
          <w:sz w:val="16"/>
          <w:szCs w:val="16"/>
        </w:rPr>
        <w:t xml:space="preserve">Population. </w:t>
      </w:r>
      <w:r>
        <w:rPr>
          <w:sz w:val="16"/>
          <w:szCs w:val="16"/>
        </w:rPr>
        <w:t xml:space="preserve">364 patients aged 18 to 80 with one to four potentially resectable colorectal liver metastases and no detectable extrahepatic disease, recruited at 78 hospitals in 11 countries between October 2000 and July 2004 and assigned 1:1 to perioperative FOLFOX4 (182) or surgery alone (182); 52% had a single metastasis and 65% metachronous disease, 303 were resected (151 and 152), and 139 patients had died at this report</w:t>
      </w:r>
    </w:p>
    <w:p>
      <w:pPr>
        <w:spacing w:after="70"/>
      </w:pPr>
      <w:r>
        <w:rPr>
          <w:b/>
          <w:bCs/>
          <w:color w:val="17365D"/>
          <w:sz w:val="16"/>
          <w:szCs w:val="16"/>
        </w:rPr>
        <w:t xml:space="preserve">Bottom line. </w:t>
      </w:r>
      <w:r>
        <w:rPr>
          <w:sz w:val="16"/>
          <w:szCs w:val="16"/>
        </w:rPr>
        <w:t xml:space="preserve">Establishes that six cycles of FOLFOX4 before and six after hepatectomy for one to four resectable colorectal liver metastases is deliverable, with a 7.3-point gain in three-year progression-free survival that did not reach significance as randomised (HR 0.79, p=0.058) and reached it only among eligible (p=0.041) and resected (p=0.025) patients. It does not show the regimen converts anyone - resection rates were 83% against 84% - and it does not show survival benefit, which the same trial later reported as absent at 8.5 years. The analysis was released early on a stopping boundary added mid-trial under acknowledged external pressure, only 44% of patients completed the postoperative half, and complications rose from 16% to 25%.</w:t>
      </w:r>
    </w:p>
    <w:tbl>
      <w:tblPr>
        <w:tblW w:type="dxa" w:w="9360"/>
        <w:tblBorders>
          <w:top w:val="single" w:color="D3DCE4" w:sz="4"/>
          <w:left w:val="single" w:color="D3DCE4" w:sz="4"/>
          <w:bottom w:val="single" w:color="D3DCE4" w:sz="4"/>
          <w:right w:val="single" w:color="D3DCE4" w:sz="4"/>
          <w:insideH w:val="single" w:color="D3DCE4" w:sz="4"/>
          <w:insideV w:val="single" w:color="D3DCE4" w:sz="4"/>
        </w:tblBorders>
      </w:tblPr>
      <w:tblGrid>
        <w:gridCol w:w="4600"/>
        <w:gridCol w:w="4760"/>
      </w:tblGrid>
      <w:tr>
        <w:tc>
          <w:tcPr>
            <w:tcW w:type="dxa" w:w="4600"/>
            <w:shd w:fill="F1F4F8" w:color="auto" w:val="clear"/>
            <w:tcMar>
              <w:top w:type="dxa" w:w="70"/>
              <w:left w:type="dxa" w:w="110"/>
              <w:bottom w:type="dxa" w:w="70"/>
              <w:right w:type="dxa" w:w="110"/>
            </w:tcMar>
            <w:vAlign w:val="top"/>
          </w:tcPr>
          <w:p>
            <w:pPr>
              <w:spacing w:after="50"/>
            </w:pPr>
            <w:r>
              <w:rPr>
                <w:b/>
                <w:bCs/>
                <w:color w:val="8E5008"/>
                <w:spacing w:val="12"/>
                <w:sz w:val="14"/>
                <w:szCs w:val="14"/>
              </w:rPr>
              <w:t xml:space="preserve">LIMITATIONS THE AUTHORS STATE</w:t>
            </w:r>
          </w:p>
          <w:p>
            <w:pPr>
              <w:pStyle w:val="ListParagraph"/>
              <w:numPr>
                <w:ilvl w:val="0"/>
                <w:numId w:val="2"/>
              </w:numPr>
              <w:spacing w:after="45"/>
            </w:pPr>
            <w:r>
              <w:rPr>
                <w:sz w:val="15"/>
                <w:szCs w:val="15"/>
              </w:rPr>
              <w:t xml:space="preserve">The sensitivity analyses in eligible and in resected patients, which are the analyses that reached significance, were not protocol-specified, although the authors state they were decided before data analysis</w:t>
            </w:r>
          </w:p>
          <w:p>
            <w:pPr>
              <w:pStyle w:val="ListParagraph"/>
              <w:numPr>
                <w:ilvl w:val="0"/>
                <w:numId w:val="2"/>
              </w:numPr>
              <w:spacing w:after="45"/>
            </w:pPr>
            <w:r>
              <w:rPr>
                <w:sz w:val="15"/>
                <w:szCs w:val="15"/>
              </w:rPr>
              <w:t xml:space="preserve">Counting unresected patients as events, as the protocol required, inevitably dilutes the observed treatment difference in any analysis that includes them; all such events were assigned to week 10 to avoid bias from the different timing of surgery between arms</w:t>
            </w:r>
          </w:p>
          <w:p>
            <w:pPr>
              <w:pStyle w:val="ListParagraph"/>
              <w:numPr>
                <w:ilvl w:val="0"/>
                <w:numId w:val="2"/>
              </w:numPr>
              <w:spacing w:after="45"/>
            </w:pPr>
            <w:r>
              <w:rPr>
                <w:sz w:val="15"/>
                <w:szCs w:val="15"/>
              </w:rPr>
              <w:t xml:space="preserve">The authors note a possible selection bias: fewer chemotherapy-arm patients failed resection because of extensive disease but more failed because of refusal or poor condition</w:t>
            </w:r>
          </w:p>
          <w:p>
            <w:pPr>
              <w:pStyle w:val="ListParagraph"/>
              <w:numPr>
                <w:ilvl w:val="0"/>
                <w:numId w:val="2"/>
              </w:numPr>
              <w:spacing w:after="45"/>
            </w:pPr>
            <w:r>
              <w:rPr>
                <w:sz w:val="15"/>
                <w:szCs w:val="15"/>
              </w:rPr>
              <w:t xml:space="preserve">The trial was not designed to separate preoperative from postoperative chemotherapy, and previous trials had shown a trend favouring postoperative treatment only</w:t>
            </w:r>
          </w:p>
          <w:p>
            <w:pPr>
              <w:pStyle w:val="ListParagraph"/>
              <w:numPr>
                <w:ilvl w:val="0"/>
                <w:numId w:val="2"/>
              </w:numPr>
              <w:spacing w:after="45"/>
            </w:pPr>
            <w:r>
              <w:rPr>
                <w:sz w:val="15"/>
                <w:szCs w:val="15"/>
              </w:rPr>
              <w:t xml:space="preserve">Whether oxaliplatin-induced vascular liver lesions compromise the safety of subsequent surgery is stated to be unknown; the authors note the risk rises with more than six preoperative cycles and that they gave only six</w:t>
            </w:r>
          </w:p>
          <w:p>
            <w:pPr>
              <w:pStyle w:val="ListParagraph"/>
              <w:numPr>
                <w:ilvl w:val="0"/>
                <w:numId w:val="2"/>
              </w:numPr>
              <w:spacing w:after="45"/>
            </w:pPr>
            <w:r>
              <w:rPr>
                <w:sz w:val="15"/>
                <w:szCs w:val="15"/>
              </w:rPr>
              <w:t xml:space="preserve">Inference about overall survival is explicitly deferred to longer follow-up</w:t>
            </w:r>
          </w:p>
          <w:p>
            <w:pPr>
              <w:pStyle w:val="ListParagraph"/>
              <w:numPr>
                <w:ilvl w:val="0"/>
                <w:numId w:val="2"/>
              </w:numPr>
              <w:spacing w:after="45"/>
            </w:pPr>
            <w:r>
              <w:rPr>
                <w:sz w:val="15"/>
                <w:szCs w:val="15"/>
              </w:rPr>
              <w:t xml:space="preserve">The primary endpoint analysis was released early: a stopping boundary for efficacy was added at 6.5 years because events had not accumulated as expected and, in the authors' words, the pressure from the medical community to have the results disclosed was very strong</w:t>
            </w:r>
          </w:p>
        </w:tc>
        <w:tc>
          <w:tcPr>
            <w:tcW w:type="dxa" w:w="4760"/>
            <w:shd w:fill="F1F4F8" w:color="auto" w:val="clear"/>
            <w:tcMar>
              <w:top w:type="dxa" w:w="70"/>
              <w:left w:type="dxa" w:w="110"/>
              <w:bottom w:type="dxa" w:w="70"/>
              <w:right w:type="dxa" w:w="110"/>
            </w:tcMar>
            <w:vAlign w:val="top"/>
          </w:tcPr>
          <w:p>
            <w:pPr>
              <w:spacing w:after="50"/>
            </w:pPr>
            <w:r>
              <w:rPr>
                <w:b/>
                <w:bCs/>
                <w:color w:val="8C2F26"/>
                <w:spacing w:val="12"/>
                <w:sz w:val="14"/>
                <w:szCs w:val="14"/>
              </w:rPr>
              <w:t xml:space="preserve">WHAT THEY DO NOT SAY</w:t>
            </w:r>
          </w:p>
          <w:p>
            <w:pPr>
              <w:pStyle w:val="ListParagraph"/>
              <w:numPr>
                <w:ilvl w:val="0"/>
                <w:numId w:val="2"/>
              </w:numPr>
              <w:spacing w:after="45"/>
            </w:pPr>
            <w:r>
              <w:rPr>
                <w:sz w:val="15"/>
                <w:szCs w:val="15"/>
              </w:rPr>
              <w:t xml:space="preserve">The trial missed its primary endpoint as randomised: progression-free survival HR 0.79 (95.66% CI 0.62-1.02), p=0.058. Significance is obtained only after excluding patients found ineligible (p=0.041) or restricting to those resected (p=0.025), and the Interpretation then states the regimen reduces the risk of progression-free survival events in eligible and resected patients - a conclusion phrased in terms of the two sensitivity populations.</w:t>
            </w:r>
          </w:p>
          <w:p>
            <w:pPr>
              <w:pStyle w:val="ListParagraph"/>
              <w:numPr>
                <w:ilvl w:val="0"/>
                <w:numId w:val="2"/>
              </w:numPr>
              <w:spacing w:after="45"/>
            </w:pPr>
            <w:r>
              <w:rPr>
                <w:sz w:val="15"/>
                <w:szCs w:val="15"/>
              </w:rPr>
              <w:t xml:space="preserve">The resected-patient analysis conditions on an event that occurred after randomisation and was influenced by the allocated treatment, which the authors acknowledge indirectly by noting the reasons for non-resection differed between arms. It is not a randomised comparison.</w:t>
            </w:r>
          </w:p>
          <w:p>
            <w:pPr>
              <w:pStyle w:val="ListParagraph"/>
              <w:numPr>
                <w:ilvl w:val="0"/>
                <w:numId w:val="2"/>
              </w:numPr>
              <w:spacing w:after="45"/>
            </w:pPr>
            <w:r>
              <w:rPr>
                <w:sz w:val="15"/>
                <w:szCs w:val="15"/>
              </w:rPr>
              <w:t xml:space="preserve">The headline analysis was triggered by a stopping rule invented mid-trial. The protocol required 278 events; at 6.5 years they had not accrued, a boundary was added using a gamma-family alpha spending function, an interim analysis at 235 events was shown only to the data monitoring committee, and the data were updated and released for an ASCO deadline at 254 events. All confidence intervals in the paper are therefore 95.66% rather than 95%.</w:t>
            </w:r>
          </w:p>
          <w:p>
            <w:pPr>
              <w:pStyle w:val="ListParagraph"/>
              <w:numPr>
                <w:ilvl w:val="0"/>
                <w:numId w:val="2"/>
              </w:numPr>
              <w:spacing w:after="45"/>
            </w:pPr>
            <w:r>
              <w:rPr>
                <w:sz w:val="15"/>
                <w:szCs w:val="15"/>
              </w:rPr>
              <w:t xml:space="preserve">What the trial tested is not what its title claims. Of 182 patients allocated perioperative chemotherapy, 143 of 171 completed six preoperative cycles but only 115 (63%) started postoperative chemotherapy and 80 (44%) completed it. The comparison delivered is six preoperative cycles plus whatever could be given afterwards.</w:t>
            </w:r>
          </w:p>
          <w:p>
            <w:pPr>
              <w:pStyle w:val="ListParagraph"/>
              <w:numPr>
                <w:ilvl w:val="0"/>
                <w:numId w:val="2"/>
              </w:numPr>
              <w:spacing w:after="45"/>
            </w:pPr>
            <w:r>
              <w:rPr>
                <w:sz w:val="15"/>
                <w:szCs w:val="15"/>
              </w:rPr>
              <w:t xml:space="preserve">Chemotherapy produced no increase in resection: 83% against 84%. In a trial of neoadjuvant treatment for resectable disease this is the most important negative result and it appears without comment on what the preoperative component was for, beyond progression-free survival.</w:t>
            </w:r>
          </w:p>
          <w:p>
            <w:pPr>
              <w:pStyle w:val="ListParagraph"/>
              <w:numPr>
                <w:ilvl w:val="0"/>
                <w:numId w:val="2"/>
              </w:numPr>
              <w:spacing w:after="45"/>
            </w:pPr>
            <w:r>
              <w:rPr>
                <w:sz w:val="15"/>
                <w:szCs w:val="15"/>
              </w:rPr>
              <w:t xml:space="preserve">More chemotherapy-arm patients were never operated on at all (22, 12%, against 8, 4%). Since non-resection was counted as an event at week 10, the arm that lost more patients to non-operation was penalised at a fixed early timepoint rather than at the time the decision was made - a convention that cuts both ways and is never examined in a sensitivity analysis.</w:t>
            </w:r>
          </w:p>
          <w:p>
            <w:pPr>
              <w:pStyle w:val="ListParagraph"/>
              <w:numPr>
                <w:ilvl w:val="0"/>
                <w:numId w:val="2"/>
              </w:numPr>
              <w:spacing w:after="45"/>
            </w:pPr>
            <w:r>
              <w:rPr>
                <w:sz w:val="15"/>
                <w:szCs w:val="15"/>
              </w:rPr>
              <w:t xml:space="preserve">The surgical cost is real and is argued away rather than weighed: reversible complications rose from 16% to 25% (p=0.04), driven by biliary fistula (8% vs 4%), intra-abdominal infection (7% vs 2%) and hepatic failure (7% vs 5%), one resection was abandoned for macroscopic chemotherapy liver injury, and the authors state they believe this moderate increase does not compromise the potential benefits.</w:t>
            </w:r>
          </w:p>
          <w:p>
            <w:pPr>
              <w:pStyle w:val="ListParagraph"/>
              <w:numPr>
                <w:ilvl w:val="0"/>
                <w:numId w:val="2"/>
              </w:numPr>
              <w:spacing w:after="45"/>
            </w:pPr>
            <w:r>
              <w:rPr>
                <w:sz w:val="15"/>
                <w:szCs w:val="15"/>
              </w:rPr>
              <w:t xml:space="preserve">Progression on preoperative chemotherapy in 12 patients (7%), four of whom became unresectable from new lesions, is reinterpreted as a biological marker of poor prognosis with the assertion that immediate surgery would not have benefited them - a counterfactual claim about four patients, made without data.</w:t>
            </w:r>
          </w:p>
          <w:p>
            <w:pPr>
              <w:pStyle w:val="ListParagraph"/>
              <w:numPr>
                <w:ilvl w:val="0"/>
                <w:numId w:val="2"/>
              </w:numPr>
              <w:spacing w:after="45"/>
            </w:pPr>
            <w:r>
              <w:rPr>
                <w:sz w:val="15"/>
                <w:szCs w:val="15"/>
              </w:rPr>
              <w:t xml:space="preserve">The population is the most favourable end of the disease: one to four metastases, no extrahepatic disease, half with a single lesion. The Discussion suggests the findings would probably hold in higher-risk patients, which the trial cannot support.</w:t>
            </w:r>
          </w:p>
          <w:p>
            <w:pPr>
              <w:pStyle w:val="ListParagraph"/>
              <w:numPr>
                <w:ilvl w:val="0"/>
                <w:numId w:val="2"/>
              </w:numPr>
              <w:spacing w:after="45"/>
            </w:pPr>
            <w:r>
              <w:rPr>
                <w:sz w:val="15"/>
                <w:szCs w:val="15"/>
              </w:rPr>
              <w:t xml:space="preserve">Progression-free survival was assessed on imaging in an unblinded trial, with no independent central radiology review described, and the authors note that the gap between imaging and surgical findings is the principal reason patients turned out unresectable.</w:t>
            </w:r>
          </w:p>
          <w:p>
            <w:pPr>
              <w:pStyle w:val="ListParagraph"/>
              <w:numPr>
                <w:ilvl w:val="0"/>
                <w:numId w:val="2"/>
              </w:numPr>
              <w:spacing w:after="45"/>
            </w:pPr>
            <w:r>
              <w:rPr>
                <w:sz w:val="15"/>
                <w:szCs w:val="15"/>
              </w:rPr>
              <w:t xml:space="preserve">No quality-of-life result is reported, in a trial adding twelve cycles of oxaliplatin-based chemotherapy around a major hepatectomy in patients who are candidates for cure.</w:t>
            </w:r>
          </w:p>
          <w:p>
            <w:pPr>
              <w:pStyle w:val="ListParagraph"/>
              <w:numPr>
                <w:ilvl w:val="0"/>
                <w:numId w:val="2"/>
              </w:numPr>
              <w:spacing w:after="45"/>
            </w:pPr>
            <w:r>
              <w:rPr>
                <w:sz w:val="15"/>
                <w:szCs w:val="15"/>
              </w:rPr>
              <w:t xml:space="preserve">Overall survival data existed - 139 deaths, 64 against 75 - and inference was deferred; the 2013 long-term report of this trial (also in this depot) found no survival difference, so the endpoint released early under community pressure was the only one that ever favoured the regimen.</w:t>
            </w:r>
          </w:p>
          <w:p>
            <w:pPr>
              <w:pStyle w:val="ListParagraph"/>
              <w:numPr>
                <w:ilvl w:val="0"/>
                <w:numId w:val="2"/>
              </w:numPr>
              <w:spacing w:after="45"/>
            </w:pPr>
            <w:r>
              <w:rPr>
                <w:sz w:val="15"/>
                <w:szCs w:val="15"/>
              </w:rPr>
              <w:t xml:space="preserve">The manufacturer of the trial drug supplied it free, funded an educational grant, had two named staff responsible for the trial at the company, and eight authors declare relationships with it, in a trial whose positive result exists only in non-prespecified populations.</w:t>
            </w:r>
          </w:p>
          <w:p>
            <w:pPr>
              <w:pStyle w:val="ListParagraph"/>
              <w:numPr>
                <w:ilvl w:val="0"/>
                <w:numId w:val="2"/>
              </w:numPr>
              <w:spacing w:after="45"/>
            </w:pPr>
            <w:r>
              <w:rPr>
                <w:sz w:val="15"/>
                <w:szCs w:val="15"/>
              </w:rPr>
              <w:t xml:space="preserve">Two linked items were identified in PubMed - Kopetz and Vauthey's Comment (PMID 18358910, Lancet 2008;371:963-5) and correspondence from Snoeren, Voest and van Hillegersberg with the authors' reply (PMID 18640447, Lancet 2008;372:202-3) - but their texts were not read for this record.</w:t>
            </w:r>
          </w:p>
        </w:tc>
      </w:tr>
    </w:tbl>
    <w:p>
      <w:pPr>
        <w:spacing w:after="0" w:line="276"/>
      </w:pPr>
      <w:r>
        <w:rPr>
          <w:color w:val="5A6069"/>
          <w:sz w:val="14"/>
          <w:szCs w:val="14"/>
        </w:rPr>
        <w:t xml:space="preserve">Funding: Sponsored by the EORTC, with grants from the Swedish Cancer Society, Cancer Research UK, the Ligue Nationale Contre le Cancer and the US National Cancer Institute, and support from Sanofi-Aventis, which supplied oxaliplatin free of charge and gave an educational grant; two named Sanofi-Aventis staff are acknowledged as responsible for the trial at the company. Design, management, analysis and interpretation were done at EORTC headquarters independently of commercial interest. Eight authors declare consultancy, advisory, lecture or research relationships with Sanofi-Aventis</w:t>
      </w:r>
    </w:p>
    <w:p>
      <w:pPr>
        <w:keepNext/>
        <w:spacing w:after="50" w:before="260"/>
      </w:pPr>
      <w:r>
        <w:rPr>
          <w:rFonts w:ascii="Cambria" w:cs="Cambria" w:eastAsia="Cambria" w:hAnsi="Cambria"/>
          <w:b/>
          <w:bCs/>
          <w:color w:val="17365D"/>
          <w:sz w:val="20"/>
          <w:szCs w:val="20"/>
        </w:rPr>
        <w:t xml:space="preserve">EORTC 40983 long-term</w:t>
      </w:r>
      <w:r>
        <w:rPr>
          <w:b/>
          <w:bCs/>
          <w:color w:val="176A87"/>
          <w:sz w:val="15"/>
          <w:szCs w:val="15"/>
        </w:rPr>
        <w:t xml:space="preserve">   Randomised trial</w:t>
      </w:r>
      <w:r>
        <w:rPr>
          <w:color w:val="5A6069"/>
          <w:sz w:val="15"/>
          <w:szCs w:val="15"/>
        </w:rPr>
        <w:t xml:space="preserve">   PMID 24120480</w:t>
      </w:r>
    </w:p>
    <w:p>
      <w:pPr>
        <w:spacing w:after="50" w:line="276"/>
      </w:pPr>
      <w:r>
        <w:rPr>
          <w:color w:val="5A6069"/>
          <w:sz w:val="17"/>
          <w:szCs w:val="17"/>
        </w:rPr>
        <w:t xml:space="preserve">Perioperative FOLFOX4 chemotherapy and surgery versus surgery alone for resectable liver metastases from colorectal cancer (EORTC 40983): long-term results of a randomised, controlled, phase 3 trial</w:t>
      </w:r>
    </w:p>
    <w:p>
      <w:pPr>
        <w:spacing w:after="50"/>
      </w:pPr>
      <w:r>
        <w:rPr>
          <w:b/>
          <w:bCs/>
          <w:color w:val="176A87"/>
          <w:sz w:val="16"/>
          <w:szCs w:val="16"/>
        </w:rPr>
        <w:t xml:space="preserve">Population. </w:t>
      </w:r>
      <w:r>
        <w:rPr>
          <w:sz w:val="16"/>
          <w:szCs w:val="16"/>
        </w:rPr>
        <w:t xml:space="preserve">364 patients aged 18 to 80 with one to four resectable colorectal liver metastases and no detectable extrahepatic disease, randomised at 78 hospitals in Europe, Australia and Hong Kong between October 2000 and July 2004 (182 per group); 171 per group were eligible and 152 per group were resected; 188 of 364 (52%) had a single metastasis. At a median follow-up of 8.5 years there were 221 deaths and 29 patients lost to follow-up</w:t>
      </w:r>
    </w:p>
    <w:p>
      <w:pPr>
        <w:spacing w:after="70"/>
      </w:pPr>
      <w:r>
        <w:rPr>
          <w:b/>
          <w:bCs/>
          <w:color w:val="17365D"/>
          <w:sz w:val="16"/>
          <w:szCs w:val="16"/>
        </w:rPr>
        <w:t xml:space="preserve">Bottom line. </w:t>
      </w:r>
      <w:r>
        <w:rPr>
          <w:sz w:val="16"/>
          <w:szCs w:val="16"/>
        </w:rPr>
        <w:t xml:space="preserve">Establishes that adding six cycles of FOLFOX4 before and six after hepatectomy for one to four resectable colorectal liver metastases does not prolong life: at 8.5 years median survival was 61.3 versus 54.3 months, HR 0.88 (95% CI 0.68-1.14, p=0.34), with a 3.4% absolute difference at five years whose interval spans 7 points of harm to 14 of benefit. It does not establish the progression-free survival benefit that the authors use to keep recommending the regimen - that reaches significance only after excluding patients found ineligible after randomisation, and its original report was released early on a stopping boundary added mid-trial under acknowledged external pressure. The surgery-only arm lived a median 73.3 months after resection, which is the most useful number in the paper.</w:t>
      </w:r>
    </w:p>
    <w:tbl>
      <w:tblPr>
        <w:tblW w:type="dxa" w:w="9360"/>
        <w:tblBorders>
          <w:top w:val="single" w:color="D3DCE4" w:sz="4"/>
          <w:left w:val="single" w:color="D3DCE4" w:sz="4"/>
          <w:bottom w:val="single" w:color="D3DCE4" w:sz="4"/>
          <w:right w:val="single" w:color="D3DCE4" w:sz="4"/>
          <w:insideH w:val="single" w:color="D3DCE4" w:sz="4"/>
          <w:insideV w:val="single" w:color="D3DCE4" w:sz="4"/>
        </w:tblBorders>
      </w:tblPr>
      <w:tblGrid>
        <w:gridCol w:w="4600"/>
        <w:gridCol w:w="4760"/>
      </w:tblGrid>
      <w:tr>
        <w:tc>
          <w:tcPr>
            <w:tcW w:type="dxa" w:w="4600"/>
            <w:shd w:fill="F1F4F8" w:color="auto" w:val="clear"/>
            <w:tcMar>
              <w:top w:type="dxa" w:w="70"/>
              <w:left w:type="dxa" w:w="110"/>
              <w:bottom w:type="dxa" w:w="70"/>
              <w:right w:type="dxa" w:w="110"/>
            </w:tcMar>
            <w:vAlign w:val="top"/>
          </w:tcPr>
          <w:p>
            <w:pPr>
              <w:spacing w:after="50"/>
            </w:pPr>
            <w:r>
              <w:rPr>
                <w:b/>
                <w:bCs/>
                <w:color w:val="8E5008"/>
                <w:spacing w:val="12"/>
                <w:sz w:val="14"/>
                <w:szCs w:val="14"/>
              </w:rPr>
              <w:t xml:space="preserve">LIMITATIONS THE AUTHORS STATE</w:t>
            </w:r>
          </w:p>
          <w:p>
            <w:pPr>
              <w:pStyle w:val="ListParagraph"/>
              <w:numPr>
                <w:ilvl w:val="0"/>
                <w:numId w:val="2"/>
              </w:numPr>
              <w:spacing w:after="45"/>
            </w:pPr>
            <w:r>
              <w:rPr>
                <w:sz w:val="15"/>
                <w:szCs w:val="15"/>
              </w:rPr>
              <w:t xml:space="preserve">The trial was designed to detect a progression-free survival benefit and was not powered upfront for overall survival, which was a secondary endpoint</w:t>
            </w:r>
          </w:p>
          <w:p>
            <w:pPr>
              <w:pStyle w:val="ListParagraph"/>
              <w:numPr>
                <w:ilvl w:val="0"/>
                <w:numId w:val="2"/>
              </w:numPr>
              <w:spacing w:after="45"/>
            </w:pPr>
            <w:r>
              <w:rPr>
                <w:sz w:val="15"/>
                <w:szCs w:val="15"/>
              </w:rPr>
              <w:t xml:space="preserve">The surgery-only group did much better than assumed - 3-year progression-free survival 28.1% against the 21% predicted at design, and median overall survival 73.3 months among resected patients - which the authors say made a treatment benefit harder to show</w:t>
            </w:r>
          </w:p>
          <w:p>
            <w:pPr>
              <w:pStyle w:val="ListParagraph"/>
              <w:numPr>
                <w:ilvl w:val="0"/>
                <w:numId w:val="2"/>
              </w:numPr>
              <w:spacing w:after="45"/>
            </w:pPr>
            <w:r>
              <w:rPr>
                <w:sz w:val="15"/>
                <w:szCs w:val="15"/>
              </w:rPr>
              <w:t xml:space="preserve">Chemotherapy at first progression was given more often in the surgery-only group (77% versus 59%, p=0.0029); the authors state the reason is unclear and that data on treatments for second and later progressions were not obtained systematically</w:t>
            </w:r>
          </w:p>
          <w:p>
            <w:pPr>
              <w:pStyle w:val="ListParagraph"/>
              <w:numPr>
                <w:ilvl w:val="0"/>
                <w:numId w:val="2"/>
              </w:numPr>
              <w:spacing w:after="45"/>
            </w:pPr>
            <w:r>
              <w:rPr>
                <w:sz w:val="15"/>
                <w:szCs w:val="15"/>
              </w:rPr>
              <w:t xml:space="preserve">More patients in the chemotherapy group died of causes other than progression, protocol treatment or surgery (15 versus 10), which the authors suggest could have contributed to the absence of a survival difference</w:t>
            </w:r>
          </w:p>
          <w:p>
            <w:pPr>
              <w:pStyle w:val="ListParagraph"/>
              <w:numPr>
                <w:ilvl w:val="0"/>
                <w:numId w:val="2"/>
              </w:numPr>
              <w:spacing w:after="45"/>
            </w:pPr>
            <w:r>
              <w:rPr>
                <w:sz w:val="15"/>
                <w:szCs w:val="15"/>
              </w:rPr>
              <w:t xml:space="preserve">The 8.5-year analysis timepoint was not prespecified in the protocol but was a compromise based on the number of deaths reachable with the accrued sample size</w:t>
            </w:r>
          </w:p>
          <w:p>
            <w:pPr>
              <w:pStyle w:val="ListParagraph"/>
              <w:numPr>
                <w:ilvl w:val="0"/>
                <w:numId w:val="2"/>
              </w:numPr>
              <w:spacing w:after="45"/>
            </w:pPr>
            <w:r>
              <w:rPr>
                <w:sz w:val="15"/>
                <w:szCs w:val="15"/>
              </w:rPr>
              <w:t xml:space="preserve">The authors note that trials of this size cannot answer the survival question in this disease and that future progress will probably have to rely on surrogate endpoints such as progression-free survival or pathological response</w:t>
            </w:r>
          </w:p>
        </w:tc>
        <w:tc>
          <w:tcPr>
            <w:tcW w:type="dxa" w:w="4760"/>
            <w:shd w:fill="F1F4F8" w:color="auto" w:val="clear"/>
            <w:tcMar>
              <w:top w:type="dxa" w:w="70"/>
              <w:left w:type="dxa" w:w="110"/>
              <w:bottom w:type="dxa" w:w="70"/>
              <w:right w:type="dxa" w:w="110"/>
            </w:tcMar>
            <w:vAlign w:val="top"/>
          </w:tcPr>
          <w:p>
            <w:pPr>
              <w:spacing w:after="50"/>
            </w:pPr>
            <w:r>
              <w:rPr>
                <w:b/>
                <w:bCs/>
                <w:color w:val="8C2F26"/>
                <w:spacing w:val="12"/>
                <w:sz w:val="14"/>
                <w:szCs w:val="14"/>
              </w:rPr>
              <w:t xml:space="preserve">WHAT THEY DO NOT SAY</w:t>
            </w:r>
          </w:p>
          <w:p>
            <w:pPr>
              <w:pStyle w:val="ListParagraph"/>
              <w:numPr>
                <w:ilvl w:val="0"/>
                <w:numId w:val="2"/>
              </w:numPr>
              <w:spacing w:after="45"/>
            </w:pPr>
            <w:r>
              <w:rPr>
                <w:sz w:val="15"/>
                <w:szCs w:val="15"/>
              </w:rPr>
              <w:t xml:space="preserve">The not-powered-for-survival defence does not fit the authors' own arithmetic. Their post hoc calculation states that at least 194 deaths were needed for 80% power to detect a 10-point gain in 3-year survival; 221 deaths were observed. The trial therefore had the power it says it lacked for a difference of that size, and found an absolute 5-year difference of 3.4% with a 95% CI of -7.1 to 13.8.</w:t>
            </w:r>
          </w:p>
          <w:p>
            <w:pPr>
              <w:pStyle w:val="ListParagraph"/>
              <w:numPr>
                <w:ilvl w:val="0"/>
                <w:numId w:val="2"/>
              </w:numPr>
              <w:spacing w:after="45"/>
            </w:pPr>
            <w:r>
              <w:rPr>
                <w:sz w:val="15"/>
                <w:szCs w:val="15"/>
              </w:rPr>
              <w:t xml:space="preserve">The progression-free survival result that the whole recommendation rests on was released early under non-statistical pressure. The protocol required 278 events; at 6.5 years the events had not accumulated, so a stopping boundary for efficacy was implemented after the fact, an interim analysis at 235 events was shown only to the data monitoring committee, and the results were released for ASCO 2007 because - in the paper's own words - the pressure from the medical community to disclose was very strong.</w:t>
            </w:r>
          </w:p>
          <w:p>
            <w:pPr>
              <w:pStyle w:val="ListParagraph"/>
              <w:numPr>
                <w:ilvl w:val="0"/>
                <w:numId w:val="2"/>
              </w:numPr>
              <w:spacing w:after="45"/>
            </w:pPr>
            <w:r>
              <w:rPr>
                <w:sz w:val="15"/>
                <w:szCs w:val="15"/>
              </w:rPr>
              <w:t xml:space="preserve">Statistical significance for progression-free survival exists only in a sensitivity population. In all randomised patients the updated hazard ratio is 0.81 (95% CI 0.64-1.02, p=0.068); it reaches 0.78 (0.61-0.99, p=0.035) only after excluding the 22 patients found ineligible after randomisation. The Interpretation nonetheless states that FOLFOX4 should remain the reference treatment.</w:t>
            </w:r>
          </w:p>
          <w:p>
            <w:pPr>
              <w:pStyle w:val="ListParagraph"/>
              <w:numPr>
                <w:ilvl w:val="0"/>
                <w:numId w:val="2"/>
              </w:numPr>
              <w:spacing w:after="45"/>
            </w:pPr>
            <w:r>
              <w:rPr>
                <w:sz w:val="15"/>
                <w:szCs w:val="15"/>
              </w:rPr>
              <w:t xml:space="preserve">The case for the regimen is made by analogy rather than from the data: the 3.4% to 4.1% absolute survival difference is set beside MOSAIC's 4.2% at six years, a result that was statistically significant in 1347 patients. The paper argues that because a similar-sized difference was decisive in a trial five times larger, a non-significant difference here should be treated as real.</w:t>
            </w:r>
          </w:p>
          <w:p>
            <w:pPr>
              <w:pStyle w:val="ListParagraph"/>
              <w:numPr>
                <w:ilvl w:val="0"/>
                <w:numId w:val="2"/>
              </w:numPr>
              <w:spacing w:after="45"/>
            </w:pPr>
            <w:r>
              <w:rPr>
                <w:sz w:val="15"/>
                <w:szCs w:val="15"/>
              </w:rPr>
              <w:t xml:space="preserve">The conclusions are explicitly stated as belief rather than inference - the Research in Context panel says that although the results were not statistically significant, the authors believe perioperative FOLFOX4 should be the reference treatment, and the Discussion says they believe patients are likelier to receive chemotherapy if it is given before surgery. Neither claim is tested anywhere in the paper.</w:t>
            </w:r>
          </w:p>
          <w:p>
            <w:pPr>
              <w:pStyle w:val="ListParagraph"/>
              <w:numPr>
                <w:ilvl w:val="0"/>
                <w:numId w:val="2"/>
              </w:numPr>
              <w:spacing w:after="45"/>
            </w:pPr>
            <w:r>
              <w:rPr>
                <w:sz w:val="15"/>
                <w:szCs w:val="15"/>
              </w:rPr>
              <w:t xml:space="preserve">The excess non-cancer deaths with chemotherapy are used to explain the null result rather than examined as possible harm. The cause-of-death table shows 4 cerebrovascular accidents against 0 and 4 cardiac deaths against 2 in the chemotherapy arm, with 15 versus 10 other deaths in total, in a trial of a vascular-toxic drug.</w:t>
            </w:r>
          </w:p>
          <w:p>
            <w:pPr>
              <w:pStyle w:val="ListParagraph"/>
              <w:numPr>
                <w:ilvl w:val="0"/>
                <w:numId w:val="2"/>
              </w:numPr>
              <w:spacing w:after="45"/>
            </w:pPr>
            <w:r>
              <w:rPr>
                <w:sz w:val="15"/>
                <w:szCs w:val="15"/>
              </w:rPr>
              <w:t xml:space="preserve">The competing-risk and cancer-specific survival analyses said to show a trend favouring chemotherapy are reported in one sentence as not statistically significant, with the figures confined to the appendix, so the strongest version of the authors' case cannot be checked by a reader of the paper.</w:t>
            </w:r>
          </w:p>
          <w:p>
            <w:pPr>
              <w:pStyle w:val="ListParagraph"/>
              <w:numPr>
                <w:ilvl w:val="0"/>
                <w:numId w:val="2"/>
              </w:numPr>
              <w:spacing w:after="45"/>
            </w:pPr>
            <w:r>
              <w:rPr>
                <w:sz w:val="15"/>
                <w:szCs w:val="15"/>
              </w:rPr>
              <w:t xml:space="preserve">Post-progression management - the determinant of overall survival in this disease - was recorded only for first-line therapy at progression. Repeat surgery (40% versus 46%), radiotherapy (2% versus 9%) and symptomatic treatment (6% versus 11%) all differ between arms, and everything after the first progression is unrecorded.</w:t>
            </w:r>
          </w:p>
          <w:p>
            <w:pPr>
              <w:pStyle w:val="ListParagraph"/>
              <w:numPr>
                <w:ilvl w:val="0"/>
                <w:numId w:val="2"/>
              </w:numPr>
              <w:spacing w:after="45"/>
            </w:pPr>
            <w:r>
              <w:rPr>
                <w:sz w:val="15"/>
                <w:szCs w:val="15"/>
              </w:rPr>
              <w:t xml:space="preserve">The systematic review supporting the Research in Context panel searched PubMed only to December 1999 and Embase only to December 1999, in a paper published in 2013, so the evidence context offered alongside the long-term result is 14 years out of date and identified three trials.</w:t>
            </w:r>
          </w:p>
          <w:p>
            <w:pPr>
              <w:pStyle w:val="ListParagraph"/>
              <w:numPr>
                <w:ilvl w:val="0"/>
                <w:numId w:val="2"/>
              </w:numPr>
              <w:spacing w:after="45"/>
            </w:pPr>
            <w:r>
              <w:rPr>
                <w:sz w:val="15"/>
                <w:szCs w:val="15"/>
              </w:rPr>
              <w:t xml:space="preserve">Eligibility was narrow and favourable in ways that bound the result: one to four metastases, no extrahepatic disease, age 80 or under, and 52% with a solitary lesion. There is no central radiology review described, resectability was judged by local multidisciplinary teams, and the trial predates RAS and BRAF selection entirely, so neither the population nor the regimen choice maps onto current practice.</w:t>
            </w:r>
          </w:p>
          <w:p>
            <w:pPr>
              <w:pStyle w:val="ListParagraph"/>
              <w:numPr>
                <w:ilvl w:val="0"/>
                <w:numId w:val="2"/>
              </w:numPr>
              <w:spacing w:after="45"/>
            </w:pPr>
            <w:r>
              <w:rPr>
                <w:sz w:val="15"/>
                <w:szCs w:val="15"/>
              </w:rPr>
              <w:t xml:space="preserve">Twenty-two randomised patients (11 per arm) were found ineligible and 60 (30 per arm) were never resected, yet the paper's favoured analyses move between randomised, eligible and resected populations - with median survival of 61.3, unreported and 77.5 months respectively in the chemotherapy arm - without a single prespecified hierarchy saying which answers the question.</w:t>
            </w:r>
          </w:p>
          <w:p>
            <w:pPr>
              <w:pStyle w:val="ListParagraph"/>
              <w:numPr>
                <w:ilvl w:val="0"/>
                <w:numId w:val="2"/>
              </w:numPr>
              <w:spacing w:after="45"/>
            </w:pPr>
            <w:r>
              <w:rPr>
                <w:sz w:val="15"/>
                <w:szCs w:val="15"/>
              </w:rPr>
              <w:t xml:space="preserve">The maker of the trial drug supplied it free and gave an educational grant, and six authors declare relationships with that company, in a trial whose null primary-population result is nonetheless presented as supporting continued use of that drug.</w:t>
            </w:r>
          </w:p>
          <w:p>
            <w:pPr>
              <w:pStyle w:val="ListParagraph"/>
              <w:numPr>
                <w:ilvl w:val="0"/>
                <w:numId w:val="2"/>
              </w:numPr>
              <w:spacing w:after="45"/>
            </w:pPr>
            <w:r>
              <w:rPr>
                <w:sz w:val="15"/>
                <w:szCs w:val="15"/>
              </w:rPr>
              <w:t xml:space="preserve">A linked Lancet Oncology comment by Fong (PMID 24120479, 'Chemotherapy and resection for colorectal metastases', 2013) was identified in PubMed but its text was not available here, so its objections are not reflected in this record.</w:t>
            </w:r>
          </w:p>
        </w:tc>
      </w:tr>
    </w:tbl>
    <w:p>
      <w:pPr>
        <w:spacing w:after="0" w:line="276"/>
      </w:pPr>
      <w:r>
        <w:rPr>
          <w:color w:val="5A6069"/>
          <w:sz w:val="14"/>
          <w:szCs w:val="14"/>
        </w:rPr>
        <w:t xml:space="preserve">Funding: Sponsored by the EORTC, with an educational grant from Sanofi-Aventis and grants from the Norwegian and Swedish Cancer Societies, Cancer Research UK, the Ligue Nationale Contre le Cancer and the US National Cancer Institute; Sanofi-Aventis also supplied oxaliplatin free of charge. EORTC headquarters states that design, management, analysis and interpretation were done independently of any commercial interest. Six co-authors declare consulting, advisory or research relationships with Sanofi-Aventis, the maker of oxaliplatin</w:t>
      </w:r>
    </w:p>
    <w:p>
      <w:pPr>
        <w:keepNext/>
        <w:spacing w:after="50" w:before="260"/>
      </w:pPr>
      <w:r>
        <w:rPr>
          <w:rFonts w:ascii="Cambria" w:cs="Cambria" w:eastAsia="Cambria" w:hAnsi="Cambria"/>
          <w:b/>
          <w:bCs/>
          <w:color w:val="17365D"/>
          <w:sz w:val="20"/>
          <w:szCs w:val="20"/>
        </w:rPr>
        <w:t xml:space="preserve">EPOCH</w:t>
      </w:r>
      <w:r>
        <w:rPr>
          <w:b/>
          <w:bCs/>
          <w:color w:val="176A87"/>
          <w:sz w:val="15"/>
          <w:szCs w:val="15"/>
        </w:rPr>
        <w:t xml:space="preserve">   Randomised trial</w:t>
      </w:r>
      <w:r>
        <w:rPr>
          <w:color w:val="5A6069"/>
          <w:sz w:val="15"/>
          <w:szCs w:val="15"/>
        </w:rPr>
        <w:t xml:space="preserve">   PMID 34541864</w:t>
      </w:r>
    </w:p>
    <w:p>
      <w:pPr>
        <w:spacing w:after="50" w:line="276"/>
      </w:pPr>
      <w:r>
        <w:rPr>
          <w:color w:val="5A6069"/>
          <w:sz w:val="17"/>
          <w:szCs w:val="17"/>
        </w:rPr>
        <w:t xml:space="preserve">Radioembolization With Chemotherapy for Colorectal Liver Metastases: A Randomized, Open-Label, International, Multicenter, Phase III Trial</w:t>
      </w:r>
    </w:p>
    <w:p>
      <w:pPr>
        <w:spacing w:after="50"/>
      </w:pPr>
      <w:r>
        <w:rPr>
          <w:b/>
          <w:bCs/>
          <w:color w:val="176A87"/>
          <w:sz w:val="16"/>
          <w:szCs w:val="16"/>
        </w:rPr>
        <w:t xml:space="preserve">Population. </w:t>
      </w:r>
      <w:r>
        <w:rPr>
          <w:sz w:val="16"/>
          <w:szCs w:val="16"/>
        </w:rPr>
        <w:t xml:space="preserve">428 patients with unresectable unilobar or bilobar colorectal liver metastases progressing after oxaliplatin- or irinotecan-based first-line therapy, randomised 1:1 at 95 centres in North America, Europe and Asia between May 2012 and August 2020 from 539 assessed (215 radioembolization plus second-line chemotherapy, 213 chemotherapy alone); 82% had bilobar disease, 39% more than ten lesions, 47% a KRAS mutation, and BRAF and NRAS were never tested. Twenty-eight of 215 allocated to radioembolization (13%) never received it, and the analysis used 267 progression events against the 287 originally planned</w:t>
      </w:r>
    </w:p>
    <w:p>
      <w:pPr>
        <w:spacing w:after="70"/>
      </w:pPr>
      <w:r>
        <w:rPr>
          <w:b/>
          <w:bCs/>
          <w:color w:val="17365D"/>
          <w:sz w:val="16"/>
          <w:szCs w:val="16"/>
        </w:rPr>
        <w:t xml:space="preserve">Bottom line. </w:t>
      </w:r>
      <w:r>
        <w:rPr>
          <w:sz w:val="16"/>
          <w:szCs w:val="16"/>
        </w:rPr>
        <w:t xml:space="preserve">Establishes that adding yttrium-90 glass microsphere radioembolization to second-line chemotherapy in unresectable colorectal liver metastases delays progression - progression-free survival 8.0 against 7.2 months (HR 0.69) and hepatic progression-free survival 9.1 against 7.2 (HR 0.59) - and raises response from 21% to 34%. It shows no survival benefit, with overall survival numerically worse (14.0 against 14.4 months, HR 1.07), at the cost of grade 3 or worse toxicity in 68% against 49% and three deaths from radiation liver disease, hepatic failure and portal hypertension. Both primary endpoints were tested one-sided with either sufficing, patients were censored when they received subsequent therapy, the plan was amended mid-trial, half the cohort was KRAS wild-type but almost none received an EGFR inhibitor, and the device manufacturer collaborated on design and analysis.</w:t>
      </w:r>
    </w:p>
    <w:tbl>
      <w:tblPr>
        <w:tblW w:type="dxa" w:w="9360"/>
        <w:tblBorders>
          <w:top w:val="single" w:color="D3DCE4" w:sz="4"/>
          <w:left w:val="single" w:color="D3DCE4" w:sz="4"/>
          <w:bottom w:val="single" w:color="D3DCE4" w:sz="4"/>
          <w:right w:val="single" w:color="D3DCE4" w:sz="4"/>
          <w:insideH w:val="single" w:color="D3DCE4" w:sz="4"/>
          <w:insideV w:val="single" w:color="D3DCE4" w:sz="4"/>
        </w:tblBorders>
      </w:tblPr>
      <w:tblGrid>
        <w:gridCol w:w="4600"/>
        <w:gridCol w:w="4760"/>
      </w:tblGrid>
      <w:tr>
        <w:tc>
          <w:tcPr>
            <w:tcW w:type="dxa" w:w="4600"/>
            <w:shd w:fill="F1F4F8" w:color="auto" w:val="clear"/>
            <w:tcMar>
              <w:top w:type="dxa" w:w="70"/>
              <w:left w:type="dxa" w:w="110"/>
              <w:bottom w:type="dxa" w:w="70"/>
              <w:right w:type="dxa" w:w="110"/>
            </w:tcMar>
            <w:vAlign w:val="top"/>
          </w:tcPr>
          <w:p>
            <w:pPr>
              <w:spacing w:after="50"/>
            </w:pPr>
            <w:r>
              <w:rPr>
                <w:b/>
                <w:bCs/>
                <w:color w:val="8E5008"/>
                <w:spacing w:val="12"/>
                <w:sz w:val="14"/>
                <w:szCs w:val="14"/>
              </w:rPr>
              <w:t xml:space="preserve">LIMITATIONS THE AUTHORS STATE</w:t>
            </w:r>
          </w:p>
          <w:p>
            <w:pPr>
              <w:pStyle w:val="ListParagraph"/>
              <w:numPr>
                <w:ilvl w:val="0"/>
                <w:numId w:val="2"/>
              </w:numPr>
              <w:spacing w:after="45"/>
            </w:pPr>
            <w:r>
              <w:rPr>
                <w:sz w:val="15"/>
                <w:szCs w:val="15"/>
              </w:rPr>
              <w:t xml:space="preserve">The authors state the trial was not designed or powered for overall survival, and that higher rates of subsequent local therapy including radioembolization in the control arm confound that endpoint</w:t>
            </w:r>
          </w:p>
          <w:p>
            <w:pPr>
              <w:pStyle w:val="ListParagraph"/>
              <w:numPr>
                <w:ilvl w:val="0"/>
                <w:numId w:val="2"/>
              </w:numPr>
              <w:spacing w:after="45"/>
            </w:pPr>
            <w:r>
              <w:rPr>
                <w:sz w:val="15"/>
                <w:szCs w:val="15"/>
              </w:rPr>
              <w:t xml:space="preserve">They state that 28 of 215 patients assigned to radioembolization did not receive it, and that the trial ran for eight years in a changing treatment landscape</w:t>
            </w:r>
          </w:p>
          <w:p>
            <w:pPr>
              <w:pStyle w:val="ListParagraph"/>
              <w:numPr>
                <w:ilvl w:val="0"/>
                <w:numId w:val="2"/>
              </w:numPr>
              <w:spacing w:after="45"/>
            </w:pPr>
            <w:r>
              <w:rPr>
                <w:sz w:val="15"/>
                <w:szCs w:val="15"/>
              </w:rPr>
              <w:t xml:space="preserve">They state BRAF and NRAS status was not assessed, that only 17% received an EGFR inhibitor first line and 5% second line, and that because the progression-free survival hazard ratio in KRAS wild-type tumours was 0.79 it is uncertain whether radioembolization would add anything to chemotherapy plus EGFR inhibition</w:t>
            </w:r>
          </w:p>
          <w:p>
            <w:pPr>
              <w:pStyle w:val="ListParagraph"/>
              <w:numPr>
                <w:ilvl w:val="0"/>
                <w:numId w:val="2"/>
              </w:numPr>
              <w:spacing w:after="45"/>
            </w:pPr>
            <w:r>
              <w:rPr>
                <w:sz w:val="15"/>
                <w:szCs w:val="15"/>
              </w:rPr>
              <w:t xml:space="preserve">They acknowledge unavoidable imbalance in adverse-event reporting between an arm receiving an extra procedure and one not</w:t>
            </w:r>
          </w:p>
          <w:p>
            <w:pPr>
              <w:pStyle w:val="ListParagraph"/>
              <w:numPr>
                <w:ilvl w:val="0"/>
                <w:numId w:val="2"/>
              </w:numPr>
              <w:spacing w:after="45"/>
            </w:pPr>
            <w:r>
              <w:rPr>
                <w:sz w:val="15"/>
                <w:szCs w:val="15"/>
              </w:rPr>
              <w:t xml:space="preserve">They note that the meta-analytic threshold at which a progression-free survival hazard ratio implies survival benefit (below 0.77) has been established only in the first-line setting, and no such data exist for second line</w:t>
            </w:r>
          </w:p>
          <w:p>
            <w:pPr>
              <w:pStyle w:val="ListParagraph"/>
              <w:numPr>
                <w:ilvl w:val="0"/>
                <w:numId w:val="2"/>
              </w:numPr>
              <w:spacing w:after="45"/>
            </w:pPr>
            <w:r>
              <w:rPr>
                <w:sz w:val="15"/>
                <w:szCs w:val="15"/>
              </w:rPr>
              <w:t xml:space="preserve">The statistical analysis plan was amended after FDA agreement, with an additional censoring rule and a cut-off-date criterion, so the final analysis used 267 events rather than the planned number</w:t>
            </w:r>
          </w:p>
        </w:tc>
        <w:tc>
          <w:tcPr>
            <w:tcW w:type="dxa" w:w="4760"/>
            <w:shd w:fill="F1F4F8" w:color="auto" w:val="clear"/>
            <w:tcMar>
              <w:top w:type="dxa" w:w="70"/>
              <w:left w:type="dxa" w:w="110"/>
              <w:bottom w:type="dxa" w:w="70"/>
              <w:right w:type="dxa" w:w="110"/>
            </w:tcMar>
            <w:vAlign w:val="top"/>
          </w:tcPr>
          <w:p>
            <w:pPr>
              <w:spacing w:after="50"/>
            </w:pPr>
            <w:r>
              <w:rPr>
                <w:b/>
                <w:bCs/>
                <w:color w:val="8C2F26"/>
                <w:spacing w:val="12"/>
                <w:sz w:val="14"/>
                <w:szCs w:val="14"/>
              </w:rPr>
              <w:t xml:space="preserve">WHAT THEY DO NOT SAY</w:t>
            </w:r>
          </w:p>
          <w:p>
            <w:pPr>
              <w:pStyle w:val="ListParagraph"/>
              <w:numPr>
                <w:ilvl w:val="0"/>
                <w:numId w:val="2"/>
              </w:numPr>
              <w:spacing w:after="45"/>
            </w:pPr>
            <w:r>
              <w:rPr>
                <w:sz w:val="15"/>
                <w:szCs w:val="15"/>
              </w:rPr>
              <w:t xml:space="preserve">The trial is positive on surrogates and flat on survival. Median progression-free survival gained 0.8 months (8.0 against 7.2) and median overall survival was numerically worse with radioembolization (14.0 against 14.4 months, HR 1.07, 95% CI 0.86-1.32). The clinical case therefore rests on about two months of hepatic progression-free survival.</w:t>
            </w:r>
          </w:p>
          <w:p>
            <w:pPr>
              <w:pStyle w:val="ListParagraph"/>
              <w:numPr>
                <w:ilvl w:val="0"/>
                <w:numId w:val="2"/>
              </w:numPr>
              <w:spacing w:after="45"/>
            </w:pPr>
            <w:r>
              <w:rPr>
                <w:sz w:val="15"/>
                <w:szCs w:val="15"/>
              </w:rPr>
              <w:t xml:space="preserve">The endpoints were censored in a way that removes the information most relevant to them: patients who received subsequent therapy before their last tumour assessment were censored at that assessment. Since control patients went on to further local therapy including radioembolization more often, the arm with more subsequent treatment is preferentially censored out of the progression analysis.</w:t>
            </w:r>
          </w:p>
          <w:p>
            <w:pPr>
              <w:pStyle w:val="ListParagraph"/>
              <w:numPr>
                <w:ilvl w:val="0"/>
                <w:numId w:val="2"/>
              </w:numPr>
              <w:spacing w:after="45"/>
            </w:pPr>
            <w:r>
              <w:rPr>
                <w:sz w:val="15"/>
                <w:szCs w:val="15"/>
              </w:rPr>
              <w:t xml:space="preserve">The analysis plan was changed during the trial with an added censoring rule and a new cut-off criterion agreed with the regulator, and the final analysis rests on fewer events than planned. A device trial whose statistical plan is amended mid-course, with the sponsor collaborating on analysis, invites exactly the scrutiny the paper does not supply.</w:t>
            </w:r>
          </w:p>
          <w:p>
            <w:pPr>
              <w:pStyle w:val="ListParagraph"/>
              <w:numPr>
                <w:ilvl w:val="0"/>
                <w:numId w:val="2"/>
              </w:numPr>
              <w:spacing w:after="45"/>
            </w:pPr>
            <w:r>
              <w:rPr>
                <w:sz w:val="15"/>
                <w:szCs w:val="15"/>
              </w:rPr>
              <w:t xml:space="preserve">Testing was one-sided throughout (1-sided p=0.0013 and p&lt;0.0001), and the trial was declared positive if either co-primary endpoint reached significance - a design that nearly guarantees a positive label for a liver-directed treatment whose second endpoint is progression in the liver.</w:t>
            </w:r>
          </w:p>
          <w:p>
            <w:pPr>
              <w:pStyle w:val="ListParagraph"/>
              <w:numPr>
                <w:ilvl w:val="0"/>
                <w:numId w:val="2"/>
              </w:numPr>
              <w:spacing w:after="45"/>
            </w:pPr>
            <w:r>
              <w:rPr>
                <w:sz w:val="15"/>
                <w:szCs w:val="15"/>
              </w:rPr>
              <w:t xml:space="preserve">Hepatic progression-free survival is the endpoint a liver-directed therapy must move, and the same pattern seen in SIRFLOX and FOXFIRE - better hepatic control, no survival gain - recurs here. The paper does not report where first progression occurred in each arm, which is the analysis that showed in the resin-microsphere trials that failure simply relocated.</w:t>
            </w:r>
          </w:p>
          <w:p>
            <w:pPr>
              <w:pStyle w:val="ListParagraph"/>
              <w:numPr>
                <w:ilvl w:val="0"/>
                <w:numId w:val="2"/>
              </w:numPr>
              <w:spacing w:after="45"/>
            </w:pPr>
            <w:r>
              <w:rPr>
                <w:sz w:val="15"/>
                <w:szCs w:val="15"/>
              </w:rPr>
              <w:t xml:space="preserve">Toxicity is substantially worse and is partly explained away: grade 3 or worse adverse events 68.4% against 49.3%, with three grade 5 events deemed possibly related - radiation-induced liver disease, hepatic failure and portal hypertension at three, three and five months. For a patient who might later need resection, ablation or further liver-directed treatment, that is a loss of hepatic reserve, and no analysis of subsequent liver-directed therapy feasibility is reported.</w:t>
            </w:r>
          </w:p>
          <w:p>
            <w:pPr>
              <w:pStyle w:val="ListParagraph"/>
              <w:numPr>
                <w:ilvl w:val="0"/>
                <w:numId w:val="2"/>
              </w:numPr>
              <w:spacing w:after="45"/>
            </w:pPr>
            <w:r>
              <w:rPr>
                <w:sz w:val="15"/>
                <w:szCs w:val="15"/>
              </w:rPr>
              <w:t xml:space="preserve">The control arm was not contemporary standard of care for the half of patients without a KRAS mutation: NRAS and BRAF were never tested, and EGFR inhibitors reached 17% first line and 5% second line. The authors concede the benefit in wild-type disease is uncertain, which means the trial's applicability is confined to KRAS-mutant patients - a subgroup conclusion.</w:t>
            </w:r>
          </w:p>
          <w:p>
            <w:pPr>
              <w:pStyle w:val="ListParagraph"/>
              <w:numPr>
                <w:ilvl w:val="0"/>
                <w:numId w:val="2"/>
              </w:numPr>
              <w:spacing w:after="45"/>
            </w:pPr>
            <w:r>
              <w:rPr>
                <w:sz w:val="15"/>
                <w:szCs w:val="15"/>
              </w:rPr>
              <w:t xml:space="preserve">Thirteen percent of the radioembolization arm never received the intervention, which dilutes the intention-to-treat estimate, and the per-protocol survival analysis (15.2 against 14.3 months, HR 0.96) remains null.</w:t>
            </w:r>
          </w:p>
          <w:p>
            <w:pPr>
              <w:pStyle w:val="ListParagraph"/>
              <w:numPr>
                <w:ilvl w:val="0"/>
                <w:numId w:val="2"/>
              </w:numPr>
              <w:spacing w:after="45"/>
            </w:pPr>
            <w:r>
              <w:rPr>
                <w:sz w:val="15"/>
                <w:szCs w:val="15"/>
              </w:rPr>
              <w:t xml:space="preserve">The sidedness result contradicts the other randomised radioembolization evidence: here left-sided primaries benefited (HR 0.65) and right-sided did not, while the pooled resin-microsphere analysis found its only favourable survival signal in right-sided tumours. Neither finding survives the other.</w:t>
            </w:r>
          </w:p>
          <w:p>
            <w:pPr>
              <w:pStyle w:val="ListParagraph"/>
              <w:numPr>
                <w:ilvl w:val="0"/>
                <w:numId w:val="2"/>
              </w:numPr>
              <w:spacing w:after="45"/>
            </w:pPr>
            <w:r>
              <w:rPr>
                <w:sz w:val="15"/>
                <w:szCs w:val="15"/>
              </w:rPr>
              <w:t xml:space="preserve">The subgroup list reported as prespecified contains six positive strata including one with a hazard ratio of 0.33 for three or fewer lesions, in a trial where 39% of patients had more than ten; no interaction tests or multiplicity adjustment are reported, and the stated absence of post hoc analyses does not address the number of prespecified ones.</w:t>
            </w:r>
          </w:p>
          <w:p>
            <w:pPr>
              <w:pStyle w:val="ListParagraph"/>
              <w:numPr>
                <w:ilvl w:val="0"/>
                <w:numId w:val="2"/>
              </w:numPr>
              <w:spacing w:after="45"/>
            </w:pPr>
            <w:r>
              <w:rPr>
                <w:sz w:val="15"/>
                <w:szCs w:val="15"/>
              </w:rPr>
              <w:t xml:space="preserve">Dosimetry was single-compartment at 120 Gy throughout an eight-year trial, predating personalised and segmental dosing, so the intervention tested is already superseded while its toxicity profile is the one reported.</w:t>
            </w:r>
          </w:p>
          <w:p>
            <w:pPr>
              <w:pStyle w:val="ListParagraph"/>
              <w:numPr>
                <w:ilvl w:val="0"/>
                <w:numId w:val="2"/>
              </w:numPr>
              <w:spacing w:after="45"/>
            </w:pPr>
            <w:r>
              <w:rPr>
                <w:sz w:val="15"/>
                <w:szCs w:val="15"/>
              </w:rPr>
              <w:t xml:space="preserve">No quality-of-life or patient-reported outcome is reported, in a trial whose benefit is two months of hepatic progression-free survival bought with a 19-point increase in grade 3 or worse toxicity.</w:t>
            </w:r>
          </w:p>
          <w:p>
            <w:pPr>
              <w:pStyle w:val="ListParagraph"/>
              <w:numPr>
                <w:ilvl w:val="0"/>
                <w:numId w:val="2"/>
              </w:numPr>
              <w:spacing w:after="45"/>
            </w:pPr>
            <w:r>
              <w:rPr>
                <w:sz w:val="15"/>
                <w:szCs w:val="15"/>
              </w:rPr>
              <w:t xml:space="preserve">A linked editorial (PMID 34541862, Lentz and Messersmith, J Clin Oncol 2021;39:3887-9) was identified in PubMed but its text was not read for this record.</w:t>
            </w:r>
          </w:p>
        </w:tc>
      </w:tr>
    </w:tbl>
    <w:p>
      <w:pPr>
        <w:spacing w:after="0" w:line="276"/>
      </w:pPr>
      <w:r>
        <w:rPr>
          <w:color w:val="5A6069"/>
          <w:sz w:val="14"/>
          <w:szCs w:val="14"/>
        </w:rPr>
        <w:t xml:space="preserve">Funding: Boston Scientific Corporation sponsored the trial, supplied the device, and collaborated with the steering committee on design and on the collection, analysis and interpretation of data; a company employee is a co-author and is credited with financial and administrative support and with conception and design. Patient-level data are available only on application to the sponsor</w:t>
      </w:r>
    </w:p>
    <w:p>
      <w:pPr>
        <w:keepNext/>
        <w:spacing w:after="50" w:before="260"/>
      </w:pPr>
      <w:r>
        <w:rPr>
          <w:rFonts w:ascii="Cambria" w:cs="Cambria" w:eastAsia="Cambria" w:hAnsi="Cambria"/>
          <w:b/>
          <w:bCs/>
          <w:color w:val="17365D"/>
          <w:sz w:val="20"/>
          <w:szCs w:val="20"/>
        </w:rPr>
        <w:t xml:space="preserve">ESMO 2026</w:t>
      </w:r>
      <w:r>
        <w:rPr>
          <w:b/>
          <w:bCs/>
          <w:color w:val="176A87"/>
          <w:sz w:val="15"/>
          <w:szCs w:val="15"/>
        </w:rPr>
        <w:t xml:space="preserve">   Guideline</w:t>
      </w:r>
      <w:r>
        <w:rPr>
          <w:color w:val="5A6069"/>
          <w:sz w:val="15"/>
          <w:szCs w:val="15"/>
        </w:rPr>
        <w:t xml:space="preserve">   PMID 41990853</w:t>
      </w:r>
    </w:p>
    <w:p>
      <w:pPr>
        <w:spacing w:after="50" w:line="276"/>
      </w:pPr>
      <w:r>
        <w:rPr>
          <w:color w:val="5A6069"/>
          <w:sz w:val="17"/>
          <w:szCs w:val="17"/>
        </w:rPr>
        <w:t xml:space="preserve">Metastatic colorectal cancer: ESMO Clinical Practice Guideline for diagnosis, treatment and follow-up</w:t>
      </w:r>
    </w:p>
    <w:p>
      <w:pPr>
        <w:spacing w:after="70"/>
      </w:pPr>
      <w:r>
        <w:rPr>
          <w:b/>
          <w:bCs/>
          <w:color w:val="17365D"/>
          <w:sz w:val="16"/>
          <w:szCs w:val="16"/>
        </w:rPr>
        <w:t xml:space="preserve">Bottom line. </w:t>
      </w:r>
      <w:r>
        <w:rPr>
          <w:sz w:val="16"/>
          <w:szCs w:val="16"/>
        </w:rPr>
        <w:t xml:space="preserve">The current European statement of what to do across the whole metastatic colorectal cancer pathway, and the first major guideline to recommend liver transplantation as a curative-intent option for highly selected permanently unresectable liver-only disease [II, A], alongside thermal ablation over resection for lesions under 3 cm [II, B], repeated resectability assessment every two to three months, and a fully molecular first-line algorithm. It is an expert-opinion document, not a systematic one: the authors selected the literature themselves, the evidence behind the locoregional and transplantation sections sits in supplementary material, and the transplant filter is materially looser than the IHPBA consensus on response duration, MSI status and PET tumour volume. It also offers no definition of resectability or of an adequate remnant, and no route to adjuvant hepatic arterial infusion.</w:t>
      </w:r>
    </w:p>
    <w:tbl>
      <w:tblPr>
        <w:tblW w:type="dxa" w:w="9360"/>
        <w:tblBorders>
          <w:top w:val="single" w:color="D3DCE4" w:sz="4"/>
          <w:left w:val="single" w:color="D3DCE4" w:sz="4"/>
          <w:bottom w:val="single" w:color="D3DCE4" w:sz="4"/>
          <w:right w:val="single" w:color="D3DCE4" w:sz="4"/>
          <w:insideH w:val="single" w:color="D3DCE4" w:sz="4"/>
          <w:insideV w:val="single" w:color="D3DCE4" w:sz="4"/>
        </w:tblBorders>
      </w:tblPr>
      <w:tblGrid>
        <w:gridCol w:w="4600"/>
        <w:gridCol w:w="4760"/>
      </w:tblGrid>
      <w:tr>
        <w:tc>
          <w:tcPr>
            <w:tcW w:type="dxa" w:w="4600"/>
            <w:shd w:fill="F1F4F8" w:color="auto" w:val="clear"/>
            <w:tcMar>
              <w:top w:type="dxa" w:w="70"/>
              <w:left w:type="dxa" w:w="110"/>
              <w:bottom w:type="dxa" w:w="70"/>
              <w:right w:type="dxa" w:w="110"/>
            </w:tcMar>
            <w:vAlign w:val="top"/>
          </w:tcPr>
          <w:p>
            <w:pPr>
              <w:spacing w:after="50"/>
            </w:pPr>
            <w:r>
              <w:rPr>
                <w:b/>
                <w:bCs/>
                <w:color w:val="8E5008"/>
                <w:spacing w:val="12"/>
                <w:sz w:val="14"/>
                <w:szCs w:val="14"/>
              </w:rPr>
              <w:t xml:space="preserve">LIMITATIONS THE AUTHORS STATE</w:t>
            </w:r>
          </w:p>
          <w:p>
            <w:pPr>
              <w:pStyle w:val="ListParagraph"/>
              <w:numPr>
                <w:ilvl w:val="0"/>
                <w:numId w:val="2"/>
              </w:numPr>
              <w:spacing w:after="45"/>
            </w:pPr>
            <w:r>
              <w:rPr>
                <w:sz w:val="15"/>
                <w:szCs w:val="15"/>
              </w:rPr>
              <w:t xml:space="preserve">The guideline states that recommendations rest on current scientific evidence and the authors' collective expert opinion, and that the relevant literature was selected by the expert authors - there was no systematic review</w:t>
            </w:r>
          </w:p>
          <w:p>
            <w:pPr>
              <w:pStyle w:val="ListParagraph"/>
              <w:numPr>
                <w:ilvl w:val="0"/>
                <w:numId w:val="2"/>
              </w:numPr>
              <w:spacing w:after="45"/>
            </w:pPr>
            <w:r>
              <w:rPr>
                <w:sz w:val="15"/>
                <w:szCs w:val="15"/>
              </w:rPr>
              <w:t xml:space="preserve">It states that statements without grading were considered justified standard clinical practice by the authors</w:t>
            </w:r>
          </w:p>
          <w:p>
            <w:pPr>
              <w:pStyle w:val="ListParagraph"/>
              <w:numPr>
                <w:ilvl w:val="0"/>
                <w:numId w:val="2"/>
              </w:numPr>
              <w:spacing w:after="45"/>
            </w:pPr>
            <w:r>
              <w:rPr>
                <w:sz w:val="15"/>
                <w:szCs w:val="15"/>
              </w:rPr>
              <w:t xml:space="preserve">ESCAT scores were defined by the authors themselves, assisted where needed by the ESMO Precision Oncology Task Force</w:t>
            </w:r>
          </w:p>
          <w:p>
            <w:pPr>
              <w:pStyle w:val="ListParagraph"/>
              <w:numPr>
                <w:ilvl w:val="0"/>
                <w:numId w:val="2"/>
              </w:numPr>
              <w:spacing w:after="45"/>
            </w:pPr>
            <w:r>
              <w:rPr>
                <w:sz w:val="15"/>
                <w:szCs w:val="15"/>
              </w:rPr>
              <w:t xml:space="preserve">ESMO-MCBS scores are stated to be correct only at the time of publication, with readers directed to online scorecards for current values, and regulatory approval status is reported as at the time of writing</w:t>
            </w:r>
          </w:p>
          <w:p>
            <w:pPr>
              <w:pStyle w:val="ListParagraph"/>
              <w:numPr>
                <w:ilvl w:val="0"/>
                <w:numId w:val="2"/>
              </w:numPr>
              <w:spacing w:after="45"/>
            </w:pPr>
            <w:r>
              <w:rPr>
                <w:sz w:val="15"/>
                <w:szCs w:val="15"/>
              </w:rPr>
              <w:t xml:space="preserve">The evidence and reasoning behind the epidemiology, pathology, staging, locoregional treatment and follow-up sections are held in online supplementary material rather than in the article</w:t>
            </w:r>
          </w:p>
        </w:tc>
        <w:tc>
          <w:tcPr>
            <w:tcW w:type="dxa" w:w="4760"/>
            <w:shd w:fill="F1F4F8" w:color="auto" w:val="clear"/>
            <w:tcMar>
              <w:top w:type="dxa" w:w="70"/>
              <w:left w:type="dxa" w:w="110"/>
              <w:bottom w:type="dxa" w:w="70"/>
              <w:right w:type="dxa" w:w="110"/>
            </w:tcMar>
            <w:vAlign w:val="top"/>
          </w:tcPr>
          <w:p>
            <w:pPr>
              <w:spacing w:after="50"/>
            </w:pPr>
            <w:r>
              <w:rPr>
                <w:b/>
                <w:bCs/>
                <w:color w:val="8C2F26"/>
                <w:spacing w:val="12"/>
                <w:sz w:val="14"/>
                <w:szCs w:val="14"/>
              </w:rPr>
              <w:t xml:space="preserve">WHAT THEY DO NOT SAY</w:t>
            </w:r>
          </w:p>
          <w:p>
            <w:pPr>
              <w:pStyle w:val="ListParagraph"/>
              <w:numPr>
                <w:ilvl w:val="0"/>
                <w:numId w:val="2"/>
              </w:numPr>
              <w:spacing w:after="45"/>
            </w:pPr>
            <w:r>
              <w:rPr>
                <w:sz w:val="15"/>
                <w:szCs w:val="15"/>
              </w:rPr>
              <w:t xml:space="preserve">The reasoning behind the recommendations most relevant to a liver surgeon cannot be checked from the paper. Oligometastatic disease, locoregional treatment of metastatic sites and liver transplantation are each handled in two or three sentences with the substance deferred to Supplementary Material Section 4, so the published text gives the conclusions without the evidence.</w:t>
            </w:r>
          </w:p>
          <w:p>
            <w:pPr>
              <w:pStyle w:val="ListParagraph"/>
              <w:numPr>
                <w:ilvl w:val="0"/>
                <w:numId w:val="2"/>
              </w:numPr>
              <w:spacing w:after="45"/>
            </w:pPr>
            <w:r>
              <w:rPr>
                <w:sz w:val="15"/>
                <w:szCs w:val="15"/>
              </w:rPr>
              <w:t xml:space="preserve">The transplantation criteria are looser than the surgical community's on exactly the two points that are contested. ESMO accepts sustained disease control of more than three months up to third line; the IHPBA consensus requires six months of response and at least a year from diagnosis of unresectable disease. ESMO sets no MSI or mismatch repair exclusion and no PET tumour-volume ceiling, both of which IHPBA makes absolute.</w:t>
            </w:r>
          </w:p>
          <w:p>
            <w:pPr>
              <w:pStyle w:val="ListParagraph"/>
              <w:numPr>
                <w:ilvl w:val="0"/>
                <w:numId w:val="2"/>
              </w:numPr>
              <w:spacing w:after="45"/>
            </w:pPr>
            <w:r>
              <w:rPr>
                <w:sz w:val="15"/>
                <w:szCs w:val="15"/>
              </w:rPr>
              <w:t xml:space="preserve">The [II, A] transplantation recommendation rests essentially on one randomised trial whose result depended on a negotiated national agreement to graft low-MELD patients within two months of chemotherapy. The guideline notes that organ policy prioritisation must be met and says nothing about what to do in systems that grant no exception points, which is the operative barrier everywhere outside the trial's countries.</w:t>
            </w:r>
          </w:p>
          <w:p>
            <w:pPr>
              <w:pStyle w:val="ListParagraph"/>
              <w:numPr>
                <w:ilvl w:val="0"/>
                <w:numId w:val="2"/>
              </w:numPr>
              <w:spacing w:after="45"/>
            </w:pPr>
            <w:r>
              <w:rPr>
                <w:sz w:val="15"/>
                <w:szCs w:val="15"/>
              </w:rPr>
              <w:t xml:space="preserve">Recommending thermal ablation over liver resection for metastases under 3 cm [II, B] is stated without qualification for lesion position, proximity to vessels or biliary structures, achievable margin, or the ability to repeat treatment - the variables that COLLISION's own data show determine whether ablation works, and in a trial whose arms were a third contaminated with the other modality.</w:t>
            </w:r>
          </w:p>
          <w:p>
            <w:pPr>
              <w:pStyle w:val="ListParagraph"/>
              <w:numPr>
                <w:ilvl w:val="0"/>
                <w:numId w:val="2"/>
              </w:numPr>
              <w:spacing w:after="45"/>
            </w:pPr>
            <w:r>
              <w:rPr>
                <w:sz w:val="15"/>
                <w:szCs w:val="15"/>
              </w:rPr>
              <w:t xml:space="preserve">Hepatic arterial infusion is grouped with chemoembolisation and radioembolisation as [III, C] intensification or salvage in liver-dominant disease. That lumps a technique with randomised adjuvant data after complete resection together with two that failed to show survival benefit in randomised trials, and leaves no route to adjuvant hepatic arterial infusion at all.</w:t>
            </w:r>
          </w:p>
          <w:p>
            <w:pPr>
              <w:pStyle w:val="ListParagraph"/>
              <w:numPr>
                <w:ilvl w:val="0"/>
                <w:numId w:val="2"/>
              </w:numPr>
              <w:spacing w:after="45"/>
            </w:pPr>
            <w:r>
              <w:rPr>
                <w:sz w:val="15"/>
                <w:szCs w:val="15"/>
              </w:rPr>
              <w:t xml:space="preserve">The guideline tells the reader that prognostic scores must not be used to withhold curative-intent strategies, then lists the same factors - number of organs, number of lesions, prognostic scores, time to metastases, BRAF and mismatch repair status, CEA, nodal status - as the [IV, B] basis for deciding who gets upfront local treatment. The instruction and the algorithm pull in opposite directions and the resolution is left to the multidisciplinary team.</w:t>
            </w:r>
          </w:p>
          <w:p>
            <w:pPr>
              <w:pStyle w:val="ListParagraph"/>
              <w:numPr>
                <w:ilvl w:val="0"/>
                <w:numId w:val="2"/>
              </w:numPr>
              <w:spacing w:after="45"/>
            </w:pPr>
            <w:r>
              <w:rPr>
                <w:sz w:val="15"/>
                <w:szCs w:val="15"/>
              </w:rPr>
              <w:t xml:space="preserve">Resectability assessment is mandated at baseline, every two to three months and again in later lines [IV, A], but no definition of resectability or of an adequate future liver remnant is given, and the CAIRO5 experience - panel surgeons failing to reach consensus in 58% of follow-up assessments - shows that an unqualified instruction to reassess does not produce a reproducible answer.</w:t>
            </w:r>
          </w:p>
          <w:p>
            <w:pPr>
              <w:pStyle w:val="ListParagraph"/>
              <w:numPr>
                <w:ilvl w:val="0"/>
                <w:numId w:val="2"/>
              </w:numPr>
              <w:spacing w:after="45"/>
            </w:pPr>
            <w:r>
              <w:rPr>
                <w:sz w:val="15"/>
                <w:szCs w:val="15"/>
              </w:rPr>
              <w:t xml:space="preserve">Several recommended regimens are approved by the FDA but not the EMA at the time of writing, so a European reader following the guideline is directed to treatments unavailable to them, and the guideline reports the status rather than reconciling it.</w:t>
            </w:r>
          </w:p>
          <w:p>
            <w:pPr>
              <w:pStyle w:val="ListParagraph"/>
              <w:numPr>
                <w:ilvl w:val="0"/>
                <w:numId w:val="2"/>
              </w:numPr>
              <w:spacing w:after="45"/>
            </w:pPr>
            <w:r>
              <w:rPr>
                <w:sz w:val="15"/>
                <w:szCs w:val="15"/>
              </w:rPr>
              <w:t xml:space="preserve">Grades cannot be read across to other guidelines. ESMO's level-of-evidence and grade-of-recommendation system is defined only in a supplementary table, and a reader comparing this document with ASCO's GRADE-based statement or the IHPBA consensus has no mapping between them.</w:t>
            </w:r>
          </w:p>
          <w:p>
            <w:pPr>
              <w:pStyle w:val="ListParagraph"/>
              <w:numPr>
                <w:ilvl w:val="0"/>
                <w:numId w:val="2"/>
              </w:numPr>
              <w:spacing w:after="45"/>
            </w:pPr>
            <w:r>
              <w:rPr>
                <w:sz w:val="15"/>
                <w:szCs w:val="15"/>
              </w:rPr>
              <w:t xml:space="preserve">No patient representative, methodologist or statistician is identified among the authors, no external review beyond the ESMO Guidelines Committee is described, and no fixed update interval is given - updating is deferred to the website's Express Update and Living Guideline mechanism.</w:t>
            </w:r>
          </w:p>
          <w:p>
            <w:pPr>
              <w:pStyle w:val="ListParagraph"/>
              <w:numPr>
                <w:ilvl w:val="0"/>
                <w:numId w:val="2"/>
              </w:numPr>
              <w:spacing w:after="45"/>
            </w:pPr>
            <w:r>
              <w:rPr>
                <w:sz w:val="15"/>
                <w:szCs w:val="15"/>
              </w:rPr>
              <w:t xml:space="preserve">The disclosure burden is extensive and the guideline's own method is expert selection of literature by those same authors, which is the combination that guideline methodology exists to constrain.</w:t>
            </w:r>
          </w:p>
          <w:p>
            <w:pPr>
              <w:pStyle w:val="ListParagraph"/>
              <w:numPr>
                <w:ilvl w:val="0"/>
                <w:numId w:val="2"/>
              </w:numPr>
              <w:spacing w:after="45"/>
            </w:pPr>
            <w:r>
              <w:rPr>
                <w:sz w:val="15"/>
                <w:szCs w:val="15"/>
              </w:rPr>
              <w:t xml:space="preserve">No linked editorial or comment on this guideline was found in PubMed, so no independent published critique informs this record.</w:t>
            </w:r>
          </w:p>
        </w:tc>
      </w:tr>
    </w:tbl>
    <w:p>
      <w:pPr>
        <w:spacing w:after="0" w:line="276"/>
      </w:pPr>
      <w:r>
        <w:rPr>
          <w:color w:val="5A6069"/>
          <w:sz w:val="14"/>
          <w:szCs w:val="14"/>
        </w:rPr>
        <w:t xml:space="preserve">Funding: No external funding was received; production costs were covered by ESMO from central funds, and ESMO funded the medical writing and editing support provided by its own staff and by Kstorfin Medical Communications. The disclosure section runs to several pages of advisory board, speaker, expert testimony and institutional research funding relationships with the manufacturers of nearly every drug recommended, including Amgen, Merck, Merck Serono, MSD, Roche/Genentech, Bristol Myers Squibb, Pierre Fabre, Servier, Bayer, Takeda, Pfizer and Revolution Medicines</w:t>
      </w:r>
    </w:p>
    <w:p>
      <w:pPr>
        <w:keepNext/>
        <w:spacing w:after="50" w:before="260"/>
      </w:pPr>
      <w:r>
        <w:rPr>
          <w:rFonts w:ascii="Cambria" w:cs="Cambria" w:eastAsia="Cambria" w:hAnsi="Cambria"/>
          <w:b/>
          <w:bCs/>
          <w:color w:val="17365D"/>
          <w:sz w:val="20"/>
          <w:szCs w:val="20"/>
        </w:rPr>
        <w:t xml:space="preserve">FIRE-3</w:t>
      </w:r>
      <w:r>
        <w:rPr>
          <w:b/>
          <w:bCs/>
          <w:color w:val="176A87"/>
          <w:sz w:val="15"/>
          <w:szCs w:val="15"/>
        </w:rPr>
        <w:t xml:space="preserve">   Randomised trial</w:t>
      </w:r>
      <w:r>
        <w:rPr>
          <w:color w:val="5A6069"/>
          <w:sz w:val="15"/>
          <w:szCs w:val="15"/>
        </w:rPr>
        <w:t xml:space="preserve">   PMID 27575024</w:t>
      </w:r>
    </w:p>
    <w:p>
      <w:pPr>
        <w:spacing w:after="50" w:line="276"/>
      </w:pPr>
      <w:r>
        <w:rPr>
          <w:color w:val="5A6069"/>
          <w:sz w:val="17"/>
          <w:szCs w:val="17"/>
        </w:rPr>
        <w:t xml:space="preserve">FOLFIRI plus cetuximab versus FOLFIRI plus bevacizumab for metastatic colorectal cancer (FIRE-3): a post-hoc analysis of tumour dynamics in the final RAS wild-type subgroup of this randomised open-label phase 3 trial</w:t>
      </w:r>
    </w:p>
    <w:p>
      <w:pPr>
        <w:spacing w:after="50"/>
      </w:pPr>
      <w:r>
        <w:rPr>
          <w:b/>
          <w:bCs/>
          <w:color w:val="176A87"/>
          <w:sz w:val="16"/>
          <w:szCs w:val="16"/>
        </w:rPr>
        <w:t xml:space="preserve">Population. </w:t>
      </w:r>
      <w:r>
        <w:rPr>
          <w:sz w:val="16"/>
          <w:szCs w:val="16"/>
        </w:rPr>
        <w:t xml:space="preserve">400 patients in the final extended RAS wild-type subgroup of FIRE-3 (of 592 randomised between 2007 and 2012, with 75 of 475 retested samples found RAS-mutant), of whom 330 had assessable serial CT scans for blinded central review (157 FOLFIRI plus cetuximab, 173 FOLFIRI plus bevacizumab); 188 RAS-mutant patients were analysed separately</w:t>
      </w:r>
    </w:p>
    <w:p>
      <w:pPr>
        <w:spacing w:after="70"/>
      </w:pPr>
      <w:r>
        <w:rPr>
          <w:b/>
          <w:bCs/>
          <w:color w:val="17365D"/>
          <w:sz w:val="16"/>
          <w:szCs w:val="16"/>
        </w:rPr>
        <w:t xml:space="preserve">Bottom line. </w:t>
      </w:r>
      <w:r>
        <w:rPr>
          <w:sz w:val="16"/>
          <w:szCs w:val="16"/>
        </w:rPr>
        <w:t xml:space="preserve">Explains the FIRE-3 paradox in its own terms: with blinded central review, FOLFIRI plus cetuximab produced more early tumour shrinkage (68.2% against 49.1%), deeper response (-48.9% against -32.3%) and a lower residual tumour burden than FOLFIRI plus bevacizumab, while investigator-assessed response and progression-free survival were identical and survival was 8.1 months longer. It does not establish that shrinkage is the mechanism or a usable surrogate: everything measured here was added post hoc after the survival result was known, the central review raised response in one arm only, survival was identical between arms among patients who did shrink, the two surrogates correlate at 0.96, and CALGB/SWOG 80405 found no survival difference at all. For a liver surgeon the paper withholds the number that matters - secondary resection, a FIRE-3 endpoint, is not reported.</w:t>
      </w:r>
    </w:p>
    <w:tbl>
      <w:tblPr>
        <w:tblW w:type="dxa" w:w="9360"/>
        <w:tblBorders>
          <w:top w:val="single" w:color="D3DCE4" w:sz="4"/>
          <w:left w:val="single" w:color="D3DCE4" w:sz="4"/>
          <w:bottom w:val="single" w:color="D3DCE4" w:sz="4"/>
          <w:right w:val="single" w:color="D3DCE4" w:sz="4"/>
          <w:insideH w:val="single" w:color="D3DCE4" w:sz="4"/>
          <w:insideV w:val="single" w:color="D3DCE4" w:sz="4"/>
        </w:tblBorders>
      </w:tblPr>
      <w:tblGrid>
        <w:gridCol w:w="4600"/>
        <w:gridCol w:w="4760"/>
      </w:tblGrid>
      <w:tr>
        <w:tc>
          <w:tcPr>
            <w:tcW w:type="dxa" w:w="4600"/>
            <w:shd w:fill="F1F4F8" w:color="auto" w:val="clear"/>
            <w:tcMar>
              <w:top w:type="dxa" w:w="70"/>
              <w:left w:type="dxa" w:w="110"/>
              <w:bottom w:type="dxa" w:w="70"/>
              <w:right w:type="dxa" w:w="110"/>
            </w:tcMar>
            <w:vAlign w:val="top"/>
          </w:tcPr>
          <w:p>
            <w:pPr>
              <w:spacing w:after="50"/>
            </w:pPr>
            <w:r>
              <w:rPr>
                <w:b/>
                <w:bCs/>
                <w:color w:val="8E5008"/>
                <w:spacing w:val="12"/>
                <w:sz w:val="14"/>
                <w:szCs w:val="14"/>
              </w:rPr>
              <w:t xml:space="preserve">LIMITATIONS THE AUTHORS STATE</w:t>
            </w:r>
          </w:p>
          <w:p>
            <w:pPr>
              <w:pStyle w:val="ListParagraph"/>
              <w:numPr>
                <w:ilvl w:val="0"/>
                <w:numId w:val="2"/>
              </w:numPr>
              <w:spacing w:after="45"/>
            </w:pPr>
            <w:r>
              <w:rPr>
                <w:sz w:val="15"/>
                <w:szCs w:val="15"/>
              </w:rPr>
              <w:t xml:space="preserve">The authors state that all subgroup analyses are inherently limited, and that prospective data from well controlled studies are needed to confirm the observations</w:t>
            </w:r>
          </w:p>
          <w:p>
            <w:pPr>
              <w:pStyle w:val="ListParagraph"/>
              <w:numPr>
                <w:ilvl w:val="0"/>
                <w:numId w:val="2"/>
              </w:numPr>
              <w:spacing w:after="45"/>
            </w:pPr>
            <w:r>
              <w:rPr>
                <w:sz w:val="15"/>
                <w:szCs w:val="15"/>
              </w:rPr>
              <w:t xml:space="preserve">They note that early tumour shrinkage is a less clear marker than depth of response because early treatment discontinuation for toxicity can prevent a patient from reaching maximum shrinkage, and that minor or slow responders fall into the no-shrinkage group and may still benefit from continuing therapy</w:t>
            </w:r>
          </w:p>
          <w:p>
            <w:pPr>
              <w:pStyle w:val="ListParagraph"/>
              <w:numPr>
                <w:ilvl w:val="0"/>
                <w:numId w:val="2"/>
              </w:numPr>
              <w:spacing w:after="45"/>
            </w:pPr>
            <w:r>
              <w:rPr>
                <w:sz w:val="15"/>
                <w:szCs w:val="15"/>
              </w:rPr>
              <w:t xml:space="preserve">They note that early tumour shrinkage was measured at 6 weeks here against 8 weeks in CRYSTAL and OPUS, complicating cross-trial comparison of the magnitude of effect</w:t>
            </w:r>
          </w:p>
          <w:p>
            <w:pPr>
              <w:pStyle w:val="ListParagraph"/>
              <w:numPr>
                <w:ilvl w:val="0"/>
                <w:numId w:val="2"/>
              </w:numPr>
              <w:spacing w:after="45"/>
            </w:pPr>
            <w:r>
              <w:rPr>
                <w:sz w:val="15"/>
                <w:szCs w:val="15"/>
              </w:rPr>
              <w:t xml:space="preserve">They note that depth of response is retrospective in nature because its definition includes progression on first-line therapy, and occurs about 3.5 months after starting treatment</w:t>
            </w:r>
          </w:p>
          <w:p>
            <w:pPr>
              <w:pStyle w:val="ListParagraph"/>
              <w:numPr>
                <w:ilvl w:val="0"/>
                <w:numId w:val="2"/>
              </w:numPr>
              <w:spacing w:after="45"/>
            </w:pPr>
            <w:r>
              <w:rPr>
                <w:sz w:val="15"/>
                <w:szCs w:val="15"/>
              </w:rPr>
              <w:t xml:space="preserve">Patients whose imaging modality changed from CT to MRI, or whose baseline imaging predated randomisation by more than 28 days, and those without assessable scans, were excluded - leaving 330 of 400</w:t>
            </w:r>
          </w:p>
          <w:p>
            <w:pPr>
              <w:pStyle w:val="ListParagraph"/>
              <w:numPr>
                <w:ilvl w:val="0"/>
                <w:numId w:val="2"/>
              </w:numPr>
              <w:spacing w:after="45"/>
            </w:pPr>
            <w:r>
              <w:rPr>
                <w:sz w:val="15"/>
                <w:szCs w:val="15"/>
              </w:rPr>
              <w:t xml:space="preserve">Early tumour shrinkage and depth of response are reported as correlating almost perfectly (correlation index 0.96)</w:t>
            </w:r>
          </w:p>
        </w:tc>
        <w:tc>
          <w:tcPr>
            <w:tcW w:type="dxa" w:w="4760"/>
            <w:shd w:fill="F1F4F8" w:color="auto" w:val="clear"/>
            <w:tcMar>
              <w:top w:type="dxa" w:w="70"/>
              <w:left w:type="dxa" w:w="110"/>
              <w:bottom w:type="dxa" w:w="70"/>
              <w:right w:type="dxa" w:w="110"/>
            </w:tcMar>
            <w:vAlign w:val="top"/>
          </w:tcPr>
          <w:p>
            <w:pPr>
              <w:spacing w:after="50"/>
            </w:pPr>
            <w:r>
              <w:rPr>
                <w:b/>
                <w:bCs/>
                <w:color w:val="8C2F26"/>
                <w:spacing w:val="12"/>
                <w:sz w:val="14"/>
                <w:szCs w:val="14"/>
              </w:rPr>
              <w:t xml:space="preserve">WHAT THEY DO NOT SAY</w:t>
            </w:r>
          </w:p>
          <w:p>
            <w:pPr>
              <w:pStyle w:val="ListParagraph"/>
              <w:numPr>
                <w:ilvl w:val="0"/>
                <w:numId w:val="2"/>
              </w:numPr>
              <w:spacing w:after="45"/>
            </w:pPr>
            <w:r>
              <w:rPr>
                <w:sz w:val="15"/>
                <w:szCs w:val="15"/>
              </w:rPr>
              <w:t xml:space="preserve">Every load-bearing measurement is post hoc. The trial's prespecified primary endpoint was investigator-assessed response, which was negative (65.3% against 58.7%, p=0.18), as was progression-free survival (10.3 against 10.2 months, p=0.77). Early tumour shrinkage, depth of response, duration of response and time to response were all added afterwards, and the central radiological review was commissioned after the survival difference was already known.</w:t>
            </w:r>
          </w:p>
          <w:p>
            <w:pPr>
              <w:pStyle w:val="ListParagraph"/>
              <w:numPr>
                <w:ilvl w:val="0"/>
                <w:numId w:val="2"/>
              </w:numPr>
              <w:spacing w:after="45"/>
            </w:pPr>
            <w:r>
              <w:rPr>
                <w:sz w:val="15"/>
                <w:szCs w:val="15"/>
              </w:rPr>
              <w:t xml:space="preserve">The central review changed the result in one arm and not the other. Investigator-assessed response was 65.3% with cetuximab and central review made it 72.0%, while progression-free survival on central review moved numerically in favour of bevacizumab (8.4 against 9.7 months, HR 1.08). An ascertainment pattern that raises response only in the arm with better survival cannot be distinguished here from a real difference.</w:t>
            </w:r>
          </w:p>
          <w:p>
            <w:pPr>
              <w:pStyle w:val="ListParagraph"/>
              <w:numPr>
                <w:ilvl w:val="0"/>
                <w:numId w:val="2"/>
              </w:numPr>
              <w:spacing w:after="45"/>
            </w:pPr>
            <w:r>
              <w:rPr>
                <w:sz w:val="15"/>
                <w:szCs w:val="15"/>
              </w:rPr>
              <w:t xml:space="preserve">The analysis defeats its own surrogacy argument: among patients who achieved early tumour shrinkage, survival did not differ between the arms (HR 0.87, p=0.48). If shrinkage were the mechanism of the survival difference, equalising it should not equalise survival between regimens unless shrinkage is simply a marker of tumour biology - which the authors themselves then propose when they call it a general hallmark of treatment sensitivity.</w:t>
            </w:r>
          </w:p>
          <w:p>
            <w:pPr>
              <w:pStyle w:val="ListParagraph"/>
              <w:numPr>
                <w:ilvl w:val="0"/>
                <w:numId w:val="2"/>
              </w:numPr>
              <w:spacing w:after="45"/>
            </w:pPr>
            <w:r>
              <w:rPr>
                <w:sz w:val="15"/>
                <w:szCs w:val="15"/>
              </w:rPr>
              <w:t xml:space="preserve">Early tumour shrinkage and depth of response correlate at 0.96, so they are not two confirmatory findings but one measurement reported twice, and both are reported alongside multiple time-to-event and burden analyses with no multiplicity control in a post-hoc framework.</w:t>
            </w:r>
          </w:p>
          <w:p>
            <w:pPr>
              <w:pStyle w:val="ListParagraph"/>
              <w:numPr>
                <w:ilvl w:val="0"/>
                <w:numId w:val="2"/>
              </w:numPr>
              <w:spacing w:after="45"/>
            </w:pPr>
            <w:r>
              <w:rPr>
                <w:sz w:val="15"/>
                <w:szCs w:val="15"/>
              </w:rPr>
              <w:t xml:space="preserve">The two surrogates predicted survival in both arms with almost identical hazard ratios (0.52 on cetuximab, 0.49 on bevacizumab), which is what a prognostic marker does. Nothing in the paper establishes that acting on shrinkage - switching or intensifying treatment in a non-shrinker - improves anything, and the authors concede slow responders sit in that group.</w:t>
            </w:r>
          </w:p>
          <w:p>
            <w:pPr>
              <w:pStyle w:val="ListParagraph"/>
              <w:numPr>
                <w:ilvl w:val="0"/>
                <w:numId w:val="2"/>
              </w:numPr>
              <w:spacing w:after="45"/>
            </w:pPr>
            <w:r>
              <w:rPr>
                <w:sz w:val="15"/>
                <w:szCs w:val="15"/>
              </w:rPr>
              <w:t xml:space="preserve">Duration of response (4.7 against 4.6 months) and time to response (5.2 against 5.4 months) were identical, so the proposed mechanism reduces to depth of shrinkage alone; the paper's tumour-burden observation at last progression-free assessment (35.0 against 54.0 mm) is measured at a timepoint that differs between patients and is not adjusted for the time to that assessment.</w:t>
            </w:r>
          </w:p>
          <w:p>
            <w:pPr>
              <w:pStyle w:val="ListParagraph"/>
              <w:numPr>
                <w:ilvl w:val="0"/>
                <w:numId w:val="2"/>
              </w:numPr>
              <w:spacing w:after="45"/>
            </w:pPr>
            <w:r>
              <w:rPr>
                <w:sz w:val="15"/>
                <w:szCs w:val="15"/>
              </w:rPr>
              <w:t xml:space="preserve">The cross-trial picture is inconsistent and the paper does not engage with it: CALGB/SWOG 80405 compared the same two antibodies in 1137 KRAS wild-type patients and found no survival difference. This analysis's framework would predict one.</w:t>
            </w:r>
          </w:p>
          <w:p>
            <w:pPr>
              <w:pStyle w:val="ListParagraph"/>
              <w:numPr>
                <w:ilvl w:val="0"/>
                <w:numId w:val="2"/>
              </w:numPr>
              <w:spacing w:after="45"/>
            </w:pPr>
            <w:r>
              <w:rPr>
                <w:sz w:val="15"/>
                <w:szCs w:val="15"/>
              </w:rPr>
              <w:t xml:space="preserve">Primary tumour sidedness - which has since become the main determinant of first-line anti-EGFR selection and which would reorganise this entire comparison - is not reported anywhere.</w:t>
            </w:r>
          </w:p>
          <w:p>
            <w:pPr>
              <w:pStyle w:val="ListParagraph"/>
              <w:numPr>
                <w:ilvl w:val="0"/>
                <w:numId w:val="2"/>
              </w:numPr>
              <w:spacing w:after="45"/>
            </w:pPr>
            <w:r>
              <w:rPr>
                <w:sz w:val="15"/>
                <w:szCs w:val="15"/>
              </w:rPr>
              <w:t xml:space="preserve">Secondary resection of liver metastases was a FIRE-3 secondary endpoint and the reason a hepatobiliary reader opens this paper, and it is not reported in this analysis at all. A paper arguing that deeper shrinkage is what matters never says how many patients became operable.</w:t>
            </w:r>
          </w:p>
          <w:p>
            <w:pPr>
              <w:pStyle w:val="ListParagraph"/>
              <w:numPr>
                <w:ilvl w:val="0"/>
                <w:numId w:val="2"/>
              </w:numPr>
              <w:spacing w:after="45"/>
            </w:pPr>
            <w:r>
              <w:rPr>
                <w:sz w:val="15"/>
                <w:szCs w:val="15"/>
              </w:rPr>
              <w:t xml:space="preserve">The RAS wild-type population is itself a retrospectively defined subgroup: eligibility was by KRAS exon 2 from October 2008, and 75 of 475 retested samples proved RAS-mutant and were moved out, so the population in which the survival difference is reported was constituted after the trial ended.</w:t>
            </w:r>
          </w:p>
          <w:p>
            <w:pPr>
              <w:pStyle w:val="ListParagraph"/>
              <w:numPr>
                <w:ilvl w:val="0"/>
                <w:numId w:val="2"/>
              </w:numPr>
              <w:spacing w:after="45"/>
            </w:pPr>
            <w:r>
              <w:rPr>
                <w:sz w:val="15"/>
                <w:szCs w:val="15"/>
              </w:rPr>
              <w:t xml:space="preserve">The reported response confidence interval differs between text (64.3-74.8) and table 2 (64.3-78.8) for the same estimate.</w:t>
            </w:r>
          </w:p>
          <w:p>
            <w:pPr>
              <w:pStyle w:val="ListParagraph"/>
              <w:numPr>
                <w:ilvl w:val="0"/>
                <w:numId w:val="2"/>
              </w:numPr>
              <w:spacing w:after="45"/>
            </w:pPr>
            <w:r>
              <w:rPr>
                <w:sz w:val="15"/>
                <w:szCs w:val="15"/>
              </w:rPr>
              <w:t xml:space="preserve">A linked Lancet Oncology Comment (PMID 27733257, Davidson and Chau, 'Colorectal cancer trial endpoints: time for dynamic thinking?', 2016;17:1345-7) was identified in PubMed but its text was not read for this record.</w:t>
            </w:r>
          </w:p>
        </w:tc>
      </w:tr>
    </w:tbl>
    <w:p>
      <w:pPr>
        <w:spacing w:after="0" w:line="276"/>
      </w:pPr>
      <w:r>
        <w:rPr>
          <w:color w:val="5A6069"/>
          <w:sz w:val="14"/>
          <w:szCs w:val="14"/>
        </w:rPr>
        <w:t xml:space="preserve">Funding: Sponsored by the Klinikum der Universitat Munchen with financial support from Merck Serono (Merck KGaA) and Pfizer; the funders are stated to have had no role in design, collection, analysis, interpretation or writing, and no access to raw data, but medical writing was funded by Merck KGaA. Nearly all senior authors declare personal fees, honoraria, advisory roles or institutional research funding from Merck, Roche, Amgen, Sanofi, Bayer or Sirtex</w:t>
      </w:r>
    </w:p>
    <w:p>
      <w:pPr>
        <w:keepNext/>
        <w:spacing w:after="50" w:before="260"/>
      </w:pPr>
      <w:r>
        <w:rPr>
          <w:rFonts w:ascii="Cambria" w:cs="Cambria" w:eastAsia="Cambria" w:hAnsi="Cambria"/>
          <w:b/>
          <w:bCs/>
          <w:color w:val="17365D"/>
          <w:sz w:val="20"/>
          <w:szCs w:val="20"/>
        </w:rPr>
        <w:t xml:space="preserve">Fong CRS</w:t>
      </w:r>
      <w:r>
        <w:rPr>
          <w:b/>
          <w:bCs/>
          <w:color w:val="176A87"/>
          <w:sz w:val="15"/>
          <w:szCs w:val="15"/>
        </w:rPr>
        <w:t xml:space="preserve">   cohort</w:t>
      </w:r>
      <w:r>
        <w:rPr>
          <w:color w:val="5A6069"/>
          <w:sz w:val="15"/>
          <w:szCs w:val="15"/>
        </w:rPr>
        <w:t xml:space="preserve">   PMID 10493478</w:t>
      </w:r>
    </w:p>
    <w:p>
      <w:pPr>
        <w:spacing w:after="50" w:line="276"/>
      </w:pPr>
      <w:r>
        <w:rPr>
          <w:color w:val="5A6069"/>
          <w:sz w:val="17"/>
          <w:szCs w:val="17"/>
        </w:rPr>
        <w:t xml:space="preserve">Clinical score for predicting recurrence after hepatic resection for metastatic colorectal cancer: analysis of 1001 consecutive cases</w:t>
      </w:r>
    </w:p>
    <w:p>
      <w:pPr>
        <w:spacing w:after="50"/>
      </w:pPr>
      <w:r>
        <w:rPr>
          <w:b/>
          <w:bCs/>
          <w:color w:val="176A87"/>
          <w:sz w:val="16"/>
          <w:szCs w:val="16"/>
        </w:rPr>
        <w:t xml:space="preserve">Population. </w:t>
      </w:r>
      <w:r>
        <w:rPr>
          <w:sz w:val="16"/>
          <w:szCs w:val="16"/>
        </w:rPr>
        <w:t xml:space="preserve">1001 consecutive patients undergoing hepatic resection for metastatic colorectal cancer at Memorial Sloan-Kettering over 13 years (237 extended hepatectomies, 394 lobectomies, 370 resections of less than a lobe); 581 men and 420 women, median age 61, median 2 tumours and median size 4.2 cm; 123 had no preoperative CEA and 88 had extrahepatic disease</w:t>
      </w:r>
    </w:p>
    <w:p>
      <w:pPr>
        <w:spacing w:after="70"/>
      </w:pPr>
      <w:r>
        <w:rPr>
          <w:b/>
          <w:bCs/>
          <w:color w:val="17365D"/>
          <w:sz w:val="16"/>
          <w:szCs w:val="16"/>
        </w:rPr>
        <w:t xml:space="preserve">Bottom line. </w:t>
      </w:r>
      <w:r>
        <w:rPr>
          <w:sz w:val="16"/>
          <w:szCs w:val="16"/>
        </w:rPr>
        <w:t xml:space="preserve">Establishes that resection of colorectal liver metastases at a high-volume centre yields 37% 5-year and 22% 10-year survival at 2.8% operative mortality, and that five factors knowable before operation separate that outcome from 60% to 14% at five years. It does not validate the score: it was derived and assessed in the same 1001 patients, its extreme strata hold 52 and 14 people, and survival is higher at a score of 4 than at 3. The two most influential predictors of death, a positive margin and extrahepatic disease, are deliberately excluded because they cannot be known preoperatively, so the score ranks patients a surgeon has already chosen rather than choosing them.</w:t>
      </w:r>
    </w:p>
    <w:tbl>
      <w:tblPr>
        <w:tblW w:type="dxa" w:w="9360"/>
        <w:tblBorders>
          <w:top w:val="single" w:color="D3DCE4" w:sz="4"/>
          <w:left w:val="single" w:color="D3DCE4" w:sz="4"/>
          <w:bottom w:val="single" w:color="D3DCE4" w:sz="4"/>
          <w:right w:val="single" w:color="D3DCE4" w:sz="4"/>
          <w:insideH w:val="single" w:color="D3DCE4" w:sz="4"/>
          <w:insideV w:val="single" w:color="D3DCE4" w:sz="4"/>
        </w:tblBorders>
      </w:tblPr>
      <w:tblGrid>
        <w:gridCol w:w="4600"/>
        <w:gridCol w:w="4760"/>
      </w:tblGrid>
      <w:tr>
        <w:tc>
          <w:tcPr>
            <w:tcW w:type="dxa" w:w="4600"/>
            <w:shd w:fill="F1F4F8" w:color="auto" w:val="clear"/>
            <w:tcMar>
              <w:top w:type="dxa" w:w="70"/>
              <w:left w:type="dxa" w:w="110"/>
              <w:bottom w:type="dxa" w:w="70"/>
              <w:right w:type="dxa" w:w="110"/>
            </w:tcMar>
            <w:vAlign w:val="top"/>
          </w:tcPr>
          <w:p>
            <w:pPr>
              <w:spacing w:after="50"/>
            </w:pPr>
            <w:r>
              <w:rPr>
                <w:b/>
                <w:bCs/>
                <w:color w:val="8E5008"/>
                <w:spacing w:val="12"/>
                <w:sz w:val="14"/>
                <w:szCs w:val="14"/>
              </w:rPr>
              <w:t xml:space="preserve">LIMITATIONS THE AUTHORS STATE</w:t>
            </w:r>
          </w:p>
          <w:p>
            <w:pPr>
              <w:pStyle w:val="ListParagraph"/>
              <w:numPr>
                <w:ilvl w:val="0"/>
                <w:numId w:val="2"/>
              </w:numPr>
              <w:spacing w:after="45"/>
            </w:pPr>
            <w:r>
              <w:rPr>
                <w:sz w:val="15"/>
                <w:szCs w:val="15"/>
              </w:rPr>
              <w:t xml:space="preserve">No limitations section. The authors concede in the discussion that positive margin, one of the two most influential predictors, is not a usable preoperative selection criterion, and that extrahepatic disease, the other, must be regarded as a relative contraindication - so the two strongest factors are left out of the score</w:t>
            </w:r>
          </w:p>
          <w:p>
            <w:pPr>
              <w:pStyle w:val="ListParagraph"/>
              <w:numPr>
                <w:ilvl w:val="0"/>
                <w:numId w:val="2"/>
              </w:numPr>
              <w:spacing w:after="45"/>
            </w:pPr>
            <w:r>
              <w:rPr>
                <w:sz w:val="15"/>
                <w:szCs w:val="15"/>
              </w:rPr>
              <w:t xml:space="preserve">They concede that more sophisticated markers (tumour ploidy, oncogene and tumour suppressor expression) may stratify outcome further, and were excluded only because they are not widely available outside academic centres</w:t>
            </w:r>
          </w:p>
          <w:p>
            <w:pPr>
              <w:pStyle w:val="ListParagraph"/>
              <w:numPr>
                <w:ilvl w:val="0"/>
                <w:numId w:val="2"/>
              </w:numPr>
              <w:spacing w:after="45"/>
            </w:pPr>
            <w:r>
              <w:rPr>
                <w:sz w:val="15"/>
                <w:szCs w:val="15"/>
              </w:rPr>
              <w:t xml:space="preserve">The one-point-per-factor weighting was chosen for simplicity even though the relative risk of death differed across the five criteria</w:t>
            </w:r>
          </w:p>
          <w:p>
            <w:pPr>
              <w:pStyle w:val="ListParagraph"/>
              <w:numPr>
                <w:ilvl w:val="0"/>
                <w:numId w:val="2"/>
              </w:numPr>
              <w:spacing w:after="45"/>
            </w:pPr>
            <w:r>
              <w:rPr>
                <w:sz w:val="15"/>
                <w:szCs w:val="15"/>
              </w:rPr>
              <w:t xml:space="preserve">The survival advantage of resections of less than a lobe over a lobe or more is conceded to be partly explained by the higher perioperative mortality of the larger operations (4.1% vs 0.5%); the apparent effect of blood loss disappeared entirely once perioperative deaths were excluded (p=0.3)</w:t>
            </w:r>
          </w:p>
          <w:p>
            <w:pPr>
              <w:pStyle w:val="ListParagraph"/>
              <w:numPr>
                <w:ilvl w:val="0"/>
                <w:numId w:val="2"/>
              </w:numPr>
              <w:spacing w:after="45"/>
            </w:pPr>
            <w:r>
              <w:rPr>
                <w:sz w:val="15"/>
                <w:szCs w:val="15"/>
              </w:rPr>
              <w:t xml:space="preserve">Part of the fall in hospital stay from 13 days in 1986 to 8 days in 1998 is attributed to the administrative change of no longer admitting patients the day before resection</w:t>
            </w:r>
          </w:p>
          <w:p>
            <w:pPr>
              <w:pStyle w:val="ListParagraph"/>
              <w:numPr>
                <w:ilvl w:val="0"/>
                <w:numId w:val="2"/>
              </w:numPr>
              <w:spacing w:after="45"/>
            </w:pPr>
            <w:r>
              <w:rPr>
                <w:sz w:val="15"/>
                <w:szCs w:val="15"/>
              </w:rPr>
              <w:t xml:space="preserve">Bilaterality was dropped from the score because it was not significant and, as Blumgart states in the discussion, cannot be separated from tumour number and size</w:t>
            </w:r>
          </w:p>
          <w:p>
            <w:pPr>
              <w:pStyle w:val="ListParagraph"/>
              <w:numPr>
                <w:ilvl w:val="0"/>
                <w:numId w:val="2"/>
              </w:numPr>
              <w:spacing w:after="45"/>
            </w:pPr>
            <w:r>
              <w:rPr>
                <w:sz w:val="15"/>
                <w:szCs w:val="15"/>
              </w:rPr>
              <w:t xml:space="preserve">Blumgart states in the printed discussion that a score of 5 would not cause them to refuse resection to any patient, and that he does not know what to do with high-score patients; the published abstract names six criteria where the paper uses five</w:t>
            </w:r>
          </w:p>
        </w:tc>
        <w:tc>
          <w:tcPr>
            <w:tcW w:type="dxa" w:w="4760"/>
            <w:shd w:fill="F1F4F8" w:color="auto" w:val="clear"/>
            <w:tcMar>
              <w:top w:type="dxa" w:w="70"/>
              <w:left w:type="dxa" w:w="110"/>
              <w:bottom w:type="dxa" w:w="70"/>
              <w:right w:type="dxa" w:w="110"/>
            </w:tcMar>
            <w:vAlign w:val="top"/>
          </w:tcPr>
          <w:p>
            <w:pPr>
              <w:spacing w:after="50"/>
            </w:pPr>
            <w:r>
              <w:rPr>
                <w:b/>
                <w:bCs/>
                <w:color w:val="8C2F26"/>
                <w:spacing w:val="12"/>
                <w:sz w:val="14"/>
                <w:szCs w:val="14"/>
              </w:rPr>
              <w:t xml:space="preserve">WHAT THEY DO NOT SAY</w:t>
            </w:r>
          </w:p>
          <w:p>
            <w:pPr>
              <w:pStyle w:val="ListParagraph"/>
              <w:numPr>
                <w:ilvl w:val="0"/>
                <w:numId w:val="2"/>
              </w:numPr>
              <w:spacing w:after="45"/>
            </w:pPr>
            <w:r>
              <w:rPr>
                <w:sz w:val="15"/>
                <w:szCs w:val="15"/>
              </w:rPr>
              <w:t xml:space="preserve">The score was derived and assessed in the same 1001 patients with no split sample, bootstrap, calibration check or independent cohort. The discussion calls this 'attempts to validate this system using the largest single-institution experience', which describes derivation, not validation.</w:t>
            </w:r>
          </w:p>
          <w:p>
            <w:pPr>
              <w:pStyle w:val="ListParagraph"/>
              <w:numPr>
                <w:ilvl w:val="0"/>
                <w:numId w:val="2"/>
              </w:numPr>
              <w:spacing w:after="45"/>
            </w:pPr>
            <w:r>
              <w:rPr>
                <w:sz w:val="15"/>
                <w:szCs w:val="15"/>
              </w:rPr>
              <w:t xml:space="preserve">The score is not monotonic in the stratum it is used to triage: 5-year survival is 20% at score 3 but 25% at score 4, and median survival 20 months against 22 months (Table 5). The paper reports the figures and does not mention that the ordering fails.</w:t>
            </w:r>
          </w:p>
          <w:p>
            <w:pPr>
              <w:pStyle w:val="ListParagraph"/>
              <w:numPr>
                <w:ilvl w:val="0"/>
                <w:numId w:val="2"/>
              </w:numPr>
              <w:spacing w:after="45"/>
            </w:pPr>
            <w:r>
              <w:rPr>
                <w:sz w:val="15"/>
                <w:szCs w:val="15"/>
              </w:rPr>
              <w:t xml:space="preserve">The strata that anchor both ends hold 52 patients (score 0) and 14 patients (score 5). No confidence interval is given for any survival estimate anywhere in the paper, and the headline claim that no patient with a score of 5 survived 5 years is a statement about 14 people.</w:t>
            </w:r>
          </w:p>
          <w:p>
            <w:pPr>
              <w:pStyle w:val="ListParagraph"/>
              <w:numPr>
                <w:ilvl w:val="0"/>
                <w:numId w:val="2"/>
              </w:numPr>
              <w:spacing w:after="45"/>
            </w:pPr>
            <w:r>
              <w:rPr>
                <w:sz w:val="15"/>
                <w:szCs w:val="15"/>
              </w:rPr>
              <w:t xml:space="preserve">The comparison that justifies the score over tumour number alone is an r-squared computed across six group means (0.92) against one computed across three (0.80), with no test of the difference, no confidence interval, and groups ranging from 14 to 350 patients.</w:t>
            </w:r>
          </w:p>
          <w:p>
            <w:pPr>
              <w:pStyle w:val="ListParagraph"/>
              <w:numPr>
                <w:ilvl w:val="0"/>
                <w:numId w:val="2"/>
              </w:numPr>
              <w:spacing w:after="45"/>
            </w:pPr>
            <w:r>
              <w:rPr>
                <w:sz w:val="15"/>
                <w:szCs w:val="15"/>
              </w:rPr>
              <w:t xml:space="preserve">123 of 1001 patients (12%) had no preoperative CEA, one of the five score components, and the paper never states how they were scored or whether they were dropped from Figure 3 and Table 5.</w:t>
            </w:r>
          </w:p>
          <w:p>
            <w:pPr>
              <w:pStyle w:val="ListParagraph"/>
              <w:numPr>
                <w:ilvl w:val="0"/>
                <w:numId w:val="2"/>
              </w:numPr>
              <w:spacing w:after="45"/>
            </w:pPr>
            <w:r>
              <w:rPr>
                <w:sz w:val="15"/>
                <w:szCs w:val="15"/>
              </w:rPr>
              <w:t xml:space="preserve">The statistical method is given as one sentence - proportional hazards regression in True Epistat - with no statement of whether the model was stepwise or full, no test of the proportional hazards assumption, no collinearity diagnostics and no account of missing data. Iwatsuki raised exactly this in the printed discussion and the reply ('thank you for telling me what we should have done') did not answer it.</w:t>
            </w:r>
          </w:p>
          <w:p>
            <w:pPr>
              <w:pStyle w:val="ListParagraph"/>
              <w:numPr>
                <w:ilvl w:val="0"/>
                <w:numId w:val="2"/>
              </w:numPr>
              <w:spacing w:after="45"/>
            </w:pPr>
            <w:r>
              <w:rPr>
                <w:sz w:val="15"/>
                <w:szCs w:val="15"/>
              </w:rPr>
              <w:t xml:space="preserve">CEA above 200 ng/mL tracks tumour burden and a node-positive primary tracks the disease-free interval, so awarding each a separate point counts the same risk twice; only bilaterality was tested for redundancy and discarded, and the remaining four were not.</w:t>
            </w:r>
          </w:p>
          <w:p>
            <w:pPr>
              <w:pStyle w:val="ListParagraph"/>
              <w:numPr>
                <w:ilvl w:val="0"/>
                <w:numId w:val="2"/>
              </w:numPr>
              <w:spacing w:after="45"/>
            </w:pPr>
            <w:r>
              <w:rPr>
                <w:sz w:val="15"/>
                <w:szCs w:val="15"/>
              </w:rPr>
              <w:t xml:space="preserve">The four thresholds (&gt;1 tumour, &gt;5 cm, &gt;200 ng/mL, &lt;12 months) are used as though derived, but no cut-point analysis is shown. The 200 ng/mL CEA cut differs by nearly an order of magnitude from the 30 ng/mL in Nordlinger's score, which the paper cites approvingly two paragraphs earlier, with no reason given for the difference.</w:t>
            </w:r>
          </w:p>
          <w:p>
            <w:pPr>
              <w:pStyle w:val="ListParagraph"/>
              <w:numPr>
                <w:ilvl w:val="0"/>
                <w:numId w:val="2"/>
              </w:numPr>
              <w:spacing w:after="45"/>
            </w:pPr>
            <w:r>
              <w:rPr>
                <w:sz w:val="15"/>
                <w:szCs w:val="15"/>
              </w:rPr>
              <w:t xml:space="preserve">The cohort is the resected subset. Blumgart states in the discussion that 79% of patients taken to the operating room were resected, rising above 90% once staging laparoscopy was added, and nobody turned down before exploration is counted at all, so the score describes prognosis conditional on having been selected and resected at this institution.</w:t>
            </w:r>
          </w:p>
          <w:p>
            <w:pPr>
              <w:pStyle w:val="ListParagraph"/>
              <w:numPr>
                <w:ilvl w:val="0"/>
                <w:numId w:val="2"/>
              </w:numPr>
              <w:spacing w:after="45"/>
            </w:pPr>
            <w:r>
              <w:rPr>
                <w:sz w:val="15"/>
                <w:szCs w:val="15"/>
              </w:rPr>
              <w:t xml:space="preserve">Practice changed substantially within the series - trisegmentectomies rose from 13% to 31% of annual cases, intraoperative ultrasound became standard only in the last 6 of the 13 years - but no analysis by era is presented and the model is fitted across the whole period as if homogeneous.</w:t>
            </w:r>
          </w:p>
          <w:p>
            <w:pPr>
              <w:pStyle w:val="ListParagraph"/>
              <w:numPr>
                <w:ilvl w:val="0"/>
                <w:numId w:val="2"/>
              </w:numPr>
              <w:spacing w:after="45"/>
            </w:pPr>
            <w:r>
              <w:rPr>
                <w:sz w:val="15"/>
                <w:szCs w:val="15"/>
              </w:rPr>
              <w:t xml:space="preserve">Median follow-up of survivors was 32 months, shorter than the endpoints claimed. The 5-year (37%) and 10-year (22%) figures are actuarial with no numbers at risk printed on any curve; the only actual count given is 136 five-year survivors among the 551 patients resected before 1994.</w:t>
            </w:r>
          </w:p>
          <w:p>
            <w:pPr>
              <w:pStyle w:val="ListParagraph"/>
              <w:numPr>
                <w:ilvl w:val="0"/>
                <w:numId w:val="2"/>
              </w:numPr>
              <w:spacing w:after="45"/>
            </w:pPr>
            <w:r>
              <w:rPr>
                <w:sz w:val="15"/>
                <w:szCs w:val="15"/>
              </w:rPr>
              <w:t xml:space="preserve">88 patients with extrahepatic disease were resected and left in the denominator while extrahepatic disease is simultaneously declared a contraindication to resection, and 97 patients had an arterial infusion pump placed during an era when an MSKCC adjuvant hepatic arterial infusion trial was running (cited in abstract form as reference 20). Adjuvant therapy is recorded nowhere and adjusted for nowhere.</w:t>
            </w:r>
          </w:p>
          <w:p>
            <w:pPr>
              <w:pStyle w:val="ListParagraph"/>
              <w:numPr>
                <w:ilvl w:val="0"/>
                <w:numId w:val="2"/>
              </w:numPr>
              <w:spacing w:after="45"/>
            </w:pPr>
            <w:r>
              <w:rPr>
                <w:sz w:val="15"/>
                <w:szCs w:val="15"/>
              </w:rPr>
              <w:t xml:space="preserve">The 3 cm subgroup result offered as the benchmark any ablation trial must beat (median 56 months, 5-year survival 47% at score 0-2, n=236) is a post hoc subgroup of a selected surgical cohort, matched for nothing, and is the only place in the paper where resection is compared with ablation.</w:t>
            </w:r>
          </w:p>
          <w:p>
            <w:pPr>
              <w:pStyle w:val="ListParagraph"/>
              <w:numPr>
                <w:ilvl w:val="0"/>
                <w:numId w:val="2"/>
              </w:numPr>
              <w:spacing w:after="45"/>
            </w:pPr>
            <w:r>
              <w:rPr>
                <w:sz w:val="15"/>
                <w:szCs w:val="15"/>
              </w:rPr>
              <w:t xml:space="preserve">No separate editorial or comment on this paper was found in PubMed; the only independent published critique is the discussion printed with the article (Pitt, Beazley, Terblanche, Iwatsuki, Wanebo, Bismuth).</w:t>
            </w:r>
          </w:p>
        </w:tc>
      </w:tr>
    </w:tbl>
    <w:p>
      <w:pPr>
        <w:spacing w:after="0" w:line="276"/>
      </w:pPr>
      <w:r>
        <w:rPr>
          <w:color w:val="5A6069"/>
          <w:sz w:val="14"/>
          <w:szCs w:val="14"/>
        </w:rPr>
        <w:t xml:space="preserve">Funding: Supported in part by NIH grants RO1CA76416, RO1CA72632 and RO1CA61524 to the first author; no conflict-of-interest or industry disclosure statement appears</w:t>
      </w:r>
    </w:p>
    <w:p>
      <w:pPr>
        <w:keepNext/>
        <w:spacing w:after="50" w:before="260"/>
      </w:pPr>
      <w:r>
        <w:rPr>
          <w:rFonts w:ascii="Cambria" w:cs="Cambria" w:eastAsia="Cambria" w:hAnsi="Cambria"/>
          <w:b/>
          <w:bCs/>
          <w:color w:val="17365D"/>
          <w:sz w:val="20"/>
          <w:szCs w:val="20"/>
        </w:rPr>
        <w:t xml:space="preserve">FOXFIRE / SIRFLOX / FOXFIRE-Global</w:t>
      </w:r>
      <w:r>
        <w:rPr>
          <w:b/>
          <w:bCs/>
          <w:color w:val="176A87"/>
          <w:sz w:val="15"/>
          <w:szCs w:val="15"/>
        </w:rPr>
        <w:t xml:space="preserve">   Meta-analysis</w:t>
      </w:r>
      <w:r>
        <w:rPr>
          <w:color w:val="5A6069"/>
          <w:sz w:val="15"/>
          <w:szCs w:val="15"/>
        </w:rPr>
        <w:t xml:space="preserve">   PMID 28781171</w:t>
      </w:r>
    </w:p>
    <w:p>
      <w:pPr>
        <w:spacing w:after="50" w:line="276"/>
      </w:pPr>
      <w:r>
        <w:rPr>
          <w:color w:val="5A6069"/>
          <w:sz w:val="17"/>
          <w:szCs w:val="17"/>
        </w:rPr>
        <w:t xml:space="preserve">First-line selective internal radiotherapy plus chemotherapy versus chemotherapy alone in patients with liver metastases from colorectal cancer (FOXFIRE, SIRFLOX, and FOXFIRE-Global): a combined analysis of three multicentre, randomised, phase 3 trials</w:t>
      </w:r>
    </w:p>
    <w:p>
      <w:pPr>
        <w:spacing w:after="50"/>
      </w:pPr>
      <w:r>
        <w:rPr>
          <w:b/>
          <w:bCs/>
          <w:color w:val="176A87"/>
          <w:sz w:val="16"/>
          <w:szCs w:val="16"/>
        </w:rPr>
        <w:t xml:space="preserve">Population. </w:t>
      </w:r>
      <w:r>
        <w:rPr>
          <w:sz w:val="16"/>
          <w:szCs w:val="16"/>
        </w:rPr>
        <w:t xml:space="preserve">1103 chemotherapy-naive patients with liver-only or liver-dominant unresectable colorectal metastases randomised 1:1 across 14 countries from 2006 to 2014 in three trials (364 FOXFIRE, 530 SIRFLOX, 209 FOXFIRE-Global; 554 FOLFOX plus SIRT, 549 FOLFOX alone); 844 deaths at a median follow-up of 43.3 months, 122 patients (11%) retrospectively found ineligible, and safety assessed in an as-treated population of 507 and 571</w:t>
      </w:r>
    </w:p>
    <w:p>
      <w:pPr>
        <w:spacing w:after="70"/>
      </w:pPr>
      <w:r>
        <w:rPr>
          <w:b/>
          <w:bCs/>
          <w:color w:val="17365D"/>
          <w:sz w:val="16"/>
          <w:szCs w:val="16"/>
        </w:rPr>
        <w:t xml:space="preserve">Bottom line. </w:t>
      </w:r>
      <w:r>
        <w:rPr>
          <w:sz w:val="16"/>
          <w:szCs w:val="16"/>
        </w:rPr>
        <w:t xml:space="preserve">Settles the first-line question: across 1103 randomised patients, adding yttrium-90 resin microspheres to FOLFOX does not prolong survival (22.6 against 23.3 months, HR 1.04, 95% CI 0.90-1.19), does not prolong progression-free survival, and does not convert a single extra patient to resection (17% against 16%), while raising grade 3 or worse toxicity and treatment-related deaths. It also shows why the SIRFLOX hepatic-progression result was not a benefit: first progression moved out of the liver as fast as it left it (subdistribution HR 0.51 in the liver, 1.76 outside). It cannot rule out benefit in selected patients: the control arm received more full-dose oxaliplatin and more bevacizumab, 12% of controls crossed over, and the one favourable subgroup - right-sided primaries - is post hoc, unmolecular and based on 179 patients.</w:t>
      </w:r>
    </w:p>
    <w:tbl>
      <w:tblPr>
        <w:tblW w:type="dxa" w:w="9360"/>
        <w:tblBorders>
          <w:top w:val="single" w:color="D3DCE4" w:sz="4"/>
          <w:left w:val="single" w:color="D3DCE4" w:sz="4"/>
          <w:bottom w:val="single" w:color="D3DCE4" w:sz="4"/>
          <w:right w:val="single" w:color="D3DCE4" w:sz="4"/>
          <w:insideH w:val="single" w:color="D3DCE4" w:sz="4"/>
          <w:insideV w:val="single" w:color="D3DCE4" w:sz="4"/>
        </w:tblBorders>
      </w:tblPr>
      <w:tblGrid>
        <w:gridCol w:w="4600"/>
        <w:gridCol w:w="4760"/>
      </w:tblGrid>
      <w:tr>
        <w:tc>
          <w:tcPr>
            <w:tcW w:type="dxa" w:w="4600"/>
            <w:shd w:fill="F1F4F8" w:color="auto" w:val="clear"/>
            <w:tcMar>
              <w:top w:type="dxa" w:w="70"/>
              <w:left w:type="dxa" w:w="110"/>
              <w:bottom w:type="dxa" w:w="70"/>
              <w:right w:type="dxa" w:w="110"/>
            </w:tcMar>
            <w:vAlign w:val="top"/>
          </w:tcPr>
          <w:p>
            <w:pPr>
              <w:spacing w:after="50"/>
            </w:pPr>
            <w:r>
              <w:rPr>
                <w:b/>
                <w:bCs/>
                <w:color w:val="8E5008"/>
                <w:spacing w:val="12"/>
                <w:sz w:val="14"/>
                <w:szCs w:val="14"/>
              </w:rPr>
              <w:t xml:space="preserve">LIMITATIONS THE AUTHORS STATE</w:t>
            </w:r>
          </w:p>
          <w:p>
            <w:pPr>
              <w:pStyle w:val="ListParagraph"/>
              <w:numPr>
                <w:ilvl w:val="0"/>
                <w:numId w:val="2"/>
              </w:numPr>
              <w:spacing w:after="45"/>
            </w:pPr>
            <w:r>
              <w:rPr>
                <w:sz w:val="15"/>
                <w:szCs w:val="15"/>
              </w:rPr>
              <w:t xml:space="preserve">Management of metastatic colorectal cancer changed substantially over the 8-year recruitment period, with bevacizumab and EGFR inhibitors becoming first-line standards and liver interventions including surgery and ablation becoming more common; the authors argue there is no reason to think this differed between groups</w:t>
            </w:r>
          </w:p>
          <w:p>
            <w:pPr>
              <w:pStyle w:val="ListParagraph"/>
              <w:numPr>
                <w:ilvl w:val="0"/>
                <w:numId w:val="2"/>
              </w:numPr>
              <w:spacing w:after="45"/>
            </w:pPr>
            <w:r>
              <w:rPr>
                <w:sz w:val="15"/>
                <w:szCs w:val="15"/>
              </w:rPr>
              <w:t xml:space="preserve">Some patients were found not to have met the entry criteria after randomisation, with sensitivity analyses excluding them reported as robust</w:t>
            </w:r>
          </w:p>
          <w:p>
            <w:pPr>
              <w:pStyle w:val="ListParagraph"/>
              <w:numPr>
                <w:ilvl w:val="0"/>
                <w:numId w:val="2"/>
              </w:numPr>
              <w:spacing w:after="45"/>
            </w:pPr>
            <w:r>
              <w:rPr>
                <w:sz w:val="15"/>
                <w:szCs w:val="15"/>
              </w:rPr>
              <w:t xml:space="preserve">The three trials were not identically designed, which the authors say is accounted for by the statistical methods used</w:t>
            </w:r>
          </w:p>
          <w:p>
            <w:pPr>
              <w:pStyle w:val="ListParagraph"/>
              <w:numPr>
                <w:ilvl w:val="0"/>
                <w:numId w:val="2"/>
              </w:numPr>
              <w:spacing w:after="45"/>
            </w:pPr>
            <w:r>
              <w:rPr>
                <w:sz w:val="15"/>
                <w:szCs w:val="15"/>
              </w:rPr>
              <w:t xml:space="preserve">Crossover was anticipated: 12% of patients randomised to FOLFOX alone later received SIRT and 8% assigned SIRT never received it, and the authors state the difference in exposure to post-trial treatments might have affected the primary endpoint</w:t>
            </w:r>
          </w:p>
          <w:p>
            <w:pPr>
              <w:pStyle w:val="ListParagraph"/>
              <w:numPr>
                <w:ilvl w:val="0"/>
                <w:numId w:val="2"/>
              </w:numPr>
              <w:spacing w:after="45"/>
            </w:pPr>
            <w:r>
              <w:rPr>
                <w:sz w:val="15"/>
                <w:szCs w:val="15"/>
              </w:rPr>
              <w:t xml:space="preserve">They speculate that better liver control may have biased physicians towards less intensive subsequent treatment, and that reduced later use of irinotecan may reflect prolonged myelosuppression after SIRT</w:t>
            </w:r>
          </w:p>
          <w:p>
            <w:pPr>
              <w:pStyle w:val="ListParagraph"/>
              <w:numPr>
                <w:ilvl w:val="0"/>
                <w:numId w:val="2"/>
              </w:numPr>
              <w:spacing w:after="45"/>
            </w:pPr>
            <w:r>
              <w:rPr>
                <w:sz w:val="15"/>
                <w:szCs w:val="15"/>
              </w:rPr>
              <w:t xml:space="preserve">Molecular subtypes were not available, and the right-sided primary finding is called exploratory with further analyses underway</w:t>
            </w:r>
          </w:p>
          <w:p>
            <w:pPr>
              <w:pStyle w:val="ListParagraph"/>
              <w:numPr>
                <w:ilvl w:val="0"/>
                <w:numId w:val="2"/>
              </w:numPr>
              <w:spacing w:after="45"/>
            </w:pPr>
            <w:r>
              <w:rPr>
                <w:sz w:val="15"/>
                <w:szCs w:val="15"/>
              </w:rPr>
              <w:t xml:space="preserve">The authors state that early use of SIRT with first-line oxaliplatin-based chemotherapy cannot be recommended in unselected patients, and call for study of SIRT in selected populations and as consolidation after chemotherapy</w:t>
            </w:r>
          </w:p>
        </w:tc>
        <w:tc>
          <w:tcPr>
            <w:tcW w:type="dxa" w:w="4760"/>
            <w:shd w:fill="F1F4F8" w:color="auto" w:val="clear"/>
            <w:tcMar>
              <w:top w:type="dxa" w:w="70"/>
              <w:left w:type="dxa" w:w="110"/>
              <w:bottom w:type="dxa" w:w="70"/>
              <w:right w:type="dxa" w:w="110"/>
            </w:tcMar>
            <w:vAlign w:val="top"/>
          </w:tcPr>
          <w:p>
            <w:pPr>
              <w:spacing w:after="50"/>
            </w:pPr>
            <w:r>
              <w:rPr>
                <w:b/>
                <w:bCs/>
                <w:color w:val="8C2F26"/>
                <w:spacing w:val="12"/>
                <w:sz w:val="14"/>
                <w:szCs w:val="14"/>
              </w:rPr>
              <w:t xml:space="preserve">WHAT THEY DO NOT SAY</w:t>
            </w:r>
          </w:p>
          <w:p>
            <w:pPr>
              <w:pStyle w:val="ListParagraph"/>
              <w:numPr>
                <w:ilvl w:val="0"/>
                <w:numId w:val="2"/>
              </w:numPr>
              <w:spacing w:after="45"/>
            </w:pPr>
            <w:r>
              <w:rPr>
                <w:sz w:val="15"/>
                <w:szCs w:val="15"/>
              </w:rPr>
              <w:t xml:space="preserve">The control arm was better treated in two ways that both bias against SIRT, and only one is acknowledged. Full-dose oxaliplatin was given in 59% of SIRT-arm cycles against 68% of control cycles, by protocol design; and bevacizumab was given to 197 of 554 SIRT patients (36%) against 256 of 549 controls (47%), an 11-point imbalance in a drug of proven benefit, despite planned biologic use having been made a stratification factor in May 2011. The bevacizumab imbalance is printed in the results and never discussed.</w:t>
            </w:r>
          </w:p>
          <w:p>
            <w:pPr>
              <w:pStyle w:val="ListParagraph"/>
              <w:numPr>
                <w:ilvl w:val="0"/>
                <w:numId w:val="2"/>
              </w:numPr>
              <w:spacing w:after="45"/>
            </w:pPr>
            <w:r>
              <w:rPr>
                <w:sz w:val="15"/>
                <w:szCs w:val="15"/>
              </w:rPr>
              <w:t xml:space="preserve">The paper states plainly that dose reduction data were not readily available, so the degree of chemotherapy attenuation in each arm cannot be quantified beyond the first 12 cycles, in an analysis whose central claim is that an added treatment confers no benefit.</w:t>
            </w:r>
          </w:p>
          <w:p>
            <w:pPr>
              <w:pStyle w:val="ListParagraph"/>
              <w:numPr>
                <w:ilvl w:val="0"/>
                <w:numId w:val="2"/>
              </w:numPr>
              <w:spacing w:after="45"/>
            </w:pPr>
            <w:r>
              <w:rPr>
                <w:sz w:val="15"/>
                <w:szCs w:val="15"/>
              </w:rPr>
              <w:t xml:space="preserve">The device manufacturer was inside the data. Sirtex employees were involved in all stages of two of the three trials and in the process of combining the three datasets, and the sponsor reviewed the manuscript. A pooled analysis conducted partly by the manufacturer of the device being tested needs independent replication of the merge, and none is described.</w:t>
            </w:r>
          </w:p>
          <w:p>
            <w:pPr>
              <w:pStyle w:val="ListParagraph"/>
              <w:numPr>
                <w:ilvl w:val="0"/>
                <w:numId w:val="2"/>
              </w:numPr>
              <w:spacing w:after="45"/>
            </w:pPr>
            <w:r>
              <w:rPr>
                <w:sz w:val="15"/>
                <w:szCs w:val="15"/>
              </w:rPr>
              <w:t xml:space="preserve">The only subgroup favouring SIRT is post hoc and built on partial data: primary tumour site was a post-hoc subgroup, side was known for just 718 of 1103 patients (65%), and the right-sided group numbers 179. No interaction test is reported in the text, no molecular data exist, and the authors nonetheless call for further studies in that subgroup - which is the reading the linked Comment then amplifies.</w:t>
            </w:r>
          </w:p>
          <w:p>
            <w:pPr>
              <w:pStyle w:val="ListParagraph"/>
              <w:numPr>
                <w:ilvl w:val="0"/>
                <w:numId w:val="2"/>
              </w:numPr>
              <w:spacing w:after="45"/>
            </w:pPr>
            <w:r>
              <w:rPr>
                <w:sz w:val="15"/>
                <w:szCs w:val="15"/>
              </w:rPr>
              <w:t xml:space="preserve">Liver control and extrahepatic failure move in opposite directions by almost identical magnitudes: subdistribution hazard ratio 0.51 (95% CI 0.43-0.62) for first progression in the liver and 1.76 (1.47-2.11) for non-liver progression or death. A treatment that relocates the first progression event without changing survival or progression-free survival has not controlled the disease, and the first figure is nonetheless reported as improved liver-specific control.</w:t>
            </w:r>
          </w:p>
          <w:p>
            <w:pPr>
              <w:pStyle w:val="ListParagraph"/>
              <w:numPr>
                <w:ilvl w:val="0"/>
                <w:numId w:val="2"/>
              </w:numPr>
              <w:spacing w:after="45"/>
            </w:pPr>
            <w:r>
              <w:rPr>
                <w:sz w:val="15"/>
                <w:szCs w:val="15"/>
              </w:rPr>
              <w:t xml:space="preserve">Response rose substantially (72% versus 63%, OR 1.52; liver response OR 1.78) and resection did not move at all (94 of 554, 17%, versus 88 of 549, 16%; OR 1.07). Across 1103 patients this is the most powerful demonstration available that radiological response in the liver is not resectability, and the paper offers it as a single sentence.</w:t>
            </w:r>
          </w:p>
          <w:p>
            <w:pPr>
              <w:pStyle w:val="ListParagraph"/>
              <w:numPr>
                <w:ilvl w:val="0"/>
                <w:numId w:val="2"/>
              </w:numPr>
              <w:spacing w:after="45"/>
            </w:pPr>
            <w:r>
              <w:rPr>
                <w:sz w:val="15"/>
                <w:szCs w:val="15"/>
              </w:rPr>
              <w:t xml:space="preserve">The toxicity comparison uses as-treated groups of 507 and 571 while efficacy uses randomised groups of 554 and 549, so the 47 patients assigned SIRT who never received it are counted as chemotherapy-alone for harms. The control arm's safety denominator therefore exceeds its randomised size, and the resulting excess toxicity with SIRT (OR 1.42, 95% CI 1.09-1.85) is if anything understated.</w:t>
            </w:r>
          </w:p>
          <w:p>
            <w:pPr>
              <w:pStyle w:val="ListParagraph"/>
              <w:numPr>
                <w:ilvl w:val="0"/>
                <w:numId w:val="2"/>
              </w:numPr>
              <w:spacing w:after="45"/>
            </w:pPr>
            <w:r>
              <w:rPr>
                <w:sz w:val="15"/>
                <w:szCs w:val="15"/>
              </w:rPr>
              <w:t xml:space="preserve">Post-trial therapy differed systematically and no analysis adjusts for it. Fewer SIRT patients went on to irinotecan, fluoropyrimidine, anti-VEGF or anti-EGFR therapy, and 66 of 549 controls (12%) crossed over to SIRT. The authors list both and offer no sensitivity analysis of the primary endpoint accounting for either.</w:t>
            </w:r>
          </w:p>
          <w:p>
            <w:pPr>
              <w:pStyle w:val="ListParagraph"/>
              <w:numPr>
                <w:ilvl w:val="0"/>
                <w:numId w:val="2"/>
              </w:numPr>
              <w:spacing w:after="45"/>
            </w:pPr>
            <w:r>
              <w:rPr>
                <w:sz w:val="15"/>
                <w:szCs w:val="15"/>
              </w:rPr>
              <w:t xml:space="preserve">Eight treatment-related deaths occurred with SIRT against three with chemotherapy alone - three from radiation-induced liver disease, one from off-target microsphere delivery, two surgical, one liver failure, one pneumonitis - and the Discussion summarises this as increased toxicity that did not translate into inferior overall survival.</w:t>
            </w:r>
          </w:p>
          <w:p>
            <w:pPr>
              <w:pStyle w:val="ListParagraph"/>
              <w:numPr>
                <w:ilvl w:val="0"/>
                <w:numId w:val="2"/>
              </w:numPr>
              <w:spacing w:after="45"/>
            </w:pPr>
            <w:r>
              <w:rPr>
                <w:sz w:val="15"/>
                <w:szCs w:val="15"/>
              </w:rPr>
              <w:t xml:space="preserve">Quality of life is reported only for the first 24 months as unadjusted EQ-5D-3L utility scores with no completion rates in the main text, and the one timepoint that differed (2-3 months, when SIRT toxicity peaks) is set aside as not clinically meaningful against a threshold borrowed from a cross-cancer suggestion.</w:t>
            </w:r>
          </w:p>
          <w:p>
            <w:pPr>
              <w:pStyle w:val="ListParagraph"/>
              <w:numPr>
                <w:ilvl w:val="0"/>
                <w:numId w:val="2"/>
              </w:numPr>
              <w:spacing w:after="45"/>
            </w:pPr>
            <w:r>
              <w:rPr>
                <w:sz w:val="15"/>
                <w:szCs w:val="15"/>
              </w:rPr>
              <w:t xml:space="preserve">Eligibility differed between the pooled trials in ways that matter for a liver-directed therapy - FOXFIRE allowed up to five lung metastases amenable to future local therapy, the other two allowed nodules by size - and biological agents entered FOXFIRE only from December 2014, so the trials contributing to the pooled estimate delivered different background therapy in different years.</w:t>
            </w:r>
          </w:p>
          <w:p>
            <w:pPr>
              <w:pStyle w:val="ListParagraph"/>
              <w:numPr>
                <w:ilvl w:val="0"/>
                <w:numId w:val="2"/>
              </w:numPr>
              <w:spacing w:after="45"/>
            </w:pPr>
            <w:r>
              <w:rPr>
                <w:sz w:val="15"/>
                <w:szCs w:val="15"/>
              </w:rPr>
              <w:t xml:space="preserve">The analysis cannot address the question a liver surgeon asks. Roughly half the patients had an intact primary tumour, 87% had synchronous disease, all were deemed unresectable at entry, and recruitment ran through the years in which ablation became routine, so the pooled result bears on first-line consolidation strategy and not on conversion or on resectable disease.</w:t>
            </w:r>
          </w:p>
          <w:p>
            <w:pPr>
              <w:pStyle w:val="ListParagraph"/>
              <w:numPr>
                <w:ilvl w:val="0"/>
                <w:numId w:val="2"/>
              </w:numPr>
              <w:spacing w:after="45"/>
            </w:pPr>
            <w:r>
              <w:rPr>
                <w:sz w:val="15"/>
                <w:szCs w:val="15"/>
              </w:rPr>
              <w:t xml:space="preserve">A linked Lancet Oncology Comment (PMID 28781172, Schmoll, 2017;18:1138-9) asking whether SIRT is only for right-sided tumours was identified in PubMed but its text was not read for this record.</w:t>
            </w:r>
          </w:p>
        </w:tc>
      </w:tr>
    </w:tbl>
    <w:p>
      <w:pPr>
        <w:spacing w:after="0" w:line="276"/>
      </w:pPr>
      <w:r>
        <w:rPr>
          <w:color w:val="5A6069"/>
          <w:sz w:val="14"/>
          <w:szCs w:val="14"/>
        </w:rPr>
        <w:t xml:space="preserve">Funding: Bobby Moore Fund of Cancer Research UK and Sirtex Medical, the manufacturer of the yttrium-90 resin microspheres. The sponsor had no role in FOXFIRE's design, data collection or analysis, but Sirtex employees were involved in all stages of SIRFLOX and FOXFIRE-Global and in the process of combining the three trial datasets, and the sponsor reviewed the manuscript and provided comments. Most senior authors declare grants, personal fees or non-financial support from Sirtex Medical</w:t>
      </w:r>
    </w:p>
    <w:p>
      <w:pPr>
        <w:keepNext/>
        <w:spacing w:after="50" w:before="260"/>
      </w:pPr>
      <w:r>
        <w:rPr>
          <w:rFonts w:ascii="Cambria" w:cs="Cambria" w:eastAsia="Cambria" w:hAnsi="Cambria"/>
          <w:b/>
          <w:bCs/>
          <w:color w:val="17365D"/>
          <w:sz w:val="20"/>
          <w:szCs w:val="20"/>
        </w:rPr>
        <w:t xml:space="preserve">Grut metabolic tumour volume</w:t>
      </w:r>
      <w:r>
        <w:rPr>
          <w:b/>
          <w:bCs/>
          <w:color w:val="176A87"/>
          <w:sz w:val="15"/>
          <w:szCs w:val="15"/>
        </w:rPr>
        <w:t xml:space="preserve">   cohort</w:t>
      </w:r>
      <w:r>
        <w:rPr>
          <w:color w:val="5A6069"/>
          <w:sz w:val="15"/>
          <w:szCs w:val="15"/>
        </w:rPr>
        <w:t xml:space="preserve">   PMID 36241941</w:t>
      </w:r>
    </w:p>
    <w:p>
      <w:pPr>
        <w:spacing w:after="50" w:line="276"/>
      </w:pPr>
      <w:r>
        <w:rPr>
          <w:color w:val="5A6069"/>
          <w:sz w:val="17"/>
          <w:szCs w:val="17"/>
        </w:rPr>
        <w:t xml:space="preserve">Metabolic tumor volume predicts long-term survival after transplantation for unresectable colorectal liver metastases: 15 years of experience from the SECA study</w:t>
      </w:r>
    </w:p>
    <w:p>
      <w:pPr>
        <w:spacing w:after="50"/>
      </w:pPr>
      <w:r>
        <w:rPr>
          <w:b/>
          <w:bCs/>
          <w:color w:val="176A87"/>
          <w:sz w:val="16"/>
          <w:szCs w:val="16"/>
        </w:rPr>
        <w:t xml:space="preserve">Population. </w:t>
      </w:r>
      <w:r>
        <w:rPr>
          <w:sz w:val="16"/>
          <w:szCs w:val="16"/>
        </w:rPr>
        <w:t xml:space="preserve">All 40 patients transplanted for unresectable colorectal liver metastases at Oslo University Hospital in SECA-1 (n=23) and SECA-2 (n=17) between 2006 and 2018 with an evaluable preoperative 18F-FDG PET/CT; 26 had a total metabolic tumour volume below 70 cm3 and 14 above, and 20 were scanned within 90 days of transplantation</w:t>
      </w:r>
    </w:p>
    <w:p>
      <w:pPr>
        <w:spacing w:after="70"/>
      </w:pPr>
      <w:r>
        <w:rPr>
          <w:b/>
          <w:bCs/>
          <w:color w:val="17365D"/>
          <w:sz w:val="16"/>
          <w:szCs w:val="16"/>
        </w:rPr>
        <w:t xml:space="preserve">Bottom line. </w:t>
      </w:r>
      <w:r>
        <w:rPr>
          <w:sz w:val="16"/>
          <w:szCs w:val="16"/>
        </w:rPr>
        <w:t xml:space="preserve">Shows that across the whole 40-patient Oslo transplant experience, total metabolic tumour volume on preoperative PET separates survivors sharply - 5-year overall survival 76% against 21% and 10-year 50% against 7% below and above 70 cm3 - and that the signal exists only when the scan is recent, which supports rescanning candidates who wait more than three months. It does not establish the threshold or the measure: the 70 cm3 cut was fitted by ROC in these same patients, it has never been tested elsewhere, it tracks CEA, lesion number, lesion size, Fong score and progression on chemotherapy so closely that no independent information is demonstrated, and SECA-1 and SECA-2 were pooled despite differing eligibility and a 23-point survival gap. With no comparator arm, it cannot say what a high-volume patient should be offered instead.</w:t>
      </w:r>
    </w:p>
    <w:tbl>
      <w:tblPr>
        <w:tblW w:type="dxa" w:w="9360"/>
        <w:tblBorders>
          <w:top w:val="single" w:color="D3DCE4" w:sz="4"/>
          <w:left w:val="single" w:color="D3DCE4" w:sz="4"/>
          <w:bottom w:val="single" w:color="D3DCE4" w:sz="4"/>
          <w:right w:val="single" w:color="D3DCE4" w:sz="4"/>
          <w:insideH w:val="single" w:color="D3DCE4" w:sz="4"/>
          <w:insideV w:val="single" w:color="D3DCE4" w:sz="4"/>
        </w:tblBorders>
      </w:tblPr>
      <w:tblGrid>
        <w:gridCol w:w="4600"/>
        <w:gridCol w:w="4760"/>
      </w:tblGrid>
      <w:tr>
        <w:tc>
          <w:tcPr>
            <w:tcW w:type="dxa" w:w="4600"/>
            <w:shd w:fill="F1F4F8" w:color="auto" w:val="clear"/>
            <w:tcMar>
              <w:top w:type="dxa" w:w="70"/>
              <w:left w:type="dxa" w:w="110"/>
              <w:bottom w:type="dxa" w:w="70"/>
              <w:right w:type="dxa" w:w="110"/>
            </w:tcMar>
            <w:vAlign w:val="top"/>
          </w:tcPr>
          <w:p>
            <w:pPr>
              <w:spacing w:after="50"/>
            </w:pPr>
            <w:r>
              <w:rPr>
                <w:b/>
                <w:bCs/>
                <w:color w:val="8E5008"/>
                <w:spacing w:val="12"/>
                <w:sz w:val="14"/>
                <w:szCs w:val="14"/>
              </w:rPr>
              <w:t xml:space="preserve">LIMITATIONS THE AUTHORS STATE</w:t>
            </w:r>
          </w:p>
          <w:p>
            <w:pPr>
              <w:pStyle w:val="ListParagraph"/>
              <w:numPr>
                <w:ilvl w:val="0"/>
                <w:numId w:val="2"/>
              </w:numPr>
              <w:spacing w:after="45"/>
            </w:pPr>
            <w:r>
              <w:rPr>
                <w:sz w:val="15"/>
                <w:szCs w:val="15"/>
              </w:rPr>
              <w:t xml:space="preserve">The study was retrospective and the total number of patients is relatively low (n=40), which the authors answer by noting it is the largest material on liver transplantation for colorectal liver metastases worldwide with a very long observation time</w:t>
            </w:r>
          </w:p>
          <w:p>
            <w:pPr>
              <w:pStyle w:val="ListParagraph"/>
              <w:numPr>
                <w:ilvl w:val="0"/>
                <w:numId w:val="2"/>
              </w:numPr>
              <w:spacing w:after="45"/>
            </w:pPr>
            <w:r>
              <w:rPr>
                <w:sz w:val="15"/>
                <w:szCs w:val="15"/>
              </w:rPr>
              <w:t xml:space="preserve">Variability in the interval between the PET/CT and transplantation could be a source of bias; the authors argue it was probably not critical because the interval did not differ between the high and low metabolic tumour volume groups</w:t>
            </w:r>
          </w:p>
          <w:p>
            <w:pPr>
              <w:pStyle w:val="ListParagraph"/>
              <w:numPr>
                <w:ilvl w:val="0"/>
                <w:numId w:val="2"/>
              </w:numPr>
              <w:spacing w:after="45"/>
            </w:pPr>
            <w:r>
              <w:rPr>
                <w:sz w:val="15"/>
                <w:szCs w:val="15"/>
              </w:rPr>
              <w:t xml:space="preserve">The PET followed a standard clinical protocol without respiratory gating for liver metastases or for detection of lesions at the liver hilum</w:t>
            </w:r>
          </w:p>
          <w:p>
            <w:pPr>
              <w:pStyle w:val="ListParagraph"/>
              <w:numPr>
                <w:ilvl w:val="0"/>
                <w:numId w:val="2"/>
              </w:numPr>
              <w:spacing w:after="45"/>
            </w:pPr>
            <w:r>
              <w:rPr>
                <w:sz w:val="15"/>
                <w:szCs w:val="15"/>
              </w:rPr>
              <w:t xml:space="preserve">SECA-1 and SECA-2 eligibility differed - SECA-2 excluded patients with progressive disease and those within a year of diagnosis - so SECA-2 patients may have had more favourable biology, with 5-year survival of 60% against 83%; the authors state the cohorts were pooled and not compared</w:t>
            </w:r>
          </w:p>
          <w:p>
            <w:pPr>
              <w:pStyle w:val="ListParagraph"/>
              <w:numPr>
                <w:ilvl w:val="0"/>
                <w:numId w:val="2"/>
              </w:numPr>
              <w:spacing w:after="45"/>
            </w:pPr>
            <w:r>
              <w:rPr>
                <w:sz w:val="15"/>
                <w:szCs w:val="15"/>
              </w:rPr>
              <w:t xml:space="preserve">They note that very small or microscopic residual disease is undetectable by any imaging modality, which is why the recurrence rate after transplantation is high and surveillance matters</w:t>
            </w:r>
          </w:p>
        </w:tc>
        <w:tc>
          <w:tcPr>
            <w:tcW w:type="dxa" w:w="4760"/>
            <w:shd w:fill="F1F4F8" w:color="auto" w:val="clear"/>
            <w:tcMar>
              <w:top w:type="dxa" w:w="70"/>
              <w:left w:type="dxa" w:w="110"/>
              <w:bottom w:type="dxa" w:w="70"/>
              <w:right w:type="dxa" w:w="110"/>
            </w:tcMar>
            <w:vAlign w:val="top"/>
          </w:tcPr>
          <w:p>
            <w:pPr>
              <w:spacing w:after="50"/>
            </w:pPr>
            <w:r>
              <w:rPr>
                <w:b/>
                <w:bCs/>
                <w:color w:val="8C2F26"/>
                <w:spacing w:val="12"/>
                <w:sz w:val="14"/>
                <w:szCs w:val="14"/>
              </w:rPr>
              <w:t xml:space="preserve">WHAT THEY DO NOT SAY</w:t>
            </w:r>
          </w:p>
          <w:p>
            <w:pPr>
              <w:pStyle w:val="ListParagraph"/>
              <w:numPr>
                <w:ilvl w:val="0"/>
                <w:numId w:val="2"/>
              </w:numPr>
              <w:spacing w:after="45"/>
            </w:pPr>
            <w:r>
              <w:rPr>
                <w:sz w:val="15"/>
                <w:szCs w:val="15"/>
              </w:rPr>
              <w:t xml:space="preserve">The 70 cm3 threshold was derived by ROC analysis in the same 40 patients in which it is then tested, with no bootstrap, cross-validation or external cohort. Its apparent discrimination is fitted to the outcome it is said to predict.</w:t>
            </w:r>
          </w:p>
          <w:p>
            <w:pPr>
              <w:pStyle w:val="ListParagraph"/>
              <w:numPr>
                <w:ilvl w:val="0"/>
                <w:numId w:val="2"/>
              </w:numPr>
              <w:spacing w:after="45"/>
            </w:pPr>
            <w:r>
              <w:rPr>
                <w:sz w:val="15"/>
                <w:szCs w:val="15"/>
              </w:rPr>
              <w:t xml:space="preserve">The same ROC procedure produced cut-offs for SUVmax, SUVmean, SUVpeak and tumour-to-background ratio, which are then discarded for failing to separate survival. One fitting exercise is used to validate the parameters that worked and to dismiss those that did not, in the same 40 patients.</w:t>
            </w:r>
          </w:p>
          <w:p>
            <w:pPr>
              <w:pStyle w:val="ListParagraph"/>
              <w:numPr>
                <w:ilvl w:val="0"/>
                <w:numId w:val="2"/>
              </w:numPr>
              <w:spacing w:after="45"/>
            </w:pPr>
            <w:r>
              <w:rPr>
                <w:sz w:val="15"/>
                <w:szCs w:val="15"/>
              </w:rPr>
              <w:t xml:space="preserve">The defence of the scan-to-transplant interval does not address the paper's own result. The prognostic effect was significant only among the 20 patients scanned within 90 days (p&lt;0.001) and not among the 20 scanned earlier (p=0.093). Showing that the interval did not differ between metabolic tumour volume groups is not the relevant test, and the recommendation to rescan after three months rests on a split of 20 patients against 20.</w:t>
            </w:r>
          </w:p>
          <w:p>
            <w:pPr>
              <w:pStyle w:val="ListParagraph"/>
              <w:numPr>
                <w:ilvl w:val="0"/>
                <w:numId w:val="2"/>
              </w:numPr>
              <w:spacing w:after="45"/>
            </w:pPr>
            <w:r>
              <w:rPr>
                <w:sz w:val="15"/>
                <w:szCs w:val="15"/>
              </w:rPr>
              <w:t xml:space="preserve">Metabolic tumour volume is collinear with every conventional adverse feature and no multivariable analysis is offered: median CEA 95 against 3 ug/L, 11 against 6 metastases, largest lesion 83 against 29 mm, Fong score 4 against 2, progressive disease at transplant 79% against 19%, and two or three lines of chemotherapy 93% against 31%, all p below 0.016. Nothing here distinguishes a PET measurement from 'large-volume disease progressing on multiple lines of chemotherapy', which needs no PET to recognise.</w:t>
            </w:r>
          </w:p>
          <w:p>
            <w:pPr>
              <w:pStyle w:val="ListParagraph"/>
              <w:numPr>
                <w:ilvl w:val="0"/>
                <w:numId w:val="2"/>
              </w:numPr>
              <w:spacing w:after="45"/>
            </w:pPr>
            <w:r>
              <w:rPr>
                <w:sz w:val="15"/>
                <w:szCs w:val="15"/>
              </w:rPr>
              <w:t xml:space="preserve">Trial membership confounds the comparison and is not adjusted for. SECA-1 admitted patients progressing on chemotherapy and within a year of diagnosis and gave 60% five-year survival; SECA-2 excluded them and gave 83%. Pooling the two while conceding both the eligibility difference and the 23-point survival difference leaves the metabolic tumour volume effect entangled with which study a patient entered.</w:t>
            </w:r>
          </w:p>
          <w:p>
            <w:pPr>
              <w:pStyle w:val="ListParagraph"/>
              <w:numPr>
                <w:ilvl w:val="0"/>
                <w:numId w:val="2"/>
              </w:numPr>
              <w:spacing w:after="45"/>
            </w:pPr>
            <w:r>
              <w:rPr>
                <w:sz w:val="15"/>
                <w:szCs w:val="15"/>
              </w:rPr>
              <w:t xml:space="preserve">The explanation given for better post-recurrence survival in the low-volume group - resectable pulmonary relapse - is contradicted by the paper's own data: the first site of recurrence did not differ significantly (lung in 11 of 26 against 6 of 14, p=0.233). The authors call it the most plausible explanation regardless.</w:t>
            </w:r>
          </w:p>
          <w:p>
            <w:pPr>
              <w:pStyle w:val="ListParagraph"/>
              <w:numPr>
                <w:ilvl w:val="0"/>
                <w:numId w:val="2"/>
              </w:numPr>
              <w:spacing w:after="45"/>
            </w:pPr>
            <w:r>
              <w:rPr>
                <w:sz w:val="15"/>
                <w:szCs w:val="15"/>
              </w:rPr>
              <w:t xml:space="preserve">The measure being promoted as a selection criterion does not identify cure. All 14 high-volume and 19 of 26 low-volume patients recurred, and five-year disease-free survival was 21% against 0%, so even the favourable group is mostly recurrent disease managed afterwards.</w:t>
            </w:r>
          </w:p>
          <w:p>
            <w:pPr>
              <w:pStyle w:val="ListParagraph"/>
              <w:numPr>
                <w:ilvl w:val="0"/>
                <w:numId w:val="2"/>
              </w:numPr>
              <w:spacing w:after="45"/>
            </w:pPr>
            <w:r>
              <w:rPr>
                <w:sz w:val="15"/>
                <w:szCs w:val="15"/>
              </w:rPr>
              <w:t xml:space="preserve">There is no comparator of any kind - no resection, no chemotherapy, no listed-but-not-transplanted group - so the paper can say that high metabolic tumour volume predicts worse outcome after transplantation but nothing about whether such a patient would do better or worse with any alternative.</w:t>
            </w:r>
          </w:p>
          <w:p>
            <w:pPr>
              <w:pStyle w:val="ListParagraph"/>
              <w:numPr>
                <w:ilvl w:val="0"/>
                <w:numId w:val="2"/>
              </w:numPr>
              <w:spacing w:after="45"/>
            </w:pPr>
            <w:r>
              <w:rPr>
                <w:sz w:val="15"/>
                <w:szCs w:val="15"/>
              </w:rPr>
              <w:t xml:space="preserve">Six PET parameters are each tested against overall, disease-free and post-recurrence survival in 40 patients with no adjustment for multiplicity, and the conclusion retains the two that reached significance.</w:t>
            </w:r>
          </w:p>
          <w:p>
            <w:pPr>
              <w:pStyle w:val="ListParagraph"/>
              <w:numPr>
                <w:ilvl w:val="0"/>
                <w:numId w:val="2"/>
              </w:numPr>
              <w:spacing w:after="45"/>
            </w:pPr>
            <w:r>
              <w:rPr>
                <w:sz w:val="15"/>
                <w:szCs w:val="15"/>
              </w:rPr>
              <w:t xml:space="preserve">Reproducibility is unaddressed in a paper recommending implementation elsewhere: one scanner, one centre, a fixed 40% SUVmax threshold, no respiratory gating, and no inter-reader, test-retest or cross-scanner agreement data for a liver volume measurement that is known to be sensitive to all of these.</w:t>
            </w:r>
          </w:p>
          <w:p>
            <w:pPr>
              <w:pStyle w:val="ListParagraph"/>
              <w:numPr>
                <w:ilvl w:val="0"/>
                <w:numId w:val="2"/>
              </w:numPr>
              <w:spacing w:after="45"/>
            </w:pPr>
            <w:r>
              <w:rPr>
                <w:sz w:val="15"/>
                <w:szCs w:val="15"/>
              </w:rPr>
              <w:t xml:space="preserve">The cohort was pre-filtered by the same test. Every patient had to be PET-negative for extrahepatic disease to be transplanted - in SECA-1 the PET excluded about a third of candidates - so metabolic tumour volume is evaluated only among patients the modality had already selected.</w:t>
            </w:r>
          </w:p>
          <w:p>
            <w:pPr>
              <w:pStyle w:val="ListParagraph"/>
              <w:numPr>
                <w:ilvl w:val="0"/>
                <w:numId w:val="2"/>
              </w:numPr>
              <w:spacing w:after="45"/>
            </w:pPr>
            <w:r>
              <w:rPr>
                <w:sz w:val="15"/>
                <w:szCs w:val="15"/>
              </w:rPr>
              <w:t xml:space="preserve">No survival estimate in the paper carries a confidence interval, and Table 1's percentages do not reconcile with its counts (18 N0 patients reported as 55%), so the baseline table cannot be cross-footed.</w:t>
            </w:r>
          </w:p>
          <w:p>
            <w:pPr>
              <w:pStyle w:val="ListParagraph"/>
              <w:numPr>
                <w:ilvl w:val="0"/>
                <w:numId w:val="2"/>
              </w:numPr>
              <w:spacing w:after="45"/>
            </w:pPr>
            <w:r>
              <w:rPr>
                <w:sz w:val="15"/>
                <w:szCs w:val="15"/>
              </w:rPr>
              <w:t xml:space="preserve">No linked editorial or comment on this paper was found in PubMed, so no independent published critique informs this record.</w:t>
            </w:r>
          </w:p>
        </w:tc>
      </w:tr>
    </w:tbl>
    <w:p>
      <w:pPr>
        <w:spacing w:after="0" w:line="276"/>
      </w:pPr>
      <w:r>
        <w:rPr>
          <w:color w:val="5A6069"/>
          <w:sz w:val="14"/>
          <w:szCs w:val="14"/>
        </w:rPr>
        <w:t xml:space="preserve">Funding: Open access funding and support from Vestre Viken Hospital Trust, Oslo University Hospital and the Norwegian Cancer Society. The authors declare no conflicts of interest</w:t>
      </w:r>
    </w:p>
    <w:p>
      <w:pPr>
        <w:keepNext/>
        <w:spacing w:after="50" w:before="260"/>
      </w:pPr>
      <w:r>
        <w:rPr>
          <w:rFonts w:ascii="Cambria" w:cs="Cambria" w:eastAsia="Cambria" w:hAnsi="Cambria"/>
          <w:b/>
          <w:bCs/>
          <w:color w:val="17365D"/>
          <w:sz w:val="20"/>
          <w:szCs w:val="20"/>
        </w:rPr>
        <w:t xml:space="preserve">Hendlisz Y90</w:t>
      </w:r>
      <w:r>
        <w:rPr>
          <w:b/>
          <w:bCs/>
          <w:color w:val="176A87"/>
          <w:sz w:val="15"/>
          <w:szCs w:val="15"/>
        </w:rPr>
        <w:t xml:space="preserve">   Randomised trial</w:t>
      </w:r>
      <w:r>
        <w:rPr>
          <w:color w:val="5A6069"/>
          <w:sz w:val="15"/>
          <w:szCs w:val="15"/>
        </w:rPr>
        <w:t xml:space="preserve">   PMID 20567019</w:t>
      </w:r>
    </w:p>
    <w:p>
      <w:pPr>
        <w:spacing w:after="50" w:line="276"/>
      </w:pPr>
      <w:r>
        <w:rPr>
          <w:color w:val="5A6069"/>
          <w:sz w:val="17"/>
          <w:szCs w:val="17"/>
        </w:rPr>
        <w:t xml:space="preserve">Phase III trial comparing protracted intravenous fluorouracil infusion alone or with yttrium-90 resin microspheres radioembolization for liver-limited metastatic colorectal cancer refractory to standard chemotherapy</w:t>
      </w:r>
    </w:p>
    <w:p>
      <w:pPr>
        <w:spacing w:after="50"/>
      </w:pPr>
      <w:r>
        <w:rPr>
          <w:b/>
          <w:bCs/>
          <w:color w:val="176A87"/>
          <w:sz w:val="16"/>
          <w:szCs w:val="16"/>
        </w:rPr>
        <w:t xml:space="preserve">Population. </w:t>
      </w:r>
      <w:r>
        <w:rPr>
          <w:sz w:val="16"/>
          <w:szCs w:val="16"/>
        </w:rPr>
        <w:t xml:space="preserve">46 patients with unresectable liver-only colorectal metastases refractory to or intolerant of fluorouracil, oxaliplatin and irinotecan, randomised at three Belgian centres between December 2004 and November 2007 against a planned 58; 44 were analysed (23 fluorouracil alone, 21 radioembolization plus fluorouracil) and 43 assessed for toxicity. Median sum of target diameters 216 mm in the control arm and 176.5 mm in the experimental arm; only 12 patients had received prior anti-EGFR therapy. Median follow-up 24.8 months</w:t>
      </w:r>
    </w:p>
    <w:p>
      <w:pPr>
        <w:spacing w:after="70"/>
      </w:pPr>
      <w:r>
        <w:rPr>
          <w:b/>
          <w:bCs/>
          <w:color w:val="17365D"/>
          <w:sz w:val="16"/>
          <w:szCs w:val="16"/>
        </w:rPr>
        <w:t xml:space="preserve">Bottom line. </w:t>
      </w:r>
      <w:r>
        <w:rPr>
          <w:sz w:val="16"/>
          <w:szCs w:val="16"/>
        </w:rPr>
        <w:t xml:space="preserve">The first randomised evidence for yttrium-90 radioembolization in chemotherapy-refractory liver-only colorectal metastases: a single hepatic arterial injection added to fluorouracil lengthened time to liver progression from 2.1 to 5.5 months (HR 0.38) and raised disease control from 35% to 86%, with no added toxicity. It shows no survival benefit (10.0 against 7.3 months, HR 0.92) and cannot: accrual stopped at 46 of 58 planned patients and 70% of controls received further therapy, 10 of them crossing over to radioembolization. The primary endpoint was progression in the organ being treated, in an arm where every patient progressed there first, and the comparator was fluorouracil monotherapy in fluorouracil-refractory disease.</w:t>
      </w:r>
    </w:p>
    <w:tbl>
      <w:tblPr>
        <w:tblW w:type="dxa" w:w="9360"/>
        <w:tblBorders>
          <w:top w:val="single" w:color="D3DCE4" w:sz="4"/>
          <w:left w:val="single" w:color="D3DCE4" w:sz="4"/>
          <w:bottom w:val="single" w:color="D3DCE4" w:sz="4"/>
          <w:right w:val="single" w:color="D3DCE4" w:sz="4"/>
          <w:insideH w:val="single" w:color="D3DCE4" w:sz="4"/>
          <w:insideV w:val="single" w:color="D3DCE4" w:sz="4"/>
        </w:tblBorders>
      </w:tblPr>
      <w:tblGrid>
        <w:gridCol w:w="4600"/>
        <w:gridCol w:w="4760"/>
      </w:tblGrid>
      <w:tr>
        <w:tc>
          <w:tcPr>
            <w:tcW w:type="dxa" w:w="4600"/>
            <w:shd w:fill="F1F4F8" w:color="auto" w:val="clear"/>
            <w:tcMar>
              <w:top w:type="dxa" w:w="70"/>
              <w:left w:type="dxa" w:w="110"/>
              <w:bottom w:type="dxa" w:w="70"/>
              <w:right w:type="dxa" w:w="110"/>
            </w:tcMar>
            <w:vAlign w:val="top"/>
          </w:tcPr>
          <w:p>
            <w:pPr>
              <w:spacing w:after="50"/>
            </w:pPr>
            <w:r>
              <w:rPr>
                <w:b/>
                <w:bCs/>
                <w:color w:val="8E5008"/>
                <w:spacing w:val="12"/>
                <w:sz w:val="14"/>
                <w:szCs w:val="14"/>
              </w:rPr>
              <w:t xml:space="preserve">LIMITATIONS THE AUTHORS STATE</w:t>
            </w:r>
          </w:p>
          <w:p>
            <w:pPr>
              <w:pStyle w:val="ListParagraph"/>
              <w:numPr>
                <w:ilvl w:val="0"/>
                <w:numId w:val="2"/>
              </w:numPr>
              <w:spacing w:after="45"/>
            </w:pPr>
            <w:r>
              <w:rPr>
                <w:sz w:val="15"/>
                <w:szCs w:val="15"/>
              </w:rPr>
              <w:t xml:space="preserve">Accrual was lower and follow-up longer than planned, so the trial closed with 46 of the intended 58 patients; the design assumed 90% power for a time to liver progression of 6 weeks in the control arm</w:t>
            </w:r>
          </w:p>
          <w:p>
            <w:pPr>
              <w:pStyle w:val="ListParagraph"/>
              <w:numPr>
                <w:ilvl w:val="0"/>
                <w:numId w:val="2"/>
              </w:numPr>
              <w:spacing w:after="45"/>
            </w:pPr>
            <w:r>
              <w:rPr>
                <w:sz w:val="15"/>
                <w:szCs w:val="15"/>
              </w:rPr>
              <w:t xml:space="preserve">The authors attribute the absence of a survival difference to rapid crossover: 70% of control patients received further therapy, including 10 who received radioembolization at similar activity</w:t>
            </w:r>
          </w:p>
          <w:p>
            <w:pPr>
              <w:pStyle w:val="ListParagraph"/>
              <w:numPr>
                <w:ilvl w:val="0"/>
                <w:numId w:val="2"/>
              </w:numPr>
              <w:spacing w:after="45"/>
            </w:pPr>
            <w:r>
              <w:rPr>
                <w:sz w:val="15"/>
                <w:szCs w:val="15"/>
              </w:rPr>
              <w:t xml:space="preserve">They state that the RECIST response rate of 9.5% was disappointingly low and that CT-based RECIST is known to be difficult for assessing response after radioembolization</w:t>
            </w:r>
          </w:p>
          <w:p>
            <w:pPr>
              <w:pStyle w:val="ListParagraph"/>
              <w:numPr>
                <w:ilvl w:val="0"/>
                <w:numId w:val="2"/>
              </w:numPr>
              <w:spacing w:after="45"/>
            </w:pPr>
            <w:r>
              <w:rPr>
                <w:sz w:val="15"/>
                <w:szCs w:val="15"/>
              </w:rPr>
              <w:t xml:space="preserve">They note that more grade 3 toxicity in the fluorouracil arm was probably due to lower efficacy and more rapidly progressive disease, since the events were indistinguishable from progression, and that fluorouracil dose intensity was non-significantly higher in that arm</w:t>
            </w:r>
          </w:p>
          <w:p>
            <w:pPr>
              <w:pStyle w:val="ListParagraph"/>
              <w:numPr>
                <w:ilvl w:val="0"/>
                <w:numId w:val="2"/>
              </w:numPr>
              <w:spacing w:after="45"/>
            </w:pPr>
            <w:r>
              <w:rPr>
                <w:sz w:val="15"/>
                <w:szCs w:val="15"/>
              </w:rPr>
              <w:t xml:space="preserve">They state that a proper assessment of the effect on survival would require randomised comparison against best supportive care, which they consider unrealistic to complete</w:t>
            </w:r>
          </w:p>
          <w:p>
            <w:pPr>
              <w:pStyle w:val="ListParagraph"/>
              <w:numPr>
                <w:ilvl w:val="0"/>
                <w:numId w:val="2"/>
              </w:numPr>
              <w:spacing w:after="45"/>
            </w:pPr>
            <w:r>
              <w:rPr>
                <w:sz w:val="15"/>
                <w:szCs w:val="15"/>
              </w:rPr>
              <w:t xml:space="preserve">They note the whole-cohort median survival of 8.7 months exceeds what is usually reported for refractory disease, which may reflect patient selection</w:t>
            </w:r>
          </w:p>
        </w:tc>
        <w:tc>
          <w:tcPr>
            <w:tcW w:type="dxa" w:w="4760"/>
            <w:shd w:fill="F1F4F8" w:color="auto" w:val="clear"/>
            <w:tcMar>
              <w:top w:type="dxa" w:w="70"/>
              <w:left w:type="dxa" w:w="110"/>
              <w:bottom w:type="dxa" w:w="70"/>
              <w:right w:type="dxa" w:w="110"/>
            </w:tcMar>
            <w:vAlign w:val="top"/>
          </w:tcPr>
          <w:p>
            <w:pPr>
              <w:spacing w:after="50"/>
            </w:pPr>
            <w:r>
              <w:rPr>
                <w:b/>
                <w:bCs/>
                <w:color w:val="8C2F26"/>
                <w:spacing w:val="12"/>
                <w:sz w:val="14"/>
                <w:szCs w:val="14"/>
              </w:rPr>
              <w:t xml:space="preserve">WHAT THEY DO NOT SAY</w:t>
            </w:r>
          </w:p>
          <w:p>
            <w:pPr>
              <w:pStyle w:val="ListParagraph"/>
              <w:numPr>
                <w:ilvl w:val="0"/>
                <w:numId w:val="2"/>
              </w:numPr>
              <w:spacing w:after="45"/>
            </w:pPr>
            <w:r>
              <w:rPr>
                <w:sz w:val="15"/>
                <w:szCs w:val="15"/>
              </w:rPr>
              <w:t xml:space="preserve">The primary endpoint is the one a liver-directed treatment cannot fail to move, and the control arm's own data show why: every control patient progressed first in the liver, so time to liver progression and time to any progression are the same curve in that arm. The trial measures where progression was detected, not whether the disease was controlled.</w:t>
            </w:r>
          </w:p>
          <w:p>
            <w:pPr>
              <w:pStyle w:val="ListParagraph"/>
              <w:numPr>
                <w:ilvl w:val="0"/>
                <w:numId w:val="2"/>
              </w:numPr>
              <w:spacing w:after="45"/>
            </w:pPr>
            <w:r>
              <w:rPr>
                <w:sz w:val="15"/>
                <w:szCs w:val="15"/>
              </w:rPr>
              <w:t xml:space="preserve">The only hard outcome is uninterpretable by the trial's own account. Survival was 10.0 against 7.3 months (HR 0.92, 95% CI 0.47-1.78), and the explanation offered is that 70% of controls received further therapy including 10 who crossed over to the same treatment. That is a design decision, not a confounder discovered afterwards.</w:t>
            </w:r>
          </w:p>
          <w:p>
            <w:pPr>
              <w:pStyle w:val="ListParagraph"/>
              <w:numPr>
                <w:ilvl w:val="0"/>
                <w:numId w:val="2"/>
              </w:numPr>
              <w:spacing w:after="45"/>
            </w:pPr>
            <w:r>
              <w:rPr>
                <w:sz w:val="15"/>
                <w:szCs w:val="15"/>
              </w:rPr>
              <w:t xml:space="preserve">Forty-four analysed patients cannot support any survival conclusion in either direction; the confidence interval spans a 53% reduction to a 78% increase in the hazard of death.</w:t>
            </w:r>
          </w:p>
          <w:p>
            <w:pPr>
              <w:pStyle w:val="ListParagraph"/>
              <w:numPr>
                <w:ilvl w:val="0"/>
                <w:numId w:val="2"/>
              </w:numPr>
              <w:spacing w:after="45"/>
            </w:pPr>
            <w:r>
              <w:rPr>
                <w:sz w:val="15"/>
                <w:szCs w:val="15"/>
              </w:rPr>
              <w:t xml:space="preserve">The comparator is protracted intravenous fluorouracil monotherapy in patients already refractory to fluorouracil, which is close to no active treatment, and the authors use the resulting toxicity difference (6 against 1 grade 3-4 events) as a safety argument for radioembolization while simultaneously attributing those events to disease progression.</w:t>
            </w:r>
          </w:p>
          <w:p>
            <w:pPr>
              <w:pStyle w:val="ListParagraph"/>
              <w:numPr>
                <w:ilvl w:val="0"/>
                <w:numId w:val="2"/>
              </w:numPr>
              <w:spacing w:after="45"/>
            </w:pPr>
            <w:r>
              <w:rPr>
                <w:sz w:val="15"/>
                <w:szCs w:val="15"/>
              </w:rPr>
              <w:t xml:space="preserve">Response was assessed by local radiology in an unblinded trial, and the paper's response to its own low RECIST response rate is to argue that RECIST is the wrong measure and that FDG-PET should be preferred - while conceding PET was not cross-calibrated between the three centres.</w:t>
            </w:r>
          </w:p>
          <w:p>
            <w:pPr>
              <w:pStyle w:val="ListParagraph"/>
              <w:numPr>
                <w:ilvl w:val="0"/>
                <w:numId w:val="2"/>
              </w:numPr>
              <w:spacing w:after="45"/>
            </w:pPr>
            <w:r>
              <w:rPr>
                <w:sz w:val="15"/>
                <w:szCs w:val="15"/>
              </w:rPr>
              <w:t xml:space="preserve">The disease-control figure that carries the clinical message (86% against 35%, p=0.001) is the sum of partial response and stable disease, and in a refractory population stable disease on a single unblinded CT is a weak endpoint.</w:t>
            </w:r>
          </w:p>
          <w:p>
            <w:pPr>
              <w:pStyle w:val="ListParagraph"/>
              <w:numPr>
                <w:ilvl w:val="0"/>
                <w:numId w:val="2"/>
              </w:numPr>
              <w:spacing w:after="45"/>
            </w:pPr>
            <w:r>
              <w:rPr>
                <w:sz w:val="15"/>
                <w:szCs w:val="15"/>
              </w:rPr>
              <w:t xml:space="preserve">Two randomised patients were excluded from efficacy - one for bone metastases, one for technical failure of microsphere administration - and the technical failure is precisely the kind of event an intention-to-treat analysis should retain in a trial of a procedure.</w:t>
            </w:r>
          </w:p>
          <w:p>
            <w:pPr>
              <w:pStyle w:val="ListParagraph"/>
              <w:numPr>
                <w:ilvl w:val="0"/>
                <w:numId w:val="2"/>
              </w:numPr>
              <w:spacing w:after="45"/>
            </w:pPr>
            <w:r>
              <w:rPr>
                <w:sz w:val="15"/>
                <w:szCs w:val="15"/>
              </w:rPr>
              <w:t xml:space="preserve">Baseline tumour burden differed substantially (median summed diameter 216 against 176.5 mm) in a 44-patient trial with no adjustment reported for it.</w:t>
            </w:r>
          </w:p>
          <w:p>
            <w:pPr>
              <w:pStyle w:val="ListParagraph"/>
              <w:numPr>
                <w:ilvl w:val="0"/>
                <w:numId w:val="2"/>
              </w:numPr>
              <w:spacing w:after="45"/>
            </w:pPr>
            <w:r>
              <w:rPr>
                <w:sz w:val="15"/>
                <w:szCs w:val="15"/>
              </w:rPr>
              <w:t xml:space="preserve">The single downsizing to resection is reported as a conversion and the same patient progressed extrahepatically 1.5 months after the operation; it is offered in support of future conversion studies without that outcome being weighed.</w:t>
            </w:r>
          </w:p>
          <w:p>
            <w:pPr>
              <w:pStyle w:val="ListParagraph"/>
              <w:numPr>
                <w:ilvl w:val="0"/>
                <w:numId w:val="2"/>
              </w:numPr>
              <w:spacing w:after="45"/>
            </w:pPr>
            <w:r>
              <w:rPr>
                <w:sz w:val="15"/>
                <w:szCs w:val="15"/>
              </w:rPr>
              <w:t xml:space="preserve">The trial predates and excludes most modern therapy: anti-EGFR and anti-VEGF agents were largely unavailable in Belgium during recruitment and only 12 of 44 patients had received an anti-EGFR antibody, so this refractory population is less pretreated than a refractory population today.</w:t>
            </w:r>
          </w:p>
          <w:p>
            <w:pPr>
              <w:pStyle w:val="ListParagraph"/>
              <w:numPr>
                <w:ilvl w:val="0"/>
                <w:numId w:val="2"/>
              </w:numPr>
              <w:spacing w:after="45"/>
            </w:pPr>
            <w:r>
              <w:rPr>
                <w:sz w:val="15"/>
                <w:szCs w:val="15"/>
              </w:rPr>
              <w:t xml:space="preserve">The conclusion that radioembolization should be considered a valid therapeutic option rests on a surrogate endpoint in 44 patients with no survival signal, and the device manufacturer funded the trial and supplied the microspheres.</w:t>
            </w:r>
          </w:p>
          <w:p>
            <w:pPr>
              <w:pStyle w:val="ListParagraph"/>
              <w:numPr>
                <w:ilvl w:val="0"/>
                <w:numId w:val="2"/>
              </w:numPr>
              <w:spacing w:after="45"/>
            </w:pPr>
            <w:r>
              <w:rPr>
                <w:sz w:val="15"/>
                <w:szCs w:val="15"/>
              </w:rPr>
              <w:t xml:space="preserve">No quality-of-life or patient-reported outcome is reported, in a trial whose claimed benefit is tumour growth control without a survival difference.</w:t>
            </w:r>
          </w:p>
          <w:p>
            <w:pPr>
              <w:pStyle w:val="ListParagraph"/>
              <w:numPr>
                <w:ilvl w:val="0"/>
                <w:numId w:val="2"/>
              </w:numPr>
              <w:spacing w:after="45"/>
            </w:pPr>
            <w:r>
              <w:rPr>
                <w:sz w:val="15"/>
                <w:szCs w:val="15"/>
              </w:rPr>
              <w:t xml:space="preserve">No linked editorial or comment on this trial was found in PubMed, so no independent published critique informs this record.</w:t>
            </w:r>
          </w:p>
        </w:tc>
      </w:tr>
    </w:tbl>
    <w:p>
      <w:pPr>
        <w:spacing w:after="0" w:line="276"/>
      </w:pPr>
      <w:r>
        <w:rPr>
          <w:color w:val="5A6069"/>
          <w:sz w:val="14"/>
          <w:szCs w:val="14"/>
        </w:rPr>
        <w:t xml:space="preserve">Funding: Supported by Sirtex Medical Limited, which supplied the yttrium-90 resin microspheres; one author declares honoraria from Sirtex Medical. No other interests are declared</w:t>
      </w:r>
    </w:p>
    <w:p>
      <w:pPr>
        <w:keepNext/>
        <w:spacing w:after="50" w:before="260"/>
      </w:pPr>
      <w:r>
        <w:rPr>
          <w:rFonts w:ascii="Cambria" w:cs="Cambria" w:eastAsia="Cambria" w:hAnsi="Cambria"/>
          <w:b/>
          <w:bCs/>
          <w:color w:val="17365D"/>
          <w:sz w:val="20"/>
          <w:szCs w:val="20"/>
        </w:rPr>
        <w:t xml:space="preserve">IHPBA 2021</w:t>
      </w:r>
      <w:r>
        <w:rPr>
          <w:b/>
          <w:bCs/>
          <w:color w:val="176A87"/>
          <w:sz w:val="15"/>
          <w:szCs w:val="15"/>
        </w:rPr>
        <w:t xml:space="preserve">   Consensus statement</w:t>
      </w:r>
      <w:r>
        <w:rPr>
          <w:color w:val="5A6069"/>
          <w:sz w:val="15"/>
          <w:szCs w:val="15"/>
        </w:rPr>
        <w:t xml:space="preserve">   PMID 34506756</w:t>
      </w:r>
    </w:p>
    <w:p>
      <w:pPr>
        <w:spacing w:after="50" w:line="276"/>
      </w:pPr>
      <w:r>
        <w:rPr>
          <w:color w:val="5A6069"/>
          <w:sz w:val="17"/>
          <w:szCs w:val="17"/>
        </w:rPr>
        <w:t xml:space="preserve">Liver transplantation for non-resectable colorectal liver metastases: the International Hepato-Pancreato-Biliary Association consensus guidelines</w:t>
      </w:r>
    </w:p>
    <w:p>
      <w:pPr>
        <w:spacing w:after="50"/>
      </w:pPr>
      <w:r>
        <w:rPr>
          <w:b/>
          <w:bCs/>
          <w:color w:val="176A87"/>
          <w:sz w:val="16"/>
          <w:szCs w:val="16"/>
        </w:rPr>
        <w:t xml:space="preserve">Population. </w:t>
      </w:r>
      <w:r>
        <w:rPr>
          <w:sz w:val="16"/>
          <w:szCs w:val="16"/>
        </w:rPr>
        <w:t xml:space="preserve">No patients: this is a Delphi consensus. 24 experts were invited, in three subgroups: the Scientific Committee, an Expert Panel of 7, and 8 Transplant Centre Representatives who were leaders of medium-sized to large-sized transplant programmes. Round 1: 30 statements reviewed by 8 of 8 Transplant Centre Representatives, 21 reached consensus, 9 were modified and 2 added. Round 2: 32 statements reviewed by 7 of 7 Expert Panel members, 17 reached consensus, 10 were modified and 5 removed. Round 3: 44 statements voted on at the consensus meeting, with 13 of 16 Scientific Committee and Expert Panel members participating and 3 members submitting votes by email; 40 items reached consensus and 4 were modified. The published guideline contains 44 statements across five domains.</w:t>
      </w:r>
    </w:p>
    <w:p>
      <w:pPr>
        <w:spacing w:after="70"/>
      </w:pPr>
      <w:r>
        <w:rPr>
          <w:b/>
          <w:bCs/>
          <w:color w:val="17365D"/>
          <w:sz w:val="16"/>
          <w:szCs w:val="16"/>
        </w:rPr>
        <w:t xml:space="preserve">Bottom line. </w:t>
      </w:r>
      <w:r>
        <w:rPr>
          <w:sz w:val="16"/>
          <w:szCs w:val="16"/>
        </w:rPr>
        <w:t xml:space="preserve">The IHPBA's 44 Delphi statements turn liver transplantation for non-resectable colorectal liver metastases into an operable pathway: resect the primary, exclude BRAF V600E, MSI-high and extrahepatic disease, give at least 6 months of bridging chemotherapy with no progression and wait at least a year from diagnosis, then transplant with CNI minimisation and an mTOR inhibitor, resect isolated lung recurrence and do not give adjuvant chemotherapy. It is the right framework for a centre starting this work and the right basis for a registry, but it is consensus, not evidence: it carries no agreement percentages, no evidence grades, and its survival benchmark and PET cutoffs come from the panel's own two uncontrolled series of 21 and 15 patients. Nothing in it tells a patient entering the pathway what their chance of reaching transplantation is, because every number quoted is counted from the day of transplant.</w:t>
      </w:r>
    </w:p>
    <w:tbl>
      <w:tblPr>
        <w:tblW w:type="dxa" w:w="9360"/>
        <w:tblBorders>
          <w:top w:val="single" w:color="D3DCE4" w:sz="4"/>
          <w:left w:val="single" w:color="D3DCE4" w:sz="4"/>
          <w:bottom w:val="single" w:color="D3DCE4" w:sz="4"/>
          <w:right w:val="single" w:color="D3DCE4" w:sz="4"/>
          <w:insideH w:val="single" w:color="D3DCE4" w:sz="4"/>
          <w:insideV w:val="single" w:color="D3DCE4" w:sz="4"/>
        </w:tblBorders>
      </w:tblPr>
      <w:tblGrid>
        <w:gridCol w:w="4600"/>
        <w:gridCol w:w="4760"/>
      </w:tblGrid>
      <w:tr>
        <w:tc>
          <w:tcPr>
            <w:tcW w:type="dxa" w:w="4600"/>
            <w:shd w:fill="F1F4F8" w:color="auto" w:val="clear"/>
            <w:tcMar>
              <w:top w:type="dxa" w:w="70"/>
              <w:left w:type="dxa" w:w="110"/>
              <w:bottom w:type="dxa" w:w="70"/>
              <w:right w:type="dxa" w:w="110"/>
            </w:tcMar>
            <w:vAlign w:val="top"/>
          </w:tcPr>
          <w:p>
            <w:pPr>
              <w:spacing w:after="50"/>
            </w:pPr>
            <w:r>
              <w:rPr>
                <w:b/>
                <w:bCs/>
                <w:color w:val="8E5008"/>
                <w:spacing w:val="12"/>
                <w:sz w:val="14"/>
                <w:szCs w:val="14"/>
              </w:rPr>
              <w:t xml:space="preserve">LIMITATIONS THE AUTHORS STATE</w:t>
            </w:r>
          </w:p>
          <w:p>
            <w:pPr>
              <w:pStyle w:val="ListParagraph"/>
              <w:numPr>
                <w:ilvl w:val="0"/>
                <w:numId w:val="2"/>
              </w:numPr>
              <w:spacing w:after="45"/>
            </w:pPr>
            <w:r>
              <w:rPr>
                <w:sz w:val="15"/>
                <w:szCs w:val="15"/>
              </w:rPr>
              <w:t xml:space="preserve">The panel concedes that the NORDIC VII comparison showing 56% versus 9% five-year survival does not include modern chemotherapy, and that transplantation will need to be compared with modern systemic and locoregional options within prospective and ideally randomised controlled trials</w:t>
            </w:r>
          </w:p>
          <w:p>
            <w:pPr>
              <w:pStyle w:val="ListParagraph"/>
              <w:numPr>
                <w:ilvl w:val="0"/>
                <w:numId w:val="2"/>
              </w:numPr>
              <w:spacing w:after="45"/>
            </w:pPr>
            <w:r>
              <w:rPr>
                <w:sz w:val="15"/>
                <w:szCs w:val="15"/>
              </w:rPr>
              <w:t xml:space="preserve">It states it found little evidence to recommend any specific immunosuppression strategy, with data mostly extrapolated from the literature on recurrent hepatocellular carcinoma after transplantation</w:t>
            </w:r>
          </w:p>
          <w:p>
            <w:pPr>
              <w:pStyle w:val="ListParagraph"/>
              <w:numPr>
                <w:ilvl w:val="0"/>
                <w:numId w:val="2"/>
              </w:numPr>
              <w:spacing w:after="45"/>
            </w:pPr>
            <w:r>
              <w:rPr>
                <w:sz w:val="15"/>
                <w:szCs w:val="15"/>
              </w:rPr>
              <w:t xml:space="preserve">It states there is little evidence to recommend routine adjuvant chemotherapy after transplantation, little evidence to support routine intraoperative nodal sampling, and little evidence to support transplantation for resectable disease</w:t>
            </w:r>
          </w:p>
          <w:p>
            <w:pPr>
              <w:pStyle w:val="ListParagraph"/>
              <w:numPr>
                <w:ilvl w:val="0"/>
                <w:numId w:val="2"/>
              </w:numPr>
              <w:spacing w:after="45"/>
            </w:pPr>
            <w:r>
              <w:rPr>
                <w:sz w:val="15"/>
                <w:szCs w:val="15"/>
              </w:rPr>
              <w:t xml:space="preserve">It concedes that the long-term oncological outcomes of the RAPID technique are unclear, with specific concern about leaving tumour in situ in the presence of circulating hypertrophic growth factors during immunosuppression</w:t>
            </w:r>
          </w:p>
          <w:p>
            <w:pPr>
              <w:pStyle w:val="ListParagraph"/>
              <w:numPr>
                <w:ilvl w:val="0"/>
                <w:numId w:val="2"/>
              </w:numPr>
              <w:spacing w:after="45"/>
            </w:pPr>
            <w:r>
              <w:rPr>
                <w:sz w:val="15"/>
                <w:szCs w:val="15"/>
              </w:rPr>
              <w:t xml:space="preserve">It acknowledges that the prognostic value of RAS mutation in patients undergoing transplantation has not yet been clearly proven, and that cell-free DNA and other biomarkers require further validation in this setting before use</w:t>
            </w:r>
          </w:p>
          <w:p>
            <w:pPr>
              <w:pStyle w:val="ListParagraph"/>
              <w:numPr>
                <w:ilvl w:val="0"/>
                <w:numId w:val="2"/>
              </w:numPr>
              <w:spacing w:after="45"/>
            </w:pPr>
            <w:r>
              <w:rPr>
                <w:sz w:val="15"/>
                <w:szCs w:val="15"/>
              </w:rPr>
              <w:t xml:space="preserve">It acknowledges that adding a malignant indication to the waiting list creates an unresolved tension between utility and justice, because these patients have preserved liver function and will not be prioritised under a MELD-based sickest-first system</w:t>
            </w:r>
          </w:p>
          <w:p>
            <w:pPr>
              <w:pStyle w:val="ListParagraph"/>
              <w:numPr>
                <w:ilvl w:val="0"/>
                <w:numId w:val="2"/>
              </w:numPr>
              <w:spacing w:after="45"/>
            </w:pPr>
            <w:r>
              <w:rPr>
                <w:sz w:val="15"/>
                <w:szCs w:val="15"/>
              </w:rPr>
              <w:t xml:space="preserve">It accepts that patients must be counselled that the whole treatment course might not lead to transplantation, and that re-transplantation may not be offered in some countries</w:t>
            </w:r>
          </w:p>
        </w:tc>
        <w:tc>
          <w:tcPr>
            <w:tcW w:type="dxa" w:w="4760"/>
            <w:shd w:fill="F1F4F8" w:color="auto" w:val="clear"/>
            <w:tcMar>
              <w:top w:type="dxa" w:w="70"/>
              <w:left w:type="dxa" w:w="110"/>
              <w:bottom w:type="dxa" w:w="70"/>
              <w:right w:type="dxa" w:w="110"/>
            </w:tcMar>
            <w:vAlign w:val="top"/>
          </w:tcPr>
          <w:p>
            <w:pPr>
              <w:spacing w:after="50"/>
            </w:pPr>
            <w:r>
              <w:rPr>
                <w:b/>
                <w:bCs/>
                <w:color w:val="8C2F26"/>
                <w:spacing w:val="12"/>
                <w:sz w:val="14"/>
                <w:szCs w:val="14"/>
              </w:rPr>
              <w:t xml:space="preserve">WHAT THEY DO NOT SAY</w:t>
            </w:r>
          </w:p>
          <w:p>
            <w:pPr>
              <w:pStyle w:val="ListParagraph"/>
              <w:numPr>
                <w:ilvl w:val="0"/>
                <w:numId w:val="2"/>
              </w:numPr>
              <w:spacing w:after="45"/>
            </w:pPr>
            <w:r>
              <w:rPr>
                <w:sz w:val="15"/>
                <w:szCs w:val="15"/>
              </w:rPr>
              <w:t xml:space="preserve">Three members of the panel, Hagness, Dueland and Line, ran SECA-I and SECA-II, the 21-patient and 15-patient single-arm series that supply the 60% and 83% survival figures on which the entire guideline rests; the declaration of interests records only pharmaceutical honoraria for three other authors and declares no interest for the investigators grading their own trials.</w:t>
            </w:r>
          </w:p>
          <w:p>
            <w:pPr>
              <w:pStyle w:val="ListParagraph"/>
              <w:numPr>
                <w:ilvl w:val="0"/>
                <w:numId w:val="2"/>
              </w:numPr>
              <w:spacing w:after="45"/>
            </w:pPr>
            <w:r>
              <w:rPr>
                <w:sz w:val="15"/>
                <w:szCs w:val="15"/>
              </w:rPr>
              <w:t xml:space="preserve">The statement count does not reconcile with the panel's own Delphi flow diagram: round 1 ended with 32 statements, round 2 left 17 that reached consensus plus 10 modified after 5 were removed, which is 27, yet 44 statements were put to the final vote and the origin of the additional 17 is never stated.</w:t>
            </w:r>
          </w:p>
          <w:p>
            <w:pPr>
              <w:pStyle w:val="ListParagraph"/>
              <w:numPr>
                <w:ilvl w:val="0"/>
                <w:numId w:val="2"/>
              </w:numPr>
              <w:spacing w:after="45"/>
            </w:pPr>
            <w:r>
              <w:rPr>
                <w:sz w:val="15"/>
                <w:szCs w:val="15"/>
              </w:rPr>
              <w:t xml:space="preserve">Four of the 44 statements failed to reach the 70% threshold at the final vote and were recorded as modified; no revote is described, so the published guideline contains statements that never achieved the level of agreement the guideline itself defines as consensus.</w:t>
            </w:r>
          </w:p>
          <w:p>
            <w:pPr>
              <w:pStyle w:val="ListParagraph"/>
              <w:numPr>
                <w:ilvl w:val="0"/>
                <w:numId w:val="2"/>
              </w:numPr>
              <w:spacing w:after="45"/>
            </w:pPr>
            <w:r>
              <w:rPr>
                <w:sz w:val="15"/>
                <w:szCs w:val="15"/>
              </w:rPr>
              <w:t xml:space="preserve">No agreement percentage, vote count, level of evidence or strength of recommendation is printed for any of the 44 statements, so a reader cannot separate a statement backed by randomised data from one backed by a 15-patient uncontrolled series.</w:t>
            </w:r>
          </w:p>
          <w:p>
            <w:pPr>
              <w:pStyle w:val="ListParagraph"/>
              <w:numPr>
                <w:ilvl w:val="0"/>
                <w:numId w:val="2"/>
              </w:numPr>
              <w:spacing w:after="45"/>
            </w:pPr>
            <w:r>
              <w:rPr>
                <w:sz w:val="15"/>
                <w:szCs w:val="15"/>
              </w:rPr>
              <w:t xml:space="preserve">The eight Transplant Centre Representatives, recruited specifically to judge whether the statements could be operationalised, voted only in round 1 and took no part in the final vote, which was attended by 13 of 16 of the remaining members with three voting by email.</w:t>
            </w:r>
          </w:p>
          <w:p>
            <w:pPr>
              <w:pStyle w:val="ListParagraph"/>
              <w:numPr>
                <w:ilvl w:val="0"/>
                <w:numId w:val="2"/>
              </w:numPr>
              <w:spacing w:after="45"/>
            </w:pPr>
            <w:r>
              <w:rPr>
                <w:sz w:val="15"/>
                <w:szCs w:val="15"/>
              </w:rPr>
              <w:t xml:space="preserve">The hard numbers that will actually decide eligibility, metabolic tumour volume above 70 cm3 and total lesion glycolysis above 260 g, come from the same Oslo PET series that supplied the survival data, with no external validation reported, and they sit directly alongside statement 8, which says there is no clear evidence to exclude patients on tumour burden.</w:t>
            </w:r>
          </w:p>
          <w:p>
            <w:pPr>
              <w:pStyle w:val="ListParagraph"/>
              <w:numPr>
                <w:ilvl w:val="0"/>
                <w:numId w:val="2"/>
              </w:numPr>
              <w:spacing w:after="45"/>
            </w:pPr>
            <w:r>
              <w:rPr>
                <w:sz w:val="15"/>
                <w:szCs w:val="15"/>
              </w:rPr>
              <w:t xml:space="preserve">Statement 43 sets the ethical bar at a 5-year survival of more than 50%, which is exactly the figure the cited 2020 pooled analysis already reports for the existing uncontrolled literature, so the guideline's own justification threshold is satisfied by construction before any new data are collected.</w:t>
            </w:r>
          </w:p>
          <w:p>
            <w:pPr>
              <w:pStyle w:val="ListParagraph"/>
              <w:numPr>
                <w:ilvl w:val="0"/>
                <w:numId w:val="2"/>
              </w:numPr>
              <w:spacing w:after="45"/>
            </w:pPr>
            <w:r>
              <w:rPr>
                <w:sz w:val="15"/>
                <w:szCs w:val="15"/>
              </w:rPr>
              <w:t xml:space="preserve">Every survival figure quoted is measured from transplantation. The guideline nowhere estimates how many patients who enter the pathway at diagnosis of non-resectable disease are ever transplanted, and the algorithm in figure 2 stops at the label transplantable CLM, with no node for listing, waiting time, waitlist dropout, graft allocation or the patients who progress while waiting.</w:t>
            </w:r>
          </w:p>
          <w:p>
            <w:pPr>
              <w:pStyle w:val="ListParagraph"/>
              <w:numPr>
                <w:ilvl w:val="0"/>
                <w:numId w:val="2"/>
              </w:numPr>
              <w:spacing w:after="45"/>
            </w:pPr>
            <w:r>
              <w:rPr>
                <w:sz w:val="15"/>
                <w:szCs w:val="15"/>
              </w:rPr>
              <w:t xml:space="preserve">The 9% comparator used to justify the indication is attributed to the group's own cost-effectiveness analysis rather than to the NORDIC VII trial itself, and the figure chosen as the standard of care is first-line chemotherapy survival from an era the panel elsewhere says is obsolete.</w:t>
            </w:r>
          </w:p>
          <w:p>
            <w:pPr>
              <w:pStyle w:val="ListParagraph"/>
              <w:numPr>
                <w:ilvl w:val="0"/>
                <w:numId w:val="2"/>
              </w:numPr>
              <w:spacing w:after="45"/>
            </w:pPr>
            <w:r>
              <w:rPr>
                <w:sz w:val="15"/>
                <w:szCs w:val="15"/>
              </w:rPr>
              <w:t xml:space="preserve">The MSI-high and mismatch repair deficient group, the one molecular subset with the best response to modern systemic therapy, is excluded on the argument that immunotherapy cannot be given after transplantation; no post-transplant outcome data in these patients is cited, so the exclusion rests on the alternative being good rather than on transplantation being bad for them.</w:t>
            </w:r>
          </w:p>
          <w:p>
            <w:pPr>
              <w:pStyle w:val="ListParagraph"/>
              <w:numPr>
                <w:ilvl w:val="0"/>
                <w:numId w:val="2"/>
              </w:numPr>
              <w:spacing w:after="45"/>
            </w:pPr>
            <w:r>
              <w:rPr>
                <w:sz w:val="15"/>
                <w:szCs w:val="15"/>
              </w:rPr>
              <w:t xml:space="preserve">The rule that patients found to be lymph node positive at intraoperative sampling should be excluded appears only in the prose on page 3 and in none of the 44 statements, while statement 12 mentions sampling without saying what to do with the result.</w:t>
            </w:r>
          </w:p>
          <w:p>
            <w:pPr>
              <w:pStyle w:val="ListParagraph"/>
              <w:numPr>
                <w:ilvl w:val="0"/>
                <w:numId w:val="2"/>
              </w:numPr>
              <w:spacing w:after="45"/>
            </w:pPr>
            <w:r>
              <w:rPr>
                <w:sz w:val="15"/>
                <w:szCs w:val="15"/>
              </w:rPr>
              <w:t xml:space="preserve">Table 2 as printed describes statements 29 to 44 as applying to liver transplantation for non-colorectal liver metastases, the opposite indication to the one the guideline addresses, while the main text uses non-resectable colorectal liver metastases throughout; the table is wrong and the text is right.</w:t>
            </w:r>
          </w:p>
          <w:p>
            <w:pPr>
              <w:pStyle w:val="ListParagraph"/>
              <w:numPr>
                <w:ilvl w:val="0"/>
                <w:numId w:val="2"/>
              </w:numPr>
              <w:spacing w:after="45"/>
            </w:pPr>
            <w:r>
              <w:rPr>
                <w:sz w:val="15"/>
                <w:szCs w:val="15"/>
              </w:rPr>
              <w:t xml:space="preserve">The literature review was restricted to English-language papers found on PubMed alone with no registered protocol, no PRISMA flow and no quality appraisal of the included studies reported, yet the output is a practice guideline that sets numeric eligibility thresholds.</w:t>
            </w:r>
          </w:p>
        </w:tc>
      </w:tr>
    </w:tbl>
    <w:p>
      <w:pPr>
        <w:spacing w:after="0" w:line="276"/>
      </w:pPr>
      <w:r>
        <w:rPr>
          <w:color w:val="5A6069"/>
          <w:sz w:val="14"/>
          <w:szCs w:val="14"/>
        </w:rPr>
        <w:t xml:space="preserve">Funding: No funding statement appears. The working group was commissioned by the International Hepato-Pancreato-Biliary Association in October, 2020. The declaration of interests reads: PT receives honoraria from Astellas Pharma Europe, outside the current study; GS receives research grants from Bayer and Roche, and consulting fees from Astrazeneca, Novartis, and Roche, outside the current study; RA receives honoraria for symposia from Merck Serono and Sanofi, outside the current study; all other authors declare no competing interests.</w:t>
      </w:r>
    </w:p>
    <w:p>
      <w:pPr>
        <w:keepNext/>
        <w:spacing w:after="50" w:before="260"/>
      </w:pPr>
      <w:r>
        <w:rPr>
          <w:rFonts w:ascii="Cambria" w:cs="Cambria" w:eastAsia="Cambria" w:hAnsi="Cambria"/>
          <w:b/>
          <w:bCs/>
          <w:color w:val="17365D"/>
          <w:sz w:val="20"/>
          <w:szCs w:val="20"/>
        </w:rPr>
        <w:t xml:space="preserve">Kemeny adjuvant HAI</w:t>
      </w:r>
      <w:r>
        <w:rPr>
          <w:b/>
          <w:bCs/>
          <w:color w:val="176A87"/>
          <w:sz w:val="15"/>
          <w:szCs w:val="15"/>
        </w:rPr>
        <w:t xml:space="preserve">   Randomised trial</w:t>
      </w:r>
      <w:r>
        <w:rPr>
          <w:color w:val="5A6069"/>
          <w:sz w:val="15"/>
          <w:szCs w:val="15"/>
        </w:rPr>
        <w:t xml:space="preserve">   PMID 10615075</w:t>
      </w:r>
    </w:p>
    <w:p>
      <w:pPr>
        <w:spacing w:after="50" w:line="276"/>
      </w:pPr>
      <w:r>
        <w:rPr>
          <w:color w:val="5A6069"/>
          <w:sz w:val="17"/>
          <w:szCs w:val="17"/>
        </w:rPr>
        <w:t xml:space="preserve">Hepatic arterial infusion of chemotherapy after resection of hepatic metastases from colorectal cancer</w:t>
      </w:r>
    </w:p>
    <w:p>
      <w:pPr>
        <w:spacing w:after="50"/>
      </w:pPr>
      <w:r>
        <w:rPr>
          <w:b/>
          <w:bCs/>
          <w:color w:val="176A87"/>
          <w:sz w:val="16"/>
          <w:szCs w:val="16"/>
        </w:rPr>
        <w:t xml:space="preserve">Population. </w:t>
      </w:r>
      <w:r>
        <w:rPr>
          <w:sz w:val="16"/>
          <w:szCs w:val="16"/>
        </w:rPr>
        <w:t xml:space="preserve">156 patients randomised intraoperatively at Memorial Sloan-Kettering out of 386 resected for colorectal liver metastases and 514 evaluated for resection (74 to hepatic arterial floxuridine plus systemic fluorouracil, 82 to systemic fluorouracil alone); 105 of the non-participants declined and 35 were excluded by surgeon decision. Median follow-up 62.7 months, with 91% followed at least two years and only 55% for five years</w:t>
      </w:r>
    </w:p>
    <w:p>
      <w:pPr>
        <w:spacing w:after="70"/>
      </w:pPr>
      <w:r>
        <w:rPr>
          <w:b/>
          <w:bCs/>
          <w:color w:val="17365D"/>
          <w:sz w:val="16"/>
          <w:szCs w:val="16"/>
        </w:rPr>
        <w:t xml:space="preserve">Bottom line. </w:t>
      </w:r>
      <w:r>
        <w:rPr>
          <w:sz w:val="16"/>
          <w:szCs w:val="16"/>
        </w:rPr>
        <w:t xml:space="preserve">This is the single randomised trial on which adjuvant hepatic arterial infusion after liver resection rests, and what it shows is a large reduction in hepatic recurrence - two-year hepatic progression-free survival 90% against 60%, with 7 of 74 against 30 of 82 liver recurrences. It does not show a survival benefit by its own whole-curve analysis: the Kaplan-Meier comparison gives p=0.21, the positive survival claim is a two-year landmark, the trial was powered one-sided and analysed two-sided, and the adjusted hazard comes from a best-subset model. Only 26% of patients received more than half the planned floxuridine, 6 of 74 received none, and the combined arm got about 15% less systemic drug, so the regimen that produced this result is not the regimen described.</w:t>
      </w:r>
    </w:p>
    <w:tbl>
      <w:tblPr>
        <w:tblW w:type="dxa" w:w="9360"/>
        <w:tblBorders>
          <w:top w:val="single" w:color="D3DCE4" w:sz="4"/>
          <w:left w:val="single" w:color="D3DCE4" w:sz="4"/>
          <w:bottom w:val="single" w:color="D3DCE4" w:sz="4"/>
          <w:right w:val="single" w:color="D3DCE4" w:sz="4"/>
          <w:insideH w:val="single" w:color="D3DCE4" w:sz="4"/>
          <w:insideV w:val="single" w:color="D3DCE4" w:sz="4"/>
        </w:tblBorders>
      </w:tblPr>
      <w:tblGrid>
        <w:gridCol w:w="4600"/>
        <w:gridCol w:w="4760"/>
      </w:tblGrid>
      <w:tr>
        <w:tc>
          <w:tcPr>
            <w:tcW w:type="dxa" w:w="4600"/>
            <w:shd w:fill="F1F4F8" w:color="auto" w:val="clear"/>
            <w:tcMar>
              <w:top w:type="dxa" w:w="70"/>
              <w:left w:type="dxa" w:w="110"/>
              <w:bottom w:type="dxa" w:w="70"/>
              <w:right w:type="dxa" w:w="110"/>
            </w:tcMar>
            <w:vAlign w:val="top"/>
          </w:tcPr>
          <w:p>
            <w:pPr>
              <w:spacing w:after="50"/>
            </w:pPr>
            <w:r>
              <w:rPr>
                <w:b/>
                <w:bCs/>
                <w:color w:val="8E5008"/>
                <w:spacing w:val="12"/>
                <w:sz w:val="14"/>
                <w:szCs w:val="14"/>
              </w:rPr>
              <w:t xml:space="preserve">LIMITATIONS THE AUTHORS STATE</w:t>
            </w:r>
          </w:p>
          <w:p>
            <w:pPr>
              <w:pStyle w:val="ListParagraph"/>
              <w:numPr>
                <w:ilvl w:val="0"/>
                <w:numId w:val="2"/>
              </w:numPr>
              <w:spacing w:after="45"/>
            </w:pPr>
            <w:r>
              <w:rPr>
                <w:sz w:val="15"/>
                <w:szCs w:val="15"/>
              </w:rPr>
              <w:t xml:space="preserve">The authors report that the whole Kaplan-Meier survival curves did not differ significantly (p=0.21 by log-rank, p=0.11 by Wilcoxon) and that the curves appear to converge at 80 months, where only six patients remain at risk so a single death moves the curve sharply</w:t>
            </w:r>
          </w:p>
          <w:p>
            <w:pPr>
              <w:pStyle w:val="ListParagraph"/>
              <w:numPr>
                <w:ilvl w:val="0"/>
                <w:numId w:val="2"/>
              </w:numPr>
              <w:spacing w:after="45"/>
            </w:pPr>
            <w:r>
              <w:rPr>
                <w:sz w:val="15"/>
                <w:szCs w:val="15"/>
              </w:rPr>
              <w:t xml:space="preserve">Only 55% of patients had been followed for five years, and the two-year endpoints were chosen because at design only 25% of such patients were disease free at two years</w:t>
            </w:r>
          </w:p>
          <w:p>
            <w:pPr>
              <w:pStyle w:val="ListParagraph"/>
              <w:numPr>
                <w:ilvl w:val="0"/>
                <w:numId w:val="2"/>
              </w:numPr>
              <w:spacing w:after="45"/>
            </w:pPr>
            <w:r>
              <w:rPr>
                <w:sz w:val="15"/>
                <w:szCs w:val="15"/>
              </w:rPr>
              <w:t xml:space="preserve">Dose adjustments for hepatic toxicity meant the total floxuridine delivered was less than planned in most patients, and the authors state they cannot tell whether a lower dose would suffice or whether a high first dose carried the effect</w:t>
            </w:r>
          </w:p>
          <w:p>
            <w:pPr>
              <w:pStyle w:val="ListParagraph"/>
              <w:numPr>
                <w:ilvl w:val="0"/>
                <w:numId w:val="2"/>
              </w:numPr>
              <w:spacing w:after="45"/>
            </w:pPr>
            <w:r>
              <w:rPr>
                <w:sz w:val="15"/>
                <w:szCs w:val="15"/>
              </w:rPr>
              <w:t xml:space="preserve">Systemic fluorouracil dose in the combined group was about 15% lower than in the monotherapy group</w:t>
            </w:r>
          </w:p>
          <w:p>
            <w:pPr>
              <w:pStyle w:val="ListParagraph"/>
              <w:numPr>
                <w:ilvl w:val="0"/>
                <w:numId w:val="2"/>
              </w:numPr>
              <w:spacing w:after="45"/>
            </w:pPr>
            <w:r>
              <w:rPr>
                <w:sz w:val="15"/>
                <w:szCs w:val="15"/>
              </w:rPr>
              <w:t xml:space="preserve">Pump-related complications were more frequent than in the centre's own earlier hepatic arterial infusion series, which the authors attribute to combining pump implantation with hepatectomy and to a learning curve, concluding that both procedures should be undertaken only by highly trained surgical and medical oncologists</w:t>
            </w:r>
          </w:p>
          <w:p>
            <w:pPr>
              <w:pStyle w:val="ListParagraph"/>
              <w:numPr>
                <w:ilvl w:val="0"/>
                <w:numId w:val="2"/>
              </w:numPr>
              <w:spacing w:after="45"/>
            </w:pPr>
            <w:r>
              <w:rPr>
                <w:sz w:val="15"/>
                <w:szCs w:val="15"/>
              </w:rPr>
              <w:t xml:space="preserve">Overall progression-free survival improved much less than hepatic progression-free survival, which the authors read as showing that other agents are needed alongside regional therapy</w:t>
            </w:r>
          </w:p>
          <w:p>
            <w:pPr>
              <w:pStyle w:val="ListParagraph"/>
              <w:numPr>
                <w:ilvl w:val="0"/>
                <w:numId w:val="2"/>
              </w:numPr>
              <w:spacing w:after="45"/>
            </w:pPr>
            <w:r>
              <w:rPr>
                <w:sz w:val="15"/>
                <w:szCs w:val="15"/>
              </w:rPr>
              <w:t xml:space="preserve">Twenty-one patients were found on later pathology to have positive margins and one positive portal nodes, and three combined-therapy patients were retrospectively found to have had metastases at entry; all were kept in the analysis, and the authors switched from reporting recurrence to reporting progression because of it</w:t>
            </w:r>
          </w:p>
        </w:tc>
        <w:tc>
          <w:tcPr>
            <w:tcW w:type="dxa" w:w="4760"/>
            <w:shd w:fill="F1F4F8" w:color="auto" w:val="clear"/>
            <w:tcMar>
              <w:top w:type="dxa" w:w="70"/>
              <w:left w:type="dxa" w:w="110"/>
              <w:bottom w:type="dxa" w:w="70"/>
              <w:right w:type="dxa" w:w="110"/>
            </w:tcMar>
            <w:vAlign w:val="top"/>
          </w:tcPr>
          <w:p>
            <w:pPr>
              <w:spacing w:after="50"/>
            </w:pPr>
            <w:r>
              <w:rPr>
                <w:b/>
                <w:bCs/>
                <w:color w:val="8C2F26"/>
                <w:spacing w:val="12"/>
                <w:sz w:val="14"/>
                <w:szCs w:val="14"/>
              </w:rPr>
              <w:t xml:space="preserve">WHAT THEY DO NOT SAY</w:t>
            </w:r>
          </w:p>
          <w:p>
            <w:pPr>
              <w:pStyle w:val="ListParagraph"/>
              <w:numPr>
                <w:ilvl w:val="0"/>
                <w:numId w:val="2"/>
              </w:numPr>
              <w:spacing w:after="45"/>
            </w:pPr>
            <w:r>
              <w:rPr>
                <w:sz w:val="15"/>
                <w:szCs w:val="15"/>
              </w:rPr>
              <w:t xml:space="preserve">The headline result is a landmark reading of curves that do not differ. The statistical plan states that the log-rank and Wilcoxon p values are the comparisons of the entire Kaplan-Meier curves, and those are 0.21 and 0.11; the 86% against 72% two-year survival difference (p=0.03) is taken off the same curves by normal approximation at a single timepoint. Both appear in the paper and only the second appears in the conclusions.</w:t>
            </w:r>
          </w:p>
          <w:p>
            <w:pPr>
              <w:pStyle w:val="ListParagraph"/>
              <w:numPr>
                <w:ilvl w:val="0"/>
                <w:numId w:val="2"/>
              </w:numPr>
              <w:spacing w:after="45"/>
            </w:pPr>
            <w:r>
              <w:rPr>
                <w:sz w:val="15"/>
                <w:szCs w:val="15"/>
              </w:rPr>
              <w:t xml:space="preserve">The sample size was computed with a one-sided test at an alpha of 5%, which is a two-sided alpha of 10%, and the paper then states that two-sided tests were used in the final analysis. The trial is therefore underpowered for the analysis it reports.</w:t>
            </w:r>
          </w:p>
          <w:p>
            <w:pPr>
              <w:pStyle w:val="ListParagraph"/>
              <w:numPr>
                <w:ilvl w:val="0"/>
                <w:numId w:val="2"/>
              </w:numPr>
              <w:spacing w:after="45"/>
            </w:pPr>
            <w:r>
              <w:rPr>
                <w:sz w:val="15"/>
                <w:szCs w:val="15"/>
              </w:rPr>
              <w:t xml:space="preserve">Two primary endpoints were declared - two-year overall survival and two-year progression-free survival - with no adjustment for testing both. Progression-free survival at two years gave p=0.07, and the curve comparison gave p=0.01 by Wilcoxon and p=0.06 by log-rank, two tests disagreeing about the same data with no prespecified rule for which governs.</w:t>
            </w:r>
          </w:p>
          <w:p>
            <w:pPr>
              <w:pStyle w:val="ListParagraph"/>
              <w:numPr>
                <w:ilvl w:val="0"/>
                <w:numId w:val="2"/>
              </w:numPr>
              <w:spacing w:after="45"/>
            </w:pPr>
            <w:r>
              <w:rPr>
                <w:sz w:val="15"/>
                <w:szCs w:val="15"/>
              </w:rPr>
              <w:t xml:space="preserve">The adjusted risk ratio that carries the survival claim (2.34, 95% CI 1.10-4.98) comes from a model chosen by best-subset selection in 156 patients, retaining primary tumour site and largest lesion size. A data-dependent search producing a significant covariate-adjusted effect, where the unadjusted comparison of whole curves is null, is not independent evidence.</w:t>
            </w:r>
          </w:p>
          <w:p>
            <w:pPr>
              <w:pStyle w:val="ListParagraph"/>
              <w:numPr>
                <w:ilvl w:val="0"/>
                <w:numId w:val="2"/>
              </w:numPr>
              <w:spacing w:after="45"/>
            </w:pPr>
            <w:r>
              <w:rPr>
                <w:sz w:val="15"/>
                <w:szCs w:val="15"/>
              </w:rPr>
              <w:t xml:space="preserve">The hepatic progression model adjusts for surgical margin status - a pathology finding that became known only after randomisation and that was positive in 21 patients - alongside disease-free interval, again in a selected model, to produce the relative risk of 5.39 (95% CI 2.36-12.31).</w:t>
            </w:r>
          </w:p>
          <w:p>
            <w:pPr>
              <w:pStyle w:val="ListParagraph"/>
              <w:numPr>
                <w:ilvl w:val="0"/>
                <w:numId w:val="2"/>
              </w:numPr>
              <w:spacing w:after="45"/>
            </w:pPr>
            <w:r>
              <w:rPr>
                <w:sz w:val="15"/>
                <w:szCs w:val="15"/>
              </w:rPr>
              <w:t xml:space="preserve">Only 156 of 386 resected patients (40%), and 156 of 514 evaluated (30%), entered the trial. Patients were randomised in the operating theatre by the team performing the resection, and no allocation concealment mechanism is described; 35 were excluded by surgeon decision and 16 judged not appropriate for the protocol.</w:t>
            </w:r>
          </w:p>
          <w:p>
            <w:pPr>
              <w:pStyle w:val="ListParagraph"/>
              <w:numPr>
                <w:ilvl w:val="0"/>
                <w:numId w:val="2"/>
              </w:numPr>
              <w:spacing w:after="45"/>
            </w:pPr>
            <w:r>
              <w:rPr>
                <w:sz w:val="15"/>
                <w:szCs w:val="15"/>
              </w:rPr>
              <w:t xml:space="preserve">Two different randomised comparisons are pooled. Patients with prior fluorouracil and leucovorin were initially excluded, then admitted under expanded criteria to a different pair of regimens (hepatic arterial infusion plus fluorouracil versus fluorouracil alone), and the results are reported as one trial.</w:t>
            </w:r>
          </w:p>
          <w:p>
            <w:pPr>
              <w:pStyle w:val="ListParagraph"/>
              <w:numPr>
                <w:ilvl w:val="0"/>
                <w:numId w:val="2"/>
              </w:numPr>
              <w:spacing w:after="45"/>
            </w:pPr>
            <w:r>
              <w:rPr>
                <w:sz w:val="15"/>
                <w:szCs w:val="15"/>
              </w:rPr>
              <w:t xml:space="preserve">What was delivered is not what was randomised. Only 26% of combined-therapy patients received more than half the planned floxuridine, 6 of 74 never received any hepatic arterial infusion at all, five died before any chemotherapy, and the systemic component was dosed about 15% lower in that arm. The comparison as executed is reduced systemic therapy plus partial regional therapy against full systemic therapy.</w:t>
            </w:r>
          </w:p>
          <w:p>
            <w:pPr>
              <w:pStyle w:val="ListParagraph"/>
              <w:numPr>
                <w:ilvl w:val="0"/>
                <w:numId w:val="2"/>
              </w:numPr>
              <w:spacing w:after="45"/>
            </w:pPr>
            <w:r>
              <w:rPr>
                <w:sz w:val="15"/>
                <w:szCs w:val="15"/>
              </w:rPr>
              <w:t xml:space="preserve">Device morbidity is substantial and is reported without being weighed against the benefit: 16 pump or catheter complications including 6 pocket infections, 2 early hepatic artery thromboses, a pseudoaneurysm and 3 pumps perfusing extrahepatic territory, with AST tripling in 65%, bilirubin above 3.0 mg/dL in 18%, four biliary stents, and 29 against 18 hospitalisations for toxicity (p=0.02).</w:t>
            </w:r>
          </w:p>
          <w:p>
            <w:pPr>
              <w:pStyle w:val="ListParagraph"/>
              <w:numPr>
                <w:ilvl w:val="0"/>
                <w:numId w:val="2"/>
              </w:numPr>
              <w:spacing w:after="45"/>
            </w:pPr>
            <w:r>
              <w:rPr>
                <w:sz w:val="15"/>
                <w:szCs w:val="15"/>
              </w:rPr>
              <w:t xml:space="preserve">No quality-of-life or patient-reported outcome was measured, in a trial of a surgically implanted pump whose dominant toxicity is biliary and whose benefit is claimed at a two-year landmark.</w:t>
            </w:r>
          </w:p>
          <w:p>
            <w:pPr>
              <w:pStyle w:val="ListParagraph"/>
              <w:numPr>
                <w:ilvl w:val="0"/>
                <w:numId w:val="2"/>
              </w:numPr>
              <w:spacing w:after="45"/>
            </w:pPr>
            <w:r>
              <w:rPr>
                <w:sz w:val="15"/>
                <w:szCs w:val="15"/>
              </w:rPr>
              <w:t xml:space="preserve">Salvage treatment ran against the combined arm and is unaccounted for: 46 against 33 patients received further chemotherapy and 9 against 1 underwent repeat liver resection in the monotherapy group. The analysis makes no allowance for this, in either direction.</w:t>
            </w:r>
          </w:p>
          <w:p>
            <w:pPr>
              <w:pStyle w:val="ListParagraph"/>
              <w:numPr>
                <w:ilvl w:val="0"/>
                <w:numId w:val="2"/>
              </w:numPr>
              <w:spacing w:after="45"/>
            </w:pPr>
            <w:r>
              <w:rPr>
                <w:sz w:val="15"/>
                <w:szCs w:val="15"/>
              </w:rPr>
              <w:t xml:space="preserve">The comparator and the staging are both obsolete: bolus fluorouracil with leucovorin as the only systemic therapy, no oxaliplatin, irinotecan or biological agent, no RAS or BRAF selection, and surveillance by three-monthly CT with no MRI or PET, in a cohort where 27% had four or more metastases.</w:t>
            </w:r>
          </w:p>
          <w:p>
            <w:pPr>
              <w:pStyle w:val="ListParagraph"/>
              <w:numPr>
                <w:ilvl w:val="0"/>
                <w:numId w:val="2"/>
              </w:numPr>
              <w:spacing w:after="45"/>
            </w:pPr>
            <w:r>
              <w:rPr>
                <w:sz w:val="15"/>
                <w:szCs w:val="15"/>
              </w:rPr>
              <w:t xml:space="preserve">This is one centre, one surgical team, and the authors themselves conclude the procedures require highly trained surgeons and medical oncologists - so the trial supports adjuvant hepatic arterial infusion only where such a team exists, a condition that the subsequent literature citing this trial as the basis for the approach generally does not state.</w:t>
            </w:r>
          </w:p>
          <w:p>
            <w:pPr>
              <w:pStyle w:val="ListParagraph"/>
              <w:numPr>
                <w:ilvl w:val="0"/>
                <w:numId w:val="2"/>
              </w:numPr>
              <w:spacing w:after="45"/>
            </w:pPr>
            <w:r>
              <w:rPr>
                <w:sz w:val="15"/>
                <w:szCs w:val="15"/>
              </w:rPr>
              <w:t xml:space="preserve">A linked comment and letter (PMID 11127528, Urbach and Hansen, Langenbecks Arch Surg 2000;385:436-9) was identified in PubMed but neither its text nor its abstract was available here, so no argument from it is reflected in this record.</w:t>
            </w:r>
          </w:p>
        </w:tc>
      </w:tr>
    </w:tbl>
    <w:p>
      <w:pPr>
        <w:spacing w:after="0" w:line="276"/>
      </w:pPr>
      <w:r>
        <w:rPr>
          <w:color w:val="5A6069"/>
          <w:sz w:val="14"/>
          <w:szCs w:val="14"/>
        </w:rPr>
        <w:t xml:space="preserve">Funding: Supported in part by National Cancer Institute grant R01 CA61524 for the study of therapies for hepatic metastases from colorectal cancer. No conflict-of-interest or industry disclosure statement appears; the implantable pump used was a single named commercial device (Infusaid model 400)</w:t>
      </w:r>
    </w:p>
    <w:p>
      <w:pPr>
        <w:keepNext/>
        <w:spacing w:after="50" w:before="260"/>
      </w:pPr>
      <w:r>
        <w:rPr>
          <w:rFonts w:ascii="Cambria" w:cs="Cambria" w:eastAsia="Cambria" w:hAnsi="Cambria"/>
          <w:b/>
          <w:bCs/>
          <w:color w:val="17365D"/>
          <w:sz w:val="20"/>
          <w:szCs w:val="20"/>
        </w:rPr>
        <w:t xml:space="preserve">Kemeny HAI conversion</w:t>
      </w:r>
      <w:r>
        <w:rPr>
          <w:b/>
          <w:bCs/>
          <w:color w:val="176A87"/>
          <w:sz w:val="15"/>
          <w:szCs w:val="15"/>
        </w:rPr>
        <w:t xml:space="preserve">   cohort</w:t>
      </w:r>
      <w:r>
        <w:rPr>
          <w:color w:val="5A6069"/>
          <w:sz w:val="15"/>
          <w:szCs w:val="15"/>
        </w:rPr>
        <w:t xml:space="preserve">   PMID 19470932</w:t>
      </w:r>
    </w:p>
    <w:p>
      <w:pPr>
        <w:spacing w:after="50" w:line="276"/>
      </w:pPr>
      <w:r>
        <w:rPr>
          <w:color w:val="5A6069"/>
          <w:sz w:val="17"/>
          <w:szCs w:val="17"/>
        </w:rPr>
        <w:t xml:space="preserve">Conversion to resectability using hepatic artery infusion plus systemic chemotherapy for the treatment of unresectable liver metastases from colorectal carcinoma</w:t>
      </w:r>
    </w:p>
    <w:p>
      <w:pPr>
        <w:spacing w:after="50"/>
      </w:pPr>
      <w:r>
        <w:rPr>
          <w:b/>
          <w:bCs/>
          <w:color w:val="176A87"/>
          <w:sz w:val="16"/>
          <w:szCs w:val="16"/>
        </w:rPr>
        <w:t xml:space="preserve">Population. </w:t>
      </w:r>
      <w:r>
        <w:rPr>
          <w:sz w:val="16"/>
          <w:szCs w:val="16"/>
        </w:rPr>
        <w:t xml:space="preserve">49 patients with technically unresectable colorectal liver metastases treated at Memorial Sloan-Kettering on two pooled phase I schedules of hepatic arterial floxuridine and dexamethasone plus systemic oxaliplatin and irinotecan; 53% had received prior systemic chemotherapy, 73% had more than five lesions, 98% bilobar disease, 86% involvement of six or more segments and 90% a Fong score of 3 or more. Twenty-two of the 49 were previously reported in the 4-week-schedule phase I paper. Median follow-up 26 months</w:t>
      </w:r>
    </w:p>
    <w:p>
      <w:pPr>
        <w:spacing w:after="70"/>
      </w:pPr>
      <w:r>
        <w:rPr>
          <w:b/>
          <w:bCs/>
          <w:color w:val="17365D"/>
          <w:sz w:val="16"/>
          <w:szCs w:val="16"/>
        </w:rPr>
        <w:t xml:space="preserve">Bottom line. </w:t>
      </w:r>
      <w:r>
        <w:rPr>
          <w:sz w:val="16"/>
          <w:szCs w:val="16"/>
        </w:rPr>
        <w:t xml:space="preserve">Shows that in genuinely extensive, mostly bilobar and half-pretreated unresectable colorectal liver metastases, hepatic arterial floxuridine with full-dose systemic oxaliplatin and irinotecan produces a 92% response rate and takes 47% of patients to an operation, with median survival of 39.8 months from pump placement. It does not show the pump is responsible, and it shows the conversions are fragile: there is no control arm, response was scored by pre-RECIST criteria, only 39% reached R0, half the resected patients needed portal vein embolisation and ten needed intraoperative ablation, and median disease-free survival after R0 resection was 7.6 months. Its own authors conclude that a randomised trial of systemic therapy with or without hepatic arterial infusion is what is needed.</w:t>
      </w:r>
    </w:p>
    <w:tbl>
      <w:tblPr>
        <w:tblW w:type="dxa" w:w="9360"/>
        <w:tblBorders>
          <w:top w:val="single" w:color="D3DCE4" w:sz="4"/>
          <w:left w:val="single" w:color="D3DCE4" w:sz="4"/>
          <w:bottom w:val="single" w:color="D3DCE4" w:sz="4"/>
          <w:right w:val="single" w:color="D3DCE4" w:sz="4"/>
          <w:insideH w:val="single" w:color="D3DCE4" w:sz="4"/>
          <w:insideV w:val="single" w:color="D3DCE4" w:sz="4"/>
        </w:tblBorders>
      </w:tblPr>
      <w:tblGrid>
        <w:gridCol w:w="4600"/>
        <w:gridCol w:w="4760"/>
      </w:tblGrid>
      <w:tr>
        <w:tc>
          <w:tcPr>
            <w:tcW w:type="dxa" w:w="4600"/>
            <w:shd w:fill="F1F4F8" w:color="auto" w:val="clear"/>
            <w:tcMar>
              <w:top w:type="dxa" w:w="70"/>
              <w:left w:type="dxa" w:w="110"/>
              <w:bottom w:type="dxa" w:w="70"/>
              <w:right w:type="dxa" w:w="110"/>
            </w:tcMar>
            <w:vAlign w:val="top"/>
          </w:tcPr>
          <w:p>
            <w:pPr>
              <w:spacing w:after="50"/>
            </w:pPr>
            <w:r>
              <w:rPr>
                <w:b/>
                <w:bCs/>
                <w:color w:val="8E5008"/>
                <w:spacing w:val="12"/>
                <w:sz w:val="14"/>
                <w:szCs w:val="14"/>
              </w:rPr>
              <w:t xml:space="preserve">LIMITATIONS THE AUTHORS STATE</w:t>
            </w:r>
          </w:p>
          <w:p>
            <w:pPr>
              <w:pStyle w:val="ListParagraph"/>
              <w:numPr>
                <w:ilvl w:val="0"/>
                <w:numId w:val="2"/>
              </w:numPr>
              <w:spacing w:after="45"/>
            </w:pPr>
            <w:r>
              <w:rPr>
                <w:sz w:val="15"/>
                <w:szCs w:val="15"/>
              </w:rPr>
              <w:t xml:space="preserve">The authors state that resection rates cannot be compared across trials because criteria for defining unresectable disease, the actual reasons for unresectability and the proportion of previously treated patients all vary</w:t>
            </w:r>
          </w:p>
          <w:p>
            <w:pPr>
              <w:pStyle w:val="ListParagraph"/>
              <w:numPr>
                <w:ilvl w:val="0"/>
                <w:numId w:val="2"/>
              </w:numPr>
              <w:spacing w:after="45"/>
            </w:pPr>
            <w:r>
              <w:rPr>
                <w:sz w:val="15"/>
                <w:szCs w:val="15"/>
              </w:rPr>
              <w:t xml:space="preserve">They conclude that a multi-institutional randomised trial comparing the best systemic chemotherapy with or without hepatic arterial infusion is needed to establish whether the pump increases resectability</w:t>
            </w:r>
          </w:p>
          <w:p>
            <w:pPr>
              <w:pStyle w:val="ListParagraph"/>
              <w:numPr>
                <w:ilvl w:val="0"/>
                <w:numId w:val="2"/>
              </w:numPr>
              <w:spacing w:after="45"/>
            </w:pPr>
            <w:r>
              <w:rPr>
                <w:sz w:val="15"/>
                <w:szCs w:val="15"/>
              </w:rPr>
              <w:t xml:space="preserve">They note that the high response rate may be due to the use of three active agents rather than to regional delivery</w:t>
            </w:r>
          </w:p>
          <w:p>
            <w:pPr>
              <w:pStyle w:val="ListParagraph"/>
              <w:numPr>
                <w:ilvl w:val="0"/>
                <w:numId w:val="2"/>
              </w:numPr>
              <w:spacing w:after="45"/>
            </w:pPr>
            <w:r>
              <w:rPr>
                <w:sz w:val="15"/>
                <w:szCs w:val="15"/>
              </w:rPr>
              <w:t xml:space="preserve">They report that previously treated patients did significantly worse than chemotherapy-naive patients (median survival 35 against 50.8 months, p=0.02)</w:t>
            </w:r>
          </w:p>
          <w:p>
            <w:pPr>
              <w:pStyle w:val="ListParagraph"/>
              <w:numPr>
                <w:ilvl w:val="0"/>
                <w:numId w:val="2"/>
              </w:numPr>
              <w:spacing w:after="45"/>
            </w:pPr>
            <w:r>
              <w:rPr>
                <w:sz w:val="15"/>
                <w:szCs w:val="15"/>
              </w:rPr>
              <w:t xml:space="preserve">They note that male patients had significantly more biliary toxicity in their earlier randomised trial, and that in this study no difference in dose or toxicity explains the sex difference in resection rate</w:t>
            </w:r>
          </w:p>
        </w:tc>
        <w:tc>
          <w:tcPr>
            <w:tcW w:type="dxa" w:w="4760"/>
            <w:shd w:fill="F1F4F8" w:color="auto" w:val="clear"/>
            <w:tcMar>
              <w:top w:type="dxa" w:w="70"/>
              <w:left w:type="dxa" w:w="110"/>
              <w:bottom w:type="dxa" w:w="70"/>
              <w:right w:type="dxa" w:w="110"/>
            </w:tcMar>
            <w:vAlign w:val="top"/>
          </w:tcPr>
          <w:p>
            <w:pPr>
              <w:spacing w:after="50"/>
            </w:pPr>
            <w:r>
              <w:rPr>
                <w:b/>
                <w:bCs/>
                <w:color w:val="8C2F26"/>
                <w:spacing w:val="12"/>
                <w:sz w:val="14"/>
                <w:szCs w:val="14"/>
              </w:rPr>
              <w:t xml:space="preserve">WHAT THEY DO NOT SAY</w:t>
            </w:r>
          </w:p>
          <w:p>
            <w:pPr>
              <w:pStyle w:val="ListParagraph"/>
              <w:numPr>
                <w:ilvl w:val="0"/>
                <w:numId w:val="2"/>
              </w:numPr>
              <w:spacing w:after="45"/>
            </w:pPr>
            <w:r>
              <w:rPr>
                <w:sz w:val="15"/>
                <w:szCs w:val="15"/>
              </w:rPr>
              <w:t xml:space="preserve">This is a single-arm phase I experience with no comparator, so the 47% conversion rate cannot be apportioned between the pump, full-dose triplet systemic therapy, portal vein embolisation, intraoperative ablation and the surgical aggressiveness of one high-volume unit. The authors say as much in calling for a randomised trial, and the result is nonetheless the foundation of the conversion claim for hepatic arterial infusion.</w:t>
            </w:r>
          </w:p>
          <w:p>
            <w:pPr>
              <w:pStyle w:val="ListParagraph"/>
              <w:numPr>
                <w:ilvl w:val="0"/>
                <w:numId w:val="2"/>
              </w:numPr>
              <w:spacing w:after="45"/>
            </w:pPr>
            <w:r>
              <w:rPr>
                <w:sz w:val="15"/>
                <w:szCs w:val="15"/>
              </w:rPr>
              <w:t xml:space="preserve">Resectability was adjudicated at a multidisciplinary conference by the surgeons who then performed the resections, in a study whose only endpoint is a change in that adjudication. No blinded or external re-review of the baseline imaging is described.</w:t>
            </w:r>
          </w:p>
          <w:p>
            <w:pPr>
              <w:pStyle w:val="ListParagraph"/>
              <w:numPr>
                <w:ilvl w:val="0"/>
                <w:numId w:val="2"/>
              </w:numPr>
              <w:spacing w:after="45"/>
            </w:pPr>
            <w:r>
              <w:rPr>
                <w:sz w:val="15"/>
                <w:szCs w:val="15"/>
              </w:rPr>
              <w:t xml:space="preserve">Conversion is a surrogate that this study shows does not deliver: median disease-free survival after R0 resection was 7.6 months (95% CI 5.2-12.9). Half the resected patients needed portal vein embolisation (12 of 23), ten needed intraoperative ablation and four were planned two-stage procedures, so the operations counted as conversions were mostly incomplete-by-resection-alone clearances followed by early recurrence.</w:t>
            </w:r>
          </w:p>
          <w:p>
            <w:pPr>
              <w:pStyle w:val="ListParagraph"/>
              <w:numPr>
                <w:ilvl w:val="0"/>
                <w:numId w:val="2"/>
              </w:numPr>
              <w:spacing w:after="45"/>
            </w:pPr>
            <w:r>
              <w:rPr>
                <w:sz w:val="15"/>
                <w:szCs w:val="15"/>
              </w:rPr>
              <w:t xml:space="preserve">Only 19 of 49 patients (39%) achieved an R0 resection, and three of those were pathological complete responses - that is, patients in whom no tumour remained to resect. The headline 47% includes R1 and R2 resections.</w:t>
            </w:r>
          </w:p>
          <w:p>
            <w:pPr>
              <w:pStyle w:val="ListParagraph"/>
              <w:numPr>
                <w:ilvl w:val="0"/>
                <w:numId w:val="2"/>
              </w:numPr>
              <w:spacing w:after="45"/>
            </w:pPr>
            <w:r>
              <w:rPr>
                <w:sz w:val="15"/>
                <w:szCs w:val="15"/>
              </w:rPr>
              <w:t xml:space="preserve">Response was scored by WHO-type criteria (50% reduction in the sum of products of diameters) rather than RECIST, which inflates the 92% response rate relative to any modern trial and makes the comparison with systemic-therapy series the paper draws inadmissible.</w:t>
            </w:r>
          </w:p>
          <w:p>
            <w:pPr>
              <w:pStyle w:val="ListParagraph"/>
              <w:numPr>
                <w:ilvl w:val="0"/>
                <w:numId w:val="2"/>
              </w:numPr>
              <w:spacing w:after="45"/>
            </w:pPr>
            <w:r>
              <w:rPr>
                <w:sz w:val="15"/>
                <w:szCs w:val="15"/>
              </w:rPr>
              <w:t xml:space="preserve">The female-sex finding (81% against 30% resected, p=0.002) emerged from a univariate scan of baseline variables in 49 patients with no multiplicity correction, is unexplained by dose or toxicity in this study, and is supported only by a consistent subgroup in the same group's earlier randomised trial - which was itself one of roughly forty unadjusted comparisons.</w:t>
            </w:r>
          </w:p>
          <w:p>
            <w:pPr>
              <w:pStyle w:val="ListParagraph"/>
              <w:numPr>
                <w:ilvl w:val="0"/>
                <w:numId w:val="2"/>
              </w:numPr>
              <w:spacing w:after="45"/>
            </w:pPr>
            <w:r>
              <w:rPr>
                <w:sz w:val="15"/>
                <w:szCs w:val="15"/>
              </w:rPr>
              <w:t xml:space="preserve">Two phase I schedules with different cycle lengths are pooled, and 22 of the 49 patients had already been published, so this is a partially overlapping update rather than an independent cohort - a point the paper does not make in its abstract.</w:t>
            </w:r>
          </w:p>
          <w:p>
            <w:pPr>
              <w:pStyle w:val="ListParagraph"/>
              <w:numPr>
                <w:ilvl w:val="0"/>
                <w:numId w:val="2"/>
              </w:numPr>
              <w:spacing w:after="45"/>
            </w:pPr>
            <w:r>
              <w:rPr>
                <w:sz w:val="15"/>
                <w:szCs w:val="15"/>
              </w:rPr>
              <w:t xml:space="preserve">The denominator excludes failures of the technique: seven of 55 candidates never reached protocol therapy because of hepatic artery stenosis, extrahepatic perfusion on the macroaggregated albumin scan or complications of the primary resection, so the pump's own failure rate is outside the reported conversion rate.</w:t>
            </w:r>
          </w:p>
          <w:p>
            <w:pPr>
              <w:pStyle w:val="ListParagraph"/>
              <w:numPr>
                <w:ilvl w:val="0"/>
                <w:numId w:val="2"/>
              </w:numPr>
              <w:spacing w:after="45"/>
            </w:pPr>
            <w:r>
              <w:rPr>
                <w:sz w:val="15"/>
                <w:szCs w:val="15"/>
              </w:rPr>
              <w:t xml:space="preserve">Hepatobiliary toxicity is reported only for the first two cycles of one schedule (alkaline phosphatase grade 3-4 in 15% and 11%, AST 19%, bilirubin 4%, diarrhoea 33%), with three later biliary stents attributed to progression rather than to therapy, so the cumulative biliary cost of the regimen is not quantified.</w:t>
            </w:r>
          </w:p>
          <w:p>
            <w:pPr>
              <w:pStyle w:val="ListParagraph"/>
              <w:numPr>
                <w:ilvl w:val="0"/>
                <w:numId w:val="2"/>
              </w:numPr>
              <w:spacing w:after="45"/>
            </w:pPr>
            <w:r>
              <w:rPr>
                <w:sz w:val="15"/>
                <w:szCs w:val="15"/>
              </w:rPr>
              <w:t xml:space="preserve">Resected livers showed mild to moderate steatosis in 67%, reported without any analysis of its relation to the two postoperative complications or to remnant function after embolisation.</w:t>
            </w:r>
          </w:p>
          <w:p>
            <w:pPr>
              <w:pStyle w:val="ListParagraph"/>
              <w:numPr>
                <w:ilvl w:val="0"/>
                <w:numId w:val="2"/>
              </w:numPr>
              <w:spacing w:after="45"/>
            </w:pPr>
            <w:r>
              <w:rPr>
                <w:sz w:val="15"/>
                <w:szCs w:val="15"/>
              </w:rPr>
              <w:t xml:space="preserve">Survival is measured from pump placement, which conditions on having had a pump successfully implanted and perfusing, and all survival figures are reported with a median follow-up of 26 months against medians of 35 to 51 months.</w:t>
            </w:r>
          </w:p>
          <w:p>
            <w:pPr>
              <w:pStyle w:val="ListParagraph"/>
              <w:numPr>
                <w:ilvl w:val="0"/>
                <w:numId w:val="2"/>
              </w:numPr>
              <w:spacing w:after="45"/>
            </w:pPr>
            <w:r>
              <w:rPr>
                <w:sz w:val="15"/>
                <w:szCs w:val="15"/>
              </w:rPr>
              <w:t xml:space="preserve">The regimen is not transferable as described: floxuridine and the implantable pump are unavailable in much of Europe, and the protocol requires a dedicated interventional and hepatobiliary service, with no centre-level or learning-curve data offered.</w:t>
            </w:r>
          </w:p>
          <w:p>
            <w:pPr>
              <w:pStyle w:val="ListParagraph"/>
              <w:numPr>
                <w:ilvl w:val="0"/>
                <w:numId w:val="2"/>
              </w:numPr>
              <w:spacing w:after="45"/>
            </w:pPr>
            <w:r>
              <w:rPr>
                <w:sz w:val="15"/>
                <w:szCs w:val="15"/>
              </w:rPr>
              <w:t xml:space="preserve">No linked editorial or comment on this paper was found in PubMed, so no independent published critique informs this record.</w:t>
            </w:r>
          </w:p>
        </w:tc>
      </w:tr>
    </w:tbl>
    <w:p>
      <w:pPr>
        <w:spacing w:after="0" w:line="276"/>
      </w:pPr>
      <w:r>
        <w:rPr>
          <w:color w:val="5A6069"/>
          <w:sz w:val="14"/>
          <w:szCs w:val="14"/>
        </w:rPr>
        <w:t xml:space="preserve">Funding: No funding statement appears; financial support is attributed to the senior author. Four authors declare honoraria from sanofi-aventis, one of them also from Pfizer, and the same author declares research funding from Pfizer and sanofi-aventis</w:t>
      </w:r>
    </w:p>
    <w:p>
      <w:pPr>
        <w:keepNext/>
        <w:spacing w:after="50" w:before="260"/>
      </w:pPr>
      <w:r>
        <w:rPr>
          <w:rFonts w:ascii="Cambria" w:cs="Cambria" w:eastAsia="Cambria" w:hAnsi="Cambria"/>
          <w:b/>
          <w:bCs/>
          <w:color w:val="17365D"/>
          <w:sz w:val="20"/>
          <w:szCs w:val="20"/>
        </w:rPr>
        <w:t xml:space="preserve">KEYNOTE-177</w:t>
      </w:r>
      <w:r>
        <w:rPr>
          <w:b/>
          <w:bCs/>
          <w:color w:val="176A87"/>
          <w:sz w:val="15"/>
          <w:szCs w:val="15"/>
        </w:rPr>
        <w:t xml:space="preserve">   Randomised trial</w:t>
      </w:r>
      <w:r>
        <w:rPr>
          <w:color w:val="5A6069"/>
          <w:sz w:val="15"/>
          <w:szCs w:val="15"/>
        </w:rPr>
        <w:t xml:space="preserve">   PMID 33264544</w:t>
      </w:r>
    </w:p>
    <w:p>
      <w:pPr>
        <w:spacing w:after="50" w:line="276"/>
      </w:pPr>
      <w:r>
        <w:rPr>
          <w:color w:val="5A6069"/>
          <w:sz w:val="17"/>
          <w:szCs w:val="17"/>
        </w:rPr>
        <w:t xml:space="preserve">Pembrolizumab in Microsatellite-Instability-High Advanced Colorectal Cancer</w:t>
      </w:r>
    </w:p>
    <w:p>
      <w:pPr>
        <w:spacing w:after="50"/>
      </w:pPr>
      <w:r>
        <w:rPr>
          <w:b/>
          <w:bCs/>
          <w:color w:val="176A87"/>
          <w:sz w:val="16"/>
          <w:szCs w:val="16"/>
        </w:rPr>
        <w:t xml:space="preserve">Population. </w:t>
      </w:r>
      <w:r>
        <w:rPr>
          <w:sz w:val="16"/>
          <w:szCs w:val="16"/>
        </w:rPr>
        <w:t xml:space="preserve">307 previously untreated patients with MSI-high or mismatch repair-deficient stage IV colorectal cancer randomised 1:1 at 192 sites in 23 countries (153 pembrolizumab, 154 investigator's choice chemotherapy); 68% right-sided and 30% left-sided primaries, safety assessed in 153 and 143 treated patients. Second interim analysis at a median follow-up of 32.4 months, with 125 of the 190 deaths required for the final survival analysis and 56 of 154 chemotherapy patients (36%) crossed over on study</w:t>
      </w:r>
    </w:p>
    <w:p>
      <w:pPr>
        <w:spacing w:after="70"/>
      </w:pPr>
      <w:r>
        <w:rPr>
          <w:b/>
          <w:bCs/>
          <w:color w:val="17365D"/>
          <w:sz w:val="16"/>
          <w:szCs w:val="16"/>
        </w:rPr>
        <w:t xml:space="preserve">Bottom line. </w:t>
      </w:r>
      <w:r>
        <w:rPr>
          <w:sz w:val="16"/>
          <w:szCs w:val="16"/>
        </w:rPr>
        <w:t xml:space="preserve">Establishes pembrolizumab as a first-line option in MSI-high or mismatch repair-deficient metastatic colorectal cancer: median progression-free survival 16.5 against 8.2 months, with responses lasting far longer (82.6% against 35.3% ongoing at two years) and a third of the grade 3 or higher treatment-related toxicity. It does not establish survival benefit - that endpoint was still masked at 125 of 190 deaths, and 59% of the chemotherapy arm went on to a checkpoint inhibitor anyway - and it does not establish benefit for everyone: 29.4% progressed as their best response, the curves cross early, proportional hazards failed, and no marker identifies the patients who should have had chemotherapy. For liver metastases it speaks only to sequencing: 9% of patients had curative-intent surgery and they were censored at the operation.</w:t>
      </w:r>
    </w:p>
    <w:tbl>
      <w:tblPr>
        <w:tblW w:type="dxa" w:w="9360"/>
        <w:tblBorders>
          <w:top w:val="single" w:color="D3DCE4" w:sz="4"/>
          <w:left w:val="single" w:color="D3DCE4" w:sz="4"/>
          <w:bottom w:val="single" w:color="D3DCE4" w:sz="4"/>
          <w:right w:val="single" w:color="D3DCE4" w:sz="4"/>
          <w:insideH w:val="single" w:color="D3DCE4" w:sz="4"/>
          <w:insideV w:val="single" w:color="D3DCE4" w:sz="4"/>
        </w:tblBorders>
      </w:tblPr>
      <w:tblGrid>
        <w:gridCol w:w="4600"/>
        <w:gridCol w:w="4760"/>
      </w:tblGrid>
      <w:tr>
        <w:tc>
          <w:tcPr>
            <w:tcW w:type="dxa" w:w="4600"/>
            <w:shd w:fill="F1F4F8" w:color="auto" w:val="clear"/>
            <w:tcMar>
              <w:top w:type="dxa" w:w="70"/>
              <w:left w:type="dxa" w:w="110"/>
              <w:bottom w:type="dxa" w:w="70"/>
              <w:right w:type="dxa" w:w="110"/>
            </w:tcMar>
            <w:vAlign w:val="top"/>
          </w:tcPr>
          <w:p>
            <w:pPr>
              <w:spacing w:after="50"/>
            </w:pPr>
            <w:r>
              <w:rPr>
                <w:b/>
                <w:bCs/>
                <w:color w:val="8E5008"/>
                <w:spacing w:val="12"/>
                <w:sz w:val="14"/>
                <w:szCs w:val="14"/>
              </w:rPr>
              <w:t xml:space="preserve">LIMITATIONS THE AUTHORS STATE</w:t>
            </w:r>
          </w:p>
          <w:p>
            <w:pPr>
              <w:pStyle w:val="ListParagraph"/>
              <w:numPr>
                <w:ilvl w:val="0"/>
                <w:numId w:val="2"/>
              </w:numPr>
              <w:spacing w:after="45"/>
            </w:pPr>
            <w:r>
              <w:rPr>
                <w:sz w:val="15"/>
                <w:szCs w:val="15"/>
              </w:rPr>
              <w:t xml:space="preserve">Overall survival is not reported: the independent data monitoring committee recommended continued masking until 190 deaths or 12 months after this analysis, and the authors state crossover will be a factor in assessing it</w:t>
            </w:r>
          </w:p>
          <w:p>
            <w:pPr>
              <w:pStyle w:val="ListParagraph"/>
              <w:numPr>
                <w:ilvl w:val="0"/>
                <w:numId w:val="2"/>
              </w:numPr>
              <w:spacing w:after="45"/>
            </w:pPr>
            <w:r>
              <w:rPr>
                <w:sz w:val="15"/>
                <w:szCs w:val="15"/>
              </w:rPr>
              <w:t xml:space="preserve">The authors state that interpretation of the RAS-mutant subgroup, which showed no progression-free survival benefit, is limited by small numbers and a high proportion of missing mutation status</w:t>
            </w:r>
          </w:p>
          <w:p>
            <w:pPr>
              <w:pStyle w:val="ListParagraph"/>
              <w:numPr>
                <w:ilvl w:val="0"/>
                <w:numId w:val="2"/>
              </w:numPr>
              <w:spacing w:after="45"/>
            </w:pPr>
            <w:r>
              <w:rPr>
                <w:sz w:val="15"/>
                <w:szCs w:val="15"/>
              </w:rPr>
              <w:t xml:space="preserve">They state that no proposed marker of early progression on PD-1 blockade - low tumour mutation burden, JAK mutations, beta-2-microglobulin loss, misdiagnosed MSI-high status, pseudoprogression - is conclusive, so the patients who progress cannot be identified in advance</w:t>
            </w:r>
          </w:p>
          <w:p>
            <w:pPr>
              <w:pStyle w:val="ListParagraph"/>
              <w:numPr>
                <w:ilvl w:val="0"/>
                <w:numId w:val="2"/>
              </w:numPr>
              <w:spacing w:after="45"/>
            </w:pPr>
            <w:r>
              <w:rPr>
                <w:sz w:val="15"/>
                <w:szCs w:val="15"/>
              </w:rPr>
              <w:t xml:space="preserve">The influence of hereditary versus sporadic mismatch repair deficiency could not be determined because consent for germline testing was not obtained</w:t>
            </w:r>
          </w:p>
          <w:p>
            <w:pPr>
              <w:pStyle w:val="ListParagraph"/>
              <w:numPr>
                <w:ilvl w:val="0"/>
                <w:numId w:val="2"/>
              </w:numPr>
              <w:spacing w:after="45"/>
            </w:pPr>
            <w:r>
              <w:rPr>
                <w:sz w:val="15"/>
                <w:szCs w:val="15"/>
              </w:rPr>
              <w:t xml:space="preserve">They note the proportional-hazards assumption was violated for progression-free survival, and report restricted mean survival time alongside the hazard ratio</w:t>
            </w:r>
          </w:p>
          <w:p>
            <w:pPr>
              <w:pStyle w:val="ListParagraph"/>
              <w:numPr>
                <w:ilvl w:val="0"/>
                <w:numId w:val="2"/>
              </w:numPr>
              <w:spacing w:after="45"/>
            </w:pPr>
            <w:r>
              <w:rPr>
                <w:sz w:val="15"/>
                <w:szCs w:val="15"/>
              </w:rPr>
              <w:t xml:space="preserve">The trial was considered successful if pembrolizumab was superior on either primary endpoint, so this report's positive progression-free survival result satisfies the design on its own</w:t>
            </w:r>
          </w:p>
        </w:tc>
        <w:tc>
          <w:tcPr>
            <w:tcW w:type="dxa" w:w="4760"/>
            <w:shd w:fill="F1F4F8" w:color="auto" w:val="clear"/>
            <w:tcMar>
              <w:top w:type="dxa" w:w="70"/>
              <w:left w:type="dxa" w:w="110"/>
              <w:bottom w:type="dxa" w:w="70"/>
              <w:right w:type="dxa" w:w="110"/>
            </w:tcMar>
            <w:vAlign w:val="top"/>
          </w:tcPr>
          <w:p>
            <w:pPr>
              <w:spacing w:after="50"/>
            </w:pPr>
            <w:r>
              <w:rPr>
                <w:b/>
                <w:bCs/>
                <w:color w:val="8C2F26"/>
                <w:spacing w:val="12"/>
                <w:sz w:val="14"/>
                <w:szCs w:val="14"/>
              </w:rPr>
              <w:t xml:space="preserve">WHAT THEY DO NOT SAY</w:t>
            </w:r>
          </w:p>
          <w:p>
            <w:pPr>
              <w:pStyle w:val="ListParagraph"/>
              <w:numPr>
                <w:ilvl w:val="0"/>
                <w:numId w:val="2"/>
              </w:numPr>
              <w:spacing w:after="45"/>
            </w:pPr>
            <w:r>
              <w:rPr>
                <w:sz w:val="15"/>
                <w:szCs w:val="15"/>
              </w:rPr>
              <w:t xml:space="preserve">The conclusion rests on a single surrogate endpoint. Survival was deliberately masked at 125 of 190 required deaths, and the effective crossover rate to anti-PD-1 or anti-PD-L1 therapy was 59% of the chemotherapy arm - 36% on study plus 35 more patients off study - which means the eventual survival comparison will be between pembrolizumab first and pembrolizumab later, not between pembrolizumab and chemotherapy.</w:t>
            </w:r>
          </w:p>
          <w:p>
            <w:pPr>
              <w:pStyle w:val="ListParagraph"/>
              <w:numPr>
                <w:ilvl w:val="0"/>
                <w:numId w:val="2"/>
              </w:numPr>
              <w:spacing w:after="45"/>
            </w:pPr>
            <w:r>
              <w:rPr>
                <w:sz w:val="15"/>
                <w:szCs w:val="15"/>
              </w:rPr>
              <w:t xml:space="preserve">The hazard ratio of 0.60 is reported as the headline despite the paper stating that proportional hazards were violated. The analysis appropriate to crossing curves gives a far smaller effect: restricted mean progression-free survival at 24 months of 13.7 months against 10.8, a difference of 2.9 months.</w:t>
            </w:r>
          </w:p>
          <w:p>
            <w:pPr>
              <w:pStyle w:val="ListParagraph"/>
              <w:numPr>
                <w:ilvl w:val="0"/>
                <w:numId w:val="2"/>
              </w:numPr>
              <w:spacing w:after="45"/>
            </w:pPr>
            <w:r>
              <w:rPr>
                <w:sz w:val="15"/>
                <w:szCs w:val="15"/>
              </w:rPr>
              <w:t xml:space="preserve">Nearly a third of pembrolizumab patients (29.4%) had progressive disease as their best response against 12.3% on chemotherapy, so the early period in which the curves cross represents patients actively harmed by withholding chemotherapy - and the paper concedes no validated marker identifies them.</w:t>
            </w:r>
          </w:p>
          <w:p>
            <w:pPr>
              <w:pStyle w:val="ListParagraph"/>
              <w:numPr>
                <w:ilvl w:val="0"/>
                <w:numId w:val="2"/>
              </w:numPr>
              <w:spacing w:after="45"/>
            </w:pPr>
            <w:r>
              <w:rPr>
                <w:sz w:val="15"/>
                <w:szCs w:val="15"/>
              </w:rPr>
              <w:t xml:space="preserve">Response rate, the endpoint a surgeon would use to judge conversion potential, favoured pembrolizumab only modestly (43.8% against 33.1%), and the real difference is durability (82.6% against 35.3% of responses ongoing at 24 months) - a distinction that matters for sequencing but not for shrinking a liver before an operation.</w:t>
            </w:r>
          </w:p>
          <w:p>
            <w:pPr>
              <w:pStyle w:val="ListParagraph"/>
              <w:numPr>
                <w:ilvl w:val="0"/>
                <w:numId w:val="2"/>
              </w:numPr>
              <w:spacing w:after="45"/>
            </w:pPr>
            <w:r>
              <w:rPr>
                <w:sz w:val="15"/>
                <w:szCs w:val="15"/>
              </w:rPr>
              <w:t xml:space="preserve">The subgroup result that most affects practice is unreliable by the authors' own account: RAS, BRAF and NRAS status could not be evaluated in a quarter to a third of patients, so the apparent absence of benefit in RAS-mutant tumours (HR 1.19, 95% CI 0.68-2.07) rests on an incomplete and underpowered subgroup, and is nonetheless the kind of result that gets used to withhold treatment.</w:t>
            </w:r>
          </w:p>
          <w:p>
            <w:pPr>
              <w:pStyle w:val="ListParagraph"/>
              <w:numPr>
                <w:ilvl w:val="0"/>
                <w:numId w:val="2"/>
              </w:numPr>
              <w:spacing w:after="45"/>
            </w:pPr>
            <w:r>
              <w:rPr>
                <w:sz w:val="15"/>
                <w:szCs w:val="15"/>
              </w:rPr>
              <w:t xml:space="preserve">The comparator was investigator's choice of mFOLFOX6 or FOLFIRI with or without bevacizumab or cetuximab, so the control arm is a mixture of regimens chosen after randomisation was known, in an open-label trial.</w:t>
            </w:r>
          </w:p>
          <w:p>
            <w:pPr>
              <w:pStyle w:val="ListParagraph"/>
              <w:numPr>
                <w:ilvl w:val="0"/>
                <w:numId w:val="2"/>
              </w:numPr>
              <w:spacing w:after="45"/>
            </w:pPr>
            <w:r>
              <w:rPr>
                <w:sz w:val="15"/>
                <w:szCs w:val="15"/>
              </w:rPr>
              <w:t xml:space="preserve">Eleven randomised patients never started the assigned treatment and the safety populations are 153 and 143 against 153 and 154 randomised, so harms are counted in different denominators from efficacy.</w:t>
            </w:r>
          </w:p>
          <w:p>
            <w:pPr>
              <w:pStyle w:val="ListParagraph"/>
              <w:numPr>
                <w:ilvl w:val="0"/>
                <w:numId w:val="2"/>
              </w:numPr>
              <w:spacing w:after="45"/>
            </w:pPr>
            <w:r>
              <w:rPr>
                <w:sz w:val="15"/>
                <w:szCs w:val="15"/>
              </w:rPr>
              <w:t xml:space="preserve">The paper's own framing of the trial's success criterion - superiority on either primary endpoint - means that reporting progression-free survival while masking survival allows the trial to be declared positive before the endpoint that matters is known. The 2020 publication was followed by a separate final survival analysis not contained here.</w:t>
            </w:r>
          </w:p>
          <w:p>
            <w:pPr>
              <w:pStyle w:val="ListParagraph"/>
              <w:numPr>
                <w:ilvl w:val="0"/>
                <w:numId w:val="2"/>
              </w:numPr>
              <w:spacing w:after="45"/>
            </w:pPr>
            <w:r>
              <w:rPr>
                <w:sz w:val="15"/>
                <w:szCs w:val="15"/>
              </w:rPr>
              <w:t xml:space="preserve">The trial was designed with sponsor employees, three of whom are authors, and the first draft was written with a sponsor-employed medical writer, in a trial establishing first-line use of that sponsor's drug.</w:t>
            </w:r>
          </w:p>
          <w:p>
            <w:pPr>
              <w:pStyle w:val="ListParagraph"/>
              <w:numPr>
                <w:ilvl w:val="0"/>
                <w:numId w:val="2"/>
              </w:numPr>
              <w:spacing w:after="45"/>
            </w:pPr>
            <w:r>
              <w:rPr>
                <w:sz w:val="15"/>
                <w:szCs w:val="15"/>
              </w:rPr>
              <w:t xml:space="preserve">Adverse events of interest were specified by the sponsor regardless of investigator attribution, which shapes the immune-mediated event tally (31% against 13%, grade 3-4 9% against 2%) that is the counterweight to the chemotherapy arm's 66% grade 3 or higher treatment-related toxicity.</w:t>
            </w:r>
          </w:p>
          <w:p>
            <w:pPr>
              <w:pStyle w:val="ListParagraph"/>
              <w:numPr>
                <w:ilvl w:val="0"/>
                <w:numId w:val="2"/>
              </w:numPr>
              <w:spacing w:after="45"/>
            </w:pPr>
            <w:r>
              <w:rPr>
                <w:sz w:val="15"/>
                <w:szCs w:val="15"/>
              </w:rPr>
              <w:t xml:space="preserve">For a liver-metastasis pathway the trial is nearly silent: curative-intent surgery was performed in 14 pembrolizumab and 13 chemotherapy patients (9% and 8%), these patients were censored at the date of surgery in the progression-free survival analysis, and no resection, margin, pathological response or post-resection outcome is reported. The paper's relevance is that MSI-high status changes the systemic plan before any liver-directed decision - and that it is the basis on which transplant consensus documents exclude these patients, a use the trial itself does not support.</w:t>
            </w:r>
          </w:p>
          <w:p>
            <w:pPr>
              <w:pStyle w:val="ListParagraph"/>
              <w:numPr>
                <w:ilvl w:val="0"/>
                <w:numId w:val="2"/>
              </w:numPr>
              <w:spacing w:after="45"/>
            </w:pPr>
            <w:r>
              <w:rPr>
                <w:sz w:val="15"/>
                <w:szCs w:val="15"/>
              </w:rPr>
              <w:t xml:space="preserve">A linked editorial (PMID 33264550, Grothey, N Engl J Med 2020;383:2283-5) and two letters (PMID 33704946, Battistuzzi and colleagues; PMID 33704947, Sorscher) were identified in PubMed but their texts were not read for this record, so no argument is attributed to them.</w:t>
            </w:r>
          </w:p>
        </w:tc>
      </w:tr>
    </w:tbl>
    <w:p>
      <w:pPr>
        <w:spacing w:after="0" w:line="276"/>
      </w:pPr>
      <w:r>
        <w:rPr>
          <w:color w:val="5A6069"/>
          <w:sz w:val="14"/>
          <w:szCs w:val="14"/>
        </w:rPr>
        <w:t xml:space="preserve">Funding: Merck Sharp and Dohme, which makes pembrolizumab, and a Stand Up to Cancer Colorectal Cancer Dream Team Translational Research Grant. The trial was designed by academic investigators together with sponsor employees, three of whom are co-authors, and the first draft was written with assistance from a medical writer employed by the sponsor. Nearly every academic author declares grants, advisory, consulting or lecture fees from the sponsor or its competitors</w:t>
      </w:r>
    </w:p>
    <w:p>
      <w:pPr>
        <w:keepNext/>
        <w:spacing w:after="50" w:before="260"/>
      </w:pPr>
      <w:r>
        <w:rPr>
          <w:rFonts w:ascii="Cambria" w:cs="Cambria" w:eastAsia="Cambria" w:hAnsi="Cambria"/>
          <w:b/>
          <w:bCs/>
          <w:color w:val="17365D"/>
          <w:sz w:val="20"/>
          <w:szCs w:val="20"/>
        </w:rPr>
        <w:t xml:space="preserve">LIGRO</w:t>
      </w:r>
      <w:r>
        <w:rPr>
          <w:b/>
          <w:bCs/>
          <w:color w:val="176A87"/>
          <w:sz w:val="15"/>
          <w:szCs w:val="15"/>
        </w:rPr>
        <w:t xml:space="preserve">   Randomised trial</w:t>
      </w:r>
      <w:r>
        <w:rPr>
          <w:color w:val="5A6069"/>
          <w:sz w:val="15"/>
          <w:szCs w:val="15"/>
        </w:rPr>
        <w:t xml:space="preserve">   PMID 28902669</w:t>
      </w:r>
    </w:p>
    <w:p>
      <w:pPr>
        <w:spacing w:after="50" w:line="276"/>
      </w:pPr>
      <w:r>
        <w:rPr>
          <w:color w:val="5A6069"/>
          <w:sz w:val="17"/>
          <w:szCs w:val="17"/>
        </w:rPr>
        <w:t xml:space="preserve">ALPPS Improves Resectability Compared With Conventional Two-stage Hepatectomy in Patients With Advanced Colorectal Liver Metastasis: Results From a Scandinavian Multicenter Randomized Controlled Trial (LIGRO Trial)</w:t>
      </w:r>
    </w:p>
    <w:p>
      <w:pPr>
        <w:spacing w:after="50"/>
      </w:pPr>
      <w:r>
        <w:rPr>
          <w:b/>
          <w:bCs/>
          <w:color w:val="176A87"/>
          <w:sz w:val="16"/>
          <w:szCs w:val="16"/>
        </w:rPr>
        <w:t xml:space="preserve">Population. </w:t>
      </w:r>
      <w:r>
        <w:rPr>
          <w:sz w:val="16"/>
          <w:szCs w:val="16"/>
        </w:rPr>
        <w:t xml:space="preserve">97 patients analysed of 100 randomised (48 ALPPS, 49 two-stage hepatectomy) from 117 assessed at six Scandinavian university hospitals between June 2014 and August 2016; 68 men and 29 women, mean age 65 (SD 10), baseline standardised future liver remnant 21-22%, median 8 liver metastases at surgery, 16 with extrahepatic disease, and a primary tumour still in situ permitted</w:t>
      </w:r>
    </w:p>
    <w:p>
      <w:pPr>
        <w:spacing w:after="70"/>
      </w:pPr>
      <w:r>
        <w:rPr>
          <w:b/>
          <w:bCs/>
          <w:color w:val="17365D"/>
          <w:sz w:val="16"/>
          <w:szCs w:val="16"/>
        </w:rPr>
        <w:t xml:space="preserve">Bottom line. </w:t>
      </w:r>
      <w:r>
        <w:rPr>
          <w:sz w:val="16"/>
          <w:szCs w:val="16"/>
        </w:rPr>
        <w:t xml:space="preserve">Establishes that when the standardised future liver remnant is under 30% after chemotherapy, ALPPS completes the resection in 92% of patients against 57% with portal occlusion and two-stage hepatectomy, with faster and larger hypertrophy and a two-week rather than six-week interval, at a cost of 43% severe complications and 8.3% 90-day mortality. It does not establish that ALPPS is the better strategy: the trial's own rescue data put embolisation-first-with-ALPPS-salvage at 82% against 92%, a non-significant difference, and the morbidity and margin comparisons are made only among patients who reached resection, so the arm that resected fewer patients is judged on its successes alone. No survival endpoint is reported in this paper, and all seven deaths involved postoperative liver failure.</w:t>
      </w:r>
    </w:p>
    <w:tbl>
      <w:tblPr>
        <w:tblW w:type="dxa" w:w="9360"/>
        <w:tblBorders>
          <w:top w:val="single" w:color="D3DCE4" w:sz="4"/>
          <w:left w:val="single" w:color="D3DCE4" w:sz="4"/>
          <w:bottom w:val="single" w:color="D3DCE4" w:sz="4"/>
          <w:right w:val="single" w:color="D3DCE4" w:sz="4"/>
          <w:insideH w:val="single" w:color="D3DCE4" w:sz="4"/>
          <w:insideV w:val="single" w:color="D3DCE4" w:sz="4"/>
        </w:tblBorders>
      </w:tblPr>
      <w:tblGrid>
        <w:gridCol w:w="4600"/>
        <w:gridCol w:w="4760"/>
      </w:tblGrid>
      <w:tr>
        <w:tc>
          <w:tcPr>
            <w:tcW w:type="dxa" w:w="4600"/>
            <w:shd w:fill="F1F4F8" w:color="auto" w:val="clear"/>
            <w:tcMar>
              <w:top w:type="dxa" w:w="70"/>
              <w:left w:type="dxa" w:w="110"/>
              <w:bottom w:type="dxa" w:w="70"/>
              <w:right w:type="dxa" w:w="110"/>
            </w:tcMar>
            <w:vAlign w:val="top"/>
          </w:tcPr>
          <w:p>
            <w:pPr>
              <w:spacing w:after="50"/>
            </w:pPr>
            <w:r>
              <w:rPr>
                <w:b/>
                <w:bCs/>
                <w:color w:val="8E5008"/>
                <w:spacing w:val="12"/>
                <w:sz w:val="14"/>
                <w:szCs w:val="14"/>
              </w:rPr>
              <w:t xml:space="preserve">LIMITATIONS THE AUTHORS STATE</w:t>
            </w:r>
          </w:p>
          <w:p>
            <w:pPr>
              <w:pStyle w:val="ListParagraph"/>
              <w:numPr>
                <w:ilvl w:val="0"/>
                <w:numId w:val="2"/>
              </w:numPr>
              <w:spacing w:after="45"/>
            </w:pPr>
            <w:r>
              <w:rPr>
                <w:sz w:val="15"/>
                <w:szCs w:val="15"/>
              </w:rPr>
              <w:t xml:space="preserve">Resectability was assessed at each centre by local multidisciplinary boards and the results may differ between centres</w:t>
            </w:r>
          </w:p>
          <w:p>
            <w:pPr>
              <w:pStyle w:val="ListParagraph"/>
              <w:numPr>
                <w:ilvl w:val="0"/>
                <w:numId w:val="2"/>
              </w:numPr>
              <w:spacing w:after="45"/>
            </w:pPr>
            <w:r>
              <w:rPr>
                <w:sz w:val="15"/>
                <w:szCs w:val="15"/>
              </w:rPr>
              <w:t xml:space="preserve">Volumetric methods were those routinely used at each centre and were not standardised; the authors argue serial measurements within each patient make the comparison reliable</w:t>
            </w:r>
          </w:p>
          <w:p>
            <w:pPr>
              <w:pStyle w:val="ListParagraph"/>
              <w:numPr>
                <w:ilvl w:val="0"/>
                <w:numId w:val="2"/>
              </w:numPr>
              <w:spacing w:after="45"/>
            </w:pPr>
            <w:r>
              <w:rPr>
                <w:sz w:val="15"/>
                <w:szCs w:val="15"/>
              </w:rPr>
              <w:t xml:space="preserve">The method of portal embolisation differed between centres, although the authors report that success and growth rates did not</w:t>
            </w:r>
          </w:p>
          <w:p>
            <w:pPr>
              <w:pStyle w:val="ListParagraph"/>
              <w:numPr>
                <w:ilvl w:val="0"/>
                <w:numId w:val="2"/>
              </w:numPr>
              <w:spacing w:after="45"/>
            </w:pPr>
            <w:r>
              <w:rPr>
                <w:sz w:val="15"/>
                <w:szCs w:val="15"/>
              </w:rPr>
              <w:t xml:space="preserve">The trial was not blinded and patients were informed of the operation they had been randomised to</w:t>
            </w:r>
          </w:p>
          <w:p>
            <w:pPr>
              <w:pStyle w:val="ListParagraph"/>
              <w:numPr>
                <w:ilvl w:val="0"/>
                <w:numId w:val="2"/>
              </w:numPr>
              <w:spacing w:after="45"/>
            </w:pPr>
            <w:r>
              <w:rPr>
                <w:sz w:val="15"/>
                <w:szCs w:val="15"/>
              </w:rPr>
              <w:t xml:space="preserve">The two-stage resection rate of 57% was lower than the 60-75% previously reported, which the authors attribute to including patients with very small remnants, the requirement of a kinetic growth rate above 2% per week, and the 30% remnant threshold; a 25% cut-off would have added one more two-stage success</w:t>
            </w:r>
          </w:p>
          <w:p>
            <w:pPr>
              <w:pStyle w:val="ListParagraph"/>
              <w:numPr>
                <w:ilvl w:val="0"/>
                <w:numId w:val="2"/>
              </w:numPr>
              <w:spacing w:after="45"/>
            </w:pPr>
            <w:r>
              <w:rPr>
                <w:sz w:val="15"/>
                <w:szCs w:val="15"/>
              </w:rPr>
              <w:t xml:space="preserve">Perioperative mortality remained high in both arms, which the authors say indicates that less invasive alternatives - laparoscopic ALPPS, microwave ablation along the division line, or partial ALPPS - may be considered</w:t>
            </w:r>
          </w:p>
          <w:p>
            <w:pPr>
              <w:pStyle w:val="ListParagraph"/>
              <w:numPr>
                <w:ilvl w:val="0"/>
                <w:numId w:val="2"/>
              </w:numPr>
              <w:spacing w:after="45"/>
            </w:pPr>
            <w:r>
              <w:rPr>
                <w:sz w:val="15"/>
                <w:szCs w:val="15"/>
              </w:rPr>
              <w:t xml:space="preserve">Long-term outcomes remain to be elucidated, so the authors state the oncological role of ALPPS remains uncertain</w:t>
            </w:r>
          </w:p>
        </w:tc>
        <w:tc>
          <w:tcPr>
            <w:tcW w:type="dxa" w:w="4760"/>
            <w:shd w:fill="F1F4F8" w:color="auto" w:val="clear"/>
            <w:tcMar>
              <w:top w:type="dxa" w:w="70"/>
              <w:left w:type="dxa" w:w="110"/>
              <w:bottom w:type="dxa" w:w="70"/>
              <w:right w:type="dxa" w:w="110"/>
            </w:tcMar>
            <w:vAlign w:val="top"/>
          </w:tcPr>
          <w:p>
            <w:pPr>
              <w:spacing w:after="50"/>
            </w:pPr>
            <w:r>
              <w:rPr>
                <w:b/>
                <w:bCs/>
                <w:color w:val="8C2F26"/>
                <w:spacing w:val="12"/>
                <w:sz w:val="14"/>
                <w:szCs w:val="14"/>
              </w:rPr>
              <w:t xml:space="preserve">WHAT THEY DO NOT SAY</w:t>
            </w:r>
          </w:p>
          <w:p>
            <w:pPr>
              <w:pStyle w:val="ListParagraph"/>
              <w:numPr>
                <w:ilvl w:val="0"/>
                <w:numId w:val="2"/>
              </w:numPr>
              <w:spacing w:after="45"/>
            </w:pPr>
            <w:r>
              <w:rPr>
                <w:sz w:val="15"/>
                <w:szCs w:val="15"/>
              </w:rPr>
              <w:t xml:space="preserve">The primary endpoint is defined so that the headline gap cannot survive real practice. By protocol, two-stage patients who crossed over to rescue ALPPS were counted as treatment-arm failures, so 92% against 57% describes a strategy in which a patient whose liver fails to grow after embolisation is simply abandoned. The paper's own figure for the strategy a surgeon would actually use - embolisation first, ALPPS as salvage - is 82% against 92% and is not significant, and it appears only in the Crossover paragraph.</w:t>
            </w:r>
          </w:p>
          <w:p>
            <w:pPr>
              <w:pStyle w:val="ListParagraph"/>
              <w:numPr>
                <w:ilvl w:val="0"/>
                <w:numId w:val="2"/>
              </w:numPr>
              <w:spacing w:after="45"/>
            </w:pPr>
            <w:r>
              <w:rPr>
                <w:sz w:val="15"/>
                <w:szCs w:val="15"/>
              </w:rPr>
              <w:t xml:space="preserve">Complications, mortality and margin status are all analysed per protocol among resected patients only (44 versus 28), so the arm that resected fewer patients is credited with the complications of its successes alone. The 21 two-stage patients who never reached resection contribute no morbidity to the comparison, and the 12 who then underwent rescue ALPPS contribute to neither arm. 'Severe complications identical at 43%' is a comparison of unlike denominators.</w:t>
            </w:r>
          </w:p>
          <w:p>
            <w:pPr>
              <w:pStyle w:val="ListParagraph"/>
              <w:numPr>
                <w:ilvl w:val="0"/>
                <w:numId w:val="2"/>
              </w:numPr>
              <w:spacing w:after="45"/>
            </w:pPr>
            <w:r>
              <w:rPr>
                <w:sz w:val="15"/>
                <w:szCs w:val="15"/>
              </w:rPr>
              <w:t xml:space="preserve">Every secondary endpoint is badly underpowered and reported as if negative. The sample was sized only to detect a 25-point difference in resection rate; the 90-day mortality odds ratio of 1.39 has a 95% CI of 0.3 to 6.6 and the margin odds ratio of 2.55 a CI of 0.9 to 7.1. The conclusion that ALPPS carries no higher mortality and no worse margins rests on intervals that exclude almost nothing.</w:t>
            </w:r>
          </w:p>
          <w:p>
            <w:pPr>
              <w:pStyle w:val="ListParagraph"/>
              <w:numPr>
                <w:ilvl w:val="0"/>
                <w:numId w:val="2"/>
              </w:numPr>
              <w:spacing w:after="45"/>
            </w:pPr>
            <w:r>
              <w:rPr>
                <w:sz w:val="15"/>
                <w:szCs w:val="15"/>
              </w:rPr>
              <w:t xml:space="preserve">Allocation was by sealed opaque envelopes distributed to the centres in numbered order and drawn locally, in an unblinded trial of two operations. Concealment therefore depended on envelope integrity at the site, and the surgeon who decided whether a patient had reached the 30% threshold, whether growth was adequate, and whether treatment had failed, knew the allocation throughout. No central adjudication of resectability, growth or treatment failure is described.</w:t>
            </w:r>
          </w:p>
          <w:p>
            <w:pPr>
              <w:pStyle w:val="ListParagraph"/>
              <w:numPr>
                <w:ilvl w:val="0"/>
                <w:numId w:val="2"/>
              </w:numPr>
              <w:spacing w:after="45"/>
            </w:pPr>
            <w:r>
              <w:rPr>
                <w:sz w:val="15"/>
                <w:szCs w:val="15"/>
              </w:rPr>
              <w:t xml:space="preserve">The control intervention was not one intervention. Portal ligation was used in 14 patients and embolisation in 35, the embolic agent differing by centre (histoacryl-lipiodol with particles in 28, embospheres in 7), with segment 4 branches embolised on demand. The claim that technique did not matter rests on a 14-versus-35 subgroup comparison with p values of 0.42 and 0.36 - an equivalence claim from an underpowered test.</w:t>
            </w:r>
          </w:p>
          <w:p>
            <w:pPr>
              <w:pStyle w:val="ListParagraph"/>
              <w:numPr>
                <w:ilvl w:val="0"/>
                <w:numId w:val="2"/>
              </w:numPr>
              <w:spacing w:after="45"/>
            </w:pPr>
            <w:r>
              <w:rPr>
                <w:sz w:val="15"/>
                <w:szCs w:val="15"/>
              </w:rPr>
              <w:t xml:space="preserve">The threshold explanation for the two-stage arm's underperformance does not add up: lowering the cut-off from 30% to 25% would have converted one patient of 49, roughly 2 percentage points of a 35-point gap. The rest comes from the kinetic growth requirement and from baseline remnants of 21-22%, which is to say from how the entry criteria were set.</w:t>
            </w:r>
          </w:p>
          <w:p>
            <w:pPr>
              <w:pStyle w:val="ListParagraph"/>
              <w:numPr>
                <w:ilvl w:val="0"/>
                <w:numId w:val="2"/>
              </w:numPr>
              <w:spacing w:after="45"/>
            </w:pPr>
            <w:r>
              <w:rPr>
                <w:sz w:val="15"/>
                <w:szCs w:val="15"/>
              </w:rPr>
              <w:t xml:space="preserve">The experimental operation was new to the participating units: the paper states that no patient with colorectal liver metastases and a remnant below 30% had ALPPS outside the trial at any participating centre during the study period. No learning-curve analysis, no centre-level outcome breakdown and no operator volume data are reported, in a trial of a technically demanding procedure with 8.3% mortality.</w:t>
            </w:r>
          </w:p>
          <w:p>
            <w:pPr>
              <w:pStyle w:val="ListParagraph"/>
              <w:numPr>
                <w:ilvl w:val="0"/>
                <w:numId w:val="2"/>
              </w:numPr>
              <w:spacing w:after="45"/>
            </w:pPr>
            <w:r>
              <w:rPr>
                <w:sz w:val="15"/>
                <w:szCs w:val="15"/>
              </w:rPr>
              <w:t xml:space="preserve">Blood samples were collected before both interventions for basic values and no liver function endpoint is reported anywhere, although whether rapid volume gain after ALPPS is matched by function is the central safety question. The only functional data in the paper are MELD scores in the table of deaths, and all seven deaths in the trial involved postoperative liver failure.</w:t>
            </w:r>
          </w:p>
          <w:p>
            <w:pPr>
              <w:pStyle w:val="ListParagraph"/>
              <w:numPr>
                <w:ilvl w:val="0"/>
                <w:numId w:val="2"/>
              </w:numPr>
              <w:spacing w:after="45"/>
            </w:pPr>
            <w:r>
              <w:rPr>
                <w:sz w:val="15"/>
                <w:szCs w:val="15"/>
              </w:rPr>
              <w:t xml:space="preserve">Patients could enter with extrahepatic metastases or an unresected primary tumour provided these could be addressed later, and 16 had extrahepatic disease, but neither was a stratification factor and the paper never reports how many patients completed the whole oncological plan. Resection rate in the liver is treated as the outcome without asking what proportion of patients ended up disease-free.</w:t>
            </w:r>
          </w:p>
          <w:p>
            <w:pPr>
              <w:pStyle w:val="ListParagraph"/>
              <w:numPr>
                <w:ilvl w:val="0"/>
                <w:numId w:val="2"/>
              </w:numPr>
              <w:spacing w:after="45"/>
            </w:pPr>
            <w:r>
              <w:rPr>
                <w:sz w:val="15"/>
                <w:szCs w:val="15"/>
              </w:rPr>
              <w:t xml:space="preserve">Ten patients with an initial remnant above 30% had ALPPS or two-stage hepatectomy off trial during the study period, with the decision made intraoperatively for chemotherapy damage or unexpected metastases, and one eligible patient chose embolisation. Their outcomes are not reported, so the denominator of patients actually facing this decision at these centres is larger than the trial's.</w:t>
            </w:r>
          </w:p>
          <w:p>
            <w:pPr>
              <w:pStyle w:val="ListParagraph"/>
              <w:numPr>
                <w:ilvl w:val="0"/>
                <w:numId w:val="2"/>
              </w:numPr>
              <w:spacing w:after="45"/>
            </w:pPr>
            <w:r>
              <w:rPr>
                <w:sz w:val="15"/>
                <w:szCs w:val="15"/>
              </w:rPr>
              <w:t xml:space="preserve">Three randomised patients were excluded after randomisation and the primary analysis is on 97 of 100; no intention-to-treat analysis of the primary endpoint including them is given.</w:t>
            </w:r>
          </w:p>
          <w:p>
            <w:pPr>
              <w:pStyle w:val="ListParagraph"/>
              <w:numPr>
                <w:ilvl w:val="0"/>
                <w:numId w:val="2"/>
              </w:numPr>
              <w:spacing w:after="45"/>
            </w:pPr>
            <w:r>
              <w:rPr>
                <w:sz w:val="15"/>
                <w:szCs w:val="15"/>
              </w:rPr>
              <w:t xml:space="preserve">The trial reports a surgical capability, not a benefit. Converting a patient from unresectable to resected is only valuable if it changes survival, and the companion survival report (Hasselgren, Ann Surg 2021) is a separate paper - so as published, this trial establishes that ALPPS gets more livers out and nothing about whether patients are better for it.</w:t>
            </w:r>
          </w:p>
          <w:p>
            <w:pPr>
              <w:pStyle w:val="ListParagraph"/>
              <w:numPr>
                <w:ilvl w:val="0"/>
                <w:numId w:val="2"/>
              </w:numPr>
              <w:spacing w:after="45"/>
            </w:pPr>
            <w:r>
              <w:rPr>
                <w:sz w:val="15"/>
                <w:szCs w:val="15"/>
              </w:rPr>
              <w:t xml:space="preserve">A linked comment (PMID 30724806, Giglio and Troisi, Ann Surg 2019) and a linked correspondence from the MD Anderson group (PMID 30169392, Vega and colleagues) were identified in PubMed but their texts were not read for this record, so their objections are not reflected here.</w:t>
            </w:r>
          </w:p>
        </w:tc>
      </w:tr>
    </w:tbl>
    <w:p>
      <w:pPr>
        <w:spacing w:after="0" w:line="276"/>
      </w:pPr>
      <w:r>
        <w:rPr>
          <w:color w:val="5A6069"/>
          <w:sz w:val="14"/>
          <w:szCs w:val="14"/>
        </w:rPr>
        <w:t xml:space="preserve">Funding: Medical Research Council of Southeast Sweden (FORSS). The authors report no conflicts of interest</w:t>
      </w:r>
    </w:p>
    <w:p>
      <w:pPr>
        <w:keepNext/>
        <w:spacing w:after="50" w:before="260"/>
      </w:pPr>
      <w:r>
        <w:rPr>
          <w:rFonts w:ascii="Cambria" w:cs="Cambria" w:eastAsia="Cambria" w:hAnsi="Cambria"/>
          <w:b/>
          <w:bCs/>
          <w:color w:val="17365D"/>
          <w:sz w:val="20"/>
          <w:szCs w:val="20"/>
        </w:rPr>
        <w:t xml:space="preserve">MSKCC HAI propensity</w:t>
      </w:r>
      <w:r>
        <w:rPr>
          <w:b/>
          <w:bCs/>
          <w:color w:val="176A87"/>
          <w:sz w:val="15"/>
          <w:szCs w:val="15"/>
        </w:rPr>
        <w:t xml:space="preserve">   cohort</w:t>
      </w:r>
      <w:r>
        <w:rPr>
          <w:color w:val="5A6069"/>
          <w:sz w:val="15"/>
          <w:szCs w:val="15"/>
        </w:rPr>
        <w:t xml:space="preserve">   PMID 28426374</w:t>
      </w:r>
    </w:p>
    <w:p>
      <w:pPr>
        <w:spacing w:after="50" w:line="276"/>
      </w:pPr>
      <w:r>
        <w:rPr>
          <w:color w:val="5A6069"/>
          <w:sz w:val="17"/>
          <w:szCs w:val="17"/>
        </w:rPr>
        <w:t xml:space="preserve">Perioperative hepatic arterial infusion pump chemotherapy is associated with longer survival after resection of colorectal liver metastases: a propensity score analysis</w:t>
      </w:r>
    </w:p>
    <w:p>
      <w:pPr>
        <w:spacing w:after="50"/>
      </w:pPr>
      <w:r>
        <w:rPr>
          <w:b/>
          <w:bCs/>
          <w:color w:val="176A87"/>
          <w:sz w:val="16"/>
          <w:szCs w:val="16"/>
        </w:rPr>
        <w:t xml:space="preserve">Population. </w:t>
      </w:r>
      <w:r>
        <w:rPr>
          <w:sz w:val="16"/>
          <w:szCs w:val="16"/>
        </w:rPr>
        <w:t xml:space="preserve">2368 consecutive patients who had a complete curative-intent resection of colorectal liver metastases at Memorial Sloan Kettering between 1992 and 2012, of whom 785 (33%) received perioperative hepatic arterial infusion of floxuridine (653 adjuvant, 132 preoperative) and 1583 did not; 1442 received modern systemic chemotherapy containing oxaliplatin or irinotecan, and the propensity model used the 2332 patients (98.5%) with complete covariate data. Median follow-up of survivors 55 months; the series contains 215 actual 10-year survivors</w:t>
      </w:r>
    </w:p>
    <w:p>
      <w:pPr>
        <w:spacing w:after="70"/>
      </w:pPr>
      <w:r>
        <w:rPr>
          <w:b/>
          <w:bCs/>
          <w:color w:val="17365D"/>
          <w:sz w:val="16"/>
          <w:szCs w:val="16"/>
        </w:rPr>
        <w:t xml:space="preserve">Bottom line. </w:t>
      </w:r>
      <w:r>
        <w:rPr>
          <w:sz w:val="16"/>
          <w:szCs w:val="16"/>
        </w:rPr>
        <w:t xml:space="preserve">The largest dataset on perioperative hepatic arterial infusion after resection of colorectal liver metastases: 2368 consecutive complete resections, with median overall survival of 67 against 44 months and a propensity-adjusted hazard ratio of 0.67 (95% CI 0.59-0.76), holding in the modern chemotherapy era and in the most recent decade. It cannot establish that the pump caused the difference: the comparison is non-randomised over 21 years, pump patients were six years younger and more recently treated, every pump patient also had systemic chemotherapy and far more two-stage surgery and ablation, the propensity model's specification and balance are not shown, and the benefit is largest in node-negative and low-risk patients - where a liver-directed treatment should matter least. The authors' own conclusion is that a randomised trial is needed.</w:t>
      </w:r>
    </w:p>
    <w:tbl>
      <w:tblPr>
        <w:tblW w:type="dxa" w:w="9360"/>
        <w:tblBorders>
          <w:top w:val="single" w:color="D3DCE4" w:sz="4"/>
          <w:left w:val="single" w:color="D3DCE4" w:sz="4"/>
          <w:bottom w:val="single" w:color="D3DCE4" w:sz="4"/>
          <w:right w:val="single" w:color="D3DCE4" w:sz="4"/>
          <w:insideH w:val="single" w:color="D3DCE4" w:sz="4"/>
          <w:insideV w:val="single" w:color="D3DCE4" w:sz="4"/>
        </w:tblBorders>
      </w:tblPr>
      <w:tblGrid>
        <w:gridCol w:w="4600"/>
        <w:gridCol w:w="4760"/>
      </w:tblGrid>
      <w:tr>
        <w:tc>
          <w:tcPr>
            <w:tcW w:type="dxa" w:w="4600"/>
            <w:shd w:fill="F1F4F8" w:color="auto" w:val="clear"/>
            <w:tcMar>
              <w:top w:type="dxa" w:w="70"/>
              <w:left w:type="dxa" w:w="110"/>
              <w:bottom w:type="dxa" w:w="70"/>
              <w:right w:type="dxa" w:w="110"/>
            </w:tcMar>
            <w:vAlign w:val="top"/>
          </w:tcPr>
          <w:p>
            <w:pPr>
              <w:spacing w:after="50"/>
            </w:pPr>
            <w:r>
              <w:rPr>
                <w:b/>
                <w:bCs/>
                <w:color w:val="8E5008"/>
                <w:spacing w:val="12"/>
                <w:sz w:val="14"/>
                <w:szCs w:val="14"/>
              </w:rPr>
              <w:t xml:space="preserve">LIMITATIONS THE AUTHORS STATE</w:t>
            </w:r>
          </w:p>
          <w:p>
            <w:pPr>
              <w:pStyle w:val="ListParagraph"/>
              <w:numPr>
                <w:ilvl w:val="0"/>
                <w:numId w:val="2"/>
              </w:numPr>
              <w:spacing w:after="45"/>
            </w:pPr>
            <w:r>
              <w:rPr>
                <w:sz w:val="15"/>
                <w:szCs w:val="15"/>
              </w:rPr>
              <w:t xml:space="preserve">The comparison was non-randomised and spanned 21 years; the authors state that unmeasured prognostic factors could be unbalanced between groups and partly explain the survival difference, while arguing that the measured factors were worse in the hepatic arterial infusion group</w:t>
            </w:r>
          </w:p>
          <w:p>
            <w:pPr>
              <w:pStyle w:val="ListParagraph"/>
              <w:numPr>
                <w:ilvl w:val="0"/>
                <w:numId w:val="2"/>
              </w:numPr>
              <w:spacing w:after="45"/>
            </w:pPr>
            <w:r>
              <w:rPr>
                <w:sz w:val="15"/>
                <w:szCs w:val="15"/>
              </w:rPr>
              <w:t xml:space="preserve">The study period covers the introduction of irinotecan, oxaliplatin and targeted treatments, which the authors address by repeating the analysis in patients given modern systemic chemotherapy</w:t>
            </w:r>
          </w:p>
          <w:p>
            <w:pPr>
              <w:pStyle w:val="ListParagraph"/>
              <w:numPr>
                <w:ilvl w:val="0"/>
                <w:numId w:val="2"/>
              </w:numPr>
              <w:spacing w:after="45"/>
            </w:pPr>
            <w:r>
              <w:rPr>
                <w:sz w:val="15"/>
                <w:szCs w:val="15"/>
              </w:rPr>
              <w:t xml:space="preserve">No PET-CT staging data were available, which the authors answer by citing a study showing PET-CT rarely changed surgical management</w:t>
            </w:r>
          </w:p>
          <w:p>
            <w:pPr>
              <w:pStyle w:val="ListParagraph"/>
              <w:numPr>
                <w:ilvl w:val="0"/>
                <w:numId w:val="2"/>
              </w:numPr>
              <w:spacing w:after="45"/>
            </w:pPr>
            <w:r>
              <w:rPr>
                <w:sz w:val="15"/>
                <w:szCs w:val="15"/>
              </w:rPr>
              <w:t xml:space="preserve">They state that a randomised trial is needed to confirm that adjuvant hepatic arterial infusion improves survival in the current era, and that confirmation is most likely in node-negative and low-risk patients</w:t>
            </w:r>
          </w:p>
          <w:p>
            <w:pPr>
              <w:pStyle w:val="ListParagraph"/>
              <w:numPr>
                <w:ilvl w:val="0"/>
                <w:numId w:val="2"/>
              </w:numPr>
              <w:spacing w:after="45"/>
            </w:pPr>
            <w:r>
              <w:rPr>
                <w:sz w:val="15"/>
                <w:szCs w:val="15"/>
              </w:rPr>
              <w:t xml:space="preserve">They note the technique's complexity: pump placement requires an estimated learning curve of 25 procedures, and intensive medical oncology management plus nuclear medicine, interventional radiology and gastroenterology support is needed to prevent and manage biliary toxicity, bleeding and ulcer disease</w:t>
            </w:r>
          </w:p>
          <w:p>
            <w:pPr>
              <w:pStyle w:val="ListParagraph"/>
              <w:numPr>
                <w:ilvl w:val="0"/>
                <w:numId w:val="2"/>
              </w:numPr>
              <w:spacing w:after="45"/>
            </w:pPr>
            <w:r>
              <w:rPr>
                <w:sz w:val="15"/>
                <w:szCs w:val="15"/>
              </w:rPr>
              <w:t xml:space="preserve">They call for genomic data such as KRAS status to improve patient selection</w:t>
            </w:r>
          </w:p>
        </w:tc>
        <w:tc>
          <w:tcPr>
            <w:tcW w:type="dxa" w:w="4760"/>
            <w:shd w:fill="F1F4F8" w:color="auto" w:val="clear"/>
            <w:tcMar>
              <w:top w:type="dxa" w:w="70"/>
              <w:left w:type="dxa" w:w="110"/>
              <w:bottom w:type="dxa" w:w="70"/>
              <w:right w:type="dxa" w:w="110"/>
            </w:tcMar>
            <w:vAlign w:val="top"/>
          </w:tcPr>
          <w:p>
            <w:pPr>
              <w:spacing w:after="50"/>
            </w:pPr>
            <w:r>
              <w:rPr>
                <w:b/>
                <w:bCs/>
                <w:color w:val="8C2F26"/>
                <w:spacing w:val="12"/>
                <w:sz w:val="14"/>
                <w:szCs w:val="14"/>
              </w:rPr>
              <w:t xml:space="preserve">WHAT THEY DO NOT SAY</w:t>
            </w:r>
          </w:p>
          <w:p>
            <w:pPr>
              <w:pStyle w:val="ListParagraph"/>
              <w:numPr>
                <w:ilvl w:val="0"/>
                <w:numId w:val="2"/>
              </w:numPr>
              <w:spacing w:after="45"/>
            </w:pPr>
            <w:r>
              <w:rPr>
                <w:sz w:val="15"/>
                <w:szCs w:val="15"/>
              </w:rPr>
              <w:t xml:space="preserve">The propensity analysis is reported without the information needed to judge it: no model specification, no matching or weighting method, no covariate balance before and after adjustment, and no sensitivity analysis for unmeasured confounding. This is exactly the objection raised in the published letter from Zhang and colleagues, and the consistency of the effect across propensity quartiles does not substitute for showing balance.</w:t>
            </w:r>
          </w:p>
          <w:p>
            <w:pPr>
              <w:pStyle w:val="ListParagraph"/>
              <w:numPr>
                <w:ilvl w:val="0"/>
                <w:numId w:val="2"/>
              </w:numPr>
              <w:spacing w:after="45"/>
            </w:pPr>
            <w:r>
              <w:rPr>
                <w:sz w:val="15"/>
                <w:szCs w:val="15"/>
              </w:rPr>
              <w:t xml:space="preserve">Seven covariates are adjusted for - sex, age, year of resection, extrahepatic disease, number of tumours, size of the largest tumour and margin status - and the variables most likely to drive both pump placement and survival are not among them: performance status, comorbidity, response to prior chemotherapy, remnant volume, and whether the patient was a candidate for an institutional trial.</w:t>
            </w:r>
          </w:p>
          <w:p>
            <w:pPr>
              <w:pStyle w:val="ListParagraph"/>
              <w:numPr>
                <w:ilvl w:val="0"/>
                <w:numId w:val="2"/>
              </w:numPr>
              <w:spacing w:after="45"/>
            </w:pPr>
            <w:r>
              <w:rPr>
                <w:sz w:val="15"/>
                <w:szCs w:val="15"/>
              </w:rPr>
              <w:t xml:space="preserve">The treatment groups differ by six years of age (56.1 against 62.2) and by era, and fitness for an additional laparotomy and pump implantation is itself a prognostic selection that no measured covariate captures. A 23-month median difference in a non-randomised 21-year series is well within the range such selection can produce.</w:t>
            </w:r>
          </w:p>
          <w:p>
            <w:pPr>
              <w:pStyle w:val="ListParagraph"/>
              <w:numPr>
                <w:ilvl w:val="0"/>
                <w:numId w:val="2"/>
              </w:numPr>
              <w:spacing w:after="45"/>
            </w:pPr>
            <w:r>
              <w:rPr>
                <w:sz w:val="15"/>
                <w:szCs w:val="15"/>
              </w:rPr>
              <w:t xml:space="preserve">Hepatic arterial infusion is inseparable from more intensive treatment overall. Every pump patient received perioperative systemic chemotherapy by definition, pump patients had far more two-stage hepatectomy (5.6% against 0.5%) and ablation (17.3% against 6.1%), and the comparison is therefore between two treatment programmes, not between the presence and absence of one drug route.</w:t>
            </w:r>
          </w:p>
          <w:p>
            <w:pPr>
              <w:pStyle w:val="ListParagraph"/>
              <w:numPr>
                <w:ilvl w:val="0"/>
                <w:numId w:val="2"/>
              </w:numPr>
              <w:spacing w:after="45"/>
            </w:pPr>
            <w:r>
              <w:rPr>
                <w:sz w:val="15"/>
                <w:szCs w:val="15"/>
              </w:rPr>
              <w:t xml:space="preserve">Patients in whom the pump never worked or who did not complete the planned six cycles remained in the pump group for every analysis, which is the correct intention-to-treat handling but is never quantified: the paper does not state how many of the 785 actually received floxuridine or how much.</w:t>
            </w:r>
          </w:p>
          <w:p>
            <w:pPr>
              <w:pStyle w:val="ListParagraph"/>
              <w:numPr>
                <w:ilvl w:val="0"/>
                <w:numId w:val="2"/>
              </w:numPr>
              <w:spacing w:after="45"/>
            </w:pPr>
            <w:r>
              <w:rPr>
                <w:sz w:val="15"/>
                <w:szCs w:val="15"/>
              </w:rPr>
              <w:t xml:space="preserve">No procedure-specific complication rate, biliary toxicity rate or pump failure rate is reported anywhere in a paper recommending the technique, although the Discussion acknowledges severe ulcer disease, catheter dysfunction and the need for intensive management to preclude biliary toxicity.</w:t>
            </w:r>
          </w:p>
          <w:p>
            <w:pPr>
              <w:pStyle w:val="ListParagraph"/>
              <w:numPr>
                <w:ilvl w:val="0"/>
                <w:numId w:val="2"/>
              </w:numPr>
              <w:spacing w:after="45"/>
            </w:pPr>
            <w:r>
              <w:rPr>
                <w:sz w:val="15"/>
                <w:szCs w:val="15"/>
              </w:rPr>
              <w:t xml:space="preserve">The subgroup results that the paper leans on are post hoc splits with no adjustment for multiplicity, and they point the wrong way for the proposed mechanism: the largest differences are in node-negative primaries (129 against 51 months) and a clinical risk score of 0 to 2 (89 against 53 months), while no association is seen with extrahepatic disease, a positive margin or a score of 4 to 5. A liver-directed treatment that helps most where hepatic recurrence risk is lowest is more consistent with selection than with effect.</w:t>
            </w:r>
          </w:p>
          <w:p>
            <w:pPr>
              <w:pStyle w:val="ListParagraph"/>
              <w:numPr>
                <w:ilvl w:val="0"/>
                <w:numId w:val="2"/>
              </w:numPr>
              <w:spacing w:after="45"/>
            </w:pPr>
            <w:r>
              <w:rPr>
                <w:sz w:val="15"/>
                <w:szCs w:val="15"/>
              </w:rPr>
              <w:t xml:space="preserve">The clinical risk score used for those subgroups had 11% missing values, mainly preoperative CEA, with no imputation method described, and the subgroup totals in the text do not match those in the Discussion.</w:t>
            </w:r>
          </w:p>
          <w:p>
            <w:pPr>
              <w:pStyle w:val="ListParagraph"/>
              <w:numPr>
                <w:ilvl w:val="0"/>
                <w:numId w:val="2"/>
              </w:numPr>
              <w:spacing w:after="45"/>
            </w:pPr>
            <w:r>
              <w:rPr>
                <w:sz w:val="15"/>
                <w:szCs w:val="15"/>
              </w:rPr>
              <w:t xml:space="preserve">Preoperative and adjuvant pump use are pooled in the headline figure despite very different survival (median 71 against 46 months), and the preoperative group had by definition failed to be resectable upfront, so the single hazard ratio averages two different clinical situations.</w:t>
            </w:r>
          </w:p>
          <w:p>
            <w:pPr>
              <w:pStyle w:val="ListParagraph"/>
              <w:numPr>
                <w:ilvl w:val="0"/>
                <w:numId w:val="2"/>
              </w:numPr>
              <w:spacing w:after="45"/>
            </w:pPr>
            <w:r>
              <w:rPr>
                <w:sz w:val="15"/>
                <w:szCs w:val="15"/>
              </w:rPr>
              <w:t xml:space="preserve">The comparison is with the same institution's own non-pump patients over the same decades, which means both arms are subject to the referral patterns of a centre where hepatic arterial infusion is a signature programme; no external or multicentre cohort is examined.</w:t>
            </w:r>
          </w:p>
          <w:p>
            <w:pPr>
              <w:pStyle w:val="ListParagraph"/>
              <w:numPr>
                <w:ilvl w:val="0"/>
                <w:numId w:val="2"/>
              </w:numPr>
              <w:spacing w:after="45"/>
            </w:pPr>
            <w:r>
              <w:rPr>
                <w:sz w:val="15"/>
                <w:szCs w:val="15"/>
              </w:rPr>
              <w:t xml:space="preserve">The authors' defence of their earlier randomised trial - that the survival benefit would not disappear in the modern chemotherapy era - is made with this observational dataset, which cannot adjudicate it, and the randomised trial they call for had not reported at publication.</w:t>
            </w:r>
          </w:p>
          <w:p>
            <w:pPr>
              <w:pStyle w:val="ListParagraph"/>
              <w:numPr>
                <w:ilvl w:val="0"/>
                <w:numId w:val="2"/>
              </w:numPr>
              <w:spacing w:after="45"/>
            </w:pPr>
            <w:r>
              <w:rPr>
                <w:sz w:val="15"/>
                <w:szCs w:val="15"/>
              </w:rPr>
              <w:t xml:space="preserve">A published letter (PMID 28796585, Zhang and colleagues, 'Propensity Score Analysis: More Details, More Credibility', J Clin Oncol 2017) with an authors' reply (PMID 28796584) was identified in PubMed; its objection is reflected above, but its full text was not read for this record.</w:t>
            </w:r>
          </w:p>
        </w:tc>
      </w:tr>
    </w:tbl>
    <w:p>
      <w:pPr>
        <w:spacing w:after="0" w:line="276"/>
      </w:pPr>
      <w:r>
        <w:rPr>
          <w:color w:val="5A6069"/>
          <w:sz w:val="14"/>
          <w:szCs w:val="14"/>
        </w:rPr>
        <w:t xml:space="preserve">Funding: Supported by the Dutch Cancer Society and the National Cancer Institute Cancer Center Support Grant P30 CA008748. One author declares institutional research funding from Amgen; the other authors declare no relationships</w:t>
      </w:r>
    </w:p>
    <w:p>
      <w:pPr>
        <w:keepNext/>
        <w:spacing w:after="50" w:before="260"/>
      </w:pPr>
      <w:r>
        <w:rPr>
          <w:rFonts w:ascii="Cambria" w:cs="Cambria" w:eastAsia="Cambria" w:hAnsi="Cambria"/>
          <w:b/>
          <w:bCs/>
          <w:color w:val="17365D"/>
          <w:sz w:val="20"/>
          <w:szCs w:val="20"/>
        </w:rPr>
        <w:t xml:space="preserve">New EPOC</w:t>
      </w:r>
      <w:r>
        <w:rPr>
          <w:b/>
          <w:bCs/>
          <w:color w:val="176A87"/>
          <w:sz w:val="15"/>
          <w:szCs w:val="15"/>
        </w:rPr>
        <w:t xml:space="preserve">   Randomised trial</w:t>
      </w:r>
      <w:r>
        <w:rPr>
          <w:color w:val="5A6069"/>
          <w:sz w:val="15"/>
          <w:szCs w:val="15"/>
        </w:rPr>
        <w:t xml:space="preserve">   PMID 24717919</w:t>
      </w:r>
    </w:p>
    <w:p>
      <w:pPr>
        <w:spacing w:after="50" w:line="276"/>
      </w:pPr>
      <w:r>
        <w:rPr>
          <w:color w:val="5A6069"/>
          <w:sz w:val="17"/>
          <w:szCs w:val="17"/>
        </w:rPr>
        <w:t xml:space="preserve">Systemic chemotherapy with or without cetuximab in patients with resectable colorectal liver metastasis: the New EPOC randomised controlled trial</w:t>
      </w:r>
    </w:p>
    <w:p>
      <w:pPr>
        <w:spacing w:after="50"/>
      </w:pPr>
      <w:r>
        <w:rPr>
          <w:b/>
          <w:bCs/>
          <w:color w:val="176A87"/>
          <w:sz w:val="16"/>
          <w:szCs w:val="16"/>
        </w:rPr>
        <w:t xml:space="preserve">Population. </w:t>
      </w:r>
      <w:r>
        <w:rPr>
          <w:sz w:val="16"/>
          <w:szCs w:val="16"/>
        </w:rPr>
        <w:t xml:space="preserve">257 patients with KRAS exon 2 wild-type, resectable or suboptimally resectable liver-only colorectal metastases randomised at UK centres between 2007 and 2012 (chemotherapy with or without cetuximab); the modified intention-to-treat efficacy populations were 117 and 119 patients who had reached the perioperative assessment timepoint, 198 were operated and 178 resected. Analysis to 1 November 2012 at an overall median follow-up of 20.7 months, with 123 of the required 212 progression events (58%)</w:t>
      </w:r>
    </w:p>
    <w:p>
      <w:pPr>
        <w:spacing w:after="70"/>
      </w:pPr>
      <w:r>
        <w:rPr>
          <w:b/>
          <w:bCs/>
          <w:color w:val="17365D"/>
          <w:sz w:val="16"/>
          <w:szCs w:val="16"/>
        </w:rPr>
        <w:t xml:space="preserve">Bottom line. </w:t>
      </w:r>
      <w:r>
        <w:rPr>
          <w:sz w:val="16"/>
          <w:szCs w:val="16"/>
        </w:rPr>
        <w:t xml:space="preserve">The first trial to show that adding cetuximab to perioperative chemotherapy harms patients with operable KRAS exon 2 wild-type colorectal liver metastases: median progression-free survival 14.1 against 20.5 months, HR 1.48 (95% CI 1.04-2.12), with no gain in response, resection or margin and with the detriment falling on good-prognosis patients and on responders. It does not establish the size of the harm or its mechanism: the trial stopped for futility at 58% of planned events with the confidence interval having just cleared 1, overall survival was immature and non-significant, progression was judged locally in an open-label trial, and the authors could exclude toxicity and surgical quality as explanations without offering a replacement. The practical conclusion - do not use cetuximab here - was confirmed by the 2020 survival report, which also found this progression-free survival difference no longer significant.</w:t>
      </w:r>
    </w:p>
    <w:tbl>
      <w:tblPr>
        <w:tblW w:type="dxa" w:w="9360"/>
        <w:tblBorders>
          <w:top w:val="single" w:color="D3DCE4" w:sz="4"/>
          <w:left w:val="single" w:color="D3DCE4" w:sz="4"/>
          <w:bottom w:val="single" w:color="D3DCE4" w:sz="4"/>
          <w:right w:val="single" w:color="D3DCE4" w:sz="4"/>
          <w:insideH w:val="single" w:color="D3DCE4" w:sz="4"/>
          <w:insideV w:val="single" w:color="D3DCE4" w:sz="4"/>
        </w:tblBorders>
      </w:tblPr>
      <w:tblGrid>
        <w:gridCol w:w="4600"/>
        <w:gridCol w:w="4760"/>
      </w:tblGrid>
      <w:tr>
        <w:tc>
          <w:tcPr>
            <w:tcW w:type="dxa" w:w="4600"/>
            <w:shd w:fill="F1F4F8" w:color="auto" w:val="clear"/>
            <w:tcMar>
              <w:top w:type="dxa" w:w="70"/>
              <w:left w:type="dxa" w:w="110"/>
              <w:bottom w:type="dxa" w:w="70"/>
              <w:right w:type="dxa" w:w="110"/>
            </w:tcMar>
            <w:vAlign w:val="top"/>
          </w:tcPr>
          <w:p>
            <w:pPr>
              <w:spacing w:after="50"/>
            </w:pPr>
            <w:r>
              <w:rPr>
                <w:b/>
                <w:bCs/>
                <w:color w:val="8E5008"/>
                <w:spacing w:val="12"/>
                <w:sz w:val="14"/>
                <w:szCs w:val="14"/>
              </w:rPr>
              <w:t xml:space="preserve">LIMITATIONS THE AUTHORS STATE</w:t>
            </w:r>
          </w:p>
          <w:p>
            <w:pPr>
              <w:pStyle w:val="ListParagraph"/>
              <w:numPr>
                <w:ilvl w:val="0"/>
                <w:numId w:val="2"/>
              </w:numPr>
              <w:spacing w:after="45"/>
            </w:pPr>
            <w:r>
              <w:rPr>
                <w:sz w:val="15"/>
                <w:szCs w:val="15"/>
              </w:rPr>
              <w:t xml:space="preserve">This is an interim analysis closed for protocol-defined futility with only 123 of 212 required events (58%); the authors argue that further follow-up is unlikely to change the direction and that this analysis is the most accurate reflection of the intervention because all cetuximab was stopped on 1 November 2012</w:t>
            </w:r>
          </w:p>
          <w:p>
            <w:pPr>
              <w:pStyle w:val="ListParagraph"/>
              <w:numPr>
                <w:ilvl w:val="0"/>
                <w:numId w:val="2"/>
              </w:numPr>
              <w:spacing w:after="45"/>
            </w:pPr>
            <w:r>
              <w:rPr>
                <w:sz w:val="15"/>
                <w:szCs w:val="15"/>
              </w:rPr>
              <w:t xml:space="preserve">Some patients are excluded from the primary analysis for not having reached the assessment timepoint by that date, and others because retrospective testing showed KRAS mutation; the authors state these exclusions were balanced between groups</w:t>
            </w:r>
          </w:p>
          <w:p>
            <w:pPr>
              <w:pStyle w:val="ListParagraph"/>
              <w:numPr>
                <w:ilvl w:val="0"/>
                <w:numId w:val="2"/>
              </w:numPr>
              <w:spacing w:after="45"/>
            </w:pPr>
            <w:r>
              <w:rPr>
                <w:sz w:val="15"/>
                <w:szCs w:val="15"/>
              </w:rPr>
              <w:t xml:space="preserve">The regimen two and three chemotherapy backbones contained too few patients to detect or refute interactions, and too few patients received irinotecan to draw any conclusion about that combination</w:t>
            </w:r>
          </w:p>
          <w:p>
            <w:pPr>
              <w:pStyle w:val="ListParagraph"/>
              <w:numPr>
                <w:ilvl w:val="0"/>
                <w:numId w:val="2"/>
              </w:numPr>
              <w:spacing w:after="45"/>
            </w:pPr>
            <w:r>
              <w:rPr>
                <w:sz w:val="15"/>
                <w:szCs w:val="15"/>
              </w:rPr>
              <w:t xml:space="preserve">No biological mechanism for the detriment is identified; the authors state that a clear understanding is needed before any further neoadjuvant cetuximab study and that translational studies are in progress</w:t>
            </w:r>
          </w:p>
          <w:p>
            <w:pPr>
              <w:pStyle w:val="ListParagraph"/>
              <w:numPr>
                <w:ilvl w:val="0"/>
                <w:numId w:val="2"/>
              </w:numPr>
              <w:spacing w:after="45"/>
            </w:pPr>
            <w:r>
              <w:rPr>
                <w:sz w:val="15"/>
                <w:szCs w:val="15"/>
              </w:rPr>
              <w:t xml:space="preserve">They state that outcomes from a neoadjuvant strategy are difficult to extend to adjuvant treatment or advanced disease because of confounding inherent in the strategy, mainly surgery and the associated treatment interval</w:t>
            </w:r>
          </w:p>
          <w:p>
            <w:pPr>
              <w:pStyle w:val="ListParagraph"/>
              <w:numPr>
                <w:ilvl w:val="0"/>
                <w:numId w:val="2"/>
              </w:numPr>
              <w:spacing w:after="45"/>
            </w:pPr>
            <w:r>
              <w:rPr>
                <w:sz w:val="15"/>
                <w:szCs w:val="15"/>
              </w:rPr>
              <w:t xml:space="preserve">They note that KRAS exon 2 selection was insufficient to identify a benefiting cohort, and that BRAF and NRAS mutations are unlikely to explain inferior progression-free survival in patients who responded</w:t>
            </w:r>
          </w:p>
          <w:p>
            <w:pPr>
              <w:pStyle w:val="ListParagraph"/>
              <w:numPr>
                <w:ilvl w:val="0"/>
                <w:numId w:val="2"/>
              </w:numPr>
              <w:spacing w:after="45"/>
            </w:pPr>
            <w:r>
              <w:rPr>
                <w:sz w:val="15"/>
                <w:szCs w:val="15"/>
              </w:rPr>
              <w:t xml:space="preserve">No formal systematic review was undertaken, because the authors state only one adequately powered trial in this setting exists</w:t>
            </w:r>
          </w:p>
        </w:tc>
        <w:tc>
          <w:tcPr>
            <w:tcW w:type="dxa" w:w="4760"/>
            <w:shd w:fill="F1F4F8" w:color="auto" w:val="clear"/>
            <w:tcMar>
              <w:top w:type="dxa" w:w="70"/>
              <w:left w:type="dxa" w:w="110"/>
              <w:bottom w:type="dxa" w:w="70"/>
              <w:right w:type="dxa" w:w="110"/>
            </w:tcMar>
            <w:vAlign w:val="top"/>
          </w:tcPr>
          <w:p>
            <w:pPr>
              <w:spacing w:after="50"/>
            </w:pPr>
            <w:r>
              <w:rPr>
                <w:b/>
                <w:bCs/>
                <w:color w:val="8C2F26"/>
                <w:spacing w:val="12"/>
                <w:sz w:val="14"/>
                <w:szCs w:val="14"/>
              </w:rPr>
              <w:t xml:space="preserve">WHAT THEY DO NOT SAY</w:t>
            </w:r>
          </w:p>
          <w:p>
            <w:pPr>
              <w:pStyle w:val="ListParagraph"/>
              <w:numPr>
                <w:ilvl w:val="0"/>
                <w:numId w:val="2"/>
              </w:numPr>
              <w:spacing w:after="45"/>
            </w:pPr>
            <w:r>
              <w:rPr>
                <w:sz w:val="15"/>
                <w:szCs w:val="15"/>
              </w:rPr>
              <w:t xml:space="preserve">The primary result is an interim estimate at 58% of planned events, and the paper's defence - that further events are unlikely to change the outcome - was only partly borne out: the 2020 long-term report of this trial found the progression-free survival difference no longer significant (HR 1.17, 95% CI 0.87-1.56), while survival was worse with cetuximab.</w:t>
            </w:r>
          </w:p>
          <w:p>
            <w:pPr>
              <w:pStyle w:val="ListParagraph"/>
              <w:numPr>
                <w:ilvl w:val="0"/>
                <w:numId w:val="2"/>
              </w:numPr>
              <w:spacing w:after="45"/>
            </w:pPr>
            <w:r>
              <w:rPr>
                <w:sz w:val="15"/>
                <w:szCs w:val="15"/>
              </w:rPr>
              <w:t xml:space="preserve">The futility rule that closed the trial required the lower bound of the 95% CI for the progression-free survival hazard ratio to exceed 1, and the observed interval was 1.04-2.12. The trial stopped at the moment the interval cleared 1 by 0.04, which is the point of maximum play in a small number of events.</w:t>
            </w:r>
          </w:p>
          <w:p>
            <w:pPr>
              <w:pStyle w:val="ListParagraph"/>
              <w:numPr>
                <w:ilvl w:val="0"/>
                <w:numId w:val="2"/>
              </w:numPr>
              <w:spacing w:after="45"/>
            </w:pPr>
            <w:r>
              <w:rPr>
                <w:sz w:val="15"/>
                <w:szCs w:val="15"/>
              </w:rPr>
              <w:t xml:space="preserve">The accrual target was revised downward during the trial, from 340 to 268 patients, on the trial steering committee's suggestion after the CRYSTAL presentation; 257 were randomised and the efficacy analysis rests on 236 of them.</w:t>
            </w:r>
          </w:p>
          <w:p>
            <w:pPr>
              <w:pStyle w:val="ListParagraph"/>
              <w:numPr>
                <w:ilvl w:val="0"/>
                <w:numId w:val="2"/>
              </w:numPr>
              <w:spacing w:after="45"/>
            </w:pPr>
            <w:r>
              <w:rPr>
                <w:sz w:val="15"/>
                <w:szCs w:val="15"/>
              </w:rPr>
              <w:t xml:space="preserve">The analysis population is defined by a post-randomisation condition: patients had to have reached the timepoint for perioperative response assessment by the data cut, which in a trial where one arm progressed faster is not a neutral filter, and no sensitivity analysis including all randomised patients is reported.</w:t>
            </w:r>
          </w:p>
          <w:p>
            <w:pPr>
              <w:pStyle w:val="ListParagraph"/>
              <w:numPr>
                <w:ilvl w:val="0"/>
                <w:numId w:val="2"/>
              </w:numPr>
              <w:spacing w:after="45"/>
            </w:pPr>
            <w:r>
              <w:rPr>
                <w:sz w:val="15"/>
                <w:szCs w:val="15"/>
              </w:rPr>
              <w:t xml:space="preserve">Three chemotherapy backbones were permitted by physician choice, and the protocol changed twice during the trial - capecitabine dose reduced in 2007, then capecitabine with cetuximab withdrawn in 2010 after COIN toxicity data - so the comparator and the experimental regimen both changed while the trial ran.</w:t>
            </w:r>
          </w:p>
          <w:p>
            <w:pPr>
              <w:pStyle w:val="ListParagraph"/>
              <w:numPr>
                <w:ilvl w:val="0"/>
                <w:numId w:val="2"/>
              </w:numPr>
              <w:spacing w:after="45"/>
            </w:pPr>
            <w:r>
              <w:rPr>
                <w:sz w:val="15"/>
                <w:szCs w:val="15"/>
              </w:rPr>
              <w:t xml:space="preserve">Progression was determined by the local multidisciplinary team with no external or blinded radiological review, in an open-label trial whose only endpoint is radiological progression.</w:t>
            </w:r>
          </w:p>
          <w:p>
            <w:pPr>
              <w:pStyle w:val="ListParagraph"/>
              <w:numPr>
                <w:ilvl w:val="0"/>
                <w:numId w:val="2"/>
              </w:numPr>
              <w:spacing w:after="45"/>
            </w:pPr>
            <w:r>
              <w:rPr>
                <w:sz w:val="15"/>
                <w:szCs w:val="15"/>
              </w:rPr>
              <w:t xml:space="preserve">The subgroup analysis that carries the paper's interpretation - harm concentrated in good-prognosis patients - rests on nine minimisation factors and predefined subgroups in 236 patients, with intervals such as node-negative primary HR 2.09 (1.07-4.10) and non-synchronous presentation HR 2.33 (1.40-3.90). No interaction test or multiplicity adjustment is reported, and the authors themselves describe the surrounding subgroups as underpowered.</w:t>
            </w:r>
          </w:p>
          <w:p>
            <w:pPr>
              <w:pStyle w:val="ListParagraph"/>
              <w:numPr>
                <w:ilvl w:val="0"/>
                <w:numId w:val="2"/>
              </w:numPr>
              <w:spacing w:after="45"/>
            </w:pPr>
            <w:r>
              <w:rPr>
                <w:sz w:val="15"/>
                <w:szCs w:val="15"/>
              </w:rPr>
              <w:t xml:space="preserve">Response and progression-free survival move in opposite directions and this is reported as a methodological aside rather than examined: responders on cetuximab had median progression-free survival of 14.1 against 20.5 months (HR 1.52, 0.95-2.44), which the paper summarises as a poor association between progression-free survival and response - in a trial whose endpoint is progression-free survival.</w:t>
            </w:r>
          </w:p>
          <w:p>
            <w:pPr>
              <w:pStyle w:val="ListParagraph"/>
              <w:numPr>
                <w:ilvl w:val="0"/>
                <w:numId w:val="2"/>
              </w:numPr>
              <w:spacing w:after="45"/>
            </w:pPr>
            <w:r>
              <w:rPr>
                <w:sz w:val="15"/>
                <w:szCs w:val="15"/>
              </w:rPr>
              <w:t xml:space="preserve">Overall survival was immature and non-significant (HR 1.49, 95% CI 0.86-2.60), with the control-arm median not reached, so at this analysis the trial could not say whether the regimen shortened life; it took the 2020 report to show that it did.</w:t>
            </w:r>
          </w:p>
          <w:p>
            <w:pPr>
              <w:pStyle w:val="ListParagraph"/>
              <w:numPr>
                <w:ilvl w:val="0"/>
                <w:numId w:val="2"/>
              </w:numPr>
              <w:spacing w:after="45"/>
            </w:pPr>
            <w:r>
              <w:rPr>
                <w:sz w:val="15"/>
                <w:szCs w:val="15"/>
              </w:rPr>
              <w:t xml:space="preserve">Harm cannot be attributed to toxicity or to surgery, as the authors state, and no alternative is tested: three possibly treatment-related respiratory deaths with cetuximab against one cardiac death without, grade 3-4 overall toxicity 47% against 40%, and major postoperative complications 16% against 23% - fewer in the cetuximab arm.</w:t>
            </w:r>
          </w:p>
          <w:p>
            <w:pPr>
              <w:pStyle w:val="ListParagraph"/>
              <w:numPr>
                <w:ilvl w:val="0"/>
                <w:numId w:val="2"/>
              </w:numPr>
              <w:spacing w:after="45"/>
            </w:pPr>
            <w:r>
              <w:rPr>
                <w:sz w:val="15"/>
                <w:szCs w:val="15"/>
              </w:rPr>
              <w:t xml:space="preserve">Selection was by KRAS exon 2 only, with no NRAS, BRAF, mismatch repair or primary tumour sidedness data, so the population is not the one in which anti-EGFR therapy would be used today and the trial cannot say whether the harm would recur under modern selection.</w:t>
            </w:r>
          </w:p>
          <w:p>
            <w:pPr>
              <w:pStyle w:val="ListParagraph"/>
              <w:numPr>
                <w:ilvl w:val="0"/>
                <w:numId w:val="2"/>
              </w:numPr>
              <w:spacing w:after="45"/>
            </w:pPr>
            <w:r>
              <w:rPr>
                <w:sz w:val="15"/>
                <w:szCs w:val="15"/>
              </w:rPr>
              <w:t xml:space="preserve">Fourteen randomised patients turned out to be KRAS mutant or indeterminate on retrospective testing and were removed from the efficacy analysis, in a trial whose eligibility criterion was that mutation status.</w:t>
            </w:r>
          </w:p>
          <w:p>
            <w:pPr>
              <w:pStyle w:val="ListParagraph"/>
              <w:numPr>
                <w:ilvl w:val="0"/>
                <w:numId w:val="2"/>
              </w:numPr>
              <w:spacing w:after="45"/>
            </w:pPr>
            <w:r>
              <w:rPr>
                <w:sz w:val="15"/>
                <w:szCs w:val="15"/>
              </w:rPr>
              <w:t xml:space="preserve">No quality-of-life result is reported, and no patient-reported outcome, in a trial that found a treatment to be actively harmful.</w:t>
            </w:r>
          </w:p>
          <w:p>
            <w:pPr>
              <w:pStyle w:val="ListParagraph"/>
              <w:numPr>
                <w:ilvl w:val="0"/>
                <w:numId w:val="2"/>
              </w:numPr>
              <w:spacing w:after="45"/>
            </w:pPr>
            <w:r>
              <w:rPr>
                <w:sz w:val="15"/>
                <w:szCs w:val="15"/>
              </w:rPr>
              <w:t xml:space="preserve">The maker of the trial drug supplied it under a medical grant and reviewed the report, and eight authors declare relationships with it - which here works against the usual direction of concern, since the finding is unfavourable to that drug.</w:t>
            </w:r>
          </w:p>
          <w:p>
            <w:pPr>
              <w:pStyle w:val="ListParagraph"/>
              <w:numPr>
                <w:ilvl w:val="0"/>
                <w:numId w:val="2"/>
              </w:numPr>
              <w:spacing w:after="45"/>
            </w:pPr>
            <w:r>
              <w:rPr>
                <w:sz w:val="15"/>
                <w:szCs w:val="15"/>
              </w:rPr>
              <w:t xml:space="preserve">Two linked items were identified in PubMed - Fong's Comment (PMID 24807857, Lancet Oncol 2014;15:544-5) and correspondence from Hasegawa, Oba and Kokudo with the authors' reply (PMID 24988931, 24988933) - but their texts were not read for this record.</w:t>
            </w:r>
          </w:p>
        </w:tc>
      </w:tr>
    </w:tbl>
    <w:p>
      <w:pPr>
        <w:spacing w:after="0" w:line="276"/>
      </w:pPr>
      <w:r>
        <w:rPr>
          <w:color w:val="5A6069"/>
          <w:sz w:val="14"/>
          <w:szCs w:val="14"/>
        </w:rPr>
        <w:t xml:space="preserve">Funding: Funded and supported by Cancer Research UK with National Cancer Research Network support; cetuximab was provided under a medical grant from Merck KGaA, which reviewed the report. Data were held and analysed by the University of Southampton Clinical Trials Unit. Eight authors declare advisory board membership, honoraria or research funding from Merck or Merck Serono</w:t>
      </w:r>
    </w:p>
    <w:p>
      <w:pPr>
        <w:keepNext/>
        <w:spacing w:after="50" w:before="260"/>
      </w:pPr>
      <w:r>
        <w:rPr>
          <w:rFonts w:ascii="Cambria" w:cs="Cambria" w:eastAsia="Cambria" w:hAnsi="Cambria"/>
          <w:b/>
          <w:bCs/>
          <w:color w:val="17365D"/>
          <w:sz w:val="20"/>
          <w:szCs w:val="20"/>
        </w:rPr>
        <w:t xml:space="preserve">New EPOC biomarker</w:t>
      </w:r>
      <w:r>
        <w:rPr>
          <w:b/>
          <w:bCs/>
          <w:color w:val="176A87"/>
          <w:sz w:val="15"/>
          <w:szCs w:val="15"/>
        </w:rPr>
        <w:t xml:space="preserve">   cohort</w:t>
      </w:r>
      <w:r>
        <w:rPr>
          <w:color w:val="5A6069"/>
          <w:sz w:val="15"/>
          <w:szCs w:val="15"/>
        </w:rPr>
        <w:t xml:space="preserve">   PMID 37471075</w:t>
      </w:r>
    </w:p>
    <w:p>
      <w:pPr>
        <w:spacing w:after="50" w:line="276"/>
      </w:pPr>
      <w:r>
        <w:rPr>
          <w:color w:val="5A6069"/>
          <w:sz w:val="17"/>
          <w:szCs w:val="17"/>
        </w:rPr>
        <w:t xml:space="preserve">Integrated Clinical-Molecular Classification of Colorectal Liver Metastases: A Biomarker Analysis of the Phase 3 New EPOC Randomized Clinical Trial</w:t>
      </w:r>
    </w:p>
    <w:p>
      <w:pPr>
        <w:spacing w:after="50"/>
      </w:pPr>
      <w:r>
        <w:rPr>
          <w:b/>
          <w:bCs/>
          <w:color w:val="176A87"/>
          <w:sz w:val="16"/>
          <w:szCs w:val="16"/>
        </w:rPr>
        <w:t xml:space="preserve">Population. </w:t>
      </w:r>
      <w:r>
        <w:rPr>
          <w:sz w:val="16"/>
          <w:szCs w:val="16"/>
        </w:rPr>
        <w:t xml:space="preserve">147 patients from the phase 3 New EPOC trial who underwent hepatic resection and had archival liver metastasis tissue profiled (median follow-up 53.4 months), validating a 31-feature classifier trained in a discovery cohort of 93 patients resected at the University of Chicago and NorthShore between 1994 and 2012; matched primary tumours were available for 124, and 3 patients were excluded from the integrated risk analysis because the clinical risk score could not be computed</w:t>
      </w:r>
    </w:p>
    <w:p>
      <w:pPr>
        <w:spacing w:after="70"/>
      </w:pPr>
      <w:r>
        <w:rPr>
          <w:b/>
          <w:bCs/>
          <w:color w:val="17365D"/>
          <w:sz w:val="16"/>
          <w:szCs w:val="16"/>
        </w:rPr>
        <w:t xml:space="preserve">Bottom line. </w:t>
      </w:r>
      <w:r>
        <w:rPr>
          <w:sz w:val="16"/>
          <w:szCs w:val="16"/>
        </w:rPr>
        <w:t xml:space="preserve">Shows that a biologically derived three-subtype expression classifier applied to the resected liver metastasis separates progression-free survival after hepatectomy (5-year 43% immune, 26% stromal, 14% canonical) in an independent trial cohort, and adds a small amount of discrimination to the Fong clinical risk score. It does not show the classification changes what should be done: the overall survival comparison missed significance across three subtypes, there was no interaction with the only randomised treatment available, and the assay needs resected metastatic tissue, so it arrives after the decision it might inform. The headline 78% 5-year survival in the low-risk integrated group has a confidence interval of 44 to 93% and its denominator is never stated.</w:t>
      </w:r>
    </w:p>
    <w:tbl>
      <w:tblPr>
        <w:tblW w:type="dxa" w:w="9360"/>
        <w:tblBorders>
          <w:top w:val="single" w:color="D3DCE4" w:sz="4"/>
          <w:left w:val="single" w:color="D3DCE4" w:sz="4"/>
          <w:bottom w:val="single" w:color="D3DCE4" w:sz="4"/>
          <w:right w:val="single" w:color="D3DCE4" w:sz="4"/>
          <w:insideH w:val="single" w:color="D3DCE4" w:sz="4"/>
          <w:insideV w:val="single" w:color="D3DCE4" w:sz="4"/>
        </w:tblBorders>
      </w:tblPr>
      <w:tblGrid>
        <w:gridCol w:w="4600"/>
        <w:gridCol w:w="4760"/>
      </w:tblGrid>
      <w:tr>
        <w:tc>
          <w:tcPr>
            <w:tcW w:type="dxa" w:w="4600"/>
            <w:shd w:fill="F1F4F8" w:color="auto" w:val="clear"/>
            <w:tcMar>
              <w:top w:type="dxa" w:w="70"/>
              <w:left w:type="dxa" w:w="110"/>
              <w:bottom w:type="dxa" w:w="70"/>
              <w:right w:type="dxa" w:w="110"/>
            </w:tcMar>
            <w:vAlign w:val="top"/>
          </w:tcPr>
          <w:p>
            <w:pPr>
              <w:spacing w:after="50"/>
            </w:pPr>
            <w:r>
              <w:rPr>
                <w:b/>
                <w:bCs/>
                <w:color w:val="8E5008"/>
                <w:spacing w:val="12"/>
                <w:sz w:val="14"/>
                <w:szCs w:val="14"/>
              </w:rPr>
              <w:t xml:space="preserve">LIMITATIONS THE AUTHORS STATE</w:t>
            </w:r>
          </w:p>
          <w:p>
            <w:pPr>
              <w:pStyle w:val="ListParagraph"/>
              <w:numPr>
                <w:ilvl w:val="0"/>
                <w:numId w:val="2"/>
              </w:numPr>
              <w:spacing w:after="45"/>
            </w:pPr>
            <w:r>
              <w:rPr>
                <w:sz w:val="15"/>
                <w:szCs w:val="15"/>
              </w:rPr>
              <w:t xml:space="preserve">The classifier was developed only in patients undergoing surgery, so it is untested for ablation or stereotactic radiotherapy</w:t>
            </w:r>
          </w:p>
          <w:p>
            <w:pPr>
              <w:pStyle w:val="ListParagraph"/>
              <w:numPr>
                <w:ilvl w:val="0"/>
                <w:numId w:val="2"/>
              </w:numPr>
              <w:spacing w:after="45"/>
            </w:pPr>
            <w:r>
              <w:rPr>
                <w:sz w:val="15"/>
                <w:szCs w:val="15"/>
              </w:rPr>
              <w:t xml:space="preserve">The authors state that the magnitude of the concordance probability estimates reflects the substantial clinical heterogeneity of colorectal liver oligometastases, and that larger cohorts are needed to clarify the role of molecular subtyping</w:t>
            </w:r>
          </w:p>
          <w:p>
            <w:pPr>
              <w:pStyle w:val="ListParagraph"/>
              <w:numPr>
                <w:ilvl w:val="0"/>
                <w:numId w:val="2"/>
              </w:numPr>
              <w:spacing w:after="45"/>
            </w:pPr>
            <w:r>
              <w:rPr>
                <w:sz w:val="15"/>
                <w:szCs w:val="15"/>
              </w:rPr>
              <w:t xml:space="preserve">They state that no gold standard reference existed in the validation cohort against which the computed subtypes could be checked, so biological plausibility analyses had to stand in for a reference standard</w:t>
            </w:r>
          </w:p>
          <w:p>
            <w:pPr>
              <w:pStyle w:val="ListParagraph"/>
              <w:numPr>
                <w:ilvl w:val="0"/>
                <w:numId w:val="2"/>
              </w:numPr>
              <w:spacing w:after="45"/>
            </w:pPr>
            <w:r>
              <w:rPr>
                <w:sz w:val="15"/>
                <w:szCs w:val="15"/>
              </w:rPr>
              <w:t xml:space="preserve">They present the classification as prognostic only, warranting further study as a possible predictive biomarker, and report no significant interaction between subtype or integrated risk group and cetuximab randomisation</w:t>
            </w:r>
          </w:p>
          <w:p>
            <w:pPr>
              <w:pStyle w:val="ListParagraph"/>
              <w:numPr>
                <w:ilvl w:val="0"/>
                <w:numId w:val="2"/>
              </w:numPr>
              <w:spacing w:after="45"/>
            </w:pPr>
            <w:r>
              <w:rPr>
                <w:sz w:val="15"/>
                <w:szCs w:val="15"/>
              </w:rPr>
              <w:t xml:space="preserve">Three patients had to be dropped from the integrated risk group analysis because the clinical risk score could not be computed from available data</w:t>
            </w:r>
          </w:p>
          <w:p>
            <w:pPr>
              <w:pStyle w:val="ListParagraph"/>
              <w:numPr>
                <w:ilvl w:val="0"/>
                <w:numId w:val="2"/>
              </w:numPr>
              <w:spacing w:after="45"/>
            </w:pPr>
            <w:r>
              <w:rPr>
                <w:sz w:val="15"/>
                <w:szCs w:val="15"/>
              </w:rPr>
              <w:t xml:space="preserve">They acknowledge from their own earlier work that consensus molecular subtypes leave about a third of liver metastases unclassifiable, which is why the metastasis has to be staged separately from the primary</w:t>
            </w:r>
          </w:p>
        </w:tc>
        <w:tc>
          <w:tcPr>
            <w:tcW w:type="dxa" w:w="4760"/>
            <w:shd w:fill="F1F4F8" w:color="auto" w:val="clear"/>
            <w:tcMar>
              <w:top w:type="dxa" w:w="70"/>
              <w:left w:type="dxa" w:w="110"/>
              <w:bottom w:type="dxa" w:w="70"/>
              <w:right w:type="dxa" w:w="110"/>
            </w:tcMar>
            <w:vAlign w:val="top"/>
          </w:tcPr>
          <w:p>
            <w:pPr>
              <w:spacing w:after="50"/>
            </w:pPr>
            <w:r>
              <w:rPr>
                <w:b/>
                <w:bCs/>
                <w:color w:val="8C2F26"/>
                <w:spacing w:val="12"/>
                <w:sz w:val="14"/>
                <w:szCs w:val="14"/>
              </w:rPr>
              <w:t xml:space="preserve">WHAT THEY DO NOT SAY</w:t>
            </w:r>
          </w:p>
          <w:p>
            <w:pPr>
              <w:pStyle w:val="ListParagraph"/>
              <w:numPr>
                <w:ilvl w:val="0"/>
                <w:numId w:val="2"/>
              </w:numPr>
              <w:spacing w:after="45"/>
            </w:pPr>
            <w:r>
              <w:rPr>
                <w:sz w:val="15"/>
                <w:szCs w:val="15"/>
              </w:rPr>
              <w:t xml:space="preserve">The study is described as the first clinical validation, but the reference standard the classifier was trained against is the authors' own similarity network fusion clustering of the discovery cohort. The 96% accuracy therefore measures agreement with an unvalidated set of labels, and in the validation cohort there is no reference at all - as the Outcomes section concedes - so no accuracy figure applies to the 147 patients whose subtypes anchor every result.</w:t>
            </w:r>
          </w:p>
          <w:p>
            <w:pPr>
              <w:pStyle w:val="ListParagraph"/>
              <w:numPr>
                <w:ilvl w:val="0"/>
                <w:numId w:val="2"/>
              </w:numPr>
              <w:spacing w:after="45"/>
            </w:pPr>
            <w:r>
              <w:rPr>
                <w:sz w:val="15"/>
                <w:szCs w:val="15"/>
              </w:rPr>
              <w:t xml:space="preserve">The low-risk integrated group that supplies the headline 78% 5-year overall survival has a 95% CI of 44 to 93%, which implies a handful of events, yet neither the number of patients nor the number of deaths in that group is printed in the text, the figure or Table 2.</w:t>
            </w:r>
          </w:p>
          <w:p>
            <w:pPr>
              <w:pStyle w:val="ListParagraph"/>
              <w:numPr>
                <w:ilvl w:val="0"/>
                <w:numId w:val="2"/>
              </w:numPr>
              <w:spacing w:after="45"/>
            </w:pPr>
            <w:r>
              <w:rPr>
                <w:sz w:val="15"/>
                <w:szCs w:val="15"/>
              </w:rPr>
              <w:t xml:space="preserve">The overall survival comparison across the three subtypes failed its stated test (log-rank p=0.083). Significance is recovered by collapsing stromal with canonical (p=0.045), a pairwise regrouping that is not the prespecified hypothesis - which was that immune would beat canonical and stromal - and is reported without correction for having tried both.</w:t>
            </w:r>
          </w:p>
          <w:p>
            <w:pPr>
              <w:pStyle w:val="ListParagraph"/>
              <w:numPr>
                <w:ilvl w:val="0"/>
                <w:numId w:val="2"/>
              </w:numPr>
              <w:spacing w:after="45"/>
            </w:pPr>
            <w:r>
              <w:rPr>
                <w:sz w:val="15"/>
                <w:szCs w:val="15"/>
              </w:rPr>
              <w:t xml:space="preserve">The integrated grouping is not monotone in its own inputs: canonical, the worst subtype, enters the low-risk group whenever the clinical risk score is low, while stromal appears in both the intermediate and high groups. Low and intermediate 5-year progression-free survival are 44% and 40%, indistinguishable, so the three-level scheme separates one group from two rather than three from each other.</w:t>
            </w:r>
          </w:p>
          <w:p>
            <w:pPr>
              <w:pStyle w:val="ListParagraph"/>
              <w:numPr>
                <w:ilvl w:val="0"/>
                <w:numId w:val="2"/>
              </w:numPr>
              <w:spacing w:after="45"/>
            </w:pPr>
            <w:r>
              <w:rPr>
                <w:sz w:val="15"/>
                <w:szCs w:val="15"/>
              </w:rPr>
              <w:t xml:space="preserve">The improvement in discrimination is small and its intervals overlap almost entirely: Gonen and Heller's K from 0.55 (0.49-0.61) to 0.62 (0.57-0.67) for progression-free survival and 0.59 (0.52-0.66) to 0.63 (0.56-0.70) for overall survival. No test of the difference between concordance statistics is reported, no comparison against a model containing an arbitrary three-level variable, and no calibration assessment of any kind.</w:t>
            </w:r>
          </w:p>
          <w:p>
            <w:pPr>
              <w:pStyle w:val="ListParagraph"/>
              <w:numPr>
                <w:ilvl w:val="0"/>
                <w:numId w:val="2"/>
              </w:numPr>
              <w:spacing w:after="45"/>
            </w:pPr>
            <w:r>
              <w:rPr>
                <w:sz w:val="15"/>
                <w:szCs w:val="15"/>
              </w:rPr>
              <w:t xml:space="preserve">Two of the senior authors hold issued patents on diagnosis and triage of patients with colorectal liver metastases and provisional patents on molecular subtyping to personalise treatment - that is, on the classifier being validated here. The disclosure is made, but the recommendation that the classification be taken forward as a predictive biomarker and a stratification factor in future trials comes from the patent holders.</w:t>
            </w:r>
          </w:p>
          <w:p>
            <w:pPr>
              <w:pStyle w:val="ListParagraph"/>
              <w:numPr>
                <w:ilvl w:val="0"/>
                <w:numId w:val="2"/>
              </w:numPr>
              <w:spacing w:after="45"/>
            </w:pPr>
            <w:r>
              <w:rPr>
                <w:sz w:val="15"/>
                <w:szCs w:val="15"/>
              </w:rPr>
              <w:t xml:space="preserve">147 patients are analysed out of the 257 randomised in New EPOC, selected by having had resection and usable archival metastasis tissue. No comparison of the included 147 with the excluded patients is shown, and no accounting of why tissue was unavailable, so the validation cohort's representativeness of the trial is untested.</w:t>
            </w:r>
          </w:p>
          <w:p>
            <w:pPr>
              <w:pStyle w:val="ListParagraph"/>
              <w:numPr>
                <w:ilvl w:val="0"/>
                <w:numId w:val="2"/>
              </w:numPr>
              <w:spacing w:after="45"/>
            </w:pPr>
            <w:r>
              <w:rPr>
                <w:sz w:val="15"/>
                <w:szCs w:val="15"/>
              </w:rPr>
              <w:t xml:space="preserve">Discovery and validation used different assay platforms - whole transcriptome RNA sequencing plus miRNA profiling on one side, microarray on the other - and a 31-feature expression classifier was carried across that change with no bridging or platform-concordance analysis in the main text.</w:t>
            </w:r>
          </w:p>
          <w:p>
            <w:pPr>
              <w:pStyle w:val="ListParagraph"/>
              <w:numPr>
                <w:ilvl w:val="0"/>
                <w:numId w:val="2"/>
              </w:numPr>
              <w:spacing w:after="45"/>
            </w:pPr>
            <w:r>
              <w:rPr>
                <w:sz w:val="15"/>
                <w:szCs w:val="15"/>
              </w:rPr>
              <w:t xml:space="preserve">The two cohorts are not comparable in clinical risk (clinical risk score 2 or more in 85% of validation against 63% of discovery, more than one metastasis in 78% against 42%), so the integrated groups are not populated the same way in the cohort where the thresholds were set and the cohort where they are tested.</w:t>
            </w:r>
          </w:p>
          <w:p>
            <w:pPr>
              <w:pStyle w:val="ListParagraph"/>
              <w:numPr>
                <w:ilvl w:val="0"/>
                <w:numId w:val="2"/>
              </w:numPr>
              <w:spacing w:after="45"/>
            </w:pPr>
            <w:r>
              <w:rPr>
                <w:sz w:val="15"/>
                <w:szCs w:val="15"/>
              </w:rPr>
              <w:t xml:space="preserve">The time-to-event clock differs between cohorts - date of surgery in discovery, date of randomisation in validation - yet the paper reports progression-free and overall survival as highly concordant between them (eFigure 6), a comparison of intervals measured from different origins.</w:t>
            </w:r>
          </w:p>
          <w:p>
            <w:pPr>
              <w:pStyle w:val="ListParagraph"/>
              <w:numPr>
                <w:ilvl w:val="0"/>
                <w:numId w:val="2"/>
              </w:numPr>
              <w:spacing w:after="45"/>
            </w:pPr>
            <w:r>
              <w:rPr>
                <w:sz w:val="15"/>
                <w:szCs w:val="15"/>
              </w:rPr>
              <w:t xml:space="preserve">The biological corroboration is circular: single-sample gene set enrichment and immune deconvolution are run on the same expression data from which the subtypes were computed, so they can only reproduce the clustering that defined them, not confirm it against an independent measurement such as stained sections in this cohort.</w:t>
            </w:r>
          </w:p>
          <w:p>
            <w:pPr>
              <w:pStyle w:val="ListParagraph"/>
              <w:numPr>
                <w:ilvl w:val="0"/>
                <w:numId w:val="2"/>
              </w:numPr>
              <w:spacing w:after="45"/>
            </w:pPr>
            <w:r>
              <w:rPr>
                <w:sz w:val="15"/>
                <w:szCs w:val="15"/>
              </w:rPr>
              <w:t xml:space="preserve">Roughly half of the validation cohort was randomised to cetuximab, which shortened survival in New EPOC itself. Cetuximab is entered as a covariate, but the absolute survival figures - including the 78% that is the paper's selling point - come from a cohort half of whom received a treatment that is no longer given.</w:t>
            </w:r>
          </w:p>
          <w:p>
            <w:pPr>
              <w:pStyle w:val="ListParagraph"/>
              <w:numPr>
                <w:ilvl w:val="0"/>
                <w:numId w:val="2"/>
              </w:numPr>
              <w:spacing w:after="45"/>
            </w:pPr>
            <w:r>
              <w:rPr>
                <w:sz w:val="15"/>
                <w:szCs w:val="15"/>
              </w:rPr>
              <w:t xml:space="preserve">The clinical risk score requires CEA, tumour size and tumour number, but the paper never states at what point relative to perioperative chemotherapy those components were recorded in the trial cohort, even though every patient had chemotherapy before resection, so the score may not be measuring what it measured in Fong's untreated surgical series.</w:t>
            </w:r>
          </w:p>
          <w:p>
            <w:pPr>
              <w:pStyle w:val="ListParagraph"/>
              <w:numPr>
                <w:ilvl w:val="0"/>
                <w:numId w:val="2"/>
              </w:numPr>
              <w:spacing w:after="45"/>
            </w:pPr>
            <w:r>
              <w:rPr>
                <w:sz w:val="15"/>
                <w:szCs w:val="15"/>
              </w:rPr>
              <w:t xml:space="preserve">No linked editorial or comment on this paper was found in PubMed, so no independent published critique informs this record.</w:t>
            </w:r>
          </w:p>
        </w:tc>
      </w:tr>
    </w:tbl>
    <w:p>
      <w:pPr>
        <w:spacing w:after="0" w:line="276"/>
      </w:pPr>
      <w:r>
        <w:rPr>
          <w:color w:val="5A6069"/>
          <w:sz w:val="14"/>
          <w:szCs w:val="14"/>
        </w:rPr>
        <w:t xml:space="preserve">Funding: The S:CORT consortium is funded by a UK Medical Research Council Stratified Medicine Consortium programme grant (MR/M016587/1) co-funded by Cancer Research UK, with additional support from the Ludwig Cancer Research Foundation; the funders are stated to have had no role in design, analysis or publication, and the study was not NIH funded. Merck KGaA provided cetuximab for New EPOC. Two senior authors report issued patents for 'Methods and Kits for Diagnosis and Triage of Patients with Colorectal Liver Metastases' and provisional patents for 'Molecular Subtyping of Colorectal Liver Metastases to Personalize Treatment Approaches'; disclosures also include honoraria or grants from Merck, AstraZeneca, Varian, Regeneron, Boehringer Ingelheim, Merck Serono and Pierre Fabre, and equity in several biotechnology companies</w:t>
      </w:r>
    </w:p>
    <w:p>
      <w:pPr>
        <w:keepNext/>
        <w:spacing w:after="50" w:before="260"/>
      </w:pPr>
      <w:r>
        <w:rPr>
          <w:rFonts w:ascii="Cambria" w:cs="Cambria" w:eastAsia="Cambria" w:hAnsi="Cambria"/>
          <w:b/>
          <w:bCs/>
          <w:color w:val="17365D"/>
          <w:sz w:val="20"/>
          <w:szCs w:val="20"/>
        </w:rPr>
        <w:t xml:space="preserve">New EPOC long-term</w:t>
      </w:r>
      <w:r>
        <w:rPr>
          <w:b/>
          <w:bCs/>
          <w:color w:val="176A87"/>
          <w:sz w:val="15"/>
          <w:szCs w:val="15"/>
        </w:rPr>
        <w:t xml:space="preserve">   Randomised trial</w:t>
      </w:r>
      <w:r>
        <w:rPr>
          <w:color w:val="5A6069"/>
          <w:sz w:val="15"/>
          <w:szCs w:val="15"/>
        </w:rPr>
        <w:t xml:space="preserve">   PMID 32014119</w:t>
      </w:r>
    </w:p>
    <w:p>
      <w:pPr>
        <w:spacing w:after="50" w:line="276"/>
      </w:pPr>
      <w:r>
        <w:rPr>
          <w:color w:val="5A6069"/>
          <w:sz w:val="17"/>
          <w:szCs w:val="17"/>
        </w:rPr>
        <w:t xml:space="preserve">Systemic chemotherapy with or without cetuximab in patients with resectable colorectal liver metastasis (New EPOC): long-term results of a multicentre, randomised, controlled, phase 3 trial</w:t>
      </w:r>
    </w:p>
    <w:p>
      <w:pPr>
        <w:spacing w:after="50"/>
      </w:pPr>
      <w:r>
        <w:rPr>
          <w:b/>
          <w:bCs/>
          <w:color w:val="176A87"/>
          <w:sz w:val="16"/>
          <w:szCs w:val="16"/>
        </w:rPr>
        <w:t xml:space="preserve">Population. </w:t>
      </w:r>
      <w:r>
        <w:rPr>
          <w:sz w:val="16"/>
          <w:szCs w:val="16"/>
        </w:rPr>
        <w:t xml:space="preserve">272 patients with resectable or suboptimally resectable colorectal liver metastases recruited at 39 UK hospitals between February 2007 and October 2012, of whom 257 with KRAS wild-type (codons 12, 13 and 61) tumours form the primary analysis population (128 chemotherapy alone, 129 chemotherapy plus cetuximab); 221 underwent an operation. Median follow-up 66.7 months (IQR 58.0-77.5). The revised accrual target was 268 KRAS wild-type patients and 212 progression events</w:t>
      </w:r>
    </w:p>
    <w:p>
      <w:pPr>
        <w:spacing w:after="70"/>
      </w:pPr>
      <w:r>
        <w:rPr>
          <w:b/>
          <w:bCs/>
          <w:color w:val="17365D"/>
          <w:sz w:val="16"/>
          <w:szCs w:val="16"/>
        </w:rPr>
        <w:t xml:space="preserve">Bottom line. </w:t>
      </w:r>
      <w:r>
        <w:rPr>
          <w:sz w:val="16"/>
          <w:szCs w:val="16"/>
        </w:rPr>
        <w:t xml:space="preserve">Establishes that adding cetuximab to perioperative chemotherapy for operable KRAS wild-type colorectal liver metastases shortens life - median overall survival 55.4 against 81.0 months, HR 1.45 (95% CI 1.02-2.05) - with no gain in response, resection or R0 rate, and that the harm falls on the patients with the most favourable disease. It does not explain the effect: the primary progression-free survival endpoint that stopped the trial is no longer significant at maturity, the survival result is a secondary endpoint at p=0.036 with no correction for the interim look, and the molecular analyses offered as mechanism contradict the advanced-disease literature. The practical instruction - do not give cetuximab perioperatively for operable disease - is nonetheless the safest reading, and the control arm's 81-month median is the benchmark worth remembering.</w:t>
      </w:r>
    </w:p>
    <w:tbl>
      <w:tblPr>
        <w:tblW w:type="dxa" w:w="9360"/>
        <w:tblBorders>
          <w:top w:val="single" w:color="D3DCE4" w:sz="4"/>
          <w:left w:val="single" w:color="D3DCE4" w:sz="4"/>
          <w:bottom w:val="single" w:color="D3DCE4" w:sz="4"/>
          <w:right w:val="single" w:color="D3DCE4" w:sz="4"/>
          <w:insideH w:val="single" w:color="D3DCE4" w:sz="4"/>
          <w:insideV w:val="single" w:color="D3DCE4" w:sz="4"/>
        </w:tblBorders>
      </w:tblPr>
      <w:tblGrid>
        <w:gridCol w:w="4600"/>
        <w:gridCol w:w="4760"/>
      </w:tblGrid>
      <w:tr>
        <w:tc>
          <w:tcPr>
            <w:tcW w:type="dxa" w:w="4600"/>
            <w:shd w:fill="F1F4F8" w:color="auto" w:val="clear"/>
            <w:tcMar>
              <w:top w:type="dxa" w:w="70"/>
              <w:left w:type="dxa" w:w="110"/>
              <w:bottom w:type="dxa" w:w="70"/>
              <w:right w:type="dxa" w:w="110"/>
            </w:tcMar>
            <w:vAlign w:val="top"/>
          </w:tcPr>
          <w:p>
            <w:pPr>
              <w:spacing w:after="50"/>
            </w:pPr>
            <w:r>
              <w:rPr>
                <w:b/>
                <w:bCs/>
                <w:color w:val="8E5008"/>
                <w:spacing w:val="12"/>
                <w:sz w:val="14"/>
                <w:szCs w:val="14"/>
              </w:rPr>
              <w:t xml:space="preserve">LIMITATIONS THE AUTHORS STATE</w:t>
            </w:r>
          </w:p>
          <w:p>
            <w:pPr>
              <w:pStyle w:val="ListParagraph"/>
              <w:numPr>
                <w:ilvl w:val="0"/>
                <w:numId w:val="2"/>
              </w:numPr>
              <w:spacing w:after="45"/>
            </w:pPr>
            <w:r>
              <w:rPr>
                <w:sz w:val="15"/>
                <w:szCs w:val="15"/>
              </w:rPr>
              <w:t xml:space="preserve">The authors name premature closure of recruitment, mandated by the trial steering committee on the independent data monitoring committee's advice, as the trial's primary limitation, while arguing that the mature analysis shows it did not change the conclusion</w:t>
            </w:r>
          </w:p>
          <w:p>
            <w:pPr>
              <w:pStyle w:val="ListParagraph"/>
              <w:numPr>
                <w:ilvl w:val="0"/>
                <w:numId w:val="2"/>
              </w:numPr>
              <w:spacing w:after="45"/>
            </w:pPr>
            <w:r>
              <w:rPr>
                <w:sz w:val="15"/>
                <w:szCs w:val="15"/>
              </w:rPr>
              <w:t xml:space="preserve">Overall survival was a secondary endpoint; the authors state there was no adjustment for multiple comparisons and no correction of the p value for the previous interim analysis</w:t>
            </w:r>
          </w:p>
          <w:p>
            <w:pPr>
              <w:pStyle w:val="ListParagraph"/>
              <w:numPr>
                <w:ilvl w:val="0"/>
                <w:numId w:val="2"/>
              </w:numPr>
              <w:spacing w:after="45"/>
            </w:pPr>
            <w:r>
              <w:rPr>
                <w:sz w:val="15"/>
                <w:szCs w:val="15"/>
              </w:rPr>
              <w:t xml:space="preserve">Baseline characteristics were prognostically less favourable in the cetuximab group (synchronous metastases in 88 of 129, 68%, against 73 of 128, 57%; a metastasis larger than 3 cm in 75, 58%, against 63, 49%), which the authors describe as small and non-significant differences</w:t>
            </w:r>
          </w:p>
          <w:p>
            <w:pPr>
              <w:pStyle w:val="ListParagraph"/>
              <w:numPr>
                <w:ilvl w:val="0"/>
                <w:numId w:val="2"/>
              </w:numPr>
              <w:spacing w:after="45"/>
            </w:pPr>
            <w:r>
              <w:rPr>
                <w:sz w:val="15"/>
                <w:szCs w:val="15"/>
              </w:rPr>
              <w:t xml:space="preserve">Extended RAS and RAF testing was retrospective on available samples: the hazard ratio in the all RAS/RAF wild-type population was almost identical but not significant, and numbers in the newly identified mutant group were insufficient for any conclusion</w:t>
            </w:r>
          </w:p>
          <w:p>
            <w:pPr>
              <w:pStyle w:val="ListParagraph"/>
              <w:numPr>
                <w:ilvl w:val="0"/>
                <w:numId w:val="2"/>
              </w:numPr>
              <w:spacing w:after="45"/>
            </w:pPr>
            <w:r>
              <w:rPr>
                <w:sz w:val="15"/>
                <w:szCs w:val="15"/>
              </w:rPr>
              <w:t xml:space="preserve">Mismatch repair status was not routinely measured during recruitment and cannot be reliably reported</w:t>
            </w:r>
          </w:p>
          <w:p>
            <w:pPr>
              <w:pStyle w:val="ListParagraph"/>
              <w:numPr>
                <w:ilvl w:val="0"/>
                <w:numId w:val="2"/>
              </w:numPr>
              <w:spacing w:after="45"/>
            </w:pPr>
            <w:r>
              <w:rPr>
                <w:sz w:val="15"/>
                <w:szCs w:val="15"/>
              </w:rPr>
              <w:t xml:space="preserve">The 2006 protocol's suggestion of a 10 mm resection margin was never amended although consensus changed; ablation was not permitted by protocol yet was used in some patients at clinician discretion, and other protocol violations are listed in the appendix</w:t>
            </w:r>
          </w:p>
          <w:p>
            <w:pPr>
              <w:pStyle w:val="ListParagraph"/>
              <w:numPr>
                <w:ilvl w:val="0"/>
                <w:numId w:val="2"/>
              </w:numPr>
              <w:spacing w:after="45"/>
            </w:pPr>
            <w:r>
              <w:rPr>
                <w:sz w:val="15"/>
                <w:szCs w:val="15"/>
              </w:rPr>
              <w:t xml:space="preserve">Right-sided cancers were few, so the larger apparent harm in that group was not significant, and the authors state that if the study were repeated translational endpoints would be prioritised</w:t>
            </w:r>
          </w:p>
        </w:tc>
        <w:tc>
          <w:tcPr>
            <w:tcW w:type="dxa" w:w="4760"/>
            <w:shd w:fill="F1F4F8" w:color="auto" w:val="clear"/>
            <w:tcMar>
              <w:top w:type="dxa" w:w="70"/>
              <w:left w:type="dxa" w:w="110"/>
              <w:bottom w:type="dxa" w:w="70"/>
              <w:right w:type="dxa" w:w="110"/>
            </w:tcMar>
            <w:vAlign w:val="top"/>
          </w:tcPr>
          <w:p>
            <w:pPr>
              <w:spacing w:after="50"/>
            </w:pPr>
            <w:r>
              <w:rPr>
                <w:b/>
                <w:bCs/>
                <w:color w:val="8C2F26"/>
                <w:spacing w:val="12"/>
                <w:sz w:val="14"/>
                <w:szCs w:val="14"/>
              </w:rPr>
              <w:t xml:space="preserve">WHAT THEY DO NOT SAY</w:t>
            </w:r>
          </w:p>
          <w:p>
            <w:pPr>
              <w:pStyle w:val="ListParagraph"/>
              <w:numPr>
                <w:ilvl w:val="0"/>
                <w:numId w:val="2"/>
              </w:numPr>
              <w:spacing w:after="45"/>
            </w:pPr>
            <w:r>
              <w:rPr>
                <w:sz w:val="15"/>
                <w:szCs w:val="15"/>
              </w:rPr>
              <w:t xml:space="preserve">The endpoint that stopped the trial no longer supports stopping it. Recruitment was halted in November 2012 when the lower limit of the 95% CI for the progression-free survival hazard ratio exceeded 1; at mature analysis that hazard ratio is 1.17 with a CI of 0.87-1.56 (p=0.304). The paper reports both facts and does not note that the futility criterion is no longer met.</w:t>
            </w:r>
          </w:p>
          <w:p>
            <w:pPr>
              <w:pStyle w:val="ListParagraph"/>
              <w:numPr>
                <w:ilvl w:val="0"/>
                <w:numId w:val="2"/>
              </w:numPr>
              <w:spacing w:after="45"/>
            </w:pPr>
            <w:r>
              <w:rPr>
                <w:sz w:val="15"/>
                <w:szCs w:val="15"/>
              </w:rPr>
              <w:t xml:space="preserve">The argument that early closure did not influence the outcome is circular: it is made by pointing to the survival result obtained from the same truncated cohort. Early closure limits precision, and the headline survival p value is 0.036 on a secondary endpoint with no multiplicity adjustment and no correction for the interim look.</w:t>
            </w:r>
          </w:p>
          <w:p>
            <w:pPr>
              <w:pStyle w:val="ListParagraph"/>
              <w:numPr>
                <w:ilvl w:val="0"/>
                <w:numId w:val="2"/>
              </w:numPr>
              <w:spacing w:after="45"/>
            </w:pPr>
            <w:r>
              <w:rPr>
                <w:sz w:val="15"/>
                <w:szCs w:val="15"/>
              </w:rPr>
              <w:t xml:space="preserve">The revised target was 268 KRAS wild-type patients and 212 progression events; 272 patients were recruited but only 257 were KRAS wild-type and formed the analysis population, and the number of progression events reached is not stated against that target anywhere in the paper.</w:t>
            </w:r>
          </w:p>
          <w:p>
            <w:pPr>
              <w:pStyle w:val="ListParagraph"/>
              <w:numPr>
                <w:ilvl w:val="0"/>
                <w:numId w:val="2"/>
              </w:numPr>
              <w:spacing w:after="45"/>
            </w:pPr>
            <w:r>
              <w:rPr>
                <w:sz w:val="15"/>
                <w:szCs w:val="15"/>
              </w:rPr>
              <w:t xml:space="preserve">Prespecified quality-of-life and cost-effectiveness endpoints were abandoned, with the stated reason that the trial was negative. A trial reporting a 26-month survival deficit, 16% grade 3-4 rash and 10% grade 3-4 mucositis has the strongest possible case for reporting what patients experienced, and does not.</w:t>
            </w:r>
          </w:p>
          <w:p>
            <w:pPr>
              <w:pStyle w:val="ListParagraph"/>
              <w:numPr>
                <w:ilvl w:val="0"/>
                <w:numId w:val="2"/>
              </w:numPr>
              <w:spacing w:after="45"/>
            </w:pPr>
            <w:r>
              <w:rPr>
                <w:sz w:val="15"/>
                <w:szCs w:val="15"/>
              </w:rPr>
              <w:t xml:space="preserve">Death ascertainment differs between the two endpoints. Overall survival uses NHS Digital registry data with an assumption that anyone not recorded dead is alive and censored two months before the status date, while progression-free survival censors patients lost to follow-up at last assessment irrespective of a death later received from NHS Digital. The two curves are therefore built on different information about the same patients.</w:t>
            </w:r>
          </w:p>
          <w:p>
            <w:pPr>
              <w:pStyle w:val="ListParagraph"/>
              <w:numPr>
                <w:ilvl w:val="0"/>
                <w:numId w:val="2"/>
              </w:numPr>
              <w:spacing w:after="45"/>
            </w:pPr>
            <w:r>
              <w:rPr>
                <w:sz w:val="15"/>
                <w:szCs w:val="15"/>
              </w:rPr>
              <w:t xml:space="preserve">The imbalance in baseline prognosis - synchronous disease 68% against 57% and a metastasis over 3 cm 58% against 49% - is dismissed using the subgroup analyses, which are the least reliable part of the paper: fourteen prespecified exploratory interaction subgroups, no multiplicity control, and the key estimates resting on small strata with wide intervals (node-negative HR 2.22, 95% CI 1.11-4.41; no adverse feature HR 2.35, 1.37-4.03). The primary model is unadjusted, with the minimisation-factor-adjusted model relegated to a sensitivity analysis whose result is not given in the text.</w:t>
            </w:r>
          </w:p>
          <w:p>
            <w:pPr>
              <w:pStyle w:val="ListParagraph"/>
              <w:numPr>
                <w:ilvl w:val="0"/>
                <w:numId w:val="2"/>
              </w:numPr>
              <w:spacing w:after="45"/>
            </w:pPr>
            <w:r>
              <w:rPr>
                <w:sz w:val="15"/>
                <w:szCs w:val="15"/>
              </w:rPr>
              <w:t xml:space="preserve">The arms differ in exposure to the curative treatment: 21 of 129 cetuximab patients never had an operation against 15 of 128, 11 versus 3 of them because of progression. Part of the survival difference is therefore mediated by not being operated on, and the paper does not separate that pathway from a direct effect of the drug.</w:t>
            </w:r>
          </w:p>
          <w:p>
            <w:pPr>
              <w:pStyle w:val="ListParagraph"/>
              <w:numPr>
                <w:ilvl w:val="0"/>
                <w:numId w:val="2"/>
              </w:numPr>
              <w:spacing w:after="45"/>
            </w:pPr>
            <w:r>
              <w:rPr>
                <w:sz w:val="15"/>
                <w:szCs w:val="15"/>
              </w:rPr>
              <w:t xml:space="preserve">Post-progression survival (33.5 versus 23.5 months, HR 1.55, 95% CI 1.07-2.24) is presented as evidence that cetuximab produced a more aggressive disease phenotype, but no second-line or subsequent therapy is reported for either arm, and the supporting claim that progression was associated with early death in the cetuximab group rests, in the authors' own words, on visual inspection of the survival curves.</w:t>
            </w:r>
          </w:p>
          <w:p>
            <w:pPr>
              <w:pStyle w:val="ListParagraph"/>
              <w:numPr>
                <w:ilvl w:val="0"/>
                <w:numId w:val="2"/>
              </w:numPr>
              <w:spacing w:after="45"/>
            </w:pPr>
            <w:r>
              <w:rPr>
                <w:sz w:val="15"/>
                <w:szCs w:val="15"/>
              </w:rPr>
              <w:t xml:space="preserve">The multisite-progression and post-progression analyses draw on data collected after the interim analysis, which means the comparison is partly built on information gathered once the arms were known and cetuximab had been stopped.</w:t>
            </w:r>
          </w:p>
          <w:p>
            <w:pPr>
              <w:pStyle w:val="ListParagraph"/>
              <w:numPr>
                <w:ilvl w:val="0"/>
                <w:numId w:val="2"/>
              </w:numPr>
              <w:spacing w:after="45"/>
            </w:pPr>
            <w:r>
              <w:rPr>
                <w:sz w:val="15"/>
                <w:szCs w:val="15"/>
              </w:rPr>
              <w:t xml:space="preserve">The mechanistic account does not hold together and the paper says so without changing the conclusion: no miR-31-3p subgroup benefiting from cetuximab could be identified, and high AREG/EREG expression was associated with worse outcome here and better outcome in advanced disease. The claim that the finding is robust with no apparent confounding variables sits one page after the admission that the biology is unexplained.</w:t>
            </w:r>
          </w:p>
          <w:p>
            <w:pPr>
              <w:pStyle w:val="ListParagraph"/>
              <w:numPr>
                <w:ilvl w:val="0"/>
                <w:numId w:val="2"/>
              </w:numPr>
              <w:spacing w:after="45"/>
            </w:pPr>
            <w:r>
              <w:rPr>
                <w:sz w:val="15"/>
                <w:szCs w:val="15"/>
              </w:rPr>
              <w:t xml:space="preserve">There was no central radiological review of response or progression in an open-label trial whose primary endpoint was progression, and whose subsequent interpretation turns on the pattern and timing of progression events.</w:t>
            </w:r>
          </w:p>
          <w:p>
            <w:pPr>
              <w:pStyle w:val="ListParagraph"/>
              <w:numPr>
                <w:ilvl w:val="0"/>
                <w:numId w:val="2"/>
              </w:numPr>
              <w:spacing w:after="45"/>
            </w:pPr>
            <w:r>
              <w:rPr>
                <w:sz w:val="15"/>
                <w:szCs w:val="15"/>
              </w:rPr>
              <w:t xml:space="preserve">The recommendation applies to a population the trial never studied. Today no patient with any RAS or BRAF mutation would receive cetuximab, and the all RAS/RAF wild-type analysis - the only one matching current selection - was retrospective, incomplete and not statistically significant.</w:t>
            </w:r>
          </w:p>
          <w:p>
            <w:pPr>
              <w:pStyle w:val="ListParagraph"/>
              <w:numPr>
                <w:ilvl w:val="0"/>
                <w:numId w:val="2"/>
              </w:numPr>
              <w:spacing w:after="45"/>
            </w:pPr>
            <w:r>
              <w:rPr>
                <w:sz w:val="15"/>
                <w:szCs w:val="15"/>
              </w:rPr>
              <w:t xml:space="preserve">The control-arm 5-year survival is described as comparable to the best of any case series despite the inclusion of borderline resectable patients, a comparison made against unmatched historical series and used to argue the quality of the trial's surgery.</w:t>
            </w:r>
          </w:p>
          <w:p>
            <w:pPr>
              <w:pStyle w:val="ListParagraph"/>
              <w:numPr>
                <w:ilvl w:val="0"/>
                <w:numId w:val="2"/>
              </w:numPr>
              <w:spacing w:after="45"/>
            </w:pPr>
            <w:r>
              <w:rPr>
                <w:sz w:val="15"/>
                <w:szCs w:val="15"/>
              </w:rPr>
              <w:t xml:space="preserve">A linked Lancet Oncology comment (PMID 32014120, Gholami and Grothey, 'EGFR antibodies in resectable metastatic colorectal liver metastasis: more harm than benefit?', 2020) was identified in PubMed but its text was not read for this record, so its reasoning is not reflected here.</w:t>
            </w:r>
          </w:p>
        </w:tc>
      </w:tr>
    </w:tbl>
    <w:p>
      <w:pPr>
        <w:spacing w:after="0" w:line="276"/>
      </w:pPr>
      <w:r>
        <w:rPr>
          <w:color w:val="5A6069"/>
          <w:sz w:val="14"/>
          <w:szCs w:val="14"/>
        </w:rPr>
        <w:t xml:space="preserve">Funding: Cancer Research UK (C317/A7275), supported by the NIHR Clinical Research Network: Cancer, and also supported by a medical grant from Merck KGaA, which supplied the cetuximab and funded the original KRAS testing. The funder is stated to have had no role in design, collection, analysis, interpretation or writing. Four authors declare industry relationships, one of them speakers' fees from Merck Serono</w:t>
      </w:r>
    </w:p>
    <w:p>
      <w:pPr>
        <w:keepNext/>
        <w:spacing w:after="50" w:before="260"/>
      </w:pPr>
      <w:r>
        <w:rPr>
          <w:rFonts w:ascii="Cambria" w:cs="Cambria" w:eastAsia="Cambria" w:hAnsi="Cambria"/>
          <w:b/>
          <w:bCs/>
          <w:color w:val="17365D"/>
          <w:sz w:val="20"/>
          <w:szCs w:val="20"/>
        </w:rPr>
        <w:t xml:space="preserve">North American LDLT</w:t>
      </w:r>
      <w:r>
        <w:rPr>
          <w:b/>
          <w:bCs/>
          <w:color w:val="176A87"/>
          <w:sz w:val="15"/>
          <w:szCs w:val="15"/>
        </w:rPr>
        <w:t xml:space="preserve">   cohort</w:t>
      </w:r>
      <w:r>
        <w:rPr>
          <w:color w:val="5A6069"/>
          <w:sz w:val="15"/>
          <w:szCs w:val="15"/>
        </w:rPr>
        <w:t xml:space="preserve">   PMID 35353121</w:t>
      </w:r>
    </w:p>
    <w:p>
      <w:pPr>
        <w:spacing w:after="50" w:line="276"/>
      </w:pPr>
      <w:r>
        <w:rPr>
          <w:color w:val="5A6069"/>
          <w:sz w:val="17"/>
          <w:szCs w:val="17"/>
        </w:rPr>
        <w:t xml:space="preserve">Recipient and Donor Outcomes After Living-Donor Liver Transplant for Unresectable Colorectal Liver Metastases</w:t>
      </w:r>
    </w:p>
    <w:p>
      <w:pPr>
        <w:spacing w:after="50"/>
      </w:pPr>
      <w:r>
        <w:rPr>
          <w:b/>
          <w:bCs/>
          <w:color w:val="176A87"/>
          <w:sz w:val="16"/>
          <w:szCs w:val="16"/>
        </w:rPr>
        <w:t xml:space="preserve">Population. </w:t>
      </w:r>
      <w:r>
        <w:rPr>
          <w:sz w:val="16"/>
          <w:szCs w:val="16"/>
        </w:rPr>
        <w:t xml:space="preserve">10 consecutive recipients of living-donor liver transplantation for unresectable liver-confined colorectal metastases at three North American centres, drawn from 91 patients evaluated (12, 13%, achieved sustained disease control and became candidates; 2 with high MELD received deceased-donor grafts). Median Fong score 2.5 (range 1-4), Oslo score 1.5 (0-2), 22.5 chemotherapy cycles (6-37), CEA 7.7 ng/mL, 1.7 years from metastasis diagnosis to transplant; 9 of 10 synchronous, 8 of 10 bilobar, 4 with prior liver resection, 3 with prior hepatic arterial infusion, 3 with prior ablation. Median follow-up 1.5 years (range 0.4-2.9) with 10 living donors</w:t>
      </w:r>
    </w:p>
    <w:p>
      <w:pPr>
        <w:spacing w:after="70"/>
      </w:pPr>
      <w:r>
        <w:rPr>
          <w:b/>
          <w:bCs/>
          <w:color w:val="17365D"/>
          <w:sz w:val="16"/>
          <w:szCs w:val="16"/>
        </w:rPr>
        <w:t xml:space="preserve">Bottom line. </w:t>
      </w:r>
      <w:r>
        <w:rPr>
          <w:sz w:val="16"/>
          <w:szCs w:val="16"/>
        </w:rPr>
        <w:t xml:space="preserve">Shows that living-donor liver transplantation for unresectable liver-confined colorectal metastases can be done safely at experienced North American centres - all ten recipients alive at a median 1.5 years, all ten donors recovered, with four recipient grade III complications and one donor grade IIIB. It establishes nothing about oncological benefit: 30% recurred within 200 days despite sustained pretransplant response, follow-up is a median of 1.5 years, total tumour burden at transplant is not reported, three different centre protocols are pooled into a cohort of ten, and the 79 patients evaluated but not transplanted - the comparison that would show what selection achieved - are not described at all.</w:t>
      </w:r>
    </w:p>
    <w:tbl>
      <w:tblPr>
        <w:tblW w:type="dxa" w:w="9360"/>
        <w:tblBorders>
          <w:top w:val="single" w:color="D3DCE4" w:sz="4"/>
          <w:left w:val="single" w:color="D3DCE4" w:sz="4"/>
          <w:bottom w:val="single" w:color="D3DCE4" w:sz="4"/>
          <w:right w:val="single" w:color="D3DCE4" w:sz="4"/>
          <w:insideH w:val="single" w:color="D3DCE4" w:sz="4"/>
          <w:insideV w:val="single" w:color="D3DCE4" w:sz="4"/>
        </w:tblBorders>
      </w:tblPr>
      <w:tblGrid>
        <w:gridCol w:w="4600"/>
        <w:gridCol w:w="4760"/>
      </w:tblGrid>
      <w:tr>
        <w:tc>
          <w:tcPr>
            <w:tcW w:type="dxa" w:w="4600"/>
            <w:shd w:fill="F1F4F8" w:color="auto" w:val="clear"/>
            <w:tcMar>
              <w:top w:type="dxa" w:w="70"/>
              <w:left w:type="dxa" w:w="110"/>
              <w:bottom w:type="dxa" w:w="70"/>
              <w:right w:type="dxa" w:w="110"/>
            </w:tcMar>
            <w:vAlign w:val="top"/>
          </w:tcPr>
          <w:p>
            <w:pPr>
              <w:spacing w:after="50"/>
            </w:pPr>
            <w:r>
              <w:rPr>
                <w:b/>
                <w:bCs/>
                <w:color w:val="8E5008"/>
                <w:spacing w:val="12"/>
                <w:sz w:val="14"/>
                <w:szCs w:val="14"/>
              </w:rPr>
              <w:t xml:space="preserve">LIMITATIONS THE AUTHORS STATE</w:t>
            </w:r>
          </w:p>
          <w:p>
            <w:pPr>
              <w:pStyle w:val="ListParagraph"/>
              <w:numPr>
                <w:ilvl w:val="0"/>
                <w:numId w:val="2"/>
              </w:numPr>
              <w:spacing w:after="45"/>
            </w:pPr>
            <w:r>
              <w:rPr>
                <w:sz w:val="15"/>
                <w:szCs w:val="15"/>
              </w:rPr>
              <w:t xml:space="preserve">The number of patients was small, so the authors state conclusions should be made with caution</w:t>
            </w:r>
          </w:p>
          <w:p>
            <w:pPr>
              <w:pStyle w:val="ListParagraph"/>
              <w:numPr>
                <w:ilvl w:val="0"/>
                <w:numId w:val="2"/>
              </w:numPr>
              <w:spacing w:after="45"/>
            </w:pPr>
            <w:r>
              <w:rPr>
                <w:sz w:val="15"/>
                <w:szCs w:val="15"/>
              </w:rPr>
              <w:t xml:space="preserve">They state there was a risk of selection bias because only patients who received transplants were included</w:t>
            </w:r>
          </w:p>
          <w:p>
            <w:pPr>
              <w:pStyle w:val="ListParagraph"/>
              <w:numPr>
                <w:ilvl w:val="0"/>
                <w:numId w:val="2"/>
              </w:numPr>
              <w:spacing w:after="45"/>
            </w:pPr>
            <w:r>
              <w:rPr>
                <w:sz w:val="15"/>
                <w:szCs w:val="15"/>
              </w:rPr>
              <w:t xml:space="preserve">They state the findings should be further investigated in future studies</w:t>
            </w:r>
          </w:p>
        </w:tc>
        <w:tc>
          <w:tcPr>
            <w:tcW w:type="dxa" w:w="4760"/>
            <w:shd w:fill="F1F4F8" w:color="auto" w:val="clear"/>
            <w:tcMar>
              <w:top w:type="dxa" w:w="70"/>
              <w:left w:type="dxa" w:w="110"/>
              <w:bottom w:type="dxa" w:w="70"/>
              <w:right w:type="dxa" w:w="110"/>
            </w:tcMar>
            <w:vAlign w:val="top"/>
          </w:tcPr>
          <w:p>
            <w:pPr>
              <w:spacing w:after="50"/>
            </w:pPr>
            <w:r>
              <w:rPr>
                <w:b/>
                <w:bCs/>
                <w:color w:val="8C2F26"/>
                <w:spacing w:val="12"/>
                <w:sz w:val="14"/>
                <w:szCs w:val="14"/>
              </w:rPr>
              <w:t xml:space="preserve">WHAT THEY DO NOT SAY</w:t>
            </w:r>
          </w:p>
          <w:p>
            <w:pPr>
              <w:pStyle w:val="ListParagraph"/>
              <w:numPr>
                <w:ilvl w:val="0"/>
                <w:numId w:val="2"/>
              </w:numPr>
              <w:spacing w:after="45"/>
            </w:pPr>
            <w:r>
              <w:rPr>
                <w:sz w:val="15"/>
                <w:szCs w:val="15"/>
              </w:rPr>
              <w:t xml:space="preserve">Thirty percent of recipients recurred, all within 200 days of transplantation - at 92, 121 and 199 days - which the accompanying commentary notes would be alarming in any other transplant oncology indication, and which means sustained response to systemic and local therapy did not identify favourable biology in a third of this highly selected group.</w:t>
            </w:r>
          </w:p>
          <w:p>
            <w:pPr>
              <w:pStyle w:val="ListParagraph"/>
              <w:numPr>
                <w:ilvl w:val="0"/>
                <w:numId w:val="2"/>
              </w:numPr>
              <w:spacing w:after="45"/>
            </w:pPr>
            <w:r>
              <w:rPr>
                <w:sz w:val="15"/>
                <w:szCs w:val="15"/>
              </w:rPr>
              <w:t xml:space="preserve">Survival of 100% at 1.5 years with a median follow-up of 1.5 years and a minimum of 0.4 years is a statement about the perioperative period, not about the disease. The commentary printed alongside calls it akin to a technical demonstration of an operation already well established for other indications.</w:t>
            </w:r>
          </w:p>
          <w:p>
            <w:pPr>
              <w:pStyle w:val="ListParagraph"/>
              <w:numPr>
                <w:ilvl w:val="0"/>
                <w:numId w:val="2"/>
              </w:numPr>
              <w:spacing w:after="45"/>
            </w:pPr>
            <w:r>
              <w:rPr>
                <w:sz w:val="15"/>
                <w:szCs w:val="15"/>
              </w:rPr>
              <w:t xml:space="preserve">The outcomes of the 79 patients evaluated and not transplanted, and of the 2 who received deceased-donor grafts, are not reported. Without them the selection process that produced these results cannot be assessed, and the paper has no denominator for the strategy it recommends.</w:t>
            </w:r>
          </w:p>
          <w:p>
            <w:pPr>
              <w:pStyle w:val="ListParagraph"/>
              <w:numPr>
                <w:ilvl w:val="0"/>
                <w:numId w:val="2"/>
              </w:numPr>
              <w:spacing w:after="45"/>
            </w:pPr>
            <w:r>
              <w:rPr>
                <w:sz w:val="15"/>
                <w:szCs w:val="15"/>
              </w:rPr>
              <w:t xml:space="preserve">Three different centre protocols with three different candidate selection processes are pooled into one cohort of ten, with the centre-specific criteria relegated to a supplementary table; the Methods describe only the common framework, so what any individual patient had to satisfy is not recoverable from the paper.</w:t>
            </w:r>
          </w:p>
          <w:p>
            <w:pPr>
              <w:pStyle w:val="ListParagraph"/>
              <w:numPr>
                <w:ilvl w:val="0"/>
                <w:numId w:val="2"/>
              </w:numPr>
              <w:spacing w:after="45"/>
            </w:pPr>
            <w:r>
              <w:rPr>
                <w:sz w:val="15"/>
                <w:szCs w:val="15"/>
              </w:rPr>
              <w:t xml:space="preserve">Prior treatment was heterogeneous and intensive - 40% prior liver resection, 30% hepatic arterial infusion, 30% ablation, a median 22.5 cycles of chemotherapy - so the intervention being reported is the final step of a long individualised sequence rather than a defined treatment.</w:t>
            </w:r>
          </w:p>
          <w:p>
            <w:pPr>
              <w:pStyle w:val="ListParagraph"/>
              <w:numPr>
                <w:ilvl w:val="0"/>
                <w:numId w:val="2"/>
              </w:numPr>
              <w:spacing w:after="45"/>
            </w:pPr>
            <w:r>
              <w:rPr>
                <w:sz w:val="15"/>
                <w:szCs w:val="15"/>
              </w:rPr>
              <w:t xml:space="preserve">Total tumour burden at transplantation is not reported. The commentary names this explicitly as unclear, and the paper gives Fong and Oslo scores without lesion number, lesion size or metabolic tumour volume at the time of operation, which are the variables the Oslo group's own work identifies as decisive.</w:t>
            </w:r>
          </w:p>
          <w:p>
            <w:pPr>
              <w:pStyle w:val="ListParagraph"/>
              <w:numPr>
                <w:ilvl w:val="0"/>
                <w:numId w:val="2"/>
              </w:numPr>
              <w:spacing w:after="45"/>
            </w:pPr>
            <w:r>
              <w:rPr>
                <w:sz w:val="15"/>
                <w:szCs w:val="15"/>
              </w:rPr>
              <w:t xml:space="preserve">Nine of ten explants contained viable tumour and one carried a positive portal lymph node, so a patient with nodal metastatic disease was transplanted - and that patient developed peritoneal recurrence. Frozen-section nodal assessment is not described as part of the protocol, in contrast to the Oslo series where it excluded 7 of 72 listed patients.</w:t>
            </w:r>
          </w:p>
          <w:p>
            <w:pPr>
              <w:pStyle w:val="ListParagraph"/>
              <w:numPr>
                <w:ilvl w:val="0"/>
                <w:numId w:val="2"/>
              </w:numPr>
              <w:spacing w:after="45"/>
            </w:pPr>
            <w:r>
              <w:rPr>
                <w:sz w:val="15"/>
                <w:szCs w:val="15"/>
              </w:rPr>
              <w:t xml:space="preserve">The harms of the operation are substantial in both directions and are reported without being weighed: Clavien-Dindo grade IIIA or IIIB complications in 4 of 10 recipients including hepatic artery thrombosis requiring reoperation and biliary complications, and one donor with a grade IIIB complication requiring evacuation of a haematoma, with median donor blood loss of 525 mL and a range to 1400 mL.</w:t>
            </w:r>
          </w:p>
          <w:p>
            <w:pPr>
              <w:pStyle w:val="ListParagraph"/>
              <w:numPr>
                <w:ilvl w:val="0"/>
                <w:numId w:val="2"/>
              </w:numPr>
              <w:spacing w:after="45"/>
            </w:pPr>
            <w:r>
              <w:rPr>
                <w:sz w:val="15"/>
                <w:szCs w:val="15"/>
              </w:rPr>
              <w:t xml:space="preserve">A healthy person underwent a hepatectomy for each of these ten operations. The paper reports donor outcomes but offers no formal risk-benefit framing of exposing a donor to that risk for an indication with 30% recurrence inside seven months, which is the commentary's central objection.</w:t>
            </w:r>
          </w:p>
          <w:p>
            <w:pPr>
              <w:pStyle w:val="ListParagraph"/>
              <w:numPr>
                <w:ilvl w:val="0"/>
                <w:numId w:val="2"/>
              </w:numPr>
              <w:spacing w:after="45"/>
            </w:pPr>
            <w:r>
              <w:rPr>
                <w:sz w:val="15"/>
                <w:szCs w:val="15"/>
              </w:rPr>
              <w:t xml:space="preserve">There is no comparator arm. The implied alternative is continued systemic therapy, and the paper does not report what the 79 non-transplanted patients received or how they fared, so no estimate of benefit over the alternative exists within the study.</w:t>
            </w:r>
          </w:p>
          <w:p>
            <w:pPr>
              <w:pStyle w:val="ListParagraph"/>
              <w:numPr>
                <w:ilvl w:val="0"/>
                <w:numId w:val="2"/>
              </w:numPr>
              <w:spacing w:after="45"/>
            </w:pPr>
            <w:r>
              <w:rPr>
                <w:sz w:val="15"/>
                <w:szCs w:val="15"/>
              </w:rPr>
              <w:t xml:space="preserve">Internal inconsistencies: the abstract tallies recipient complications as 3 none, 3 grade II and 4 grade III while Table 4 gives 3 none, 3 grade II, 2 grade IIIA and 2 grade IIIB; and the abstract dates the transplants to July 2017 to October 2020 while the Methods give December 2017 to May 2021.</w:t>
            </w:r>
          </w:p>
          <w:p>
            <w:pPr>
              <w:pStyle w:val="ListParagraph"/>
              <w:numPr>
                <w:ilvl w:val="0"/>
                <w:numId w:val="2"/>
              </w:numPr>
              <w:spacing w:after="45"/>
            </w:pPr>
            <w:r>
              <w:rPr>
                <w:sz w:val="15"/>
                <w:szCs w:val="15"/>
              </w:rPr>
              <w:t xml:space="preserve">Follow-up is too short for the endpoint that matters and is reported as a Kaplan-Meier estimate anyway: recurrence-free survival of 62% at 1.5 years comes from 10 patients with 3 events and no confidence interval.</w:t>
            </w:r>
          </w:p>
          <w:p>
            <w:pPr>
              <w:pStyle w:val="ListParagraph"/>
              <w:numPr>
                <w:ilvl w:val="0"/>
                <w:numId w:val="2"/>
              </w:numPr>
              <w:spacing w:after="45"/>
            </w:pPr>
            <w:r>
              <w:rPr>
                <w:sz w:val="15"/>
                <w:szCs w:val="15"/>
              </w:rPr>
              <w:t xml:space="preserve">No funding statement appears anywhere in the paper.</w:t>
            </w:r>
          </w:p>
          <w:p>
            <w:pPr>
              <w:pStyle w:val="ListParagraph"/>
              <w:numPr>
                <w:ilvl w:val="0"/>
                <w:numId w:val="2"/>
              </w:numPr>
              <w:spacing w:after="45"/>
            </w:pPr>
            <w:r>
              <w:rPr>
                <w:sz w:val="15"/>
                <w:szCs w:val="15"/>
              </w:rPr>
              <w:t xml:space="preserve">The invited commentary (PMID 35353145, Shah and Vagefi, 'Let's Walk, Not Run', JAMA Surg 2022;157:530-1) is printed with the article and its arguments are reflected above.</w:t>
            </w:r>
          </w:p>
        </w:tc>
      </w:tr>
    </w:tbl>
    <w:p>
      <w:pPr>
        <w:spacing w:after="0" w:line="276"/>
      </w:pPr>
      <w:r>
        <w:rPr>
          <w:color w:val="5A6069"/>
          <w:sz w:val="14"/>
          <w:szCs w:val="14"/>
        </w:rPr>
        <w:t xml:space="preserve">Funding: No funding statement appears. Two authors declare grants or personal fees from Medtronic, Integra LifeSciences, Olympus, Fujifilm, Ethicon, Roche, Bayer, AstraZeneca and Novartis outside the submitted work; no other disclosures were reported</w:t>
      </w:r>
    </w:p>
    <w:p>
      <w:pPr>
        <w:keepNext/>
        <w:spacing w:after="50" w:before="260"/>
      </w:pPr>
      <w:r>
        <w:rPr>
          <w:rFonts w:ascii="Cambria" w:cs="Cambria" w:eastAsia="Cambria" w:hAnsi="Cambria"/>
          <w:b/>
          <w:bCs/>
          <w:color w:val="17365D"/>
          <w:sz w:val="20"/>
          <w:szCs w:val="20"/>
        </w:rPr>
        <w:t xml:space="preserve">Oslo cohort</w:t>
      </w:r>
      <w:r>
        <w:rPr>
          <w:b/>
          <w:bCs/>
          <w:color w:val="176A87"/>
          <w:sz w:val="15"/>
          <w:szCs w:val="15"/>
        </w:rPr>
        <w:t xml:space="preserve">   cohort</w:t>
      </w:r>
      <w:r>
        <w:rPr>
          <w:color w:val="5A6069"/>
          <w:sz w:val="15"/>
          <w:szCs w:val="15"/>
        </w:rPr>
        <w:t xml:space="preserve">   PMID 37494056</w:t>
      </w:r>
    </w:p>
    <w:p>
      <w:pPr>
        <w:spacing w:after="50" w:line="276"/>
      </w:pPr>
      <w:r>
        <w:rPr>
          <w:color w:val="5A6069"/>
          <w:sz w:val="17"/>
          <w:szCs w:val="17"/>
        </w:rPr>
        <w:t xml:space="preserve">Long-Term Survival, Prognostic Factors, and Selection of Patients With Colorectal Cancer for Liver Transplant: A Nonrandomized Controlled Trial</w:t>
      </w:r>
    </w:p>
    <w:p>
      <w:pPr>
        <w:spacing w:after="50"/>
      </w:pPr>
      <w:r>
        <w:rPr>
          <w:b/>
          <w:bCs/>
          <w:color w:val="176A87"/>
          <w:sz w:val="16"/>
          <w:szCs w:val="16"/>
        </w:rPr>
        <w:t xml:space="preserve">Population. </w:t>
      </w:r>
      <w:r>
        <w:rPr>
          <w:sz w:val="16"/>
          <w:szCs w:val="16"/>
        </w:rPr>
        <w:t xml:space="preserve">72 patients accepted onto the waiting list and 61 transplanted for colorectal liver metastases at Oslo University Hospital between November 2006 and November 2020 across SECA-I, SECA-II arms A to D and RAPID; 60 of the 61 had non-resectable liver-only disease, median age 57.8, median 8 lesions (range 1-53) with largest 35 mm (3-130), all previously treated with fluorouracil and most with irinotecan and oxaliplatin, 12 with prior liver resection and 7 with prior ablation, and none given adjuvant chemotherapy. Eleven listed patients were never transplanted, 7 for hilar nodal disease found at laparotomy</w:t>
      </w:r>
    </w:p>
    <w:p>
      <w:pPr>
        <w:spacing w:after="70"/>
      </w:pPr>
      <w:r>
        <w:rPr>
          <w:b/>
          <w:bCs/>
          <w:color w:val="17365D"/>
          <w:sz w:val="16"/>
          <w:szCs w:val="16"/>
        </w:rPr>
        <w:t xml:space="preserve">Bottom line. </w:t>
      </w:r>
      <w:r>
        <w:rPr>
          <w:sz w:val="16"/>
          <w:szCs w:val="16"/>
        </w:rPr>
        <w:t xml:space="preserve">The largest and most mature transplant series in colorectal liver metastases: 61 patients over 14 years, median overall survival 60.3 months and 50.4% at five years, with the best-selected tenth - Oslo score 0 - reaching 88.9% at ten years, and survival after relapse of 37.1 months on repeated metastasectomy. It does not validate the selection rule it recommends: the Oslo score and the 70 cm3 PET threshold were both derived in patients included here, the favourable strata hold 5 to 19 people with no confidence intervals, every factor was tested singly with no multivariable model, and survival is counted from transplantation rather than from listing, which drops the 11 of 72 patients who never got a graft and takes five-year survival from 50.4% to 42.6%. The section headed Limitations contains none.</w:t>
      </w:r>
    </w:p>
    <w:tbl>
      <w:tblPr>
        <w:tblW w:type="dxa" w:w="9360"/>
        <w:tblBorders>
          <w:top w:val="single" w:color="D3DCE4" w:sz="4"/>
          <w:left w:val="single" w:color="D3DCE4" w:sz="4"/>
          <w:bottom w:val="single" w:color="D3DCE4" w:sz="4"/>
          <w:right w:val="single" w:color="D3DCE4" w:sz="4"/>
          <w:insideH w:val="single" w:color="D3DCE4" w:sz="4"/>
          <w:insideV w:val="single" w:color="D3DCE4" w:sz="4"/>
        </w:tblBorders>
      </w:tblPr>
      <w:tblGrid>
        <w:gridCol w:w="4600"/>
        <w:gridCol w:w="4760"/>
      </w:tblGrid>
      <w:tr>
        <w:tc>
          <w:tcPr>
            <w:tcW w:type="dxa" w:w="4600"/>
            <w:shd w:fill="F1F4F8" w:color="auto" w:val="clear"/>
            <w:tcMar>
              <w:top w:type="dxa" w:w="70"/>
              <w:left w:type="dxa" w:w="110"/>
              <w:bottom w:type="dxa" w:w="70"/>
              <w:right w:type="dxa" w:w="110"/>
            </w:tcMar>
            <w:vAlign w:val="top"/>
          </w:tcPr>
          <w:p>
            <w:pPr>
              <w:spacing w:after="50"/>
            </w:pPr>
            <w:r>
              <w:rPr>
                <w:b/>
                <w:bCs/>
                <w:color w:val="8E5008"/>
                <w:spacing w:val="12"/>
                <w:sz w:val="14"/>
                <w:szCs w:val="14"/>
              </w:rPr>
              <w:t xml:space="preserve">LIMITATIONS THE AUTHORS STATE</w:t>
            </w:r>
          </w:p>
          <w:p>
            <w:pPr>
              <w:pStyle w:val="ListParagraph"/>
              <w:numPr>
                <w:ilvl w:val="0"/>
                <w:numId w:val="2"/>
              </w:numPr>
              <w:spacing w:after="45"/>
            </w:pPr>
            <w:r>
              <w:rPr>
                <w:sz w:val="15"/>
                <w:szCs w:val="15"/>
              </w:rPr>
              <w:t xml:space="preserve">The section headed Limitations contains no limitation of the study. It states that SECA-I patients had good quality of life to three years, that transplantation is cost-effective against modern oncological treatment, that the major obstacle internationally is graft scarcity, that only 1 of 11 extended-criteria grafts failed, and that the RAPID technique may expand the donor pool</w:t>
            </w:r>
          </w:p>
          <w:p>
            <w:pPr>
              <w:pStyle w:val="ListParagraph"/>
              <w:numPr>
                <w:ilvl w:val="0"/>
                <w:numId w:val="2"/>
              </w:numPr>
              <w:spacing w:after="45"/>
            </w:pPr>
            <w:r>
              <w:rPr>
                <w:sz w:val="15"/>
                <w:szCs w:val="15"/>
              </w:rPr>
              <w:t xml:space="preserve">The authors state elsewhere that disease-free survival is not a valid measure of efficacy in this setting, because recurrence is compatible with long survival</w:t>
            </w:r>
          </w:p>
          <w:p>
            <w:pPr>
              <w:pStyle w:val="ListParagraph"/>
              <w:numPr>
                <w:ilvl w:val="0"/>
                <w:numId w:val="2"/>
              </w:numPr>
              <w:spacing w:after="45"/>
            </w:pPr>
            <w:r>
              <w:rPr>
                <w:sz w:val="15"/>
                <w:szCs w:val="15"/>
              </w:rPr>
              <w:t xml:space="preserve">They report that the cohort spans several protocols with different entry criteria and that no adjuvant chemotherapy was given to any patient</w:t>
            </w:r>
          </w:p>
          <w:p>
            <w:pPr>
              <w:pStyle w:val="ListParagraph"/>
              <w:numPr>
                <w:ilvl w:val="0"/>
                <w:numId w:val="2"/>
              </w:numPr>
              <w:spacing w:after="45"/>
            </w:pPr>
            <w:r>
              <w:rPr>
                <w:sz w:val="15"/>
                <w:szCs w:val="15"/>
              </w:rPr>
              <w:t xml:space="preserve">They state that one RAPID patient who died of complications 1.4 months after transplantation is excluded from all analyses except disease-free and overall survival</w:t>
            </w:r>
          </w:p>
          <w:p>
            <w:pPr>
              <w:pStyle w:val="ListParagraph"/>
              <w:numPr>
                <w:ilvl w:val="0"/>
                <w:numId w:val="2"/>
              </w:numPr>
              <w:spacing w:after="45"/>
            </w:pPr>
            <w:r>
              <w:rPr>
                <w:sz w:val="15"/>
                <w:szCs w:val="15"/>
              </w:rPr>
              <w:t xml:space="preserve">They note that a primary tumour in the ascending colon, an Oslo score of 3 to 4, a lesion of 5.5 cm or more, CEA above 80 ug/L, progression on chemotherapy and nine or more metastases all predict poor outcome, and conclude that selection should require an Oslo score of 0 to 1 and a metabolic tumour volume under 70 cm3</w:t>
            </w:r>
          </w:p>
        </w:tc>
        <w:tc>
          <w:tcPr>
            <w:tcW w:type="dxa" w:w="4760"/>
            <w:shd w:fill="F1F4F8" w:color="auto" w:val="clear"/>
            <w:tcMar>
              <w:top w:type="dxa" w:w="70"/>
              <w:left w:type="dxa" w:w="110"/>
              <w:bottom w:type="dxa" w:w="70"/>
              <w:right w:type="dxa" w:w="110"/>
            </w:tcMar>
            <w:vAlign w:val="top"/>
          </w:tcPr>
          <w:p>
            <w:pPr>
              <w:spacing w:after="50"/>
            </w:pPr>
            <w:r>
              <w:rPr>
                <w:b/>
                <w:bCs/>
                <w:color w:val="8C2F26"/>
                <w:spacing w:val="12"/>
                <w:sz w:val="14"/>
                <w:szCs w:val="14"/>
              </w:rPr>
              <w:t xml:space="preserve">WHAT THEY DO NOT SAY</w:t>
            </w:r>
          </w:p>
          <w:p>
            <w:pPr>
              <w:pStyle w:val="ListParagraph"/>
              <w:numPr>
                <w:ilvl w:val="0"/>
                <w:numId w:val="2"/>
              </w:numPr>
              <w:spacing w:after="45"/>
            </w:pPr>
            <w:r>
              <w:rPr>
                <w:sz w:val="15"/>
                <w:szCs w:val="15"/>
              </w:rPr>
              <w:t xml:space="preserve">The paper has no limitations section despite having one by title, so every methodological objection below is unacknowledged.</w:t>
            </w:r>
          </w:p>
          <w:p>
            <w:pPr>
              <w:pStyle w:val="ListParagraph"/>
              <w:numPr>
                <w:ilvl w:val="0"/>
                <w:numId w:val="2"/>
              </w:numPr>
              <w:spacing w:after="45"/>
            </w:pPr>
            <w:r>
              <w:rPr>
                <w:sz w:val="15"/>
                <w:szCs w:val="15"/>
              </w:rPr>
              <w:t xml:space="preserve">The selection rule the paper concludes with would have admitted a small fraction of its own cohort. An Oslo score of 0 describes 10 patients and a Fong score of 0 to 2 describes 19 of 60; the 88.9% ten-year survival rests on 10 patients and the 100% five-year survival on the 5 patients with a Fong score of 1. No confidence interval accompanies any of these subgroup estimates.</w:t>
            </w:r>
          </w:p>
          <w:p>
            <w:pPr>
              <w:pStyle w:val="ListParagraph"/>
              <w:numPr>
                <w:ilvl w:val="0"/>
                <w:numId w:val="2"/>
              </w:numPr>
              <w:spacing w:after="45"/>
            </w:pPr>
            <w:r>
              <w:rPr>
                <w:sz w:val="15"/>
                <w:szCs w:val="15"/>
              </w:rPr>
              <w:t xml:space="preserve">Both selection instruments were built by this group from patients inside this cohort: the Oslo score was derived in SECA-I and the 70 cm3 metabolic tumour volume threshold by ROC analysis in the SECA-1 and SECA-2 patients, all of whom are included here. The paper presents their performance as a selection recommendation without stating that it is apparent performance in the derivation sample.</w:t>
            </w:r>
          </w:p>
          <w:p>
            <w:pPr>
              <w:pStyle w:val="ListParagraph"/>
              <w:numPr>
                <w:ilvl w:val="0"/>
                <w:numId w:val="2"/>
              </w:numPr>
              <w:spacing w:after="45"/>
            </w:pPr>
            <w:r>
              <w:rPr>
                <w:sz w:val="15"/>
                <w:szCs w:val="15"/>
              </w:rPr>
              <w:t xml:space="preserve">The two criteria recommended together are not independent of each other or of the factors they are built from. Largest lesion, CEA, progression on chemotherapy and time from primary resection are the Oslo score's own components and are also reported as separate significant predictors, and metabolic tumour volume tracks all of them. No multivariable model appears anywhere.</w:t>
            </w:r>
          </w:p>
          <w:p>
            <w:pPr>
              <w:pStyle w:val="ListParagraph"/>
              <w:numPr>
                <w:ilvl w:val="0"/>
                <w:numId w:val="2"/>
              </w:numPr>
              <w:spacing w:after="45"/>
            </w:pPr>
            <w:r>
              <w:rPr>
                <w:sz w:val="15"/>
                <w:szCs w:val="15"/>
              </w:rPr>
              <w:t xml:space="preserve">Prognostic factors were tested one at a time by log-rank in 60 patients - Oslo score, Fong score, metabolic tumour volume, lesion size, CEA, progression, lesion number, primary site, KRAS, nodal stage - with no correction for multiplicity and no prespecified primary analysis, so the two or three thresholds that separated best are the output of a search.</w:t>
            </w:r>
          </w:p>
          <w:p>
            <w:pPr>
              <w:pStyle w:val="ListParagraph"/>
              <w:numPr>
                <w:ilvl w:val="0"/>
                <w:numId w:val="2"/>
              </w:numPr>
              <w:spacing w:after="45"/>
            </w:pPr>
            <w:r>
              <w:rPr>
                <w:sz w:val="15"/>
                <w:szCs w:val="15"/>
              </w:rPr>
              <w:t xml:space="preserve">Survival is reported from the date of transplantation, which conditions on having received a graft. Seven of the 72 listed patients were found at laparotomy to have hilar nodal metastases, three developed extrahepatic disease while waiting and one deteriorated; from acceptance onto the list the figures fall to a median 50.8 months and 42.6% at five years, and that analysis sits in a supplementary figure.</w:t>
            </w:r>
          </w:p>
          <w:p>
            <w:pPr>
              <w:pStyle w:val="ListParagraph"/>
              <w:numPr>
                <w:ilvl w:val="0"/>
                <w:numId w:val="2"/>
              </w:numPr>
              <w:spacing w:after="45"/>
            </w:pPr>
            <w:r>
              <w:rPr>
                <w:sz w:val="15"/>
                <w:szCs w:val="15"/>
              </w:rPr>
              <w:t xml:space="preserve">The cohort is six protocols treated as one: SECA-I, four separate SECA-II arms and RAPID, with different prognostic entry criteria, different grafts including 11 extended-criteria donors and auxiliary segment 2-3 transplants, across 14 years of changing systemic therapy. Trial arm is never entered as a covariate and the arms are not compared.</w:t>
            </w:r>
          </w:p>
          <w:p>
            <w:pPr>
              <w:pStyle w:val="ListParagraph"/>
              <w:numPr>
                <w:ilvl w:val="0"/>
                <w:numId w:val="2"/>
              </w:numPr>
              <w:spacing w:after="45"/>
            </w:pPr>
            <w:r>
              <w:rPr>
                <w:sz w:val="15"/>
                <w:szCs w:val="15"/>
              </w:rPr>
              <w:t xml:space="preserve">One patient with technically resectable disease was randomly assigned to transplantation and is included; the word nonrandomized appears in the title while a randomised comparison involving at least one patient is folded into the same survival curves without being reported as a comparison.</w:t>
            </w:r>
          </w:p>
          <w:p>
            <w:pPr>
              <w:pStyle w:val="ListParagraph"/>
              <w:numPr>
                <w:ilvl w:val="0"/>
                <w:numId w:val="2"/>
              </w:numPr>
              <w:spacing w:after="45"/>
            </w:pPr>
            <w:r>
              <w:rPr>
                <w:sz w:val="15"/>
                <w:szCs w:val="15"/>
              </w:rPr>
              <w:t xml:space="preserve">There is no control group of any kind - no chemotherapy, resection, portal vein embolisation or listed-but-untransplanted cohort analysed as a comparator - so the claim that transplantation may be the best option even for resectable extensive disease is supported only by cross-study comparison with other series.</w:t>
            </w:r>
          </w:p>
          <w:p>
            <w:pPr>
              <w:pStyle w:val="ListParagraph"/>
              <w:numPr>
                <w:ilvl w:val="0"/>
                <w:numId w:val="2"/>
              </w:numPr>
              <w:spacing w:after="45"/>
            </w:pPr>
            <w:r>
              <w:rPr>
                <w:sz w:val="15"/>
                <w:szCs w:val="15"/>
              </w:rPr>
              <w:t xml:space="preserve">Recurrence was near universal: 47 of 60 patients (78.3%) relapsed at a median 9.0 months and 94% within two years, with median disease-free survival 11.8 months and 18.3% at five years. The argument that disease-free survival is not a valid efficacy measure converts this into a methodological claim and leaves the survival benefit resting on repeated resection of pulmonary metastases under immunosuppression, which is never costed, counted by operation, or reported as time spent disease free.</w:t>
            </w:r>
          </w:p>
          <w:p>
            <w:pPr>
              <w:pStyle w:val="ListParagraph"/>
              <w:numPr>
                <w:ilvl w:val="0"/>
                <w:numId w:val="2"/>
              </w:numPr>
              <w:spacing w:after="45"/>
            </w:pPr>
            <w:r>
              <w:rPr>
                <w:sz w:val="15"/>
                <w:szCs w:val="15"/>
              </w:rPr>
              <w:t xml:space="preserve">The ascending-colon finding - median survival 17.9 months and 10% at five years - rests on 10 patients and is offered as a selection criterion alongside the scores, with no interaction test and no adjustment for the tumour burden that accompanies right-sided disease.</w:t>
            </w:r>
          </w:p>
          <w:p>
            <w:pPr>
              <w:pStyle w:val="ListParagraph"/>
              <w:numPr>
                <w:ilvl w:val="0"/>
                <w:numId w:val="2"/>
              </w:numPr>
              <w:spacing w:after="45"/>
            </w:pPr>
            <w:r>
              <w:rPr>
                <w:sz w:val="15"/>
                <w:szCs w:val="15"/>
              </w:rPr>
              <w:t xml:space="preserve">Graft outcomes, rejection, immunosuppression exposure and non-cancer mortality are not reported, although the Limitations section cites the performance of extended-criteria grafts as an argument for expanding the indication.</w:t>
            </w:r>
          </w:p>
          <w:p>
            <w:pPr>
              <w:pStyle w:val="ListParagraph"/>
              <w:numPr>
                <w:ilvl w:val="0"/>
                <w:numId w:val="2"/>
              </w:numPr>
              <w:spacing w:after="45"/>
            </w:pPr>
            <w:r>
              <w:rPr>
                <w:sz w:val="15"/>
                <w:szCs w:val="15"/>
              </w:rPr>
              <w:t xml:space="preserve">Quality of life and cost-effectiveness are asserted from the authors' own earlier publications rather than measured here, in the section where the study's limitations should be.</w:t>
            </w:r>
          </w:p>
          <w:p>
            <w:pPr>
              <w:pStyle w:val="ListParagraph"/>
              <w:numPr>
                <w:ilvl w:val="0"/>
                <w:numId w:val="2"/>
              </w:numPr>
              <w:spacing w:after="45"/>
            </w:pPr>
            <w:r>
              <w:rPr>
                <w:sz w:val="15"/>
                <w:szCs w:val="15"/>
              </w:rPr>
              <w:t xml:space="preserve">Internal inconsistency: Table 1 gives the Fong score distribution as 5/16/25/10/5 while the text gives 5, 16, 25, 9 and 5 and states that 19 patients scored 0 to 2, so the denominators of the key subgroup cannot be reconciled between table and text.</w:t>
            </w:r>
          </w:p>
          <w:p>
            <w:pPr>
              <w:pStyle w:val="ListParagraph"/>
              <w:numPr>
                <w:ilvl w:val="0"/>
                <w:numId w:val="2"/>
              </w:numPr>
              <w:spacing w:after="45"/>
            </w:pPr>
            <w:r>
              <w:rPr>
                <w:sz w:val="15"/>
                <w:szCs w:val="15"/>
              </w:rPr>
              <w:t xml:space="preserve">A linked invited commentary (PMID 37494008, Ellis and D'Angelica, JAMA Surg 2023;158:e232933, 'Who Should Undergo Transplant for Unresectable Colorectal Liver Metastases - Finding the Needle in the Haystack') was identified in PubMed but its text was not read for this record.</w:t>
            </w:r>
          </w:p>
        </w:tc>
      </w:tr>
    </w:tbl>
    <w:p>
      <w:pPr>
        <w:spacing w:after="0" w:line="276"/>
      </w:pPr>
      <w:r>
        <w:rPr>
          <w:color w:val="5A6069"/>
          <w:sz w:val="14"/>
          <w:szCs w:val="14"/>
        </w:rPr>
        <w:t xml:space="preserve">Funding: Supported in part by Oslo University Hospital, the Norwegian Cancer Society and the South-Eastern Norway Regional Health Authority; the funders are stated to have had no role in design, conduct, analysis or reporting. The first author reports grants from the Norwegian Cancer Society and the regional health authority during the study; no other disclosures were reported</w:t>
      </w:r>
    </w:p>
    <w:p>
      <w:pPr>
        <w:keepNext/>
        <w:spacing w:after="50" w:before="260"/>
      </w:pPr>
      <w:r>
        <w:rPr>
          <w:rFonts w:ascii="Cambria" w:cs="Cambria" w:eastAsia="Cambria" w:hAnsi="Cambria"/>
          <w:b/>
          <w:bCs/>
          <w:color w:val="17365D"/>
          <w:sz w:val="20"/>
          <w:szCs w:val="20"/>
        </w:rPr>
        <w:t xml:space="preserve">Oslo selection criteria</w:t>
      </w:r>
      <w:r>
        <w:rPr>
          <w:b/>
          <w:bCs/>
          <w:color w:val="176A87"/>
          <w:sz w:val="15"/>
          <w:szCs w:val="15"/>
        </w:rPr>
        <w:t xml:space="preserve">   cohort</w:t>
      </w:r>
      <w:r>
        <w:rPr>
          <w:color w:val="5A6069"/>
          <w:sz w:val="15"/>
          <w:szCs w:val="15"/>
        </w:rPr>
        <w:t xml:space="preserve">   PMID 31674105</w:t>
      </w:r>
    </w:p>
    <w:p>
      <w:pPr>
        <w:spacing w:after="50" w:line="276"/>
      </w:pPr>
      <w:r>
        <w:rPr>
          <w:color w:val="5A6069"/>
          <w:sz w:val="17"/>
          <w:szCs w:val="17"/>
        </w:rPr>
        <w:t xml:space="preserve">Selection criteria related to long-term survival following liver transplantation for colorectal liver metastasis</w:t>
      </w:r>
    </w:p>
    <w:p>
      <w:pPr>
        <w:spacing w:after="50"/>
      </w:pPr>
      <w:r>
        <w:rPr>
          <w:b/>
          <w:bCs/>
          <w:color w:val="176A87"/>
          <w:sz w:val="16"/>
          <w:szCs w:val="16"/>
        </w:rPr>
        <w:t xml:space="preserve">Population. </w:t>
      </w:r>
      <w:r>
        <w:rPr>
          <w:sz w:val="16"/>
          <w:szCs w:val="16"/>
        </w:rPr>
        <w:t xml:space="preserve">19 patients transplanted for non-resectable liver-only colorectal metastases at Oslo University Hospital in the SECA-I and SECA-II studies who had 18F-FDG PET/CT within 90 days of transplantation; 15 left-sided and 4 right-sided primaries, all previously treated with fluorouracil and 12 on second or third line at transplant. Median follow-up 85 months</w:t>
      </w:r>
    </w:p>
    <w:p>
      <w:pPr>
        <w:spacing w:after="70"/>
      </w:pPr>
      <w:r>
        <w:rPr>
          <w:b/>
          <w:bCs/>
          <w:color w:val="17365D"/>
          <w:sz w:val="16"/>
          <w:szCs w:val="16"/>
        </w:rPr>
        <w:t xml:space="preserve">Bottom line. </w:t>
      </w:r>
      <w:r>
        <w:rPr>
          <w:sz w:val="16"/>
          <w:szCs w:val="16"/>
        </w:rPr>
        <w:t xml:space="preserve">Shows that among 19 patients transplanted for unresectable liver-only colorectal metastases, those with the least disease by any of three measures lived markedly longer - five-year survival 100% with a Fong score of 0 to 2, 78% with metabolic tumour volume under 70 cm3, 67% with an Oslo score of 0 to 2 - and that survival after relapse can run for years on repeated lung metastasectomy. It does not validate any of these thresholds: all three were devised by this group, two were derived in these same patients, the three are so collinear that every Fong 0-2 patient also met both other criteria, no multivariable model or confidence interval is reported, and the favourable groups contain four to thirteen people. Read it as a description of who did well at one centre, not as a selection rule that has been tested.</w:t>
      </w:r>
    </w:p>
    <w:tbl>
      <w:tblPr>
        <w:tblW w:type="dxa" w:w="9360"/>
        <w:tblBorders>
          <w:top w:val="single" w:color="D3DCE4" w:sz="4"/>
          <w:left w:val="single" w:color="D3DCE4" w:sz="4"/>
          <w:bottom w:val="single" w:color="D3DCE4" w:sz="4"/>
          <w:right w:val="single" w:color="D3DCE4" w:sz="4"/>
          <w:insideH w:val="single" w:color="D3DCE4" w:sz="4"/>
          <w:insideV w:val="single" w:color="D3DCE4" w:sz="4"/>
        </w:tblBorders>
      </w:tblPr>
      <w:tblGrid>
        <w:gridCol w:w="4600"/>
        <w:gridCol w:w="4760"/>
      </w:tblGrid>
      <w:tr>
        <w:tc>
          <w:tcPr>
            <w:tcW w:type="dxa" w:w="4600"/>
            <w:shd w:fill="F1F4F8" w:color="auto" w:val="clear"/>
            <w:tcMar>
              <w:top w:type="dxa" w:w="70"/>
              <w:left w:type="dxa" w:w="110"/>
              <w:bottom w:type="dxa" w:w="70"/>
              <w:right w:type="dxa" w:w="110"/>
            </w:tcMar>
            <w:vAlign w:val="top"/>
          </w:tcPr>
          <w:p>
            <w:pPr>
              <w:spacing w:after="50"/>
            </w:pPr>
            <w:r>
              <w:rPr>
                <w:b/>
                <w:bCs/>
                <w:color w:val="8E5008"/>
                <w:spacing w:val="12"/>
                <w:sz w:val="14"/>
                <w:szCs w:val="14"/>
              </w:rPr>
              <w:t xml:space="preserve">LIMITATIONS THE AUTHORS STATE</w:t>
            </w:r>
          </w:p>
          <w:p>
            <w:pPr>
              <w:pStyle w:val="ListParagraph"/>
              <w:numPr>
                <w:ilvl w:val="0"/>
                <w:numId w:val="2"/>
              </w:numPr>
              <w:spacing w:after="45"/>
            </w:pPr>
            <w:r>
              <w:rPr>
                <w:sz w:val="15"/>
                <w:szCs w:val="15"/>
              </w:rPr>
              <w:t xml:space="preserve">No limitations section. The authors concede only that the metachronous-disease findings are based on small numbers, that caution is probably warranted before offering transplantation to patients with right-sided primaries, and that the trade-off of stringent criteria is that few patients qualify - a Fong score of 0 to 2 would restrict transplantation to 30% of this cohort</w:t>
            </w:r>
          </w:p>
          <w:p>
            <w:pPr>
              <w:pStyle w:val="ListParagraph"/>
              <w:numPr>
                <w:ilvl w:val="0"/>
                <w:numId w:val="2"/>
              </w:numPr>
              <w:spacing w:after="45"/>
            </w:pPr>
            <w:r>
              <w:rPr>
                <w:sz w:val="15"/>
                <w:szCs w:val="15"/>
              </w:rPr>
              <w:t xml:space="preserve">They state the work is a retrospective analysis of data collected in the prospective SECA studies</w:t>
            </w:r>
          </w:p>
          <w:p>
            <w:pPr>
              <w:pStyle w:val="ListParagraph"/>
              <w:numPr>
                <w:ilvl w:val="0"/>
                <w:numId w:val="2"/>
              </w:numPr>
              <w:spacing w:after="45"/>
            </w:pPr>
            <w:r>
              <w:rPr>
                <w:sz w:val="15"/>
                <w:szCs w:val="15"/>
              </w:rPr>
              <w:t xml:space="preserve">They argue that because recurrence alone does not predict short survival, disease-free survival is not an appropriate outcome for assessing the efficacy of transplantation in this disease</w:t>
            </w:r>
          </w:p>
          <w:p>
            <w:pPr>
              <w:pStyle w:val="ListParagraph"/>
              <w:numPr>
                <w:ilvl w:val="0"/>
                <w:numId w:val="2"/>
              </w:numPr>
              <w:spacing w:after="45"/>
            </w:pPr>
            <w:r>
              <w:rPr>
                <w:sz w:val="15"/>
                <w:szCs w:val="15"/>
              </w:rPr>
              <w:t xml:space="preserve">They state that which selection criterion to adopt depends on local waiting times, waitlist mortality and access to living donation</w:t>
            </w:r>
          </w:p>
          <w:p>
            <w:pPr>
              <w:pStyle w:val="ListParagraph"/>
              <w:numPr>
                <w:ilvl w:val="0"/>
                <w:numId w:val="2"/>
              </w:numPr>
              <w:spacing w:after="45"/>
            </w:pPr>
            <w:r>
              <w:rPr>
                <w:sz w:val="15"/>
                <w:szCs w:val="15"/>
              </w:rPr>
              <w:t xml:space="preserve">They state that total world experience remains limited and that highly selected patients should be considered for transplantation only within prospective studies</w:t>
            </w:r>
          </w:p>
        </w:tc>
        <w:tc>
          <w:tcPr>
            <w:tcW w:type="dxa" w:w="4760"/>
            <w:shd w:fill="F1F4F8" w:color="auto" w:val="clear"/>
            <w:tcMar>
              <w:top w:type="dxa" w:w="70"/>
              <w:left w:type="dxa" w:w="110"/>
              <w:bottom w:type="dxa" w:w="70"/>
              <w:right w:type="dxa" w:w="110"/>
            </w:tcMar>
            <w:vAlign w:val="top"/>
          </w:tcPr>
          <w:p>
            <w:pPr>
              <w:spacing w:after="50"/>
            </w:pPr>
            <w:r>
              <w:rPr>
                <w:b/>
                <w:bCs/>
                <w:color w:val="8C2F26"/>
                <w:spacing w:val="12"/>
                <w:sz w:val="14"/>
                <w:szCs w:val="14"/>
              </w:rPr>
              <w:t xml:space="preserve">WHAT THEY DO NOT SAY</w:t>
            </w:r>
          </w:p>
          <w:p>
            <w:pPr>
              <w:pStyle w:val="ListParagraph"/>
              <w:numPr>
                <w:ilvl w:val="0"/>
                <w:numId w:val="2"/>
              </w:numPr>
              <w:spacing w:after="45"/>
            </w:pPr>
            <w:r>
              <w:rPr>
                <w:sz w:val="15"/>
                <w:szCs w:val="15"/>
              </w:rPr>
              <w:t xml:space="preserve">The three scoring systems are not independent and the paper does not report a multivariable analysis. All six patients with a Fong score of 0 to 2 also had a metabolic tumour volume below 70 cm3 and an Oslo score of 0 to 2 (three scoring 0, two scoring 1, one scoring 2). Comparing the scores' survival figures compares nested subsets of the same 19 patients, so nothing here can establish which score carries the information.</w:t>
            </w:r>
          </w:p>
          <w:p>
            <w:pPr>
              <w:pStyle w:val="ListParagraph"/>
              <w:numPr>
                <w:ilvl w:val="0"/>
                <w:numId w:val="2"/>
              </w:numPr>
              <w:spacing w:after="45"/>
            </w:pPr>
            <w:r>
              <w:rPr>
                <w:sz w:val="15"/>
                <w:szCs w:val="15"/>
              </w:rPr>
              <w:t xml:space="preserve">Both of the thresholds being evaluated were derived in the patients being used to evaluate them: the Oslo score came from the first SECA-I patients and the 70 cm3 metabolic tumour volume cut from the SECA-I cohort, and those patients make up most of this cohort. This is apparent performance, not validation, and the paper does not say so.</w:t>
            </w:r>
          </w:p>
          <w:p>
            <w:pPr>
              <w:pStyle w:val="ListParagraph"/>
              <w:numPr>
                <w:ilvl w:val="0"/>
                <w:numId w:val="2"/>
              </w:numPr>
              <w:spacing w:after="45"/>
            </w:pPr>
            <w:r>
              <w:rPr>
                <w:sz w:val="15"/>
                <w:szCs w:val="15"/>
              </w:rPr>
              <w:t xml:space="preserve">No survival estimate anywhere in the paper carries a confidence interval. The headline 100% five-year survival rests on six patients, five of whom were observed beyond five years; the Oslo 0 to 2 figure on 13 patients, eight observed beyond five years; and the right-sided result on four patients.</w:t>
            </w:r>
          </w:p>
          <w:p>
            <w:pPr>
              <w:pStyle w:val="ListParagraph"/>
              <w:numPr>
                <w:ilvl w:val="0"/>
                <w:numId w:val="2"/>
              </w:numPr>
              <w:spacing w:after="45"/>
            </w:pPr>
            <w:r>
              <w:rPr>
                <w:sz w:val="15"/>
                <w:szCs w:val="15"/>
              </w:rPr>
              <w:t xml:space="preserve">The cohort is defined by an administrative criterion - having had a PET scan within 90 days of transplantation - which excludes roughly half the patients transplanted in SECA-I and SECA-II. The excluded patients are neither counted nor described, so whether the scored cohort represents the transplanted cohort cannot be checked.</w:t>
            </w:r>
          </w:p>
          <w:p>
            <w:pPr>
              <w:pStyle w:val="ListParagraph"/>
              <w:numPr>
                <w:ilvl w:val="0"/>
                <w:numId w:val="2"/>
              </w:numPr>
              <w:spacing w:after="45"/>
            </w:pPr>
            <w:r>
              <w:rPr>
                <w:sz w:val="15"/>
                <w:szCs w:val="15"/>
              </w:rPr>
              <w:t xml:space="preserve">Two studies with materially different entry criteria are pooled. SECA-II required at least 10% RECIST response to chemotherapy and more than one year from diagnosis; SECA-I required neither. A prognostic score evaluated across a cohort whose selection rules changed partway is measuring the rules as much as the patients.</w:t>
            </w:r>
          </w:p>
          <w:p>
            <w:pPr>
              <w:pStyle w:val="ListParagraph"/>
              <w:numPr>
                <w:ilvl w:val="0"/>
                <w:numId w:val="2"/>
              </w:numPr>
              <w:spacing w:after="45"/>
            </w:pPr>
            <w:r>
              <w:rPr>
                <w:sz w:val="15"/>
                <w:szCs w:val="15"/>
              </w:rPr>
              <w:t xml:space="preserve">Table 3 compares right- and left-sided patients across twelve baseline variables in 4 against 15 patients, and every comparison is non-significant - including Fong score (3.5 vs 3), Oslo score (2.5 vs 1), lesion size (75 vs 34 mm), CEA (140 vs 4 ug/L) and metabolic tumour volume (123 vs 23 cm3), all numerically worse on the right. The sidedness survival difference is then attributed to tumour biology without any attempt to separate it from that burden.</w:t>
            </w:r>
          </w:p>
          <w:p>
            <w:pPr>
              <w:pStyle w:val="ListParagraph"/>
              <w:numPr>
                <w:ilvl w:val="0"/>
                <w:numId w:val="2"/>
              </w:numPr>
              <w:spacing w:after="45"/>
            </w:pPr>
            <w:r>
              <w:rPr>
                <w:sz w:val="15"/>
                <w:szCs w:val="15"/>
              </w:rPr>
              <w:t xml:space="preserve">There is no comparator of any kind. The claimed superiority of transplantation is argued against published figures for palliative chemotherapy, regorafenib and TAS-102 in unselected patients, applied to a cohort selected for good performance status, chemotherapy response, a long interval from primary surgery and a negative PET - the very features that predict long survival without transplantation.</w:t>
            </w:r>
          </w:p>
          <w:p>
            <w:pPr>
              <w:pStyle w:val="ListParagraph"/>
              <w:numPr>
                <w:ilvl w:val="0"/>
                <w:numId w:val="2"/>
              </w:numPr>
              <w:spacing w:after="45"/>
            </w:pPr>
            <w:r>
              <w:rPr>
                <w:sz w:val="15"/>
                <w:szCs w:val="15"/>
              </w:rPr>
              <w:t xml:space="preserve">Only 2 of 19 patients were relapse-free, and median disease-free survival was 19 to 23 months even in the favourable groups. The claim that disease-free survival is therefore not an appropriate efficacy measure converts the study's central failure into a methodological argument; the survival that remains is produced by repeatedly resecting slow-growing pulmonary metastases, which is a different intervention from transplantation.</w:t>
            </w:r>
          </w:p>
          <w:p>
            <w:pPr>
              <w:pStyle w:val="ListParagraph"/>
              <w:numPr>
                <w:ilvl w:val="0"/>
                <w:numId w:val="2"/>
              </w:numPr>
              <w:spacing w:after="45"/>
            </w:pPr>
            <w:r>
              <w:rPr>
                <w:sz w:val="15"/>
                <w:szCs w:val="15"/>
              </w:rPr>
              <w:t xml:space="preserve">Multiplicity is unaddressed. Three dichotomised scores are each tested against overall survival, disease-free survival and post-relapse survival, alongside sidedness, CEA, KRAS status and synchronicity, producing roughly twenty p values from 19 patients with no adjustment and no prespecified primary comparison.</w:t>
            </w:r>
          </w:p>
          <w:p>
            <w:pPr>
              <w:pStyle w:val="ListParagraph"/>
              <w:numPr>
                <w:ilvl w:val="0"/>
                <w:numId w:val="2"/>
              </w:numPr>
              <w:spacing w:after="45"/>
            </w:pPr>
            <w:r>
              <w:rPr>
                <w:sz w:val="15"/>
                <w:szCs w:val="15"/>
              </w:rPr>
              <w:t xml:space="preserve">Every threshold used was chosen by this group - Oslo score components at 5.5 cm, 80 ug/L, two years and progression on chemotherapy; Fong dichotomised at 2; metabolic tumour volume at 70 cm3 - and no alternative cut-point, spline or continuous analysis is shown, so the apparent sharpness of each threshold cannot be distinguished from a choice fitted to these data.</w:t>
            </w:r>
          </w:p>
          <w:p>
            <w:pPr>
              <w:pStyle w:val="ListParagraph"/>
              <w:numPr>
                <w:ilvl w:val="0"/>
                <w:numId w:val="2"/>
              </w:numPr>
              <w:spacing w:after="45"/>
            </w:pPr>
            <w:r>
              <w:rPr>
                <w:sz w:val="15"/>
                <w:szCs w:val="15"/>
              </w:rPr>
              <w:t xml:space="preserve">The CEA finding is reported selectively: all nine patients with an elevated CEA at transplantation relapsed within two years, which is stated as informative, while the corresponding survival comparison was null (40% vs 60%, p=0.150) and the post-relapse survival comparison more so (50% vs 13%, p=0.424).</w:t>
            </w:r>
          </w:p>
          <w:p>
            <w:pPr>
              <w:pStyle w:val="ListParagraph"/>
              <w:numPr>
                <w:ilvl w:val="0"/>
                <w:numId w:val="2"/>
              </w:numPr>
              <w:spacing w:after="45"/>
            </w:pPr>
            <w:r>
              <w:rPr>
                <w:sz w:val="15"/>
                <w:szCs w:val="15"/>
              </w:rPr>
              <w:t xml:space="preserve">The feasibility figure the paper ends on - 0.24 to 0.51 eligible patients per million per year, equal to 1-2% of annual US transplants - is extrapolated from 19 patients at one Norwegian centre by arithmetic that is not shown, in a country with an unusual graft supply.</w:t>
            </w:r>
          </w:p>
          <w:p>
            <w:pPr>
              <w:pStyle w:val="ListParagraph"/>
              <w:numPr>
                <w:ilvl w:val="0"/>
                <w:numId w:val="2"/>
              </w:numPr>
              <w:spacing w:after="45"/>
            </w:pPr>
            <w:r>
              <w:rPr>
                <w:sz w:val="15"/>
                <w:szCs w:val="15"/>
              </w:rPr>
              <w:t xml:space="preserve">One patient died at 7.7 years of an unrelated cardiovascular event and is handled in the survival analyses without any competing-risk treatment, in a cohort on long-term immunosuppression where no graft outcome, rejection or immunosuppression-related morbidity is reported at all.</w:t>
            </w:r>
          </w:p>
          <w:p>
            <w:pPr>
              <w:pStyle w:val="ListParagraph"/>
              <w:numPr>
                <w:ilvl w:val="0"/>
                <w:numId w:val="2"/>
              </w:numPr>
              <w:spacing w:after="45"/>
            </w:pPr>
            <w:r>
              <w:rPr>
                <w:sz w:val="15"/>
                <w:szCs w:val="15"/>
              </w:rPr>
              <w:t xml:space="preserve">No linked editorial or comment on this paper was found in PubMed, so no independent published critique informs this record.</w:t>
            </w:r>
          </w:p>
        </w:tc>
      </w:tr>
    </w:tbl>
    <w:p>
      <w:pPr>
        <w:spacing w:after="0" w:line="276"/>
      </w:pPr>
      <w:r>
        <w:rPr>
          <w:color w:val="5A6069"/>
          <w:sz w:val="14"/>
          <w:szCs w:val="14"/>
        </w:rPr>
        <w:t xml:space="preserve">Funding: Supported by Oslo University Hospital, the Norwegian Cancer Society and the South-Eastern Norway Regional Health Authority. The authors declare no conflicts of interest</w:t>
      </w:r>
    </w:p>
    <w:p>
      <w:pPr>
        <w:keepNext/>
        <w:spacing w:after="50" w:before="260"/>
      </w:pPr>
      <w:r>
        <w:rPr>
          <w:rFonts w:ascii="Cambria" w:cs="Cambria" w:eastAsia="Cambria" w:hAnsi="Cambria"/>
          <w:b/>
          <w:bCs/>
          <w:color w:val="17365D"/>
          <w:sz w:val="20"/>
          <w:szCs w:val="20"/>
        </w:rPr>
        <w:t xml:space="preserve">PUMP (protocol)</w:t>
      </w:r>
      <w:r>
        <w:rPr>
          <w:b/>
          <w:bCs/>
          <w:color w:val="176A87"/>
          <w:sz w:val="15"/>
          <w:szCs w:val="15"/>
        </w:rPr>
        <w:t xml:space="preserve">   Prospective trial</w:t>
      </w:r>
      <w:r>
        <w:rPr>
          <w:color w:val="5A6069"/>
          <w:sz w:val="15"/>
          <w:szCs w:val="15"/>
        </w:rPr>
        <w:t xml:space="preserve">   PMID 30953467</w:t>
      </w:r>
    </w:p>
    <w:p>
      <w:pPr>
        <w:spacing w:after="50" w:line="276"/>
      </w:pPr>
      <w:r>
        <w:rPr>
          <w:color w:val="5A6069"/>
          <w:sz w:val="17"/>
          <w:szCs w:val="17"/>
        </w:rPr>
        <w:t xml:space="preserve">Adjuvant hepatic arterial infusion pump chemotherapy and resection versus resection alone in patients with low-risk resectable colorectal liver metastases - the multicenter randomized controlled PUMP trial</w:t>
      </w:r>
    </w:p>
    <w:p>
      <w:pPr>
        <w:spacing w:after="50"/>
      </w:pPr>
      <w:r>
        <w:rPr>
          <w:b/>
          <w:bCs/>
          <w:color w:val="176A87"/>
          <w:sz w:val="16"/>
          <w:szCs w:val="16"/>
        </w:rPr>
        <w:t xml:space="preserve">Population. </w:t>
      </w:r>
      <w:r>
        <w:rPr>
          <w:sz w:val="16"/>
          <w:szCs w:val="16"/>
        </w:rPr>
        <w:t xml:space="preserve">No patients: this is the published protocol. It plans to randomise 230 adults (115 per arm, allowing 5% dropout, with 126 progression events required) with resectable colorectal liver metastases, no extrahepatic disease and a Fong clinical risk score of 0 to 2, across five Dutch centres from August 2018</w:t>
      </w:r>
    </w:p>
    <w:p>
      <w:pPr>
        <w:spacing w:after="70"/>
      </w:pPr>
      <w:r>
        <w:rPr>
          <w:b/>
          <w:bCs/>
          <w:color w:val="17365D"/>
          <w:sz w:val="16"/>
          <w:szCs w:val="16"/>
        </w:rPr>
        <w:t xml:space="preserve">Bottom line. </w:t>
      </w:r>
      <w:r>
        <w:rPr>
          <w:sz w:val="16"/>
          <w:szCs w:val="16"/>
        </w:rPr>
        <w:t xml:space="preserve">Sets out the design of the only randomised trial to test adjuvant hepatic arterial floxuridine against resection alone in low-risk, completely resected colorectal liver metastases - 230 patients in five proctored Dutch centres, progression-free survival as the primary endpoint, no concurrent systemic chemotherapy. It reports no patients and no outcomes, so it establishes nothing clinically. Its design decisions are worth reading critically: the effect size and the low-risk eligibility both come from a retrospective propensity analysis, the regimen omits the systemic component used where that evidence was generated, randomisation is preoperative, and no efficacy or futility interim analysis is planned.</w:t>
      </w:r>
    </w:p>
    <w:tbl>
      <w:tblPr>
        <w:tblW w:type="dxa" w:w="9360"/>
        <w:tblBorders>
          <w:top w:val="single" w:color="D3DCE4" w:sz="4"/>
          <w:left w:val="single" w:color="D3DCE4" w:sz="4"/>
          <w:bottom w:val="single" w:color="D3DCE4" w:sz="4"/>
          <w:right w:val="single" w:color="D3DCE4" w:sz="4"/>
          <w:insideH w:val="single" w:color="D3DCE4" w:sz="4"/>
          <w:insideV w:val="single" w:color="D3DCE4" w:sz="4"/>
        </w:tblBorders>
      </w:tblPr>
      <w:tblGrid>
        <w:gridCol w:w="4600"/>
        <w:gridCol w:w="4760"/>
      </w:tblGrid>
      <w:tr>
        <w:tc>
          <w:tcPr>
            <w:tcW w:type="dxa" w:w="4600"/>
            <w:shd w:fill="F1F4F8" w:color="auto" w:val="clear"/>
            <w:tcMar>
              <w:top w:type="dxa" w:w="70"/>
              <w:left w:type="dxa" w:w="110"/>
              <w:bottom w:type="dxa" w:w="70"/>
              <w:right w:type="dxa" w:w="110"/>
            </w:tcMar>
            <w:vAlign w:val="top"/>
          </w:tcPr>
          <w:p>
            <w:pPr>
              <w:spacing w:after="50"/>
            </w:pPr>
            <w:r>
              <w:rPr>
                <w:b/>
                <w:bCs/>
                <w:color w:val="8E5008"/>
                <w:spacing w:val="12"/>
                <w:sz w:val="14"/>
                <w:szCs w:val="14"/>
              </w:rPr>
              <w:t xml:space="preserve">LIMITATIONS THE AUTHORS STATE</w:t>
            </w:r>
          </w:p>
          <w:p>
            <w:pPr>
              <w:pStyle w:val="ListParagraph"/>
              <w:numPr>
                <w:ilvl w:val="0"/>
                <w:numId w:val="2"/>
              </w:numPr>
              <w:spacing w:after="45"/>
            </w:pPr>
            <w:r>
              <w:rPr>
                <w:sz w:val="15"/>
                <w:szCs w:val="15"/>
              </w:rPr>
              <w:t xml:space="preserve">The protocol's discussion states that patients will receive pump floxuridine without concurrent systemic chemotherapy, whereas the Memorial Sloan Kettering practice from which the expected effect size is taken always combines the two - the justification being that Dutch guidelines do not recommend adjuvant systemic chemotherapy after complete resection</w:t>
            </w:r>
          </w:p>
          <w:p>
            <w:pPr>
              <w:pStyle w:val="ListParagraph"/>
              <w:numPr>
                <w:ilvl w:val="0"/>
                <w:numId w:val="2"/>
              </w:numPr>
              <w:spacing w:after="45"/>
            </w:pPr>
            <w:r>
              <w:rPr>
                <w:sz w:val="15"/>
                <w:szCs w:val="15"/>
              </w:rPr>
              <w:t xml:space="preserve">It states that eligibility is confined to low-risk patients without extrahepatic disease because those were the subgroups in which the retrospective Memorial Sloan Kettering analysis found the largest association, and that this determined both the design and the sample size</w:t>
            </w:r>
          </w:p>
          <w:p>
            <w:pPr>
              <w:pStyle w:val="ListParagraph"/>
              <w:numPr>
                <w:ilvl w:val="0"/>
                <w:numId w:val="2"/>
              </w:numPr>
              <w:spacing w:after="45"/>
            </w:pPr>
            <w:r>
              <w:rPr>
                <w:sz w:val="15"/>
                <w:szCs w:val="15"/>
              </w:rPr>
              <w:t xml:space="preserve">It records that an earlier randomised trial of intra-arterial chemotherapy across 26 German centres was terminated early because of high complication rates, which is why the five participating teams were comprehensively trained and proctored and a pilot study was run first</w:t>
            </w:r>
          </w:p>
          <w:p>
            <w:pPr>
              <w:pStyle w:val="ListParagraph"/>
              <w:numPr>
                <w:ilvl w:val="0"/>
                <w:numId w:val="2"/>
              </w:numPr>
              <w:spacing w:after="45"/>
            </w:pPr>
            <w:r>
              <w:rPr>
                <w:sz w:val="15"/>
                <w:szCs w:val="15"/>
              </w:rPr>
              <w:t xml:space="preserve">It states that no interim analysis is planned for survival outcomes, with interim analyses only for postoperative complications and adverse events after 20 and 50 patients in the experimental arm</w:t>
            </w:r>
          </w:p>
          <w:p>
            <w:pPr>
              <w:pStyle w:val="ListParagraph"/>
              <w:numPr>
                <w:ilvl w:val="0"/>
                <w:numId w:val="2"/>
              </w:numPr>
              <w:spacing w:after="45"/>
            </w:pPr>
            <w:r>
              <w:rPr>
                <w:sz w:val="15"/>
                <w:szCs w:val="15"/>
              </w:rPr>
              <w:t xml:space="preserve">It notes that pump chemotherapy requires a well-trained large multidisciplinary team and that the technique has not been widely adopted despite the earlier randomised result</w:t>
            </w:r>
          </w:p>
        </w:tc>
        <w:tc>
          <w:tcPr>
            <w:tcW w:type="dxa" w:w="4760"/>
            <w:shd w:fill="F1F4F8" w:color="auto" w:val="clear"/>
            <w:tcMar>
              <w:top w:type="dxa" w:w="70"/>
              <w:left w:type="dxa" w:w="110"/>
              <w:bottom w:type="dxa" w:w="70"/>
              <w:right w:type="dxa" w:w="110"/>
            </w:tcMar>
            <w:vAlign w:val="top"/>
          </w:tcPr>
          <w:p>
            <w:pPr>
              <w:spacing w:after="50"/>
            </w:pPr>
            <w:r>
              <w:rPr>
                <w:b/>
                <w:bCs/>
                <w:color w:val="8C2F26"/>
                <w:spacing w:val="12"/>
                <w:sz w:val="14"/>
                <w:szCs w:val="14"/>
              </w:rPr>
              <w:t xml:space="preserve">WHAT THEY DO NOT SAY</w:t>
            </w:r>
          </w:p>
          <w:p>
            <w:pPr>
              <w:pStyle w:val="ListParagraph"/>
              <w:numPr>
                <w:ilvl w:val="0"/>
                <w:numId w:val="2"/>
              </w:numPr>
              <w:spacing w:after="45"/>
            </w:pPr>
            <w:r>
              <w:rPr>
                <w:sz w:val="15"/>
                <w:szCs w:val="15"/>
              </w:rPr>
              <w:t xml:space="preserve">This is a protocol with no patient data, so it cannot support any statement about efficacy or safety; anything built on it describes an intention. A results publication for the PUMP trial was not found on this search, so its outcome is unknown here.</w:t>
            </w:r>
          </w:p>
          <w:p>
            <w:pPr>
              <w:pStyle w:val="ListParagraph"/>
              <w:numPr>
                <w:ilvl w:val="0"/>
                <w:numId w:val="2"/>
              </w:numPr>
              <w:spacing w:after="45"/>
            </w:pPr>
            <w:r>
              <w:rPr>
                <w:sz w:val="15"/>
                <w:szCs w:val="15"/>
              </w:rPr>
              <w:t xml:space="preserve">The sample size is anchored to a retrospective propensity-score hazard ratio of 0.60 derived from 779 low-risk Memorial Sloan Kettering patients, with the control median taken from 228 patients at a single Dutch centre. A trial powered on an observational effect size will be underpowered if the true effect is smaller, which is the usual fate of propensity-derived estimates.</w:t>
            </w:r>
          </w:p>
          <w:p>
            <w:pPr>
              <w:pStyle w:val="ListParagraph"/>
              <w:numPr>
                <w:ilvl w:val="0"/>
                <w:numId w:val="2"/>
              </w:numPr>
              <w:spacing w:after="45"/>
            </w:pPr>
            <w:r>
              <w:rPr>
                <w:sz w:val="15"/>
                <w:szCs w:val="15"/>
              </w:rPr>
              <w:t xml:space="preserve">The experimental regimen is not the regimen the effect size came from. Omitting concurrent systemic chemotherapy makes the trial a test of floxuridine alone against surgery alone, so neither a positive nor a negative result transfers to the combined approach used at the centre that generated the evidence.</w:t>
            </w:r>
          </w:p>
          <w:p>
            <w:pPr>
              <w:pStyle w:val="ListParagraph"/>
              <w:numPr>
                <w:ilvl w:val="0"/>
                <w:numId w:val="2"/>
              </w:numPr>
              <w:spacing w:after="45"/>
            </w:pPr>
            <w:r>
              <w:rPr>
                <w:sz w:val="15"/>
                <w:szCs w:val="15"/>
              </w:rPr>
              <w:t xml:space="preserve">The design inherits a selection that points against the mechanism. Low-risk patients were chosen because the retrospective analysis found the largest association there, but a liver-directed treatment should help most where the risk of hepatic recurrence is highest; adopting a subgroup finding as the trial's eligibility criterion builds the observational data's most suspicious feature into the design.</w:t>
            </w:r>
          </w:p>
          <w:p>
            <w:pPr>
              <w:pStyle w:val="ListParagraph"/>
              <w:numPr>
                <w:ilvl w:val="0"/>
                <w:numId w:val="2"/>
              </w:numPr>
              <w:spacing w:after="45"/>
            </w:pPr>
            <w:r>
              <w:rPr>
                <w:sz w:val="15"/>
                <w:szCs w:val="15"/>
              </w:rPr>
              <w:t xml:space="preserve">The primary endpoint is progression-free survival from surgery rather than overall survival, in a question - adjuvant therapy after complete resection - where the two have repeatedly diverged in this disease, as EORTC 40983 and JCOG0603 both show.</w:t>
            </w:r>
          </w:p>
          <w:p>
            <w:pPr>
              <w:pStyle w:val="ListParagraph"/>
              <w:numPr>
                <w:ilvl w:val="0"/>
                <w:numId w:val="2"/>
              </w:numPr>
              <w:spacing w:after="45"/>
            </w:pPr>
            <w:r>
              <w:rPr>
                <w:sz w:val="15"/>
                <w:szCs w:val="15"/>
              </w:rPr>
              <w:t xml:space="preserve">No interim analysis for efficacy or futility is planned at all, so a trial powered on an observational estimate will run to completion whatever the emerging data show, with only safety monitored at 20 and 50 patients.</w:t>
            </w:r>
          </w:p>
          <w:p>
            <w:pPr>
              <w:pStyle w:val="ListParagraph"/>
              <w:numPr>
                <w:ilvl w:val="0"/>
                <w:numId w:val="2"/>
              </w:numPr>
              <w:spacing w:after="45"/>
            </w:pPr>
            <w:r>
              <w:rPr>
                <w:sz w:val="15"/>
                <w:szCs w:val="15"/>
              </w:rPr>
              <w:t xml:space="preserve">Randomisation is preoperative, before resectability and the absence of extrahepatic or nodal disease are confirmed at operation, which guarantees post-randomisation exclusions and makes the intention-to-treat population different from the treated one; the protocol does not describe how those patients will be analysed.</w:t>
            </w:r>
          </w:p>
          <w:p>
            <w:pPr>
              <w:pStyle w:val="ListParagraph"/>
              <w:numPr>
                <w:ilvl w:val="0"/>
                <w:numId w:val="2"/>
              </w:numPr>
              <w:spacing w:after="45"/>
            </w:pPr>
            <w:r>
              <w:rPr>
                <w:sz w:val="15"/>
                <w:szCs w:val="15"/>
              </w:rPr>
              <w:t xml:space="preserve">The trial cannot be blinded - the experimental arm carries a palpable subcutaneous pump and a cholecystectomy - while the primary endpoint is radiological progression, and the protocol describes no independent central imaging review.</w:t>
            </w:r>
          </w:p>
          <w:p>
            <w:pPr>
              <w:pStyle w:val="ListParagraph"/>
              <w:numPr>
                <w:ilvl w:val="0"/>
                <w:numId w:val="2"/>
              </w:numPr>
              <w:spacing w:after="45"/>
            </w:pPr>
            <w:r>
              <w:rPr>
                <w:sz w:val="15"/>
                <w:szCs w:val="15"/>
              </w:rPr>
              <w:t xml:space="preserve">Floxuridine is not registered in the European Union and the pumps are supplied in kind by their manufacturer, so the trial depends on a device company's contribution and on special access to the drug, which bears on whether a positive result could be implemented.</w:t>
            </w:r>
          </w:p>
          <w:p>
            <w:pPr>
              <w:pStyle w:val="ListParagraph"/>
              <w:numPr>
                <w:ilvl w:val="0"/>
                <w:numId w:val="2"/>
              </w:numPr>
              <w:spacing w:after="45"/>
            </w:pPr>
            <w:r>
              <w:rPr>
                <w:sz w:val="15"/>
                <w:szCs w:val="15"/>
              </w:rPr>
              <w:t xml:space="preserve">Hepatotoxicity management is detailed but its consequence for dose intensity is not: the protocol holds or halves floxuridine on modest rises in AST, alkaline phosphatase or bilirubin, and the earlier randomised trial of this regimen delivered more than half the planned dose to only 26% of patients. The protocol sets no minimum delivered dose for a patient to count as treated.</w:t>
            </w:r>
          </w:p>
          <w:p>
            <w:pPr>
              <w:pStyle w:val="ListParagraph"/>
              <w:numPr>
                <w:ilvl w:val="0"/>
                <w:numId w:val="2"/>
              </w:numPr>
              <w:spacing w:after="45"/>
            </w:pPr>
            <w:r>
              <w:rPr>
                <w:sz w:val="15"/>
                <w:szCs w:val="15"/>
              </w:rPr>
              <w:t xml:space="preserve">The exclusions remove the patients in whom adjuvant intensification is usually argued for - two-stage resections, liver-first strategies, any extrahepatic disease, prior ablation or intra-arterial therapy - so even a positive result would apply to a narrow slice of the resected population.</w:t>
            </w:r>
          </w:p>
          <w:p>
            <w:pPr>
              <w:pStyle w:val="ListParagraph"/>
              <w:numPr>
                <w:ilvl w:val="0"/>
                <w:numId w:val="2"/>
              </w:numPr>
              <w:spacing w:after="45"/>
            </w:pPr>
            <w:r>
              <w:rPr>
                <w:sz w:val="15"/>
                <w:szCs w:val="15"/>
              </w:rPr>
              <w:t xml:space="preserve">Cost-effectiveness and quality of life are secondary endpoints with no instrument or analysis plan given in the published protocol, in a trial whose intervention adds an implanted device and six cycles of hepatotoxic therapy to an otherwise completed curative operation.</w:t>
            </w:r>
          </w:p>
          <w:p>
            <w:pPr>
              <w:pStyle w:val="ListParagraph"/>
              <w:numPr>
                <w:ilvl w:val="0"/>
                <w:numId w:val="2"/>
              </w:numPr>
              <w:spacing w:after="45"/>
            </w:pPr>
            <w:r>
              <w:rPr>
                <w:sz w:val="15"/>
                <w:szCs w:val="15"/>
              </w:rPr>
              <w:t xml:space="preserve">No linked editorial or comment was found in PubMed, so no independent published critique informs this record.</w:t>
            </w:r>
          </w:p>
        </w:tc>
      </w:tr>
    </w:tbl>
    <w:p>
      <w:pPr>
        <w:spacing w:after="0" w:line="276"/>
      </w:pPr>
      <w:r>
        <w:rPr>
          <w:color w:val="5A6069"/>
          <w:sz w:val="14"/>
          <w:szCs w:val="14"/>
        </w:rPr>
        <w:t xml:space="preserve">Funding: Dutch Cancer Society (EMCR 2016-10516), with Tricumed GmbH supplying the IP2000V pumps in kind; both are stated to have had no influence on design, data collection, analysis, interpretation or writing</w:t>
      </w:r>
    </w:p>
    <w:p>
      <w:pPr>
        <w:keepNext/>
        <w:spacing w:after="50" w:before="260"/>
      </w:pPr>
      <w:r>
        <w:rPr>
          <w:rFonts w:ascii="Cambria" w:cs="Cambria" w:eastAsia="Cambria" w:hAnsi="Cambria"/>
          <w:b/>
          <w:bCs/>
          <w:color w:val="17365D"/>
          <w:sz w:val="20"/>
          <w:szCs w:val="20"/>
        </w:rPr>
        <w:t xml:space="preserve">Rusthoven SBRT</w:t>
      </w:r>
      <w:r>
        <w:rPr>
          <w:b/>
          <w:bCs/>
          <w:color w:val="176A87"/>
          <w:sz w:val="15"/>
          <w:szCs w:val="15"/>
        </w:rPr>
        <w:t xml:space="preserve">   Prospective trial</w:t>
      </w:r>
      <w:r>
        <w:rPr>
          <w:color w:val="5A6069"/>
          <w:sz w:val="15"/>
          <w:szCs w:val="15"/>
        </w:rPr>
        <w:t xml:space="preserve">   PMID 19255321</w:t>
      </w:r>
    </w:p>
    <w:p>
      <w:pPr>
        <w:spacing w:after="50" w:line="276"/>
      </w:pPr>
      <w:r>
        <w:rPr>
          <w:color w:val="5A6069"/>
          <w:sz w:val="17"/>
          <w:szCs w:val="17"/>
        </w:rPr>
        <w:t xml:space="preserve">Multi-institutional phase I/II trial of stereotactic body radiation therapy for liver metastases</w:t>
      </w:r>
    </w:p>
    <w:p>
      <w:pPr>
        <w:spacing w:after="50"/>
      </w:pPr>
      <w:r>
        <w:rPr>
          <w:b/>
          <w:bCs/>
          <w:color w:val="176A87"/>
          <w:sz w:val="16"/>
          <w:szCs w:val="16"/>
        </w:rPr>
        <w:t xml:space="preserve">Population. </w:t>
      </w:r>
      <w:r>
        <w:rPr>
          <w:sz w:val="16"/>
          <w:szCs w:val="16"/>
        </w:rPr>
        <w:t xml:space="preserve">47 patients with 63 liver metastases of mixed primary origin treated at seven US institutions between 2003 and 2007 (colorectal 15, lung 10, breast 4, ovarian 3, oesophageal 3, hepatocellular 2, other 10); one to three lesions under 6 cm, median maximal diameter 2.7 cm, 69% with at least one prior systemic regimen for metastatic disease and 45% with active extrahepatic disease. Thirteen patients were treated to less than 60 Gy during dose escalation and 36 to 60 Gy; 49 lesions in 36 patients were assessable for local control at a median follow-up of 16 months</w:t>
      </w:r>
    </w:p>
    <w:p>
      <w:pPr>
        <w:spacing w:after="70"/>
      </w:pPr>
      <w:r>
        <w:rPr>
          <w:b/>
          <w:bCs/>
          <w:color w:val="17365D"/>
          <w:sz w:val="16"/>
          <w:szCs w:val="16"/>
        </w:rPr>
        <w:t xml:space="preserve">Bottom line. </w:t>
      </w:r>
      <w:r>
        <w:rPr>
          <w:sz w:val="16"/>
          <w:szCs w:val="16"/>
        </w:rPr>
        <w:t xml:space="preserve">Establishes that 60 Gy in three fractions to one to three liver metastases under 6 cm is deliverable with almost no high-grade toxicity and gives in-field control of 95% at one year and 92% at two, with 100% control for lesions of 3 cm or less. It establishes nothing about benefit: there is no comparator, every patient's first progression included a distant site, median progression-free survival was 6.1 months and median survival 20.5 months, local control was scored only in the 78% of lesions whose patients lived six months, and the authors concede that competing risk may inflate it. Only 15 of 47 patients had colorectal primaries and no colorectal-specific result is given, so the paper supports the technique's local efficacy in small lesions and not its place against resection or ablation.</w:t>
      </w:r>
    </w:p>
    <w:tbl>
      <w:tblPr>
        <w:tblW w:type="dxa" w:w="9360"/>
        <w:tblBorders>
          <w:top w:val="single" w:color="D3DCE4" w:sz="4"/>
          <w:left w:val="single" w:color="D3DCE4" w:sz="4"/>
          <w:bottom w:val="single" w:color="D3DCE4" w:sz="4"/>
          <w:right w:val="single" w:color="D3DCE4" w:sz="4"/>
          <w:insideH w:val="single" w:color="D3DCE4" w:sz="4"/>
          <w:insideV w:val="single" w:color="D3DCE4" w:sz="4"/>
        </w:tblBorders>
      </w:tblPr>
      <w:tblGrid>
        <w:gridCol w:w="4600"/>
        <w:gridCol w:w="4760"/>
      </w:tblGrid>
      <w:tr>
        <w:tc>
          <w:tcPr>
            <w:tcW w:type="dxa" w:w="4600"/>
            <w:shd w:fill="F1F4F8" w:color="auto" w:val="clear"/>
            <w:tcMar>
              <w:top w:type="dxa" w:w="70"/>
              <w:left w:type="dxa" w:w="110"/>
              <w:bottom w:type="dxa" w:w="70"/>
              <w:right w:type="dxa" w:w="110"/>
            </w:tcMar>
            <w:vAlign w:val="top"/>
          </w:tcPr>
          <w:p>
            <w:pPr>
              <w:spacing w:after="50"/>
            </w:pPr>
            <w:r>
              <w:rPr>
                <w:b/>
                <w:bCs/>
                <w:color w:val="8E5008"/>
                <w:spacing w:val="12"/>
                <w:sz w:val="14"/>
                <w:szCs w:val="14"/>
              </w:rPr>
              <w:t xml:space="preserve">LIMITATIONS THE AUTHORS STATE</w:t>
            </w:r>
          </w:p>
          <w:p>
            <w:pPr>
              <w:pStyle w:val="ListParagraph"/>
              <w:numPr>
                <w:ilvl w:val="0"/>
                <w:numId w:val="2"/>
              </w:numPr>
              <w:spacing w:after="45"/>
            </w:pPr>
            <w:r>
              <w:rPr>
                <w:sz w:val="15"/>
                <w:szCs w:val="15"/>
              </w:rPr>
              <w:t xml:space="preserve">The authors state that median survival of 20.5 months reflects the unfavourable prognostic features of the cohort, that the risk of death as a first event was therefore high, and that the local control estimate may be artificially exaggerated because death and local failure are competing events</w:t>
            </w:r>
          </w:p>
          <w:p>
            <w:pPr>
              <w:pStyle w:val="ListParagraph"/>
              <w:numPr>
                <w:ilvl w:val="0"/>
                <w:numId w:val="2"/>
              </w:numPr>
              <w:spacing w:after="45"/>
            </w:pPr>
            <w:r>
              <w:rPr>
                <w:sz w:val="15"/>
                <w:szCs w:val="15"/>
              </w:rPr>
              <w:t xml:space="preserve">They argue against this using the favourable-primary subgroup (median survival 32 months, 2-year local control 97%), which they take to show local control was not substantially influenced by the competing risk</w:t>
            </w:r>
          </w:p>
          <w:p>
            <w:pPr>
              <w:pStyle w:val="ListParagraph"/>
              <w:numPr>
                <w:ilvl w:val="0"/>
                <w:numId w:val="2"/>
              </w:numPr>
              <w:spacing w:after="45"/>
            </w:pPr>
            <w:r>
              <w:rPr>
                <w:sz w:val="15"/>
                <w:szCs w:val="15"/>
              </w:rPr>
              <w:t xml:space="preserve">They state that differences in baseline prognostic features between this cohort and most surgical series limit any comparison between stereotactic radiotherapy and resection</w:t>
            </w:r>
          </w:p>
          <w:p>
            <w:pPr>
              <w:pStyle w:val="ListParagraph"/>
              <w:numPr>
                <w:ilvl w:val="0"/>
                <w:numId w:val="2"/>
              </w:numPr>
              <w:spacing w:after="45"/>
            </w:pPr>
            <w:r>
              <w:rPr>
                <w:sz w:val="15"/>
                <w:szCs w:val="15"/>
              </w:rPr>
              <w:t xml:space="preserve">They note that one grade 3 soft-tissue event six months after treatment prompted revised skin and soft-tissue dose constraints mid-study, and that a recommended soft-tissue dose-volume limit remains under investigation</w:t>
            </w:r>
          </w:p>
          <w:p>
            <w:pPr>
              <w:pStyle w:val="ListParagraph"/>
              <w:numPr>
                <w:ilvl w:val="0"/>
                <w:numId w:val="2"/>
              </w:numPr>
              <w:spacing w:after="45"/>
            </w:pPr>
            <w:r>
              <w:rPr>
                <w:sz w:val="15"/>
                <w:szCs w:val="15"/>
              </w:rPr>
              <w:t xml:space="preserve">They report that 13 of 49 patients were treated below the phase 2 dose of 60 Gy during escalation</w:t>
            </w:r>
          </w:p>
        </w:tc>
        <w:tc>
          <w:tcPr>
            <w:tcW w:type="dxa" w:w="4760"/>
            <w:shd w:fill="F1F4F8" w:color="auto" w:val="clear"/>
            <w:tcMar>
              <w:top w:type="dxa" w:w="70"/>
              <w:left w:type="dxa" w:w="110"/>
              <w:bottom w:type="dxa" w:w="70"/>
              <w:right w:type="dxa" w:w="110"/>
            </w:tcMar>
            <w:vAlign w:val="top"/>
          </w:tcPr>
          <w:p>
            <w:pPr>
              <w:spacing w:after="50"/>
            </w:pPr>
            <w:r>
              <w:rPr>
                <w:b/>
                <w:bCs/>
                <w:color w:val="8C2F26"/>
                <w:spacing w:val="12"/>
                <w:sz w:val="14"/>
                <w:szCs w:val="14"/>
              </w:rPr>
              <w:t xml:space="preserve">WHAT THEY DO NOT SAY</w:t>
            </w:r>
          </w:p>
          <w:p>
            <w:pPr>
              <w:pStyle w:val="ListParagraph"/>
              <w:numPr>
                <w:ilvl w:val="0"/>
                <w:numId w:val="2"/>
              </w:numPr>
              <w:spacing w:after="45"/>
            </w:pPr>
            <w:r>
              <w:rPr>
                <w:sz w:val="15"/>
                <w:szCs w:val="15"/>
              </w:rPr>
              <w:t xml:space="preserve">Local control was scored only in the 49 of 63 lesions (78%) with at least six months of imaging. Eleven patients were unassessable, five because they died before six months and two because records were lost after Hurricane Katrina. Excluding lesions in patients who died early from a local control estimate removes precisely the lesions most likely to have failed, and the 95% figure is quoted without that denominator.</w:t>
            </w:r>
          </w:p>
          <w:p>
            <w:pPr>
              <w:pStyle w:val="ListParagraph"/>
              <w:numPr>
                <w:ilvl w:val="0"/>
                <w:numId w:val="2"/>
              </w:numPr>
              <w:spacing w:after="45"/>
            </w:pPr>
            <w:r>
              <w:rPr>
                <w:sz w:val="15"/>
                <w:szCs w:val="15"/>
              </w:rPr>
              <w:t xml:space="preserve">The competing-risk argument the authors use to defend their estimate is circular: they appeal to the favourable-primary subgroup, which by definition has fewer early deaths and is also the subgroup with the best control, so the comparison cannot separate longer survival from better local control.</w:t>
            </w:r>
          </w:p>
          <w:p>
            <w:pPr>
              <w:pStyle w:val="ListParagraph"/>
              <w:numPr>
                <w:ilvl w:val="0"/>
                <w:numId w:val="2"/>
              </w:numPr>
              <w:spacing w:after="45"/>
            </w:pPr>
            <w:r>
              <w:rPr>
                <w:sz w:val="15"/>
                <w:szCs w:val="15"/>
              </w:rPr>
              <w:t xml:space="preserve">The pooled local control figure mixes dose levels across a phase 1 escalation and a phase 2 expansion, 36 Gy to 60 Gy in three fractions, and the dose-response claim rests on a within-cohort comparison (94% at 60 Gy) with no formal dose-response analysis. The linked JCO letter asks exactly this - whether a definitive regimen has been established.</w:t>
            </w:r>
          </w:p>
          <w:p>
            <w:pPr>
              <w:pStyle w:val="ListParagraph"/>
              <w:numPr>
                <w:ilvl w:val="0"/>
                <w:numId w:val="2"/>
              </w:numPr>
              <w:spacing w:after="45"/>
            </w:pPr>
            <w:r>
              <w:rPr>
                <w:sz w:val="15"/>
                <w:szCs w:val="15"/>
              </w:rPr>
              <w:t xml:space="preserve">Only 15 of 47 patients (32%) had colorectal metastases, and no colorectal-specific local control or survival figure is reported. The paper is routinely cited as evidence for stereotactic radiotherapy in colorectal liver metastases and does not contain that number.</w:t>
            </w:r>
          </w:p>
          <w:p>
            <w:pPr>
              <w:pStyle w:val="ListParagraph"/>
              <w:numPr>
                <w:ilvl w:val="0"/>
                <w:numId w:val="2"/>
              </w:numPr>
              <w:spacing w:after="45"/>
            </w:pPr>
            <w:r>
              <w:rPr>
                <w:sz w:val="15"/>
                <w:szCs w:val="15"/>
              </w:rPr>
              <w:t xml:space="preserve">Analysis is per lesion (49 lesions in 36 patients) with no clustering by patient, so patients contributing two or three lesions count repeatedly in the control estimate.</w:t>
            </w:r>
          </w:p>
          <w:p>
            <w:pPr>
              <w:pStyle w:val="ListParagraph"/>
              <w:numPr>
                <w:ilvl w:val="0"/>
                <w:numId w:val="2"/>
              </w:numPr>
              <w:spacing w:after="45"/>
            </w:pPr>
            <w:r>
              <w:rPr>
                <w:sz w:val="15"/>
                <w:szCs w:val="15"/>
              </w:rPr>
              <w:t xml:space="preserve">Every patient's first progression included a distant component, 83% progressed distantly at a median of six months, and median progression-free survival was 6.1 months. A local control rate of 92% at two years in a disease that progresses elsewhere within half a year describes the technique's reach, not a clinical benefit, and the paper does not report what that control bought.</w:t>
            </w:r>
          </w:p>
          <w:p>
            <w:pPr>
              <w:pStyle w:val="ListParagraph"/>
              <w:numPr>
                <w:ilvl w:val="0"/>
                <w:numId w:val="2"/>
              </w:numPr>
              <w:spacing w:after="45"/>
            </w:pPr>
            <w:r>
              <w:rPr>
                <w:sz w:val="15"/>
                <w:szCs w:val="15"/>
              </w:rPr>
              <w:t xml:space="preserve">Low-burden extrahepatic disease was permitted and present in 45% at entry, so the cohort is not the liver-confined population in which local therapy is being considered, and the survival figure (20.5 months overall, 12 months for unfavourable primaries) is not transferable to it.</w:t>
            </w:r>
          </w:p>
          <w:p>
            <w:pPr>
              <w:pStyle w:val="ListParagraph"/>
              <w:numPr>
                <w:ilvl w:val="0"/>
                <w:numId w:val="2"/>
              </w:numPr>
              <w:spacing w:after="45"/>
            </w:pPr>
            <w:r>
              <w:rPr>
                <w:sz w:val="15"/>
                <w:szCs w:val="15"/>
              </w:rPr>
              <w:t xml:space="preserve">Late toxicity is almost certainly underestimated: with median survival of 20.5 months and a median follow-up of 16 months for assessable lesions, hypofractionated doses to 60 Gy in three fractions have not been observed long enough for biliary stricture, chest wall or soft-tissue sequelae to declare themselves, and the one grade 3 event already forced a constraint change.</w:t>
            </w:r>
          </w:p>
          <w:p>
            <w:pPr>
              <w:pStyle w:val="ListParagraph"/>
              <w:numPr>
                <w:ilvl w:val="0"/>
                <w:numId w:val="2"/>
              </w:numPr>
              <w:spacing w:after="45"/>
            </w:pPr>
            <w:r>
              <w:rPr>
                <w:sz w:val="15"/>
                <w:szCs w:val="15"/>
              </w:rPr>
              <w:t xml:space="preserve">No radiation-induced liver disease occurred in a trial whose entry required at least 700 mL of normal liver below 15 Gy and lesions under 6 cm, so the safety result is conditional on a geometry that excludes the large or central tumours where the question is hardest.</w:t>
            </w:r>
          </w:p>
          <w:p>
            <w:pPr>
              <w:pStyle w:val="ListParagraph"/>
              <w:numPr>
                <w:ilvl w:val="0"/>
                <w:numId w:val="2"/>
              </w:numPr>
              <w:spacing w:after="45"/>
            </w:pPr>
            <w:r>
              <w:rPr>
                <w:sz w:val="15"/>
                <w:szCs w:val="15"/>
              </w:rPr>
              <w:t xml:space="preserve">The comparison the authors acknowledge they cannot make is the comparison that matters: these lesions were small (median 2.7 cm) and many would have been resectable or ablatable, and no surgical or ablative comparator exists in the trial or in the literature it cites.</w:t>
            </w:r>
          </w:p>
          <w:p>
            <w:pPr>
              <w:pStyle w:val="ListParagraph"/>
              <w:numPr>
                <w:ilvl w:val="0"/>
                <w:numId w:val="2"/>
              </w:numPr>
              <w:spacing w:after="45"/>
            </w:pPr>
            <w:r>
              <w:rPr>
                <w:sz w:val="15"/>
                <w:szCs w:val="15"/>
              </w:rPr>
              <w:t xml:space="preserve">Internal inconsistency: Table 1 gives the maximum lesion diameter range as 0.4 to 6.8 cm while the abstract gives 0.4 to 5.8 cm, against a protocol limit of under 6 cm.</w:t>
            </w:r>
          </w:p>
          <w:p>
            <w:pPr>
              <w:pStyle w:val="ListParagraph"/>
              <w:numPr>
                <w:ilvl w:val="0"/>
                <w:numId w:val="2"/>
              </w:numPr>
              <w:spacing w:after="45"/>
            </w:pPr>
            <w:r>
              <w:rPr>
                <w:sz w:val="15"/>
                <w:szCs w:val="15"/>
              </w:rPr>
              <w:t xml:space="preserve">A linked letter (PMID 19581532, Mirabel, 'Have we established a stereotactic body radiotherapy regimen for liver metastases?', J Clin Oncol 2009;27:e40, with the authors' reply at e41) was identified in PubMed but its text was not read for this record.</w:t>
            </w:r>
          </w:p>
        </w:tc>
      </w:tr>
    </w:tbl>
    <w:p>
      <w:pPr>
        <w:spacing w:after="0" w:line="276"/>
      </w:pPr>
      <w:r>
        <w:rPr>
          <w:color w:val="5A6069"/>
          <w:sz w:val="14"/>
          <w:szCs w:val="14"/>
        </w:rPr>
        <w:t xml:space="preserve">Funding: Supported in part by an American Cancer Society IRC / University of Colorado Cancer Center Seed Grant Award. The only declared interest is research funding to the senior author from the American Cancer Society; no employment, consulting, stock, honoraria or industry relationships are declared</w:t>
      </w:r>
    </w:p>
    <w:p>
      <w:pPr>
        <w:keepNext/>
        <w:spacing w:after="50" w:before="260"/>
      </w:pPr>
      <w:r>
        <w:rPr>
          <w:rFonts w:ascii="Cambria" w:cs="Cambria" w:eastAsia="Cambria" w:hAnsi="Cambria"/>
          <w:b/>
          <w:bCs/>
          <w:color w:val="17365D"/>
          <w:sz w:val="20"/>
          <w:szCs w:val="20"/>
        </w:rPr>
        <w:t xml:space="preserve">SABR-COMET long-term</w:t>
      </w:r>
      <w:r>
        <w:rPr>
          <w:b/>
          <w:bCs/>
          <w:color w:val="176A87"/>
          <w:sz w:val="15"/>
          <w:szCs w:val="15"/>
        </w:rPr>
        <w:t xml:space="preserve">   Randomised trial</w:t>
      </w:r>
      <w:r>
        <w:rPr>
          <w:color w:val="5A6069"/>
          <w:sz w:val="15"/>
          <w:szCs w:val="15"/>
        </w:rPr>
        <w:t xml:space="preserve">   PMID 32484754</w:t>
      </w:r>
    </w:p>
    <w:p>
      <w:pPr>
        <w:spacing w:after="50" w:line="276"/>
      </w:pPr>
      <w:r>
        <w:rPr>
          <w:color w:val="5A6069"/>
          <w:sz w:val="17"/>
          <w:szCs w:val="17"/>
        </w:rPr>
        <w:t xml:space="preserve">Stereotactic Ablative Radiotherapy for the Comprehensive Treatment of Oligometastatic Cancers: Long-Term Results of the SABR-COMET Phase II Randomized Trial</w:t>
      </w:r>
    </w:p>
    <w:p>
      <w:pPr>
        <w:spacing w:after="50"/>
      </w:pPr>
      <w:r>
        <w:rPr>
          <w:b/>
          <w:bCs/>
          <w:color w:val="176A87"/>
          <w:sz w:val="16"/>
          <w:szCs w:val="16"/>
        </w:rPr>
        <w:t xml:space="preserve">Population. </w:t>
      </w:r>
      <w:r>
        <w:rPr>
          <w:sz w:val="16"/>
          <w:szCs w:val="16"/>
        </w:rPr>
        <w:t xml:space="preserve">The same 99 patients as the primary report, with follow-up extended from 26 to 51 months: 66 randomised to stereotactic ablative radiotherapy plus standard of care and 33 to standard of care alone, at ten centres from 2012 to 2016; primary tumours breast 18, lung 18, colorectal 18, prostate 16, with 19 of 191 lesions hepatic. Fifty-nine deaths (35 and 24), 104 and 57 assessable lesions for long-term control, and 12 patients surviving five years or more, only one of them with colorectal cancer</w:t>
      </w:r>
    </w:p>
    <w:p>
      <w:pPr>
        <w:spacing w:after="70"/>
      </w:pPr>
      <w:r>
        <w:rPr>
          <w:b/>
          <w:bCs/>
          <w:color w:val="17365D"/>
          <w:sz w:val="16"/>
          <w:szCs w:val="16"/>
        </w:rPr>
        <w:t xml:space="preserve">Bottom line. </w:t>
      </w:r>
      <w:r>
        <w:rPr>
          <w:sz w:val="16"/>
          <w:szCs w:val="16"/>
        </w:rPr>
        <w:t xml:space="preserve">With follow-up extended to 51 months the same 99-patient trial shows a larger survival gap - median 50 against 28 months, HR 0.47 (95% CI 0.27-0.81), five-year survival 42.3% against 17.7% - with no new toxicity and no loss of quality of life. It still does not prove benefit: alpha was 0.20, the effect falls to p=0.085 once the unevenly allocated prostate cancers are removed, and the trial's own post hoc analysis shows treating every visible lesion did not delay new metastases (p=0.57), so the gain is attributed to repeat salvage radiotherapy rather than to eradication. For colorectal liver metastases the useful figure is the one buried in the site-specific analysis: local control after stereotactic radiotherapy in the liver was 50%, the worst of any site, and only one of the twelve five-year survivors had colorectal cancer.</w:t>
      </w:r>
    </w:p>
    <w:tbl>
      <w:tblPr>
        <w:tblW w:type="dxa" w:w="9360"/>
        <w:tblBorders>
          <w:top w:val="single" w:color="D3DCE4" w:sz="4"/>
          <w:left w:val="single" w:color="D3DCE4" w:sz="4"/>
          <w:bottom w:val="single" w:color="D3DCE4" w:sz="4"/>
          <w:right w:val="single" w:color="D3DCE4" w:sz="4"/>
          <w:insideH w:val="single" w:color="D3DCE4" w:sz="4"/>
          <w:insideV w:val="single" w:color="D3DCE4" w:sz="4"/>
        </w:tblBorders>
      </w:tblPr>
      <w:tblGrid>
        <w:gridCol w:w="4600"/>
        <w:gridCol w:w="4760"/>
      </w:tblGrid>
      <w:tr>
        <w:tc>
          <w:tcPr>
            <w:tcW w:type="dxa" w:w="4600"/>
            <w:shd w:fill="F1F4F8" w:color="auto" w:val="clear"/>
            <w:tcMar>
              <w:top w:type="dxa" w:w="70"/>
              <w:left w:type="dxa" w:w="110"/>
              <w:bottom w:type="dxa" w:w="70"/>
              <w:right w:type="dxa" w:w="110"/>
            </w:tcMar>
            <w:vAlign w:val="top"/>
          </w:tcPr>
          <w:p>
            <w:pPr>
              <w:spacing w:after="50"/>
            </w:pPr>
            <w:r>
              <w:rPr>
                <w:b/>
                <w:bCs/>
                <w:color w:val="8E5008"/>
                <w:spacing w:val="12"/>
                <w:sz w:val="14"/>
                <w:szCs w:val="14"/>
              </w:rPr>
              <w:t xml:space="preserve">LIMITATIONS THE AUTHORS STATE</w:t>
            </w:r>
          </w:p>
          <w:p>
            <w:pPr>
              <w:pStyle w:val="ListParagraph"/>
              <w:numPr>
                <w:ilvl w:val="0"/>
                <w:numId w:val="2"/>
              </w:numPr>
              <w:spacing w:after="45"/>
            </w:pPr>
            <w:r>
              <w:rPr>
                <w:sz w:val="15"/>
                <w:szCs w:val="15"/>
              </w:rPr>
              <w:t xml:space="preserve">The authors restate the original trial's limitations, in particular the inclusion of multiple histologies, which is common in stereotactic radiation trials but cannot exclude histology-specific differences in biology</w:t>
            </w:r>
          </w:p>
          <w:p>
            <w:pPr>
              <w:pStyle w:val="ListParagraph"/>
              <w:numPr>
                <w:ilvl w:val="0"/>
                <w:numId w:val="2"/>
              </w:numPr>
              <w:spacing w:after="45"/>
            </w:pPr>
            <w:r>
              <w:rPr>
                <w:sz w:val="15"/>
                <w:szCs w:val="15"/>
              </w:rPr>
              <w:t xml:space="preserve">The large majority of prostate cancer patients were allocated to the radiotherapy arm; the authors address this only with a post hoc sensitivity analysis, which has reduced power</w:t>
            </w:r>
          </w:p>
          <w:p>
            <w:pPr>
              <w:pStyle w:val="ListParagraph"/>
              <w:numPr>
                <w:ilvl w:val="0"/>
                <w:numId w:val="2"/>
              </w:numPr>
              <w:spacing w:after="45"/>
            </w:pPr>
            <w:r>
              <w:rPr>
                <w:sz w:val="15"/>
                <w:szCs w:val="15"/>
              </w:rPr>
              <w:t xml:space="preserve">They state that the most favourable histologies for this treatment are breast, prostate and kidney, and that these dominate the long-term survivors - 100% of them in the control arm and 70% in the radiotherapy arm</w:t>
            </w:r>
          </w:p>
          <w:p>
            <w:pPr>
              <w:pStyle w:val="ListParagraph"/>
              <w:numPr>
                <w:ilvl w:val="0"/>
                <w:numId w:val="2"/>
              </w:numPr>
              <w:spacing w:after="45"/>
            </w:pPr>
            <w:r>
              <w:rPr>
                <w:sz w:val="15"/>
                <w:szCs w:val="15"/>
              </w:rPr>
              <w:t xml:space="preserve">They state that local control assessment is difficult because focal fibrosis can present as an enlarging mass, which may explain the low lung control rates measured by RECIST 1.1</w:t>
            </w:r>
          </w:p>
          <w:p>
            <w:pPr>
              <w:pStyle w:val="ListParagraph"/>
              <w:numPr>
                <w:ilvl w:val="0"/>
                <w:numId w:val="2"/>
              </w:numPr>
              <w:spacing w:after="45"/>
            </w:pPr>
            <w:r>
              <w:rPr>
                <w:sz w:val="15"/>
                <w:szCs w:val="15"/>
              </w:rPr>
              <w:t xml:space="preserve">Patients with four to five metastases are under-represented, which led to separate trials for one to three and four to ten metastases</w:t>
            </w:r>
          </w:p>
          <w:p>
            <w:pPr>
              <w:pStyle w:val="ListParagraph"/>
              <w:numPr>
                <w:ilvl w:val="0"/>
                <w:numId w:val="2"/>
              </w:numPr>
              <w:spacing w:after="45"/>
            </w:pPr>
            <w:r>
              <w:rPr>
                <w:sz w:val="15"/>
                <w:szCs w:val="15"/>
              </w:rPr>
              <w:t xml:space="preserve">The trial was launched before the immunotherapy era, and the authors note immunotherapy may change the impact of radiotherapy on long-term outcomes</w:t>
            </w:r>
          </w:p>
          <w:p>
            <w:pPr>
              <w:pStyle w:val="ListParagraph"/>
              <w:numPr>
                <w:ilvl w:val="0"/>
                <w:numId w:val="2"/>
              </w:numPr>
              <w:spacing w:after="45"/>
            </w:pPr>
            <w:r>
              <w:rPr>
                <w:sz w:val="15"/>
                <w:szCs w:val="15"/>
              </w:rPr>
              <w:t xml:space="preserve">They state the 4.5% grade 5 toxicity rate is higher than in other studies despite dose constraints and peer review of all plans, and that further work is needed on optimal dose</w:t>
            </w:r>
          </w:p>
          <w:p>
            <w:pPr>
              <w:pStyle w:val="ListParagraph"/>
              <w:numPr>
                <w:ilvl w:val="0"/>
                <w:numId w:val="2"/>
              </w:numPr>
              <w:spacing w:after="45"/>
            </w:pPr>
            <w:r>
              <w:rPr>
                <w:sz w:val="15"/>
                <w:szCs w:val="15"/>
              </w:rPr>
              <w:t xml:space="preserve">They conclude that phase 3 trials are needed to confirm the survival benefit and to develop predictive biomarkers</w:t>
            </w:r>
          </w:p>
        </w:tc>
        <w:tc>
          <w:tcPr>
            <w:tcW w:type="dxa" w:w="4760"/>
            <w:shd w:fill="F1F4F8" w:color="auto" w:val="clear"/>
            <w:tcMar>
              <w:top w:type="dxa" w:w="70"/>
              <w:left w:type="dxa" w:w="110"/>
              <w:bottom w:type="dxa" w:w="70"/>
              <w:right w:type="dxa" w:w="110"/>
            </w:tcMar>
            <w:vAlign w:val="top"/>
          </w:tcPr>
          <w:p>
            <w:pPr>
              <w:spacing w:after="50"/>
            </w:pPr>
            <w:r>
              <w:rPr>
                <w:b/>
                <w:bCs/>
                <w:color w:val="8C2F26"/>
                <w:spacing w:val="12"/>
                <w:sz w:val="14"/>
                <w:szCs w:val="14"/>
              </w:rPr>
              <w:t xml:space="preserve">WHAT THEY DO NOT SAY</w:t>
            </w:r>
          </w:p>
          <w:p>
            <w:pPr>
              <w:pStyle w:val="ListParagraph"/>
              <w:numPr>
                <w:ilvl w:val="0"/>
                <w:numId w:val="2"/>
              </w:numPr>
              <w:spacing w:after="45"/>
            </w:pPr>
            <w:r>
              <w:rPr>
                <w:sz w:val="15"/>
                <w:szCs w:val="15"/>
              </w:rPr>
              <w:t xml:space="preserve">The number most relevant to this depot is the worst in the paper: long-term local control after radiotherapy was 50% in the liver, the lowest of any site and significantly below adrenal (100%) and bone (72%), p=0.04. Resection and thermal ablation in colorectal liver metastases achieve local control far above that, which is the comparison a liver surgeon needs and which this trial does not make.</w:t>
            </w:r>
          </w:p>
          <w:p>
            <w:pPr>
              <w:pStyle w:val="ListParagraph"/>
              <w:numPr>
                <w:ilvl w:val="0"/>
                <w:numId w:val="2"/>
              </w:numPr>
              <w:spacing w:after="45"/>
            </w:pPr>
            <w:r>
              <w:rPr>
                <w:sz w:val="15"/>
                <w:szCs w:val="15"/>
              </w:rPr>
              <w:t xml:space="preserve">The survival result still comes from a phase 2 screening design with alpha 0.20 in 99 patients. The paper itself cites p below 0.005 as the threshold at which a phase 2 randomised result may be treated as definitive, and its overall survival p is 0.006 - just outside the bar it sets.</w:t>
            </w:r>
          </w:p>
          <w:p>
            <w:pPr>
              <w:pStyle w:val="ListParagraph"/>
              <w:numPr>
                <w:ilvl w:val="0"/>
                <w:numId w:val="2"/>
              </w:numPr>
              <w:spacing w:after="45"/>
            </w:pPr>
            <w:r>
              <w:rPr>
                <w:sz w:val="15"/>
                <w:szCs w:val="15"/>
              </w:rPr>
              <w:t xml:space="preserve">Excluding prostate cancer, the histology that was unevenly allocated, the five-year survival difference falls to 33.1% against 16.2% with p=0.085. The authors argue this still meets a phase 2 screening threshold; it does not meet a conventional one, and it is the analysis that removes the trial's clearest allocation imbalance.</w:t>
            </w:r>
          </w:p>
          <w:p>
            <w:pPr>
              <w:pStyle w:val="ListParagraph"/>
              <w:numPr>
                <w:ilvl w:val="0"/>
                <w:numId w:val="2"/>
              </w:numPr>
              <w:spacing w:after="45"/>
            </w:pPr>
            <w:r>
              <w:rPr>
                <w:sz w:val="15"/>
                <w:szCs w:val="15"/>
              </w:rPr>
              <w:t xml:space="preserve">The mechanism claimed for the oligometastatic paradigm is contradicted by the trial's own post hoc analysis: time to new metastases did not differ between arms (Gray test p=0.57). Treating all visible lesions did not delay the appearance of new ones, which the authors read as occult micrometastatic disease already present - an interpretation that undermines the rationale for comprehensive local treatment.</w:t>
            </w:r>
          </w:p>
          <w:p>
            <w:pPr>
              <w:pStyle w:val="ListParagraph"/>
              <w:numPr>
                <w:ilvl w:val="0"/>
                <w:numId w:val="2"/>
              </w:numPr>
              <w:spacing w:after="45"/>
            </w:pPr>
            <w:r>
              <w:rPr>
                <w:sz w:val="15"/>
                <w:szCs w:val="15"/>
              </w:rPr>
              <w:t xml:space="preserve">The survival gain (22 months) is nearly four times the progression-free survival gain (6.2 months), and the explanation offered is salvage repeat radiotherapy in nine patients, including three of the ten five-year survivors. That makes the result contingent on intensive surveillance and repeated treatment, not on the initial intervention.</w:t>
            </w:r>
          </w:p>
          <w:p>
            <w:pPr>
              <w:pStyle w:val="ListParagraph"/>
              <w:numPr>
                <w:ilvl w:val="0"/>
                <w:numId w:val="2"/>
              </w:numPr>
              <w:spacing w:after="45"/>
            </w:pPr>
            <w:r>
              <w:rPr>
                <w:sz w:val="15"/>
                <w:szCs w:val="15"/>
              </w:rPr>
              <w:t xml:space="preserve">Long-term lesional control is computed per lesion (65 of 104 against 26 of 57) with no clustering by patient, and the denominators grew from the primary report's 100 and 57 assessable lesions without explanation.</w:t>
            </w:r>
          </w:p>
          <w:p>
            <w:pPr>
              <w:pStyle w:val="ListParagraph"/>
              <w:numPr>
                <w:ilvl w:val="0"/>
                <w:numId w:val="2"/>
              </w:numPr>
              <w:spacing w:after="45"/>
            </w:pPr>
            <w:r>
              <w:rPr>
                <w:sz w:val="15"/>
                <w:szCs w:val="15"/>
              </w:rPr>
              <w:t xml:space="preserve">Extending follow-up increased the effect from HR 0.57 (p=0.090) to HR 0.47 (p=0.006) in the same 99 patients. A growing effect with accumulating events in a small trial whose extension was triggered by observing more long-term survivors than expected is exactly the situation in which a point estimate drifts, and the paper does not address the multiplicity created by analysing the same primary endpoint twice.</w:t>
            </w:r>
          </w:p>
          <w:p>
            <w:pPr>
              <w:pStyle w:val="ListParagraph"/>
              <w:numPr>
                <w:ilvl w:val="0"/>
                <w:numId w:val="2"/>
              </w:numPr>
              <w:spacing w:after="45"/>
            </w:pPr>
            <w:r>
              <w:rPr>
                <w:sz w:val="15"/>
                <w:szCs w:val="15"/>
              </w:rPr>
              <w:t xml:space="preserve">Control patients continued to receive far more palliative radiotherapy (70% against 24%, p&lt;0.001), so the contrast remains ablative against palliative radiotherapy rather than radiotherapy against none.</w:t>
            </w:r>
          </w:p>
          <w:p>
            <w:pPr>
              <w:pStyle w:val="ListParagraph"/>
              <w:numPr>
                <w:ilvl w:val="0"/>
                <w:numId w:val="2"/>
              </w:numPr>
              <w:spacing w:after="45"/>
            </w:pPr>
            <w:r>
              <w:rPr>
                <w:sz w:val="15"/>
                <w:szCs w:val="15"/>
              </w:rPr>
              <w:t xml:space="preserve">Toxicity did not improve with longer observation: treatment-related grade 2 or worse events stayed at 29% against 9%, and the three treatment-related deaths (4.5%) remain, against a survival benefit that is still not conventionally significant once prostate cancer is removed.</w:t>
            </w:r>
          </w:p>
          <w:p>
            <w:pPr>
              <w:pStyle w:val="ListParagraph"/>
              <w:numPr>
                <w:ilvl w:val="0"/>
                <w:numId w:val="2"/>
              </w:numPr>
              <w:spacing w:after="45"/>
            </w:pPr>
            <w:r>
              <w:rPr>
                <w:sz w:val="15"/>
                <w:szCs w:val="15"/>
              </w:rPr>
              <w:t xml:space="preserve">Twelve patients reached five years and only one had colorectal cancer, so the long-term benefit this paper is cited for was realised almost entirely in breast, prostate and kidney cancer. For colorectal liver metastases the trial provides a 50% liver control rate and a single long-term survivor.</w:t>
            </w:r>
          </w:p>
          <w:p>
            <w:pPr>
              <w:pStyle w:val="ListParagraph"/>
              <w:numPr>
                <w:ilvl w:val="0"/>
                <w:numId w:val="2"/>
              </w:numPr>
              <w:spacing w:after="45"/>
            </w:pPr>
            <w:r>
              <w:rPr>
                <w:sz w:val="15"/>
                <w:szCs w:val="15"/>
              </w:rPr>
              <w:t xml:space="preserve">The control arm's systemic options predate immunotherapy and, for colorectal cancer, predate current biologic selection, so the comparator in the arm against which 28 months is measured is not today's standard of care.</w:t>
            </w:r>
          </w:p>
          <w:p>
            <w:pPr>
              <w:pStyle w:val="ListParagraph"/>
              <w:numPr>
                <w:ilvl w:val="0"/>
                <w:numId w:val="2"/>
              </w:numPr>
              <w:spacing w:after="45"/>
            </w:pPr>
            <w:r>
              <w:rPr>
                <w:sz w:val="15"/>
                <w:szCs w:val="15"/>
              </w:rPr>
              <w:t xml:space="preserve">The protocol has no data-sharing plan and the data will not be shared, so neither the sensitivity analysis nor the site-specific control figures can be independently verified.</w:t>
            </w:r>
          </w:p>
          <w:p>
            <w:pPr>
              <w:pStyle w:val="ListParagraph"/>
              <w:numPr>
                <w:ilvl w:val="0"/>
                <w:numId w:val="2"/>
              </w:numPr>
              <w:spacing w:after="45"/>
            </w:pPr>
            <w:r>
              <w:rPr>
                <w:sz w:val="15"/>
                <w:szCs w:val="15"/>
              </w:rPr>
              <w:t xml:space="preserve">No English-language linked editorial or comment was found in PubMed; a German-language journal-club commentary exists (PMID 33532894, Dunst, Strahlenther Onkol 2021) and was not read for this record.</w:t>
            </w:r>
          </w:p>
        </w:tc>
      </w:tr>
    </w:tbl>
    <w:p>
      <w:pPr>
        <w:spacing w:after="0" w:line="276"/>
      </w:pPr>
      <w:r>
        <w:rPr>
          <w:color w:val="5A6069"/>
          <w:sz w:val="14"/>
          <w:szCs w:val="14"/>
        </w:rPr>
        <w:t xml:space="preserve">Funding: Ontario Institute for Cancer Research and a London Regional Cancer Program Catalyst Grant; the funding bodies had no role in design, collection, analysis, interpretation or writing. Disclosures are held in a linked file not contained in this text; the primary report records grant funding or honoraria from Varian Medical Systems, ViewRay, AstraZeneca, Bayer, Merck, Celgene and MSD for four authors</w:t>
      </w:r>
    </w:p>
    <w:p>
      <w:pPr>
        <w:keepNext/>
        <w:spacing w:after="50" w:before="260"/>
      </w:pPr>
      <w:r>
        <w:rPr>
          <w:rFonts w:ascii="Cambria" w:cs="Cambria" w:eastAsia="Cambria" w:hAnsi="Cambria"/>
          <w:b/>
          <w:bCs/>
          <w:color w:val="17365D"/>
          <w:sz w:val="20"/>
          <w:szCs w:val="20"/>
        </w:rPr>
        <w:t xml:space="preserve">SABR-COMET primary</w:t>
      </w:r>
      <w:r>
        <w:rPr>
          <w:b/>
          <w:bCs/>
          <w:color w:val="176A87"/>
          <w:sz w:val="15"/>
          <w:szCs w:val="15"/>
        </w:rPr>
        <w:t xml:space="preserve">   Randomised trial</w:t>
      </w:r>
      <w:r>
        <w:rPr>
          <w:color w:val="5A6069"/>
          <w:sz w:val="15"/>
          <w:szCs w:val="15"/>
        </w:rPr>
        <w:t xml:space="preserve">   PMID 30982687</w:t>
      </w:r>
    </w:p>
    <w:p>
      <w:pPr>
        <w:spacing w:after="50" w:line="276"/>
      </w:pPr>
      <w:r>
        <w:rPr>
          <w:color w:val="5A6069"/>
          <w:sz w:val="17"/>
          <w:szCs w:val="17"/>
        </w:rPr>
        <w:t xml:space="preserve">Stereotactic ablative radiotherapy versus standard of care palliative treatment in patients with oligometastatic cancers (SABR-COMET): a randomised, phase 2, open-label trial</w:t>
      </w:r>
    </w:p>
    <w:p>
      <w:pPr>
        <w:spacing w:after="50"/>
      </w:pPr>
      <w:r>
        <w:rPr>
          <w:b/>
          <w:bCs/>
          <w:color w:val="176A87"/>
          <w:sz w:val="16"/>
          <w:szCs w:val="16"/>
        </w:rPr>
        <w:t xml:space="preserve">Population. </w:t>
      </w:r>
      <w:r>
        <w:rPr>
          <w:sz w:val="16"/>
          <w:szCs w:val="16"/>
        </w:rPr>
        <w:t xml:space="preserve">99 patients with a controlled primary tumour and one to five metastatic lesions, randomised 2:1 at ten centres in Canada, the Netherlands, the UK and Australia between February 2012 and August 2016 (66 stereotactic ablative radiotherapy plus standard of care, 33 standard of care alone); primary histology was colorectal in 18, breast 18, lung 18 and prostate 16, and only 19 of 191 lesions were hepatic. Just 7 of 99 patients had four or five metastases. Median follow-up 26 and 25 months</w:t>
      </w:r>
    </w:p>
    <w:p>
      <w:pPr>
        <w:spacing w:after="70"/>
      </w:pPr>
      <w:r>
        <w:rPr>
          <w:b/>
          <w:bCs/>
          <w:color w:val="17365D"/>
          <w:sz w:val="16"/>
          <w:szCs w:val="16"/>
        </w:rPr>
        <w:t xml:space="preserve">Bottom line. </w:t>
      </w:r>
      <w:r>
        <w:rPr>
          <w:sz w:val="16"/>
          <w:szCs w:val="16"/>
        </w:rPr>
        <w:t xml:space="preserve">The first randomised evidence that ablating all sites of oligometastatic disease may prolong life: median overall survival 41 against 28 months and progression-free survival 12 against 6 months, with lesional control raised from 49% to 75% and no loss of quality of life. It does not prove a survival benefit - the design set alpha at 0.20, the hazard ratio's interval crosses 1 (0.30-1.10, p=0.090), control survival was three times the planning assumption, and 14 of 16 prostate cancers landed in the treated arm - and it cost three treatment-related deaths in 66 patients. For colorectal liver metastases it is background for the oligometastatic idea only: nine treated patients had a colorectal primary, 19 of 191 lesions were hepatic, and the relevant comparator, resection or thermal ablation, was never tested.</w:t>
      </w:r>
    </w:p>
    <w:tbl>
      <w:tblPr>
        <w:tblW w:type="dxa" w:w="9360"/>
        <w:tblBorders>
          <w:top w:val="single" w:color="D3DCE4" w:sz="4"/>
          <w:left w:val="single" w:color="D3DCE4" w:sz="4"/>
          <w:bottom w:val="single" w:color="D3DCE4" w:sz="4"/>
          <w:right w:val="single" w:color="D3DCE4" w:sz="4"/>
          <w:insideH w:val="single" w:color="D3DCE4" w:sz="4"/>
          <w:insideV w:val="single" w:color="D3DCE4" w:sz="4"/>
        </w:tblBorders>
      </w:tblPr>
      <w:tblGrid>
        <w:gridCol w:w="4600"/>
        <w:gridCol w:w="4760"/>
      </w:tblGrid>
      <w:tr>
        <w:tc>
          <w:tcPr>
            <w:tcW w:type="dxa" w:w="4600"/>
            <w:shd w:fill="F1F4F8" w:color="auto" w:val="clear"/>
            <w:tcMar>
              <w:top w:type="dxa" w:w="70"/>
              <w:left w:type="dxa" w:w="110"/>
              <w:bottom w:type="dxa" w:w="70"/>
              <w:right w:type="dxa" w:w="110"/>
            </w:tcMar>
            <w:vAlign w:val="top"/>
          </w:tcPr>
          <w:p>
            <w:pPr>
              <w:spacing w:after="50"/>
            </w:pPr>
            <w:r>
              <w:rPr>
                <w:b/>
                <w:bCs/>
                <w:color w:val="8E5008"/>
                <w:spacing w:val="12"/>
                <w:sz w:val="14"/>
                <w:szCs w:val="14"/>
              </w:rPr>
              <w:t xml:space="preserve">LIMITATIONS THE AUTHORS STATE</w:t>
            </w:r>
          </w:p>
          <w:p>
            <w:pPr>
              <w:pStyle w:val="ListParagraph"/>
              <w:numPr>
                <w:ilvl w:val="0"/>
                <w:numId w:val="2"/>
              </w:numPr>
              <w:spacing w:after="45"/>
            </w:pPr>
            <w:r>
              <w:rPr>
                <w:sz w:val="15"/>
                <w:szCs w:val="15"/>
              </w:rPr>
              <w:t xml:space="preserve">Multiple cancer types were included and the authors state they cannot exclude histology-specific differences in tumour biology affecting the benefit</w:t>
            </w:r>
          </w:p>
          <w:p>
            <w:pPr>
              <w:pStyle w:val="ListParagraph"/>
              <w:numPr>
                <w:ilvl w:val="0"/>
                <w:numId w:val="2"/>
              </w:numPr>
              <w:spacing w:after="45"/>
            </w:pPr>
            <w:r>
              <w:rPr>
                <w:sz w:val="15"/>
                <w:szCs w:val="15"/>
              </w:rPr>
              <w:t xml:space="preserve">The radiotherapy arm contained a large number of prostate cancer patients, which the authors say could have led to bias</w:t>
            </w:r>
          </w:p>
          <w:p>
            <w:pPr>
              <w:pStyle w:val="ListParagraph"/>
              <w:numPr>
                <w:ilvl w:val="0"/>
                <w:numId w:val="2"/>
              </w:numPr>
              <w:spacing w:after="45"/>
            </w:pPr>
            <w:r>
              <w:rPr>
                <w:sz w:val="15"/>
                <w:szCs w:val="15"/>
              </w:rPr>
              <w:t xml:space="preserve">Only a small number of patients had four to five metastases, which limits the value of the stratification factor, and the authors state no robust conclusion can be drawn beyond three metastases</w:t>
            </w:r>
          </w:p>
          <w:p>
            <w:pPr>
              <w:pStyle w:val="ListParagraph"/>
              <w:numPr>
                <w:ilvl w:val="0"/>
                <w:numId w:val="2"/>
              </w:numPr>
              <w:spacing w:after="45"/>
            </w:pPr>
            <w:r>
              <w:rPr>
                <w:sz w:val="15"/>
                <w:szCs w:val="15"/>
              </w:rPr>
              <w:t xml:space="preserve">The optimal dose and fractionation, and the maximum number of lesions treatable at acceptable risk, remain unknown</w:t>
            </w:r>
          </w:p>
          <w:p>
            <w:pPr>
              <w:pStyle w:val="ListParagraph"/>
              <w:numPr>
                <w:ilvl w:val="0"/>
                <w:numId w:val="2"/>
              </w:numPr>
              <w:spacing w:after="45"/>
            </w:pPr>
            <w:r>
              <w:rPr>
                <w:sz w:val="15"/>
                <w:szCs w:val="15"/>
              </w:rPr>
              <w:t xml:space="preserve">Three treatment-related deaths (4.5%) occurred despite strict dose constraints and peer review of all plans, and the authors advise treating more than five lesions only within trials</w:t>
            </w:r>
          </w:p>
          <w:p>
            <w:pPr>
              <w:pStyle w:val="ListParagraph"/>
              <w:numPr>
                <w:ilvl w:val="0"/>
                <w:numId w:val="2"/>
              </w:numPr>
              <w:spacing w:after="45"/>
            </w:pPr>
            <w:r>
              <w:rPr>
                <w:sz w:val="15"/>
                <w:szCs w:val="15"/>
              </w:rPr>
              <w:t xml:space="preserve">The prespecified endpoint of further systemic therapy cycles could not be ascertained and was converted to a yes-or-no variable</w:t>
            </w:r>
          </w:p>
          <w:p>
            <w:pPr>
              <w:pStyle w:val="ListParagraph"/>
              <w:numPr>
                <w:ilvl w:val="0"/>
                <w:numId w:val="2"/>
              </w:numPr>
              <w:spacing w:after="45"/>
            </w:pPr>
            <w:r>
              <w:rPr>
                <w:sz w:val="15"/>
                <w:szCs w:val="15"/>
              </w:rPr>
              <w:t xml:space="preserve">Quality of life was measured with a general rather than organ-specific instrument, and survival in both arms greatly exceeded the assumptions used for the sample size</w:t>
            </w:r>
          </w:p>
          <w:p>
            <w:pPr>
              <w:pStyle w:val="ListParagraph"/>
              <w:numPr>
                <w:ilvl w:val="0"/>
                <w:numId w:val="2"/>
              </w:numPr>
              <w:spacing w:after="45"/>
            </w:pPr>
            <w:r>
              <w:rPr>
                <w:sz w:val="15"/>
                <w:szCs w:val="15"/>
              </w:rPr>
              <w:t xml:space="preserve">The authors state that phase 3 trials are needed to show an overall survival benefit conclusively</w:t>
            </w:r>
          </w:p>
        </w:tc>
        <w:tc>
          <w:tcPr>
            <w:tcW w:type="dxa" w:w="4760"/>
            <w:shd w:fill="F1F4F8" w:color="auto" w:val="clear"/>
            <w:tcMar>
              <w:top w:type="dxa" w:w="70"/>
              <w:left w:type="dxa" w:w="110"/>
              <w:bottom w:type="dxa" w:w="70"/>
              <w:right w:type="dxa" w:w="110"/>
            </w:tcMar>
            <w:vAlign w:val="top"/>
          </w:tcPr>
          <w:p>
            <w:pPr>
              <w:spacing w:after="50"/>
            </w:pPr>
            <w:r>
              <w:rPr>
                <w:b/>
                <w:bCs/>
                <w:color w:val="8C2F26"/>
                <w:spacing w:val="12"/>
                <w:sz w:val="14"/>
                <w:szCs w:val="14"/>
              </w:rPr>
              <w:t xml:space="preserve">WHAT THEY DO NOT SAY</w:t>
            </w:r>
          </w:p>
          <w:p>
            <w:pPr>
              <w:pStyle w:val="ListParagraph"/>
              <w:numPr>
                <w:ilvl w:val="0"/>
                <w:numId w:val="2"/>
              </w:numPr>
              <w:spacing w:after="45"/>
            </w:pPr>
            <w:r>
              <w:rPr>
                <w:sz w:val="15"/>
                <w:szCs w:val="15"/>
              </w:rPr>
              <w:t xml:space="preserve">The survival result is not statistically significant by conventional standards and is presented as positive because the trial set its own threshold at a two-sided alpha of 0.20. The hazard ratio is 0.57 with a 95% CI of 0.30 to 1.10 and p=0.090, so the data are compatible with no survival effect, and 40 deaths in 99 patients cannot settle the question either way.</w:t>
            </w:r>
          </w:p>
          <w:p>
            <w:pPr>
              <w:pStyle w:val="ListParagraph"/>
              <w:numPr>
                <w:ilvl w:val="0"/>
                <w:numId w:val="2"/>
              </w:numPr>
              <w:spacing w:after="45"/>
            </w:pPr>
            <w:r>
              <w:rPr>
                <w:sz w:val="15"/>
                <w:szCs w:val="15"/>
              </w:rPr>
              <w:t xml:space="preserve">Control-arm survival was 28 months against the 9 months assumed at design - more than three times the planning estimate - so the trial was not powered for the population it enrolled, and the authors' explanation of this is confined to a limitation sentence.</w:t>
            </w:r>
          </w:p>
          <w:p>
            <w:pPr>
              <w:pStyle w:val="ListParagraph"/>
              <w:numPr>
                <w:ilvl w:val="0"/>
                <w:numId w:val="2"/>
              </w:numPr>
              <w:spacing w:after="45"/>
            </w:pPr>
            <w:r>
              <w:rPr>
                <w:sz w:val="15"/>
                <w:szCs w:val="15"/>
              </w:rPr>
              <w:t xml:space="preserve">The claim that a progression-free survival p value below 0.005 in a phase 2 screening trial can be considered definitive is asserted with one citation, in a trial of 99 patients with four histologies. Progression-free survival in a mixed-histology trial of local therapy is also the endpoint most favoured by treating the sites that are being measured.</w:t>
            </w:r>
          </w:p>
          <w:p>
            <w:pPr>
              <w:pStyle w:val="ListParagraph"/>
              <w:numPr>
                <w:ilvl w:val="0"/>
                <w:numId w:val="2"/>
              </w:numPr>
              <w:spacing w:after="45"/>
            </w:pPr>
            <w:r>
              <w:rPr>
                <w:sz w:val="15"/>
                <w:szCs w:val="15"/>
              </w:rPr>
              <w:t xml:space="preserve">Allocation produced striking imbalances for a 99-patient trial: 14 of the 16 prostate cancers and all three patients with five metastases fell in the radiotherapy arm. Prostate cancer has far better survival than the other histologies, and the paper offers no adjusted analysis excluding it.</w:t>
            </w:r>
          </w:p>
          <w:p>
            <w:pPr>
              <w:pStyle w:val="ListParagraph"/>
              <w:numPr>
                <w:ilvl w:val="0"/>
                <w:numId w:val="2"/>
              </w:numPr>
              <w:spacing w:after="45"/>
            </w:pPr>
            <w:r>
              <w:rPr>
                <w:sz w:val="15"/>
                <w:szCs w:val="15"/>
              </w:rPr>
              <w:t xml:space="preserve">Control patients received substantially more palliative radiotherapy (21 of 33, 64%, against 13 of 66, 20%), so the comparison is not radiotherapy against none but ablative radiotherapy against palliative radiotherapy plus systemic therapy - which bears directly on the lesional control endpoint.</w:t>
            </w:r>
          </w:p>
          <w:p>
            <w:pPr>
              <w:pStyle w:val="ListParagraph"/>
              <w:numPr>
                <w:ilvl w:val="0"/>
                <w:numId w:val="2"/>
              </w:numPr>
              <w:spacing w:after="45"/>
            </w:pPr>
            <w:r>
              <w:rPr>
                <w:sz w:val="15"/>
                <w:szCs w:val="15"/>
              </w:rPr>
              <w:t xml:space="preserve">Lesional control is computed per lesion (75 of 100 assessable against 28 of 57) with no clustering by patient, and the denominators are the assessable rather than the randomised lesions, with 191 lesions at baseline unaccounted for in that analysis.</w:t>
            </w:r>
          </w:p>
          <w:p>
            <w:pPr>
              <w:pStyle w:val="ListParagraph"/>
              <w:numPr>
                <w:ilvl w:val="0"/>
                <w:numId w:val="2"/>
              </w:numPr>
              <w:spacing w:after="45"/>
            </w:pPr>
            <w:r>
              <w:rPr>
                <w:sz w:val="15"/>
                <w:szCs w:val="15"/>
              </w:rPr>
              <w:t xml:space="preserve">Treatment-related mortality was 4.5% with none in controls, including a subdural haemorrhage after surgery for a radiotherapy-related perforated gastric ulcer. The abstract reports it, the Interpretation reports it, and no analysis weighs three deaths against a non-significant survival gain in 66 patients.</w:t>
            </w:r>
          </w:p>
          <w:p>
            <w:pPr>
              <w:pStyle w:val="ListParagraph"/>
              <w:numPr>
                <w:ilvl w:val="0"/>
                <w:numId w:val="2"/>
              </w:numPr>
              <w:spacing w:after="45"/>
            </w:pPr>
            <w:r>
              <w:rPr>
                <w:sz w:val="15"/>
                <w:szCs w:val="15"/>
              </w:rPr>
              <w:t xml:space="preserve">Quality of life was unchanged at six months (FACT-G 82.6 against 82.5, p=0.99) with no subscale difference, which undercuts the usual symptom-control justification for local therapy and is reported without comment on completion rates in the main text.</w:t>
            </w:r>
          </w:p>
          <w:p>
            <w:pPr>
              <w:pStyle w:val="ListParagraph"/>
              <w:numPr>
                <w:ilvl w:val="0"/>
                <w:numId w:val="2"/>
              </w:numPr>
              <w:spacing w:after="45"/>
            </w:pPr>
            <w:r>
              <w:rPr>
                <w:sz w:val="15"/>
                <w:szCs w:val="15"/>
              </w:rPr>
              <w:t xml:space="preserve">The trial is open label with no blinding of patients, clinicians or outcome assessors, and progression was assessed on imaging, in a trial whose firmest result is progression-free survival.</w:t>
            </w:r>
          </w:p>
          <w:p>
            <w:pPr>
              <w:pStyle w:val="ListParagraph"/>
              <w:numPr>
                <w:ilvl w:val="0"/>
                <w:numId w:val="2"/>
              </w:numPr>
              <w:spacing w:after="45"/>
            </w:pPr>
            <w:r>
              <w:rPr>
                <w:sz w:val="15"/>
                <w:szCs w:val="15"/>
              </w:rPr>
              <w:t xml:space="preserve">For colorectal liver metastases the trial contributes almost nothing directly: 18 patients had a colorectal primary (9 per arm) and 19 of 191 lesions were hepatic, and the comparator for liver-confined colorectal disease is resection or thermal ablation, neither of which was tested. ASCO's 2023 guideline excluded this trial from its evidence base for exactly this reason while recommending stereotactic radiotherapy on uncontrolled series.</w:t>
            </w:r>
          </w:p>
          <w:p>
            <w:pPr>
              <w:pStyle w:val="ListParagraph"/>
              <w:numPr>
                <w:ilvl w:val="0"/>
                <w:numId w:val="2"/>
              </w:numPr>
              <w:spacing w:after="45"/>
            </w:pPr>
            <w:r>
              <w:rPr>
                <w:sz w:val="15"/>
                <w:szCs w:val="15"/>
              </w:rPr>
              <w:t xml:space="preserve">Dose and fractionation varied (35 Gy in 5, 60 Gy in 8, 54 Gy in 3 fractions and others) with no dose-response analysis, so the intervention tested is a policy rather than a treatment.</w:t>
            </w:r>
          </w:p>
          <w:p>
            <w:pPr>
              <w:pStyle w:val="ListParagraph"/>
              <w:numPr>
                <w:ilvl w:val="0"/>
                <w:numId w:val="2"/>
              </w:numPr>
              <w:spacing w:after="45"/>
            </w:pPr>
            <w:r>
              <w:rPr>
                <w:sz w:val="15"/>
                <w:szCs w:val="15"/>
              </w:rPr>
              <w:t xml:space="preserve">The protocol contained no data-sharing plan and the data will not be shared, so the analyses cannot be independently checked.</w:t>
            </w:r>
          </w:p>
          <w:p>
            <w:pPr>
              <w:pStyle w:val="ListParagraph"/>
              <w:numPr>
                <w:ilvl w:val="0"/>
                <w:numId w:val="2"/>
              </w:numPr>
              <w:spacing w:after="45"/>
            </w:pPr>
            <w:r>
              <w:rPr>
                <w:sz w:val="15"/>
                <w:szCs w:val="15"/>
              </w:rPr>
              <w:t xml:space="preserve">A linked Lancet Comment (PMID 30982688, Loo and Diehn, 'SABR-COMET: harbinger of a new cancer treatment paradigm', 2019;393:2013-14) was identified in PubMed but its text was not read for this record.</w:t>
            </w:r>
          </w:p>
        </w:tc>
      </w:tr>
    </w:tbl>
    <w:p>
      <w:pPr>
        <w:spacing w:after="0" w:line="276"/>
      </w:pPr>
      <w:r>
        <w:rPr>
          <w:color w:val="5A6069"/>
          <w:sz w:val="14"/>
          <w:szCs w:val="14"/>
        </w:rPr>
        <w:t xml:space="preserve">Funding: Ontario Institute for Cancer Research and a London Regional Cancer Program Catalyst Grant; the funders had no role in design, collection, analysis, interpretation or writing. Four authors declare grant funding or honoraria from Varian Medical Systems, ViewRay, AstraZeneca, Bayer, Merck, Celgene or MSD, all stated to be unrelated to this project</w:t>
      </w:r>
    </w:p>
    <w:p>
      <w:pPr>
        <w:keepNext/>
        <w:spacing w:after="50" w:before="260"/>
      </w:pPr>
      <w:r>
        <w:rPr>
          <w:rFonts w:ascii="Cambria" w:cs="Cambria" w:eastAsia="Cambria" w:hAnsi="Cambria"/>
          <w:b/>
          <w:bCs/>
          <w:color w:val="17365D"/>
          <w:sz w:val="20"/>
          <w:szCs w:val="20"/>
        </w:rPr>
        <w:t xml:space="preserve">SECA-II</w:t>
      </w:r>
      <w:r>
        <w:rPr>
          <w:b/>
          <w:bCs/>
          <w:color w:val="176A87"/>
          <w:sz w:val="15"/>
          <w:szCs w:val="15"/>
        </w:rPr>
        <w:t xml:space="preserve">   cohort</w:t>
      </w:r>
      <w:r>
        <w:rPr>
          <w:color w:val="5A6069"/>
          <w:sz w:val="15"/>
          <w:szCs w:val="15"/>
        </w:rPr>
        <w:t xml:space="preserve">   PMID 31188200</w:t>
      </w:r>
    </w:p>
    <w:p>
      <w:pPr>
        <w:spacing w:after="50" w:line="276"/>
      </w:pPr>
      <w:r>
        <w:rPr>
          <w:color w:val="5A6069"/>
          <w:sz w:val="17"/>
          <w:szCs w:val="17"/>
        </w:rPr>
        <w:t xml:space="preserve">Survival Following Liver Transplantation for Patients With Nonresectable Liver-only Colorectal Metastases</w:t>
      </w:r>
    </w:p>
    <w:p>
      <w:pPr>
        <w:spacing w:after="50"/>
      </w:pPr>
      <w:r>
        <w:rPr>
          <w:b/>
          <w:bCs/>
          <w:color w:val="176A87"/>
          <w:sz w:val="16"/>
          <w:szCs w:val="16"/>
        </w:rPr>
        <w:t xml:space="preserve">Population. </w:t>
      </w:r>
      <w:r>
        <w:rPr>
          <w:sz w:val="16"/>
          <w:szCs w:val="16"/>
        </w:rPr>
        <w:t xml:space="preserve">15 patients transplanted for non-resectable liver-only colorectal metastases at Oslo University Hospital between April 2012 and November 2016 (SECA-II, NCT01479608); median 12 lesions (up to 100) with largest 45 mm at diagnosis, falling to a median 5 lesions and 24 mm at transplantation; 14 of 15 synchronous, 12 of 15 sigmoid or rectal, 8 of 15 on second or later line chemotherapy, median 24.0 months from diagnosis to transplant and 29 days (range 7-148) on the waiting list with no dropout. Median follow-up 36 months (range 5-60)</w:t>
      </w:r>
    </w:p>
    <w:p>
      <w:pPr>
        <w:spacing w:after="70"/>
      </w:pPr>
      <w:r>
        <w:rPr>
          <w:b/>
          <w:bCs/>
          <w:color w:val="17365D"/>
          <w:sz w:val="16"/>
          <w:szCs w:val="16"/>
        </w:rPr>
        <w:t xml:space="preserve">Bottom line. </w:t>
      </w:r>
      <w:r>
        <w:rPr>
          <w:sz w:val="16"/>
          <w:szCs w:val="16"/>
        </w:rPr>
        <w:t xml:space="preserve">Reports the best survival ever published for unresectable liver-only colorectal metastases - Kaplan-Meier 83% at five years in fifteen patients - and shows that tightening selection beyond SECA-I (response to chemotherapy, more than a year from diagnosis, lower tumour burden and CEA) is what produced it. It does not show that transplantation caused that survival: there is no control arm, the 17-month comparator is an assumption applied to a cohort selected for the features that predict long survival, the five-year figure rests on two deaths at a median 36 months of follow-up, and median disease-free survival was 13.7 months with survival maintained by repeated lung metastasectomy. It is a proof of principle about selection criteria, with 47% grade IIIa-IVa complications and a graft each.</w:t>
      </w:r>
    </w:p>
    <w:tbl>
      <w:tblPr>
        <w:tblW w:type="dxa" w:w="9360"/>
        <w:tblBorders>
          <w:top w:val="single" w:color="D3DCE4" w:sz="4"/>
          <w:left w:val="single" w:color="D3DCE4" w:sz="4"/>
          <w:bottom w:val="single" w:color="D3DCE4" w:sz="4"/>
          <w:right w:val="single" w:color="D3DCE4" w:sz="4"/>
          <w:insideH w:val="single" w:color="D3DCE4" w:sz="4"/>
          <w:insideV w:val="single" w:color="D3DCE4" w:sz="4"/>
        </w:tblBorders>
      </w:tblPr>
      <w:tblGrid>
        <w:gridCol w:w="4600"/>
        <w:gridCol w:w="4760"/>
      </w:tblGrid>
      <w:tr>
        <w:tc>
          <w:tcPr>
            <w:tcW w:type="dxa" w:w="4600"/>
            <w:shd w:fill="F1F4F8" w:color="auto" w:val="clear"/>
            <w:tcMar>
              <w:top w:type="dxa" w:w="70"/>
              <w:left w:type="dxa" w:w="110"/>
              <w:bottom w:type="dxa" w:w="70"/>
              <w:right w:type="dxa" w:w="110"/>
            </w:tcMar>
            <w:vAlign w:val="top"/>
          </w:tcPr>
          <w:p>
            <w:pPr>
              <w:spacing w:after="50"/>
            </w:pPr>
            <w:r>
              <w:rPr>
                <w:b/>
                <w:bCs/>
                <w:color w:val="8E5008"/>
                <w:spacing w:val="12"/>
                <w:sz w:val="14"/>
                <w:szCs w:val="14"/>
              </w:rPr>
              <w:t xml:space="preserve">LIMITATIONS THE AUTHORS STATE</w:t>
            </w:r>
          </w:p>
          <w:p>
            <w:pPr>
              <w:pStyle w:val="ListParagraph"/>
              <w:numPr>
                <w:ilvl w:val="0"/>
                <w:numId w:val="2"/>
              </w:numPr>
              <w:spacing w:after="45"/>
            </w:pPr>
            <w:r>
              <w:rPr>
                <w:sz w:val="15"/>
                <w:szCs w:val="15"/>
              </w:rPr>
              <w:t xml:space="preserve">No limitations section. The authors concede that adjuvant chemotherapy was deliberately omitted because adding it would have turned the study into an evaluation of two treatments, and say this should be the subject of future multicentre trials</w:t>
            </w:r>
          </w:p>
          <w:p>
            <w:pPr>
              <w:pStyle w:val="ListParagraph"/>
              <w:numPr>
                <w:ilvl w:val="0"/>
                <w:numId w:val="2"/>
              </w:numPr>
              <w:spacing w:after="45"/>
            </w:pPr>
            <w:r>
              <w:rPr>
                <w:sz w:val="15"/>
                <w:szCs w:val="15"/>
              </w:rPr>
              <w:t xml:space="preserve">They state that only one of the fifteen patients had metachronous disease, and that metachronous patients have a better prognosis after liver resection</w:t>
            </w:r>
          </w:p>
          <w:p>
            <w:pPr>
              <w:pStyle w:val="ListParagraph"/>
              <w:numPr>
                <w:ilvl w:val="0"/>
                <w:numId w:val="2"/>
              </w:numPr>
              <w:spacing w:after="45"/>
            </w:pPr>
            <w:r>
              <w:rPr>
                <w:sz w:val="15"/>
                <w:szCs w:val="15"/>
              </w:rPr>
              <w:t xml:space="preserve">They state that the comparison supporting benefit is an estimate: on the basis of published second-line figures and the lines of chemotherapy their patients had received, they assume these patients would have had a median survival of about 17 months without transplantation</w:t>
            </w:r>
          </w:p>
          <w:p>
            <w:pPr>
              <w:pStyle w:val="ListParagraph"/>
              <w:numPr>
                <w:ilvl w:val="0"/>
                <w:numId w:val="2"/>
              </w:numPr>
              <w:spacing w:after="45"/>
            </w:pPr>
            <w:r>
              <w:rPr>
                <w:sz w:val="15"/>
                <w:szCs w:val="15"/>
              </w:rPr>
              <w:t xml:space="preserve">They report that SECA-II patients were significantly better selected than SECA-I patients on Fong score, Oslo score, lesion number, lesion size, CEA and PET tumour-to-background ratio</w:t>
            </w:r>
          </w:p>
          <w:p>
            <w:pPr>
              <w:pStyle w:val="ListParagraph"/>
              <w:numPr>
                <w:ilvl w:val="0"/>
                <w:numId w:val="2"/>
              </w:numPr>
              <w:spacing w:after="45"/>
            </w:pPr>
            <w:r>
              <w:rPr>
                <w:sz w:val="15"/>
                <w:szCs w:val="15"/>
              </w:rPr>
              <w:t xml:space="preserve">They state that graft scarcity is the major obstacle to establishing the indication internationally, that adding it to waiting lists would worsen an already difficult situation, and that several transplant centres are already offering it outside registered prospective studies</w:t>
            </w:r>
          </w:p>
          <w:p>
            <w:pPr>
              <w:pStyle w:val="ListParagraph"/>
              <w:numPr>
                <w:ilvl w:val="0"/>
                <w:numId w:val="2"/>
              </w:numPr>
              <w:spacing w:after="45"/>
            </w:pPr>
            <w:r>
              <w:rPr>
                <w:sz w:val="15"/>
                <w:szCs w:val="15"/>
              </w:rPr>
              <w:t xml:space="preserve">They report Clavien-Dindo grade IIIa-IVa complications in 7 of 15 patients (47%)</w:t>
            </w:r>
          </w:p>
        </w:tc>
        <w:tc>
          <w:tcPr>
            <w:tcW w:type="dxa" w:w="4760"/>
            <w:shd w:fill="F1F4F8" w:color="auto" w:val="clear"/>
            <w:tcMar>
              <w:top w:type="dxa" w:w="70"/>
              <w:left w:type="dxa" w:w="110"/>
              <w:bottom w:type="dxa" w:w="70"/>
              <w:right w:type="dxa" w:w="110"/>
            </w:tcMar>
            <w:vAlign w:val="top"/>
          </w:tcPr>
          <w:p>
            <w:pPr>
              <w:spacing w:after="50"/>
            </w:pPr>
            <w:r>
              <w:rPr>
                <w:b/>
                <w:bCs/>
                <w:color w:val="8C2F26"/>
                <w:spacing w:val="12"/>
                <w:sz w:val="14"/>
                <w:szCs w:val="14"/>
              </w:rPr>
              <w:t xml:space="preserve">WHAT THEY DO NOT SAY</w:t>
            </w:r>
          </w:p>
          <w:p>
            <w:pPr>
              <w:pStyle w:val="ListParagraph"/>
              <w:numPr>
                <w:ilvl w:val="0"/>
                <w:numId w:val="2"/>
              </w:numPr>
              <w:spacing w:after="45"/>
            </w:pPr>
            <w:r>
              <w:rPr>
                <w:sz w:val="15"/>
                <w:szCs w:val="15"/>
              </w:rPr>
              <w:t xml:space="preserve">The headline figure is a five-year Kaplan-Meier estimate from a median follow-up of 36 months with a range starting at 5 months, resting on two deaths in fifteen patients. No confidence interval is given anywhere, and the number of patients still at risk at 60 months is not stated in the text.</w:t>
            </w:r>
          </w:p>
          <w:p>
            <w:pPr>
              <w:pStyle w:val="ListParagraph"/>
              <w:numPr>
                <w:ilvl w:val="0"/>
                <w:numId w:val="2"/>
              </w:numPr>
              <w:spacing w:after="45"/>
            </w:pPr>
            <w:r>
              <w:rPr>
                <w:sz w:val="15"/>
                <w:szCs w:val="15"/>
              </w:rPr>
              <w:t xml:space="preserve">The counterfactual that makes the result look transformative is constructed rather than observed. The assumed 17-month median survival without transplantation comes from published second-line figures in unselected patients and is applied to a cohort that had to survive a median 24 months from diagnosis, show at least 10% RECIST response, remain extrahepatically PET-negative, keep ECOG 0-1, hold a BMI under 30 and lose under 10% of body weight. Selection of that kind predicts long survival by itself.</w:t>
            </w:r>
          </w:p>
          <w:p>
            <w:pPr>
              <w:pStyle w:val="ListParagraph"/>
              <w:numPr>
                <w:ilvl w:val="0"/>
                <w:numId w:val="2"/>
              </w:numPr>
              <w:spacing w:after="45"/>
            </w:pPr>
            <w:r>
              <w:rPr>
                <w:sz w:val="15"/>
                <w:szCs w:val="15"/>
              </w:rPr>
              <w:t xml:space="preserve">The historical comparison carried over from SECA-I is built on an outcome-selected control group: 21 SECA-I patients were compared with the 21 of 47 NORDIC-VII patients with the longest overall survival. Choosing a comparator by its outcome is improper even when, as here, the choice runs against the authors' hypothesis.</w:t>
            </w:r>
          </w:p>
          <w:p>
            <w:pPr>
              <w:pStyle w:val="ListParagraph"/>
              <w:numPr>
                <w:ilvl w:val="0"/>
                <w:numId w:val="2"/>
              </w:numPr>
              <w:spacing w:after="45"/>
            </w:pPr>
            <w:r>
              <w:rPr>
                <w:sz w:val="15"/>
                <w:szCs w:val="15"/>
              </w:rPr>
              <w:t xml:space="preserve">The paper itself shows the improvement over SECA-I is selection, not technique: Fong score 3 against 2, Oslo score 2 against 1, 8 lesions against 5, 45 mm against 24 mm, CEA 15 against 2 ug/L, tumour-to-background ratio 5.3 against 2.6. An 83% five-year estimate obtained by restricting entry says what the criteria pick out, not what the operation does.</w:t>
            </w:r>
          </w:p>
          <w:p>
            <w:pPr>
              <w:pStyle w:val="ListParagraph"/>
              <w:numPr>
                <w:ilvl w:val="0"/>
                <w:numId w:val="2"/>
              </w:numPr>
              <w:spacing w:after="45"/>
            </w:pPr>
            <w:r>
              <w:rPr>
                <w:sz w:val="15"/>
                <w:szCs w:val="15"/>
              </w:rPr>
              <w:t xml:space="preserve">The Discussion describes the cohort as having extensive non-resectable disease with a median of 12 metastases of 45 mm, which are the figures at diagnosis; at transplantation the medians were 5 lesions of 24 mm. The burden used to argue the patients were desperate is not the burden they had when transplanted.</w:t>
            </w:r>
          </w:p>
          <w:p>
            <w:pPr>
              <w:pStyle w:val="ListParagraph"/>
              <w:numPr>
                <w:ilvl w:val="0"/>
                <w:numId w:val="2"/>
              </w:numPr>
              <w:spacing w:after="45"/>
            </w:pPr>
            <w:r>
              <w:rPr>
                <w:sz w:val="15"/>
                <w:szCs w:val="15"/>
              </w:rPr>
              <w:t xml:space="preserve">Survival depends on post-transplant surgery that is not counted as part of the treatment: 6 pulmonary resections in 5 patients, one liver resection, two lymph node resections with 50 Gy of radiotherapy, and palliative chemotherapy in two. What the 83% describes is transplantation plus an aggressive and individualised salvage programme.</w:t>
            </w:r>
          </w:p>
          <w:p>
            <w:pPr>
              <w:pStyle w:val="ListParagraph"/>
              <w:numPr>
                <w:ilvl w:val="0"/>
                <w:numId w:val="2"/>
              </w:numPr>
              <w:spacing w:after="45"/>
            </w:pPr>
            <w:r>
              <w:rPr>
                <w:sz w:val="15"/>
                <w:szCs w:val="15"/>
              </w:rPr>
              <w:t xml:space="preserve">Pulmonary metastases were resected a median 21.4 months after detection, at a median CT size of 7.5 mm (range 5-10 mm). Known metastatic disease was therefore watched for nearly two years by design, which shapes both the disease-free survival figures and the 76.4% no-evidence-of-disease rate at three years - a composite that counts patients re-rendered disease free by later operations.</w:t>
            </w:r>
          </w:p>
          <w:p>
            <w:pPr>
              <w:pStyle w:val="ListParagraph"/>
              <w:numPr>
                <w:ilvl w:val="0"/>
                <w:numId w:val="2"/>
              </w:numPr>
              <w:spacing w:after="45"/>
            </w:pPr>
            <w:r>
              <w:rPr>
                <w:sz w:val="15"/>
                <w:szCs w:val="15"/>
              </w:rPr>
              <w:t xml:space="preserve">Median disease-free survival was 13.7 months with 35% disease-free at three years, so the operation does not control the disease; the paper's framing moves the burden of the efficacy claim onto overall survival without reporting what proportion of survival time was spent with known disease.</w:t>
            </w:r>
          </w:p>
          <w:p>
            <w:pPr>
              <w:pStyle w:val="ListParagraph"/>
              <w:numPr>
                <w:ilvl w:val="0"/>
                <w:numId w:val="2"/>
              </w:numPr>
              <w:spacing w:after="45"/>
            </w:pPr>
            <w:r>
              <w:rPr>
                <w:sz w:val="15"/>
                <w:szCs w:val="15"/>
              </w:rPr>
              <w:t xml:space="preserve">Subgroup analyses are reported from fifteen patients with no adjustment: Fong 1-2 against 3-4 (p=0.044), fewer than 8 lesions (p=0.083) and N0 primary (p=0.065). With this sample size these are descriptions of individual patients.</w:t>
            </w:r>
          </w:p>
          <w:p>
            <w:pPr>
              <w:pStyle w:val="ListParagraph"/>
              <w:numPr>
                <w:ilvl w:val="0"/>
                <w:numId w:val="2"/>
              </w:numPr>
              <w:spacing w:after="45"/>
            </w:pPr>
            <w:r>
              <w:rPr>
                <w:sz w:val="15"/>
                <w:szCs w:val="15"/>
              </w:rPr>
              <w:t xml:space="preserve">No screening or referral denominator is given. The paper reports 15 transplants over about five years with no waiting-list dropout, but not how many patients were assessed, declined or excluded, so the eligible population cannot be estimated from this study - although the paper then extrapolates to US transplant volumes.</w:t>
            </w:r>
          </w:p>
          <w:p>
            <w:pPr>
              <w:pStyle w:val="ListParagraph"/>
              <w:numPr>
                <w:ilvl w:val="0"/>
                <w:numId w:val="2"/>
              </w:numPr>
              <w:spacing w:after="45"/>
            </w:pPr>
            <w:r>
              <w:rPr>
                <w:sz w:val="15"/>
                <w:szCs w:val="15"/>
              </w:rPr>
              <w:t xml:space="preserve">Immunosuppression was basiliximab induction with tacrolimus for four to six weeks and conversion to sirolimus, a regimen chosen in part for a presumed antitumour effect, with no comparison, no exposure data, no rejection rate and no graft outcome reported. It is an untested co-intervention inside the treatment being evaluated.</w:t>
            </w:r>
          </w:p>
          <w:p>
            <w:pPr>
              <w:pStyle w:val="ListParagraph"/>
              <w:numPr>
                <w:ilvl w:val="0"/>
                <w:numId w:val="2"/>
              </w:numPr>
              <w:spacing w:after="45"/>
            </w:pPr>
            <w:r>
              <w:rPr>
                <w:sz w:val="15"/>
                <w:szCs w:val="15"/>
              </w:rPr>
              <w:t xml:space="preserve">The harms are substantial and unweighed: grade IIIa-IVa complications in 47%, including biliary leakage and acute hepatic vein thrombosis, in patients whose own livers functioned normally, plus lifelong immunosuppression. No quality-of-life measure is reported.</w:t>
            </w:r>
          </w:p>
          <w:p>
            <w:pPr>
              <w:pStyle w:val="ListParagraph"/>
              <w:numPr>
                <w:ilvl w:val="0"/>
                <w:numId w:val="2"/>
              </w:numPr>
              <w:spacing w:after="45"/>
            </w:pPr>
            <w:r>
              <w:rPr>
                <w:sz w:val="15"/>
                <w:szCs w:val="15"/>
              </w:rPr>
              <w:t xml:space="preserve">The allocation question is answered by assertion. The claim that restricting selection to patients with 75-80% five-year survival will probably not lengthen waiting lists much is an arithmetic extrapolation from one centre in a country with unusual graft availability, offered alongside the authors' own observation that centres are already transplanting these patients outside trials.</w:t>
            </w:r>
          </w:p>
          <w:p>
            <w:pPr>
              <w:pStyle w:val="ListParagraph"/>
              <w:numPr>
                <w:ilvl w:val="0"/>
                <w:numId w:val="2"/>
              </w:numPr>
              <w:spacing w:after="45"/>
            </w:pPr>
            <w:r>
              <w:rPr>
                <w:sz w:val="15"/>
                <w:szCs w:val="15"/>
              </w:rPr>
              <w:t xml:space="preserve">Three linked comments were identified in PubMed - Azoulay and Lim, 'Shaking the Coconut Tree' (PMID 32310616); Gorgen and Sapisochin, 'What if Those Lesions are Gone?' (PMID 31567348); and Jegatheeswaran and Siriwardena (PMID 32398488) - but only their titles were available, so no argument from them is attributed here beyond the question of what to do when liver lesions have disappeared on imaging.</w:t>
            </w:r>
          </w:p>
        </w:tc>
      </w:tr>
    </w:tbl>
    <w:p>
      <w:pPr>
        <w:spacing w:after="0" w:line="276"/>
      </w:pPr>
      <w:r>
        <w:rPr>
          <w:color w:val="5A6069"/>
          <w:sz w:val="14"/>
          <w:szCs w:val="14"/>
        </w:rPr>
        <w:t xml:space="preserve">Funding: Supported by Oslo University Hospital and the Norwegian Cancer Society. The authors declare no conflicts of interest</w:t>
      </w:r>
    </w:p>
    <w:p>
      <w:pPr>
        <w:keepNext/>
        <w:spacing w:after="50" w:before="260"/>
      </w:pPr>
      <w:r>
        <w:rPr>
          <w:rFonts w:ascii="Cambria" w:cs="Cambria" w:eastAsia="Cambria" w:hAnsi="Cambria"/>
          <w:b/>
          <w:bCs/>
          <w:color w:val="17365D"/>
          <w:sz w:val="20"/>
          <w:szCs w:val="20"/>
        </w:rPr>
        <w:t xml:space="preserve">SECA-II 10-year</w:t>
      </w:r>
      <w:r>
        <w:rPr>
          <w:b/>
          <w:bCs/>
          <w:color w:val="176A87"/>
          <w:sz w:val="15"/>
          <w:szCs w:val="15"/>
        </w:rPr>
        <w:t xml:space="preserve">   cohort</w:t>
      </w:r>
      <w:r>
        <w:rPr>
          <w:color w:val="5A6069"/>
          <w:sz w:val="15"/>
          <w:szCs w:val="15"/>
        </w:rPr>
        <w:t xml:space="preserve">   PMID 42572136</w:t>
      </w:r>
    </w:p>
    <w:p>
      <w:pPr>
        <w:spacing w:after="50" w:line="276"/>
      </w:pPr>
      <w:r>
        <w:rPr>
          <w:color w:val="5A6069"/>
          <w:sz w:val="17"/>
          <w:szCs w:val="17"/>
        </w:rPr>
        <w:t xml:space="preserve">Liver transplantation for nonresectable colorectal liver metastases: ten-year follow-up and assessment of curative rate in the SECA-II study</w:t>
      </w:r>
    </w:p>
    <w:p>
      <w:pPr>
        <w:spacing w:after="50"/>
      </w:pPr>
      <w:r>
        <w:rPr>
          <w:b/>
          <w:bCs/>
          <w:color w:val="176A87"/>
          <w:sz w:val="16"/>
          <w:szCs w:val="16"/>
        </w:rPr>
        <w:t xml:space="preserve">Population. </w:t>
      </w:r>
      <w:r>
        <w:rPr>
          <w:sz w:val="16"/>
          <w:szCs w:val="16"/>
        </w:rPr>
        <w:t xml:space="preserve">25 consecutive patients transplanted for non-resectable liver-only colorectal metastases at Oslo University Hospital between April 2012 and November 2023 in SECA-II (24 synchronous in arm C, one metachronous in arm B), none given adjuvant chemotherapy; median 5 lesions (range 1-47), tumour burden score 7.7, Oslo score 1 (0-2), Fong score 2, all with CEA below 33 ug/L and largest lesion under 5.5 cm, only 2 of 24 with metabolic tumour volume above 70 cm3. Median time from diagnosis to transplant 23.3 months; follow-up closed 1 January 2025 with median follow-up of survivors 97.2 months, 14 patients past 5 years and 6 past 10</w:t>
      </w:r>
    </w:p>
    <w:p>
      <w:pPr>
        <w:spacing w:after="70"/>
      </w:pPr>
      <w:r>
        <w:rPr>
          <w:b/>
          <w:bCs/>
          <w:color w:val="17365D"/>
          <w:sz w:val="16"/>
          <w:szCs w:val="16"/>
        </w:rPr>
        <w:t xml:space="preserve">Bottom line. </w:t>
      </w:r>
      <w:r>
        <w:rPr>
          <w:sz w:val="16"/>
          <w:szCs w:val="16"/>
        </w:rPr>
        <w:t xml:space="preserve">The most mature single-arm transplant data available: 25 stringently selected patients with median overall survival of 128.2 months, 78% at five years and 52% at ten, with half the cohort relapse-free beyond four years and one operative death. It does not establish a cure rate: the cure count is a retrospective case-by-case judgement reported as 15, 13 and about 50% in three places in the same paper, 48% relapsed within two years, and patients re-rendered disease free by lung metastasectomy are counted towards the transplant's curative potential. The selection that produced the result - CEA under 33, every lesion under 5.5 cm, almost nobody with an adverse prognostic factor - identifies, by the authors' own simulation, two or three patients a year in five and a half million.</w:t>
      </w:r>
    </w:p>
    <w:tbl>
      <w:tblPr>
        <w:tblW w:type="dxa" w:w="9360"/>
        <w:tblBorders>
          <w:top w:val="single" w:color="D3DCE4" w:sz="4"/>
          <w:left w:val="single" w:color="D3DCE4" w:sz="4"/>
          <w:bottom w:val="single" w:color="D3DCE4" w:sz="4"/>
          <w:right w:val="single" w:color="D3DCE4" w:sz="4"/>
          <w:insideH w:val="single" w:color="D3DCE4" w:sz="4"/>
          <w:insideV w:val="single" w:color="D3DCE4" w:sz="4"/>
        </w:tblBorders>
      </w:tblPr>
      <w:tblGrid>
        <w:gridCol w:w="4600"/>
        <w:gridCol w:w="4760"/>
      </w:tblGrid>
      <w:tr>
        <w:tc>
          <w:tcPr>
            <w:tcW w:type="dxa" w:w="4600"/>
            <w:shd w:fill="F1F4F8" w:color="auto" w:val="clear"/>
            <w:tcMar>
              <w:top w:type="dxa" w:w="70"/>
              <w:left w:type="dxa" w:w="110"/>
              <w:bottom w:type="dxa" w:w="70"/>
              <w:right w:type="dxa" w:w="110"/>
            </w:tcMar>
            <w:vAlign w:val="top"/>
          </w:tcPr>
          <w:p>
            <w:pPr>
              <w:spacing w:after="50"/>
            </w:pPr>
            <w:r>
              <w:rPr>
                <w:b/>
                <w:bCs/>
                <w:color w:val="8E5008"/>
                <w:spacing w:val="12"/>
                <w:sz w:val="14"/>
                <w:szCs w:val="14"/>
              </w:rPr>
              <w:t xml:space="preserve">LIMITATIONS THE AUTHORS STATE</w:t>
            </w:r>
          </w:p>
          <w:p>
            <w:pPr>
              <w:pStyle w:val="ListParagraph"/>
              <w:numPr>
                <w:ilvl w:val="0"/>
                <w:numId w:val="2"/>
              </w:numPr>
              <w:spacing w:after="45"/>
            </w:pPr>
            <w:r>
              <w:rPr>
                <w:sz w:val="15"/>
                <w:szCs w:val="15"/>
              </w:rPr>
              <w:t xml:space="preserve">The authors list a limited sample size (n=25), a single-centre design and the potential selection bias inherent in non-randomised cohorts, and name extended follow-up as the study's strength</w:t>
            </w:r>
          </w:p>
          <w:p>
            <w:pPr>
              <w:pStyle w:val="ListParagraph"/>
              <w:numPr>
                <w:ilvl w:val="0"/>
                <w:numId w:val="2"/>
              </w:numPr>
              <w:spacing w:after="45"/>
            </w:pPr>
            <w:r>
              <w:rPr>
                <w:sz w:val="15"/>
                <w:szCs w:val="15"/>
              </w:rPr>
              <w:t xml:space="preserve">They state that relapse-free survival is not a valid metric for evaluating the efficacy of transplantation in this disease</w:t>
            </w:r>
          </w:p>
          <w:p>
            <w:pPr>
              <w:pStyle w:val="ListParagraph"/>
              <w:numPr>
                <w:ilvl w:val="0"/>
                <w:numId w:val="2"/>
              </w:numPr>
              <w:spacing w:after="45"/>
            </w:pPr>
            <w:r>
              <w:rPr>
                <w:sz w:val="15"/>
                <w:szCs w:val="15"/>
              </w:rPr>
              <w:t xml:space="preserve">They report that 22% of SECA-I and 16% of SECA-II patients died of recurrent disease more than five years after transplantation, and conclude that 10-year rather than 5-year survival is the more appropriate measure</w:t>
            </w:r>
          </w:p>
          <w:p>
            <w:pPr>
              <w:pStyle w:val="ListParagraph"/>
              <w:numPr>
                <w:ilvl w:val="0"/>
                <w:numId w:val="2"/>
              </w:numPr>
              <w:spacing w:after="45"/>
            </w:pPr>
            <w:r>
              <w:rPr>
                <w:sz w:val="15"/>
                <w:szCs w:val="15"/>
              </w:rPr>
              <w:t xml:space="preserve">They state that one patient was transplanted despite progressive disease, after an outside CT scan whose result was unknown to the centre, and that one patient died of hepatic artery thrombosis about four weeks after transplantation</w:t>
            </w:r>
          </w:p>
          <w:p>
            <w:pPr>
              <w:pStyle w:val="ListParagraph"/>
              <w:numPr>
                <w:ilvl w:val="0"/>
                <w:numId w:val="2"/>
              </w:numPr>
              <w:spacing w:after="45"/>
            </w:pPr>
            <w:r>
              <w:rPr>
                <w:sz w:val="15"/>
                <w:szCs w:val="15"/>
              </w:rPr>
              <w:t xml:space="preserve">They concede that if borderline resectable patients were also considered, a negative impact on the transplant waiting list is to be expected, and that broader criteria would oblige most programmes to rely on living donation or extended-criteria grafts</w:t>
            </w:r>
          </w:p>
          <w:p>
            <w:pPr>
              <w:pStyle w:val="ListParagraph"/>
              <w:numPr>
                <w:ilvl w:val="0"/>
                <w:numId w:val="2"/>
              </w:numPr>
              <w:spacing w:after="45"/>
            </w:pPr>
            <w:r>
              <w:rPr>
                <w:sz w:val="15"/>
                <w:szCs w:val="15"/>
              </w:rPr>
              <w:t xml:space="preserve">They note that full inclusion and exclusion criteria and the immunosuppression protocol are not restated here but referenced to the SECA-I publication</w:t>
            </w:r>
          </w:p>
        </w:tc>
        <w:tc>
          <w:tcPr>
            <w:tcW w:type="dxa" w:w="4760"/>
            <w:shd w:fill="F1F4F8" w:color="auto" w:val="clear"/>
            <w:tcMar>
              <w:top w:type="dxa" w:w="70"/>
              <w:left w:type="dxa" w:w="110"/>
              <w:bottom w:type="dxa" w:w="70"/>
              <w:right w:type="dxa" w:w="110"/>
            </w:tcMar>
            <w:vAlign w:val="top"/>
          </w:tcPr>
          <w:p>
            <w:pPr>
              <w:spacing w:after="50"/>
            </w:pPr>
            <w:r>
              <w:rPr>
                <w:b/>
                <w:bCs/>
                <w:color w:val="8C2F26"/>
                <w:spacing w:val="12"/>
                <w:sz w:val="14"/>
                <w:szCs w:val="14"/>
              </w:rPr>
              <w:t xml:space="preserve">WHAT THEY DO NOT SAY</w:t>
            </w:r>
          </w:p>
          <w:p>
            <w:pPr>
              <w:pStyle w:val="ListParagraph"/>
              <w:numPr>
                <w:ilvl w:val="0"/>
                <w:numId w:val="2"/>
              </w:numPr>
              <w:spacing w:after="45"/>
            </w:pPr>
            <w:r>
              <w:rPr>
                <w:sz w:val="15"/>
                <w:szCs w:val="15"/>
              </w:rPr>
              <w:t xml:space="preserve">The cure estimate, which is the paper's novel claim, is a post hoc patient-by-patient judgement with no prespecified definition, and the paper gives three different answers: a maximum of 15 of 25 in the abstract, up to 13 of 25 in the discussion, and about 50% in the conclusion. A reader cannot tell which patients were counted or on what rule.</w:t>
            </w:r>
          </w:p>
          <w:p>
            <w:pPr>
              <w:pStyle w:val="ListParagraph"/>
              <w:numPr>
                <w:ilvl w:val="0"/>
                <w:numId w:val="2"/>
              </w:numPr>
              <w:spacing w:after="45"/>
            </w:pPr>
            <w:r>
              <w:rPr>
                <w:sz w:val="15"/>
                <w:szCs w:val="15"/>
              </w:rPr>
              <w:t xml:space="preserve">Forty-eight percent of patients relapsed, all within 24.3 months, with median relapse-free survival of 24.3 months. The response - that relapse-free survival is not a valid metric here - converts the study's central negative finding into a methodological assertion, in the same paper that claims half the cohort was cured.</w:t>
            </w:r>
          </w:p>
          <w:p>
            <w:pPr>
              <w:pStyle w:val="ListParagraph"/>
              <w:numPr>
                <w:ilvl w:val="0"/>
                <w:numId w:val="2"/>
              </w:numPr>
              <w:spacing w:after="45"/>
            </w:pPr>
            <w:r>
              <w:rPr>
                <w:sz w:val="15"/>
                <w:szCs w:val="15"/>
              </w:rPr>
              <w:t xml:space="preserve">The cure claim and the relapse data sit uneasily together: of the twelve who relapsed, nine had surgery as first treatment and two are counted as having no evidence of disease 36.1 and 93.4 months after pulmonary metastasectomy. Patients rendered disease free by a second operation are being counted towards the curative potential of the first.</w:t>
            </w:r>
          </w:p>
          <w:p>
            <w:pPr>
              <w:pStyle w:val="ListParagraph"/>
              <w:numPr>
                <w:ilvl w:val="0"/>
                <w:numId w:val="2"/>
              </w:numPr>
              <w:spacing w:after="45"/>
            </w:pPr>
            <w:r>
              <w:rPr>
                <w:sz w:val="15"/>
                <w:szCs w:val="15"/>
              </w:rPr>
              <w:t xml:space="preserve">Survival is reported from transplantation with no intention-to-treat analysis from listing, so patients who were accepted and never transplanted - the group that in the companion 72-patient report took five-year survival from 50.4% to 42.6% - are invisible here.</w:t>
            </w:r>
          </w:p>
          <w:p>
            <w:pPr>
              <w:pStyle w:val="ListParagraph"/>
              <w:numPr>
                <w:ilvl w:val="0"/>
                <w:numId w:val="2"/>
              </w:numPr>
              <w:spacing w:after="45"/>
            </w:pPr>
            <w:r>
              <w:rPr>
                <w:sz w:val="15"/>
                <w:szCs w:val="15"/>
              </w:rPr>
              <w:t xml:space="preserve">Selection was so tight that the cohort contains one patient each with an ascending-colon primary, a pN2 primary and progressive disease at transplant, two with metabolic tumour volume above 70 cm3 and two KRAS mutants. The 78% five-year survival therefore describes a population assembled to exclude every known adverse factor, and the paper's own simulation puts that population at 2 to 3 patients per year per 5.5 million people.</w:t>
            </w:r>
          </w:p>
          <w:p>
            <w:pPr>
              <w:pStyle w:val="ListParagraph"/>
              <w:numPr>
                <w:ilvl w:val="0"/>
                <w:numId w:val="2"/>
              </w:numPr>
              <w:spacing w:after="45"/>
            </w:pPr>
            <w:r>
              <w:rPr>
                <w:sz w:val="15"/>
                <w:szCs w:val="15"/>
              </w:rPr>
              <w:t xml:space="preserve">The prognostic rules the paper hands forward - exclude ascending-colon primary, pN2 primary, or KRAS and TP53 co-mutation unless observed beyond 24 months, and require an Oslo score of 2 or less - are derived from this group's own earlier reports on overlapping patients and are now applied to a cohort of 25 containing one patient in each of those categories. Nothing here tests them.</w:t>
            </w:r>
          </w:p>
          <w:p>
            <w:pPr>
              <w:pStyle w:val="ListParagraph"/>
              <w:numPr>
                <w:ilvl w:val="0"/>
                <w:numId w:val="2"/>
              </w:numPr>
              <w:spacing w:after="45"/>
            </w:pPr>
            <w:r>
              <w:rPr>
                <w:sz w:val="15"/>
                <w:szCs w:val="15"/>
              </w:rPr>
              <w:t xml:space="preserve">No confidence interval accompanies the five- or ten-year survival percentages, and the median overall survival interval is very wide (128.2 months, 95% CI 74.8-181.6), which is the honest measure of what 25 patients support.</w:t>
            </w:r>
          </w:p>
          <w:p>
            <w:pPr>
              <w:pStyle w:val="ListParagraph"/>
              <w:numPr>
                <w:ilvl w:val="0"/>
                <w:numId w:val="2"/>
              </w:numPr>
              <w:spacing w:after="45"/>
            </w:pPr>
            <w:r>
              <w:rPr>
                <w:sz w:val="15"/>
                <w:szCs w:val="15"/>
              </w:rPr>
              <w:t xml:space="preserve">There is no control arm in this report. Benefit is argued by comparison with TransMet's chemotherapy arm, with the group's own historical cohorts, and with published hepatocellular carcinoma transplant survival - all cross-study comparisons between differently selected populations.</w:t>
            </w:r>
          </w:p>
          <w:p>
            <w:pPr>
              <w:pStyle w:val="ListParagraph"/>
              <w:numPr>
                <w:ilvl w:val="0"/>
                <w:numId w:val="2"/>
              </w:numPr>
              <w:spacing w:after="45"/>
            </w:pPr>
            <w:r>
              <w:rPr>
                <w:sz w:val="15"/>
                <w:szCs w:val="15"/>
              </w:rPr>
              <w:t xml:space="preserve">The baseline tables exclude the patient who died of postoperative complications, so the denominator shifts between 25 for survival and 24 for every characteristic, and a 4% operative mortality in patients whose own livers worked is reported without being set against the benefit.</w:t>
            </w:r>
          </w:p>
          <w:p>
            <w:pPr>
              <w:pStyle w:val="ListParagraph"/>
              <w:numPr>
                <w:ilvl w:val="0"/>
                <w:numId w:val="2"/>
              </w:numPr>
              <w:spacing w:after="45"/>
            </w:pPr>
            <w:r>
              <w:rPr>
                <w:sz w:val="15"/>
                <w:szCs w:val="15"/>
              </w:rPr>
              <w:t xml:space="preserve">Graft outcomes beyond the fatal hepatic artery thrombosis are not reported: no rejection rate, no immunosuppression exposure, no late graft function, no second malignancies, in a cohort followed for a median of eight years on immunosuppression.</w:t>
            </w:r>
          </w:p>
          <w:p>
            <w:pPr>
              <w:pStyle w:val="ListParagraph"/>
              <w:numPr>
                <w:ilvl w:val="0"/>
                <w:numId w:val="2"/>
              </w:numPr>
              <w:spacing w:after="45"/>
            </w:pPr>
            <w:r>
              <w:rPr>
                <w:sz w:val="15"/>
                <w:szCs w:val="15"/>
              </w:rPr>
              <w:t xml:space="preserve">No quality-of-life or patient-reported outcome is measured; quality of life and cost-effectiveness are cited from the group's earlier publications, and the health-economic argument is reduced to a threshold (acceptable if mean survival exceeds three years) taken from one reference.</w:t>
            </w:r>
          </w:p>
          <w:p>
            <w:pPr>
              <w:pStyle w:val="ListParagraph"/>
              <w:numPr>
                <w:ilvl w:val="0"/>
                <w:numId w:val="2"/>
              </w:numPr>
              <w:spacing w:after="45"/>
            </w:pPr>
            <w:r>
              <w:rPr>
                <w:sz w:val="15"/>
                <w:szCs w:val="15"/>
              </w:rPr>
              <w:t xml:space="preserve">The allocation argument rests on assertions about a single national programme: one centre performing about 100 transplants a year, so adding a few patients will not materially affect the waitlist, extended to the claim that the indication is probably manageable in a wider range of programmes internationally.</w:t>
            </w:r>
          </w:p>
          <w:p>
            <w:pPr>
              <w:pStyle w:val="ListParagraph"/>
              <w:numPr>
                <w:ilvl w:val="0"/>
                <w:numId w:val="2"/>
              </w:numPr>
              <w:spacing w:after="45"/>
            </w:pPr>
            <w:r>
              <w:rPr>
                <w:sz w:val="15"/>
                <w:szCs w:val="15"/>
              </w:rPr>
              <w:t xml:space="preserve">The willingness-to-donate figure invoked to support living donation - that most next of kin would donate the left lateral sector for an expected life extension of 12 months or less - is cited from a separate survey and is used to justify exposing healthy donors in an indication where half the patients relapse.</w:t>
            </w:r>
          </w:p>
          <w:p>
            <w:pPr>
              <w:pStyle w:val="ListParagraph"/>
              <w:numPr>
                <w:ilvl w:val="0"/>
                <w:numId w:val="2"/>
              </w:numPr>
              <w:spacing w:after="45"/>
            </w:pPr>
            <w:r>
              <w:rPr>
                <w:sz w:val="15"/>
                <w:szCs w:val="15"/>
              </w:rPr>
              <w:t xml:space="preserve">No linked editorial or comment was found in PubMed, which is unsurprising for a very recent publication, so no independent published critique informs this record.</w:t>
            </w:r>
          </w:p>
        </w:tc>
      </w:tr>
    </w:tbl>
    <w:p>
      <w:pPr>
        <w:spacing w:after="0" w:line="276"/>
      </w:pPr>
      <w:r>
        <w:rPr>
          <w:color w:val="5A6069"/>
          <w:sz w:val="14"/>
          <w:szCs w:val="14"/>
        </w:rPr>
        <w:t xml:space="preserve">Funding: Supported by Oslo University Hospital and the South-Eastern Norway Regional Health Authority. The authors declare no conflicts of interest</w:t>
      </w:r>
    </w:p>
    <w:p>
      <w:pPr>
        <w:keepNext/>
        <w:spacing w:after="50" w:before="260"/>
      </w:pPr>
      <w:r>
        <w:rPr>
          <w:rFonts w:ascii="Cambria" w:cs="Cambria" w:eastAsia="Cambria" w:hAnsi="Cambria"/>
          <w:b/>
          <w:bCs/>
          <w:color w:val="17365D"/>
          <w:sz w:val="20"/>
          <w:szCs w:val="20"/>
        </w:rPr>
        <w:t xml:space="preserve">Shady ablation margins</w:t>
      </w:r>
      <w:r>
        <w:rPr>
          <w:b/>
          <w:bCs/>
          <w:color w:val="176A87"/>
          <w:sz w:val="15"/>
          <w:szCs w:val="15"/>
        </w:rPr>
        <w:t xml:space="preserve">   cohort</w:t>
      </w:r>
      <w:r>
        <w:rPr>
          <w:color w:val="5A6069"/>
          <w:sz w:val="15"/>
          <w:szCs w:val="15"/>
        </w:rPr>
        <w:t xml:space="preserve">   PMID 26267832</w:t>
      </w:r>
    </w:p>
    <w:p>
      <w:pPr>
        <w:spacing w:after="50" w:line="276"/>
      </w:pPr>
      <w:r>
        <w:rPr>
          <w:color w:val="5A6069"/>
          <w:sz w:val="17"/>
          <w:szCs w:val="17"/>
        </w:rPr>
        <w:t xml:space="preserve">Percutaneous Radiofrequency Ablation of Colorectal Cancer Liver Metastases: Factors Affecting Outcomes - A 10-year Experience at a Single Center</w:t>
      </w:r>
    </w:p>
    <w:p>
      <w:pPr>
        <w:spacing w:after="50"/>
      </w:pPr>
      <w:r>
        <w:rPr>
          <w:b/>
          <w:bCs/>
          <w:color w:val="176A87"/>
          <w:sz w:val="16"/>
          <w:szCs w:val="16"/>
        </w:rPr>
        <w:t xml:space="preserve">Population. </w:t>
      </w:r>
      <w:r>
        <w:rPr>
          <w:sz w:val="16"/>
          <w:szCs w:val="16"/>
        </w:rPr>
        <w:t xml:space="preserve">162 consecutive patients with 233 colorectal liver metastases (median diameter 1.8 cm) treated by CT-guided percutaneous radiofrequency ablation at Memorial Sloan-Kettering between December 2002 and December 2012, from 184 screened; 72% had already undergone hepatectomy, 51 (31%) had extrahepatic disease at ablation (lung only in 29), and nine operators performed the procedures with 70% done by three. Margins were measurable in 174 of 233 tumours (75%) and the modified risk score analyses used the 153 of 162 patients (94%) with a recorded CEA. Median follow-up 55 months</w:t>
      </w:r>
    </w:p>
    <w:p>
      <w:pPr>
        <w:spacing w:after="70"/>
      </w:pPr>
      <w:r>
        <w:rPr>
          <w:b/>
          <w:bCs/>
          <w:color w:val="17365D"/>
          <w:sz w:val="16"/>
          <w:szCs w:val="16"/>
        </w:rPr>
        <w:t xml:space="preserve">Bottom line. </w:t>
      </w:r>
      <w:r>
        <w:rPr>
          <w:sz w:val="16"/>
          <w:szCs w:val="16"/>
        </w:rPr>
        <w:t xml:space="preserve">The clearest demonstration available that percutaneous radiofrequency ablation of colorectal liver metastases succeeds or fails on margin: local recurrence falls from 90% with no margin to 5% beyond 10 mm, and tumours over 3 cm do badly (median local progression-free survival 6 against 30 months). It also shows the technique's limit - 48% of 233 tumours progressed locally over 55 months despite 94% technique effectiveness at the first scan - and that survival of 36 months reflects a mixed cohort of post-hepatectomy recurrences, unresectable disease and refused surgery, with no comparator. The margin data come from the 75% of tumours in which margin could be measured, with no pathology, and the risk score was rebuilt and tested in the same 162 patients.</w:t>
      </w:r>
    </w:p>
    <w:tbl>
      <w:tblPr>
        <w:tblW w:type="dxa" w:w="9360"/>
        <w:tblBorders>
          <w:top w:val="single" w:color="D3DCE4" w:sz="4"/>
          <w:left w:val="single" w:color="D3DCE4" w:sz="4"/>
          <w:bottom w:val="single" w:color="D3DCE4" w:sz="4"/>
          <w:right w:val="single" w:color="D3DCE4" w:sz="4"/>
          <w:insideH w:val="single" w:color="D3DCE4" w:sz="4"/>
          <w:insideV w:val="single" w:color="D3DCE4" w:sz="4"/>
        </w:tblBorders>
      </w:tblPr>
      <w:tblGrid>
        <w:gridCol w:w="4600"/>
        <w:gridCol w:w="4760"/>
      </w:tblGrid>
      <w:tr>
        <w:tc>
          <w:tcPr>
            <w:tcW w:type="dxa" w:w="4600"/>
            <w:shd w:fill="F1F4F8" w:color="auto" w:val="clear"/>
            <w:tcMar>
              <w:top w:type="dxa" w:w="70"/>
              <w:left w:type="dxa" w:w="110"/>
              <w:bottom w:type="dxa" w:w="70"/>
              <w:right w:type="dxa" w:w="110"/>
            </w:tcMar>
            <w:vAlign w:val="top"/>
          </w:tcPr>
          <w:p>
            <w:pPr>
              <w:spacing w:after="50"/>
            </w:pPr>
            <w:r>
              <w:rPr>
                <w:b/>
                <w:bCs/>
                <w:color w:val="8E5008"/>
                <w:spacing w:val="12"/>
                <w:sz w:val="14"/>
                <w:szCs w:val="14"/>
              </w:rPr>
              <w:t xml:space="preserve">LIMITATIONS THE AUTHORS STATE</w:t>
            </w:r>
          </w:p>
          <w:p>
            <w:pPr>
              <w:pStyle w:val="ListParagraph"/>
              <w:numPr>
                <w:ilvl w:val="0"/>
                <w:numId w:val="2"/>
              </w:numPr>
              <w:spacing w:after="45"/>
            </w:pPr>
            <w:r>
              <w:rPr>
                <w:sz w:val="15"/>
                <w:szCs w:val="15"/>
              </w:rPr>
              <w:t xml:space="preserve">The authors state that the retrospective, single-institution design makes universal application of the modified clinical risk score and of the findings questionable, and that randomised studies are desirable but unlikely</w:t>
            </w:r>
          </w:p>
          <w:p>
            <w:pPr>
              <w:pStyle w:val="ListParagraph"/>
              <w:numPr>
                <w:ilvl w:val="0"/>
                <w:numId w:val="2"/>
              </w:numPr>
              <w:spacing w:after="45"/>
            </w:pPr>
            <w:r>
              <w:rPr>
                <w:sz w:val="15"/>
                <w:szCs w:val="15"/>
              </w:rPr>
              <w:t xml:space="preserve">They state that actual margins cannot be assessed after ablation because no tissue is available, so radiological margin measurement is a less precise alternative, and that histopathological evaluation of the target tumour before ablation and of the ablation zone afterwards was absent</w:t>
            </w:r>
          </w:p>
          <w:p>
            <w:pPr>
              <w:pStyle w:val="ListParagraph"/>
              <w:numPr>
                <w:ilvl w:val="0"/>
                <w:numId w:val="2"/>
              </w:numPr>
              <w:spacing w:after="45"/>
            </w:pPr>
            <w:r>
              <w:rPr>
                <w:sz w:val="15"/>
                <w:szCs w:val="15"/>
              </w:rPr>
              <w:t xml:space="preserve">They state that the modified clinical risk score lowered the Fong size cut-off to 3 cm and the CEA cut-off to 30 ng/mL to describe this population, because only four patients had a CEA above 200, and that points were grouped into three risk levels because of the smaller sample</w:t>
            </w:r>
          </w:p>
          <w:p>
            <w:pPr>
              <w:pStyle w:val="ListParagraph"/>
              <w:numPr>
                <w:ilvl w:val="0"/>
                <w:numId w:val="2"/>
              </w:numPr>
              <w:spacing w:after="45"/>
            </w:pPr>
            <w:r>
              <w:rPr>
                <w:sz w:val="15"/>
                <w:szCs w:val="15"/>
              </w:rPr>
              <w:t xml:space="preserve">They state that validation of the score in larger studies is necessary</w:t>
            </w:r>
          </w:p>
          <w:p>
            <w:pPr>
              <w:pStyle w:val="ListParagraph"/>
              <w:numPr>
                <w:ilvl w:val="0"/>
                <w:numId w:val="2"/>
              </w:numPr>
              <w:spacing w:after="45"/>
            </w:pPr>
            <w:r>
              <w:rPr>
                <w:sz w:val="15"/>
                <w:szCs w:val="15"/>
              </w:rPr>
              <w:t xml:space="preserve">They note that patients treated for liver recurrence received mostly percutaneous radiofrequency ablation but a few had other treatments</w:t>
            </w:r>
          </w:p>
        </w:tc>
        <w:tc>
          <w:tcPr>
            <w:tcW w:type="dxa" w:w="4760"/>
            <w:shd w:fill="F1F4F8" w:color="auto" w:val="clear"/>
            <w:tcMar>
              <w:top w:type="dxa" w:w="70"/>
              <w:left w:type="dxa" w:w="110"/>
              <w:bottom w:type="dxa" w:w="70"/>
              <w:right w:type="dxa" w:w="110"/>
            </w:tcMar>
            <w:vAlign w:val="top"/>
          </w:tcPr>
          <w:p>
            <w:pPr>
              <w:spacing w:after="50"/>
            </w:pPr>
            <w:r>
              <w:rPr>
                <w:b/>
                <w:bCs/>
                <w:color w:val="8C2F26"/>
                <w:spacing w:val="12"/>
                <w:sz w:val="14"/>
                <w:szCs w:val="14"/>
              </w:rPr>
              <w:t xml:space="preserve">WHAT THEY DO NOT SAY</w:t>
            </w:r>
          </w:p>
          <w:p>
            <w:pPr>
              <w:pStyle w:val="ListParagraph"/>
              <w:numPr>
                <w:ilvl w:val="0"/>
                <w:numId w:val="2"/>
              </w:numPr>
              <w:spacing w:after="45"/>
            </w:pPr>
            <w:r>
              <w:rPr>
                <w:sz w:val="15"/>
                <w:szCs w:val="15"/>
              </w:rPr>
              <w:t xml:space="preserve">The margin finding that the paper is cited for is measured by subtracting pre- from post-ablation landmark distances on CT, and was impossible in a quarter of tumours (59 of 233), including fused defects. The margin-stratified recurrence figures (90% at 0 mm down to 5% beyond 10 mm) therefore come from 174 tumours selected by whether the measurement could be made, and fused defects - the hardest cases - are systematically absent.</w:t>
            </w:r>
          </w:p>
          <w:p>
            <w:pPr>
              <w:pStyle w:val="ListParagraph"/>
              <w:numPr>
                <w:ilvl w:val="0"/>
                <w:numId w:val="2"/>
              </w:numPr>
              <w:spacing w:after="45"/>
            </w:pPr>
            <w:r>
              <w:rPr>
                <w:sz w:val="15"/>
                <w:szCs w:val="15"/>
              </w:rPr>
              <w:t xml:space="preserve">The hazard ratio of 9.9 (95% CI 4.9-20) for a margin of 5 mm or less is a within-cohort association between a radiological measurement and radiological recurrence, both read on the same scans by the same service, with no pathological confirmation of either the ablation zone or residual tumour.</w:t>
            </w:r>
          </w:p>
          <w:p>
            <w:pPr>
              <w:pStyle w:val="ListParagraph"/>
              <w:numPr>
                <w:ilvl w:val="0"/>
                <w:numId w:val="2"/>
              </w:numPr>
              <w:spacing w:after="45"/>
            </w:pPr>
            <w:r>
              <w:rPr>
                <w:sz w:val="15"/>
                <w:szCs w:val="15"/>
              </w:rPr>
              <w:t xml:space="preserve">The before-and-after comparison around November 2009 - margins above 5 mm rising from 24% to 61% and local recurrence falling from 62% to 28% - attributes to immediate triple-phase CT a change that is inseparable from nine years of operator learning, improving CT and evolving systemic therapy. No concurrent control exists for the period effect.</w:t>
            </w:r>
          </w:p>
          <w:p>
            <w:pPr>
              <w:pStyle w:val="ListParagraph"/>
              <w:numPr>
                <w:ilvl w:val="0"/>
                <w:numId w:val="2"/>
              </w:numPr>
              <w:spacing w:after="45"/>
            </w:pPr>
            <w:r>
              <w:rPr>
                <w:sz w:val="15"/>
                <w:szCs w:val="15"/>
              </w:rPr>
              <w:t xml:space="preserve">The modified clinical risk score was rederived in the same cohort it is tested in, with two of its five cut-points moved to fit this population, and the resulting high-risk group holds 11 patients for survival and 20 tumours for local progression. It is apparent performance in the derivation sample with thresholds chosen after seeing the data.</w:t>
            </w:r>
          </w:p>
          <w:p>
            <w:pPr>
              <w:pStyle w:val="ListParagraph"/>
              <w:numPr>
                <w:ilvl w:val="0"/>
                <w:numId w:val="2"/>
              </w:numPr>
              <w:spacing w:after="45"/>
            </w:pPr>
            <w:r>
              <w:rPr>
                <w:sz w:val="15"/>
                <w:szCs w:val="15"/>
              </w:rPr>
              <w:t xml:space="preserve">Fifty-seven percent of patients (93 of 162) had already been reported in earlier publications from the same institutional database, so this series is not independent evidence of the earlier findings it extends.</w:t>
            </w:r>
          </w:p>
          <w:p>
            <w:pPr>
              <w:pStyle w:val="ListParagraph"/>
              <w:numPr>
                <w:ilvl w:val="0"/>
                <w:numId w:val="2"/>
              </w:numPr>
              <w:spacing w:after="45"/>
            </w:pPr>
            <w:r>
              <w:rPr>
                <w:sz w:val="15"/>
                <w:szCs w:val="15"/>
              </w:rPr>
              <w:t xml:space="preserve">Local tumour progression occurred in 113 of 233 tumours (48%) at a median follow-up of 55 months, which sits awkwardly with a technique effectiveness of 94% at the 4 to 8-week scan. The two numbers measure different things and the abstract leads with the first.</w:t>
            </w:r>
          </w:p>
          <w:p>
            <w:pPr>
              <w:pStyle w:val="ListParagraph"/>
              <w:numPr>
                <w:ilvl w:val="0"/>
                <w:numId w:val="2"/>
              </w:numPr>
              <w:spacing w:after="45"/>
            </w:pPr>
            <w:r>
              <w:rPr>
                <w:sz w:val="15"/>
                <w:szCs w:val="15"/>
              </w:rPr>
              <w:t xml:space="preserve">Survival is uninterpretable without a comparator in a cohort this heterogeneous: 72% were post-hepatectomy recurrences, the remainder unresectable, medically unfit or declining surgery, 31% had extrahepatic disease, and patients also received systemic therapy, hepatic arterial infusion and occasionally yttrium-90, none of it accounted for in the survival models.</w:t>
            </w:r>
          </w:p>
          <w:p>
            <w:pPr>
              <w:pStyle w:val="ListParagraph"/>
              <w:numPr>
                <w:ilvl w:val="0"/>
                <w:numId w:val="2"/>
              </w:numPr>
              <w:spacing w:after="45"/>
            </w:pPr>
            <w:r>
              <w:rPr>
                <w:sz w:val="15"/>
                <w:szCs w:val="15"/>
              </w:rPr>
              <w:t xml:space="preserve">The repeat-ablation survival comparison (65, 51 and 22 months for no progression, re-ablated progression and no longer an ablation candidate) is confounded by immortal time and by the reasons patients stop being candidates; the paper presents it as evidence that repeat ablation preserves survival.</w:t>
            </w:r>
          </w:p>
          <w:p>
            <w:pPr>
              <w:pStyle w:val="ListParagraph"/>
              <w:numPr>
                <w:ilvl w:val="0"/>
                <w:numId w:val="2"/>
              </w:numPr>
              <w:spacing w:after="45"/>
            </w:pPr>
            <w:r>
              <w:rPr>
                <w:sz w:val="15"/>
                <w:szCs w:val="15"/>
              </w:rPr>
              <w:t xml:space="preserve">Analysis moves between patients and tumours without clustering: local progression is analysed per tumour (233 tumours in 162 patients) with patients contributing up to several lesions, and no random effect or robust variance is described.</w:t>
            </w:r>
          </w:p>
          <w:p>
            <w:pPr>
              <w:pStyle w:val="ListParagraph"/>
              <w:numPr>
                <w:ilvl w:val="0"/>
                <w:numId w:val="2"/>
              </w:numPr>
              <w:spacing w:after="45"/>
            </w:pPr>
            <w:r>
              <w:rPr>
                <w:sz w:val="15"/>
                <w:szCs w:val="15"/>
              </w:rPr>
              <w:t xml:space="preserve">Nine operators performed the ablations with 70% of them by three, so the results describe a small number of high-volume interventional radiologists, and no operator-level analysis is offered in a paper whose central claim is that technique - margin creation - determines outcome.</w:t>
            </w:r>
          </w:p>
          <w:p>
            <w:pPr>
              <w:pStyle w:val="ListParagraph"/>
              <w:numPr>
                <w:ilvl w:val="0"/>
                <w:numId w:val="2"/>
              </w:numPr>
              <w:spacing w:after="45"/>
            </w:pPr>
            <w:r>
              <w:rPr>
                <w:sz w:val="15"/>
                <w:szCs w:val="15"/>
              </w:rPr>
              <w:t xml:space="preserve">Complications are counted per session (minor 16%, major 7% of 188 sessions) rather than per patient, which understates the cumulative burden in a cohort treated repeatedly.</w:t>
            </w:r>
          </w:p>
          <w:p>
            <w:pPr>
              <w:pStyle w:val="ListParagraph"/>
              <w:numPr>
                <w:ilvl w:val="0"/>
                <w:numId w:val="2"/>
              </w:numPr>
              <w:spacing w:after="45"/>
            </w:pPr>
            <w:r>
              <w:rPr>
                <w:sz w:val="15"/>
                <w:szCs w:val="15"/>
              </w:rPr>
              <w:t xml:space="preserve">One author declares grants and a consultancy with device and imaging companies as related to this article, in a paper recommending a technical change in how ablations are monitored.</w:t>
            </w:r>
          </w:p>
          <w:p>
            <w:pPr>
              <w:pStyle w:val="ListParagraph"/>
              <w:numPr>
                <w:ilvl w:val="0"/>
                <w:numId w:val="2"/>
              </w:numPr>
              <w:spacing w:after="45"/>
            </w:pPr>
            <w:r>
              <w:rPr>
                <w:sz w:val="15"/>
                <w:szCs w:val="15"/>
              </w:rPr>
              <w:t xml:space="preserve">A Results line prints 'margin 5 mm or greater' as a predictor of shorter local progression-free survival, which is a typographical error contradicting the abstract and the multivariate table.</w:t>
            </w:r>
          </w:p>
          <w:p>
            <w:pPr>
              <w:pStyle w:val="ListParagraph"/>
              <w:numPr>
                <w:ilvl w:val="0"/>
                <w:numId w:val="2"/>
              </w:numPr>
              <w:spacing w:after="45"/>
            </w:pPr>
            <w:r>
              <w:rPr>
                <w:sz w:val="15"/>
                <w:szCs w:val="15"/>
              </w:rPr>
              <w:t xml:space="preserve">No linked editorial or comment on this paper was found in PubMed, so no independent published critique informs this record.</w:t>
            </w:r>
          </w:p>
        </w:tc>
      </w:tr>
    </w:tbl>
    <w:p>
      <w:pPr>
        <w:spacing w:after="0" w:line="276"/>
      </w:pPr>
      <w:r>
        <w:rPr>
          <w:color w:val="5A6069"/>
          <w:sz w:val="14"/>
          <w:szCs w:val="14"/>
        </w:rPr>
        <w:t xml:space="preserve">Funding: Supported by National Institutes of Health grant R21 CA131763-01A1. One author declares institutional grants from GE Healthcare and AngioDynamics and a consultancy with GE Healthcare as activities related to the article; another declares an Amgen grant unrelated to it; all other authors declare no relevant relationships</w:t>
      </w:r>
    </w:p>
    <w:p>
      <w:pPr>
        <w:keepNext/>
        <w:spacing w:after="50" w:before="260"/>
      </w:pPr>
      <w:r>
        <w:rPr>
          <w:rFonts w:ascii="Cambria" w:cs="Cambria" w:eastAsia="Cambria" w:hAnsi="Cambria"/>
          <w:b/>
          <w:bCs/>
          <w:color w:val="17365D"/>
          <w:sz w:val="20"/>
          <w:szCs w:val="20"/>
        </w:rPr>
        <w:t xml:space="preserve">SIRFLOX</w:t>
      </w:r>
      <w:r>
        <w:rPr>
          <w:b/>
          <w:bCs/>
          <w:color w:val="176A87"/>
          <w:sz w:val="15"/>
          <w:szCs w:val="15"/>
        </w:rPr>
        <w:t xml:space="preserve">   Randomised trial</w:t>
      </w:r>
      <w:r>
        <w:rPr>
          <w:color w:val="5A6069"/>
          <w:sz w:val="15"/>
          <w:szCs w:val="15"/>
        </w:rPr>
        <w:t xml:space="preserve">   PMID 26903575</w:t>
      </w:r>
    </w:p>
    <w:p>
      <w:pPr>
        <w:spacing w:after="50" w:line="276"/>
      </w:pPr>
      <w:r>
        <w:rPr>
          <w:color w:val="5A6069"/>
          <w:sz w:val="17"/>
          <w:szCs w:val="17"/>
        </w:rPr>
        <w:t xml:space="preserve">SIRFLOX: Randomized Phase III Trial Comparing First-Line mFOLFOX6 (Plus or Minus Bevacizumab) Versus mFOLFOX6 (Plus or Minus Bevacizumab) Plus Selective Internal Radiation Therapy in Patients With Metastatic Colorectal Cancer</w:t>
      </w:r>
    </w:p>
    <w:p>
      <w:pPr>
        <w:spacing w:after="50"/>
      </w:pPr>
      <w:r>
        <w:rPr>
          <w:b/>
          <w:bCs/>
          <w:color w:val="176A87"/>
          <w:sz w:val="16"/>
          <w:szCs w:val="16"/>
        </w:rPr>
        <w:t xml:space="preserve">Population. </w:t>
      </w:r>
      <w:r>
        <w:rPr>
          <w:sz w:val="16"/>
          <w:szCs w:val="16"/>
        </w:rPr>
        <w:t xml:space="preserve">530 chemotherapy-naive patients with non-resectable liver-only or liver-dominant metastatic colorectal cancer randomised at 87 centres in Australia, Europe, Israel, New Zealand and the United States between October 2006 and April 2013 (263 control, 267 SIRT); 246 received SIRT but only 84% received it per protocol, roughly 45% had the primary tumour in situ and about 40% had extrahepatic disease</w:t>
      </w:r>
    </w:p>
    <w:p>
      <w:pPr>
        <w:spacing w:after="70"/>
      </w:pPr>
      <w:r>
        <w:rPr>
          <w:b/>
          <w:bCs/>
          <w:color w:val="17365D"/>
          <w:sz w:val="16"/>
          <w:szCs w:val="16"/>
        </w:rPr>
        <w:t xml:space="preserve">Bottom line. </w:t>
      </w:r>
      <w:r>
        <w:rPr>
          <w:sz w:val="16"/>
          <w:szCs w:val="16"/>
        </w:rPr>
        <w:t xml:space="preserve">Establishes that adding a single yttrium-90 resin microsphere treatment to first-line FOLFOX in unresectable liver-dominant colorectal cancer does not delay progression overall (10.2 against 10.7 months, HR 0.93) and does not convert any additional patient to resection (13.7% against 14.2%), while adding ulceration, ascites, hepatic failure and a doubling of grade 5 events. Its one positive finding, hepatic progression-free survival of 20.5 against 12.6 months, comes from a competing-risk analysis that treats as a competing risk the extrahepatic progression which the intervention made more common, and the pooled survival analysis the authors deferred to was subsequently negative. Read as a liver-metastasis paper, it is the clearest demonstration in this depot that better liver control without survival or resectability gain is not a benefit.</w:t>
      </w:r>
    </w:p>
    <w:tbl>
      <w:tblPr>
        <w:tblW w:type="dxa" w:w="9360"/>
        <w:tblBorders>
          <w:top w:val="single" w:color="D3DCE4" w:sz="4"/>
          <w:left w:val="single" w:color="D3DCE4" w:sz="4"/>
          <w:bottom w:val="single" w:color="D3DCE4" w:sz="4"/>
          <w:right w:val="single" w:color="D3DCE4" w:sz="4"/>
          <w:insideH w:val="single" w:color="D3DCE4" w:sz="4"/>
          <w:insideV w:val="single" w:color="D3DCE4" w:sz="4"/>
        </w:tblBorders>
      </w:tblPr>
      <w:tblGrid>
        <w:gridCol w:w="4600"/>
        <w:gridCol w:w="4760"/>
      </w:tblGrid>
      <w:tr>
        <w:tc>
          <w:tcPr>
            <w:tcW w:type="dxa" w:w="4600"/>
            <w:shd w:fill="F1F4F8" w:color="auto" w:val="clear"/>
            <w:tcMar>
              <w:top w:type="dxa" w:w="70"/>
              <w:left w:type="dxa" w:w="110"/>
              <w:bottom w:type="dxa" w:w="70"/>
              <w:right w:type="dxa" w:w="110"/>
            </w:tcMar>
            <w:vAlign w:val="top"/>
          </w:tcPr>
          <w:p>
            <w:pPr>
              <w:spacing w:after="50"/>
            </w:pPr>
            <w:r>
              <w:rPr>
                <w:b/>
                <w:bCs/>
                <w:color w:val="8E5008"/>
                <w:spacing w:val="12"/>
                <w:sz w:val="14"/>
                <w:szCs w:val="14"/>
              </w:rPr>
              <w:t xml:space="preserve">LIMITATIONS THE AUTHORS STATE</w:t>
            </w:r>
          </w:p>
          <w:p>
            <w:pPr>
              <w:pStyle w:val="ListParagraph"/>
              <w:numPr>
                <w:ilvl w:val="0"/>
                <w:numId w:val="2"/>
              </w:numPr>
              <w:spacing w:after="45"/>
            </w:pPr>
            <w:r>
              <w:rPr>
                <w:sz w:val="15"/>
                <w:szCs w:val="15"/>
              </w:rPr>
              <w:t xml:space="preserve">Only 84% of patients allocated to SIRT received it per protocol: 21 of 267 (7.9%) never received SIRT and 19 of the 246 treated had bilobar disease treated in one lobe only. The authors attribute this partly to randomising patients before assessing their suitability for SIRT and call the proportion unexpectedly high</w:t>
            </w:r>
          </w:p>
          <w:p>
            <w:pPr>
              <w:pStyle w:val="ListParagraph"/>
              <w:numPr>
                <w:ilvl w:val="0"/>
                <w:numId w:val="2"/>
              </w:numPr>
              <w:spacing w:after="45"/>
            </w:pPr>
            <w:r>
              <w:rPr>
                <w:sz w:val="15"/>
                <w:szCs w:val="15"/>
              </w:rPr>
              <w:t xml:space="preserve">Around 45% of patients had an intact primary tumour, which the authors did not anticipate, associate with inferior survival, and say had an uncertain impact on the primary endpoint</w:t>
            </w:r>
          </w:p>
          <w:p>
            <w:pPr>
              <w:pStyle w:val="ListParagraph"/>
              <w:numPr>
                <w:ilvl w:val="0"/>
                <w:numId w:val="2"/>
              </w:numPr>
              <w:spacing w:after="45"/>
            </w:pPr>
            <w:r>
              <w:rPr>
                <w:sz w:val="15"/>
                <w:szCs w:val="15"/>
              </w:rPr>
              <w:t xml:space="preserve">Ten control patients (3.8%) withdrew consent after randomisation and may have received SIRT off protocol while remaining in the intention-to-treat control analysis</w:t>
            </w:r>
          </w:p>
          <w:p>
            <w:pPr>
              <w:pStyle w:val="ListParagraph"/>
              <w:numPr>
                <w:ilvl w:val="0"/>
                <w:numId w:val="2"/>
              </w:numPr>
              <w:spacing w:after="45"/>
            </w:pPr>
            <w:r>
              <w:rPr>
                <w:sz w:val="15"/>
                <w:szCs w:val="15"/>
              </w:rPr>
              <w:t xml:space="preserve">Progression-free survival in the liver has not been evaluated in any other study, so the authors state there is no comparator to put their result in context</w:t>
            </w:r>
          </w:p>
          <w:p>
            <w:pPr>
              <w:pStyle w:val="ListParagraph"/>
              <w:numPr>
                <w:ilvl w:val="0"/>
                <w:numId w:val="2"/>
              </w:numPr>
              <w:spacing w:after="45"/>
            </w:pPr>
            <w:r>
              <w:rPr>
                <w:sz w:val="15"/>
                <w:szCs w:val="15"/>
              </w:rPr>
              <w:t xml:space="preserve">Overall survival was a secondary outcome, and during the seven-year recruitment period the authors decided to defer it to a preplanned pooled analysis of SIRFLOX, FOXFIRE and FOXFIRE Global because improving systemic therapy had made this trial's survival analysis inadequately powered</w:t>
            </w:r>
          </w:p>
          <w:p>
            <w:pPr>
              <w:pStyle w:val="ListParagraph"/>
              <w:numPr>
                <w:ilvl w:val="0"/>
                <w:numId w:val="2"/>
              </w:numPr>
              <w:spacing w:after="45"/>
            </w:pPr>
            <w:r>
              <w:rPr>
                <w:sz w:val="15"/>
                <w:szCs w:val="15"/>
              </w:rPr>
              <w:t xml:space="preserve">Better liver response did not translate into more liver resections, and the authors concede uncertainty about whether surgeons are reluctant to operate after SIRT</w:t>
            </w:r>
          </w:p>
          <w:p>
            <w:pPr>
              <w:pStyle w:val="ListParagraph"/>
              <w:numPr>
                <w:ilvl w:val="0"/>
                <w:numId w:val="2"/>
              </w:numPr>
              <w:spacing w:after="45"/>
            </w:pPr>
            <w:r>
              <w:rPr>
                <w:sz w:val="15"/>
                <w:szCs w:val="15"/>
              </w:rPr>
              <w:t xml:space="preserve">Two patients required surgery for gastric or duodenal ulcers, which the authors otherwise describe as predictable and medically manageable toxicity</w:t>
            </w:r>
          </w:p>
        </w:tc>
        <w:tc>
          <w:tcPr>
            <w:tcW w:type="dxa" w:w="4760"/>
            <w:shd w:fill="F1F4F8" w:color="auto" w:val="clear"/>
            <w:tcMar>
              <w:top w:type="dxa" w:w="70"/>
              <w:left w:type="dxa" w:w="110"/>
              <w:bottom w:type="dxa" w:w="70"/>
              <w:right w:type="dxa" w:w="110"/>
            </w:tcMar>
            <w:vAlign w:val="top"/>
          </w:tcPr>
          <w:p>
            <w:pPr>
              <w:spacing w:after="50"/>
            </w:pPr>
            <w:r>
              <w:rPr>
                <w:b/>
                <w:bCs/>
                <w:color w:val="8C2F26"/>
                <w:spacing w:val="12"/>
                <w:sz w:val="14"/>
                <w:szCs w:val="14"/>
              </w:rPr>
              <w:t xml:space="preserve">WHAT THEY DO NOT SAY</w:t>
            </w:r>
          </w:p>
          <w:p>
            <w:pPr>
              <w:pStyle w:val="ListParagraph"/>
              <w:numPr>
                <w:ilvl w:val="0"/>
                <w:numId w:val="2"/>
              </w:numPr>
              <w:spacing w:after="45"/>
            </w:pPr>
            <w:r>
              <w:rPr>
                <w:sz w:val="15"/>
                <w:szCs w:val="15"/>
              </w:rPr>
              <w:t xml:space="preserve">The trial missed its primary endpoint - progression-free survival at any site, 10.2 against 10.7 months, HR 0.93 (95% CI 0.77-1.12), p=0.43 - and the abstract, conclusion and subsequent citation of this trial all rest on a secondary analysis of hepatic progression that the authors acknowledge has no precedent and no validation as a surrogate for anything.</w:t>
            </w:r>
          </w:p>
          <w:p>
            <w:pPr>
              <w:pStyle w:val="ListParagraph"/>
              <w:numPr>
                <w:ilvl w:val="0"/>
                <w:numId w:val="2"/>
              </w:numPr>
              <w:spacing w:after="45"/>
            </w:pPr>
            <w:r>
              <w:rPr>
                <w:sz w:val="15"/>
                <w:szCs w:val="15"/>
              </w:rPr>
              <w:t xml:space="preserve">The competing-risk framing of liver progression-free survival removes exactly the events that went against the intervention. Progression outside the liver is treated as a competing risk, and progression outside the liver is what increased: lung-only first progression rose from 7.3% to 23.5% and non-liver-only first progression from 7.9% to 27.7%, both p&lt;0.001. The analysis that produces the 7.9-month gain is the analysis that discounts the harm.</w:t>
            </w:r>
          </w:p>
          <w:p>
            <w:pPr>
              <w:pStyle w:val="ListParagraph"/>
              <w:numPr>
                <w:ilvl w:val="0"/>
                <w:numId w:val="2"/>
              </w:numPr>
              <w:spacing w:after="45"/>
            </w:pPr>
            <w:r>
              <w:rPr>
                <w:sz w:val="15"/>
                <w:szCs w:val="15"/>
              </w:rPr>
              <w:t xml:space="preserve">The explanation offered for that shift - that lung progression was destined to occur in patients receiving a liver-directed intervention - is an assertion with no supporting analysis, and it is incompatible with the trial's own null result for progression at any site.</w:t>
            </w:r>
          </w:p>
          <w:p>
            <w:pPr>
              <w:pStyle w:val="ListParagraph"/>
              <w:numPr>
                <w:ilvl w:val="0"/>
                <w:numId w:val="2"/>
              </w:numPr>
              <w:spacing w:after="45"/>
            </w:pPr>
            <w:r>
              <w:rPr>
                <w:sz w:val="15"/>
                <w:szCs w:val="15"/>
              </w:rPr>
              <w:t xml:space="preserve">The endpoint a liver surgeon cares about did not move: resection rates were 36 of 263 (13.7%) against 38 of 267 (14.2%), p=0.857, despite liver response rising from 68.8% to 78.7% and complete response from 1.9% to 6.0%. The paper's own explanation, that most patients were unresectable because of lesion number and could never become resectable, means the population was chosen such that the response gain could not translate.</w:t>
            </w:r>
          </w:p>
          <w:p>
            <w:pPr>
              <w:pStyle w:val="ListParagraph"/>
              <w:numPr>
                <w:ilvl w:val="0"/>
                <w:numId w:val="2"/>
              </w:numPr>
              <w:spacing w:after="45"/>
            </w:pPr>
            <w:r>
              <w:rPr>
                <w:sz w:val="15"/>
                <w:szCs w:val="15"/>
              </w:rPr>
              <w:t xml:space="preserve">The trial was designed for an effect roughly three times what it found: the sample size assumed median progression-free survival rising from 9.4 to 12.5 months, and the observed difference was 0.5 months.</w:t>
            </w:r>
          </w:p>
          <w:p>
            <w:pPr>
              <w:pStyle w:val="ListParagraph"/>
              <w:numPr>
                <w:ilvl w:val="0"/>
                <w:numId w:val="2"/>
              </w:numPr>
              <w:spacing w:after="45"/>
            </w:pPr>
            <w:r>
              <w:rPr>
                <w:sz w:val="15"/>
                <w:szCs w:val="15"/>
              </w:rPr>
              <w:t xml:space="preserve">The significance threshold shifts between analyses without a rule. The methods state that unplanned exploratory analyses use p&lt;0.01, yet liver response (p=0.042) and complete response in the liver (p=0.020) are reported as significant findings, and the site-of-progression analysis - which is where the paper's interpretation comes from - is not identified as prespecified or exploratory.</w:t>
            </w:r>
          </w:p>
          <w:p>
            <w:pPr>
              <w:pStyle w:val="ListParagraph"/>
              <w:numPr>
                <w:ilvl w:val="0"/>
                <w:numId w:val="2"/>
              </w:numPr>
              <w:spacing w:after="45"/>
            </w:pPr>
            <w:r>
              <w:rPr>
                <w:sz w:val="15"/>
                <w:szCs w:val="15"/>
              </w:rPr>
              <w:t xml:space="preserve">Microspheres were implanted a median of 20 days after randomisation, with a range out to 76 days, so part of the experimental arm's early follow-up is chemotherapy alone; this is not accounted for in any time-to-event analysis.</w:t>
            </w:r>
          </w:p>
          <w:p>
            <w:pPr>
              <w:pStyle w:val="ListParagraph"/>
              <w:numPr>
                <w:ilvl w:val="0"/>
                <w:numId w:val="2"/>
              </w:numPr>
              <w:spacing w:after="45"/>
            </w:pPr>
            <w:r>
              <w:rPr>
                <w:sz w:val="15"/>
                <w:szCs w:val="15"/>
              </w:rPr>
              <w:t xml:space="preserve">Roughly 40% of patients had extrahepatic disease, permitted by protocol as up to four small lung nodules or nodes in one area under 2 cm, in a trial of a liver-directed treatment whose primary endpoint is progression anywhere.</w:t>
            </w:r>
          </w:p>
          <w:p>
            <w:pPr>
              <w:pStyle w:val="ListParagraph"/>
              <w:numPr>
                <w:ilvl w:val="0"/>
                <w:numId w:val="2"/>
              </w:numPr>
              <w:spacing w:after="45"/>
            </w:pPr>
            <w:r>
              <w:rPr>
                <w:sz w:val="15"/>
                <w:szCs w:val="15"/>
              </w:rPr>
              <w:t xml:space="preserve">Table 3 prints total grade 3 or worse adverse events of 198 of 270 (73.3%) against 210 of 246 (85.4%) with p=0.516, a p value that cannot correspond to that difference in those denominators, and the near-doubling of grade 5 events (1.9% against 3.7%) is dismissed on p=0.279. Toxicity unique to the intervention - 9 gastric or duodenal ulcers, 7 ascites, 3 hepatic failure, 2 radiation hepatitis, all zero in the control arm - is described as anticipated and manageable.</w:t>
            </w:r>
          </w:p>
          <w:p>
            <w:pPr>
              <w:pStyle w:val="ListParagraph"/>
              <w:numPr>
                <w:ilvl w:val="0"/>
                <w:numId w:val="2"/>
              </w:numPr>
              <w:spacing w:after="45"/>
            </w:pPr>
            <w:r>
              <w:rPr>
                <w:sz w:val="15"/>
                <w:szCs w:val="15"/>
              </w:rPr>
              <w:t xml:space="preserve">Bevacizumab was optional in both arms and was not randomised, so a drug that materially affects progression-free survival varied by physician choice within each arm and is handled only as a subgroup in an appendix forest plot.</w:t>
            </w:r>
          </w:p>
          <w:p>
            <w:pPr>
              <w:pStyle w:val="ListParagraph"/>
              <w:numPr>
                <w:ilvl w:val="0"/>
                <w:numId w:val="2"/>
              </w:numPr>
              <w:spacing w:after="45"/>
            </w:pPr>
            <w:r>
              <w:rPr>
                <w:sz w:val="15"/>
                <w:szCs w:val="15"/>
              </w:rPr>
              <w:t xml:space="preserve">The trial was open label and the primary endpoint was imaging-based; the main text describes an assessment process to determine final outcome but does not establish independent blinded central review of progression, in a trial where one arm's patients have radiologically altered livers.</w:t>
            </w:r>
          </w:p>
          <w:p>
            <w:pPr>
              <w:pStyle w:val="ListParagraph"/>
              <w:numPr>
                <w:ilvl w:val="0"/>
                <w:numId w:val="2"/>
              </w:numPr>
              <w:spacing w:after="45"/>
            </w:pPr>
            <w:r>
              <w:rPr>
                <w:sz w:val="15"/>
                <w:szCs w:val="15"/>
              </w:rPr>
              <w:t xml:space="preserve">The sponsor is the device manufacturer, two of its employees are authors, it funded the medical writing, and most senior authors declare payments from it, in a trial whose negative primary endpoint was reported alongside a positive secondary endpoint that the same group invented for this trial.</w:t>
            </w:r>
          </w:p>
          <w:p>
            <w:pPr>
              <w:pStyle w:val="ListParagraph"/>
              <w:numPr>
                <w:ilvl w:val="0"/>
                <w:numId w:val="2"/>
              </w:numPr>
              <w:spacing w:after="45"/>
            </w:pPr>
            <w:r>
              <w:rPr>
                <w:sz w:val="15"/>
                <w:szCs w:val="15"/>
              </w:rPr>
              <w:t xml:space="preserve">The survival question the authors defer to the pooled analysis was answered negatively: the combined FOXFIRE, SIRFLOX and FOXFIRE Global report (Wasan 2017, also in this depot) found no survival benefit, so the one endpoint that could have justified the hepatic progression finding did not confirm it.</w:t>
            </w:r>
          </w:p>
          <w:p>
            <w:pPr>
              <w:pStyle w:val="ListParagraph"/>
              <w:numPr>
                <w:ilvl w:val="0"/>
                <w:numId w:val="2"/>
              </w:numPr>
              <w:spacing w:after="45"/>
            </w:pPr>
            <w:r>
              <w:rPr>
                <w:sz w:val="15"/>
                <w:szCs w:val="15"/>
              </w:rPr>
              <w:t xml:space="preserve">A linked letter (PMID 27621405, Ayoola and Ibraheem, J Clin Oncol 2016;34:4193) questioning whether liver progression-free survival is a valid surrogate was identified in PubMed but its text was not read for this record.</w:t>
            </w:r>
          </w:p>
        </w:tc>
      </w:tr>
    </w:tbl>
    <w:p>
      <w:pPr>
        <w:spacing w:after="0" w:line="276"/>
      </w:pPr>
      <w:r>
        <w:rPr>
          <w:color w:val="5A6069"/>
          <w:sz w:val="14"/>
          <w:szCs w:val="14"/>
        </w:rPr>
        <w:t xml:space="preserve">Funding: Supported by Sirtex Technology, the manufacturer of the yttrium-90 resin microspheres; two Sirtex employees are co-authors and the sponsor funded medical writing assistance. The first author declares honoraria, consulting, research funding and travel from Sirtex, and at least eight further authors declare Sirtex honoraria, speakers' bureau membership, advisory roles, research funding or travel support</w:t>
      </w:r>
    </w:p>
    <w:p>
      <w:pPr>
        <w:keepNext/>
        <w:spacing w:after="50" w:before="260"/>
      </w:pPr>
      <w:r>
        <w:rPr>
          <w:rFonts w:ascii="Cambria" w:cs="Cambria" w:eastAsia="Cambria" w:hAnsi="Cambria"/>
          <w:b/>
          <w:bCs/>
          <w:color w:val="17365D"/>
          <w:sz w:val="20"/>
          <w:szCs w:val="20"/>
        </w:rPr>
        <w:t xml:space="preserve">TransMet</w:t>
      </w:r>
      <w:r>
        <w:rPr>
          <w:b/>
          <w:bCs/>
          <w:color w:val="176A87"/>
          <w:sz w:val="15"/>
          <w:szCs w:val="15"/>
        </w:rPr>
        <w:t xml:space="preserve">   Randomised trial</w:t>
      </w:r>
      <w:r>
        <w:rPr>
          <w:color w:val="5A6069"/>
          <w:sz w:val="15"/>
          <w:szCs w:val="15"/>
        </w:rPr>
        <w:t xml:space="preserve">   PMID 39306468</w:t>
      </w:r>
    </w:p>
    <w:p>
      <w:pPr>
        <w:spacing w:after="50" w:line="276"/>
      </w:pPr>
      <w:r>
        <w:rPr>
          <w:color w:val="5A6069"/>
          <w:sz w:val="17"/>
          <w:szCs w:val="17"/>
        </w:rPr>
        <w:t xml:space="preserve">Liver transplantation plus chemotherapy versus chemotherapy alone in patients with permanently unresectable colorectal liver metastases (TransMet): results from a multicentre, open-label, prospective, randomised controlled trial</w:t>
      </w:r>
    </w:p>
    <w:p>
      <w:pPr>
        <w:spacing w:after="50"/>
      </w:pPr>
      <w:r>
        <w:rPr>
          <w:b/>
          <w:bCs/>
          <w:color w:val="176A87"/>
          <w:sz w:val="16"/>
          <w:szCs w:val="16"/>
        </w:rPr>
        <w:t xml:space="preserve">Population. </w:t>
      </w:r>
      <w:r>
        <w:rPr>
          <w:sz w:val="16"/>
          <w:szCs w:val="16"/>
        </w:rPr>
        <w:t xml:space="preserve">94 patients aged 18 to 65 with ECOG 0-1, BRAF wild-type colorectal cancer and permanently unresectable liver-only metastases responding for at least three months on no more than three chemotherapy lines, randomised 1:1 at 20 European centres between February 2016 and July 2021 out of 157 assessed, 63 of whom the central panel excluded; median age 54, median 20 liver metastases at diagnosis, median 21 chemotherapy cycles, and all but one recipient with a low Oslo score at randomisation. 38 of 47 allocated patients were transplanted at a median 50.5 days; the per-protocol populations are 36 and 38; median follow-up 59.3 months</w:t>
      </w:r>
    </w:p>
    <w:p>
      <w:pPr>
        <w:spacing w:after="70"/>
      </w:pPr>
      <w:r>
        <w:rPr>
          <w:b/>
          <w:bCs/>
          <w:color w:val="17365D"/>
          <w:sz w:val="16"/>
          <w:szCs w:val="16"/>
        </w:rPr>
        <w:t xml:space="preserve">Bottom line. </w:t>
      </w:r>
      <w:r>
        <w:rPr>
          <w:sz w:val="16"/>
          <w:szCs w:val="16"/>
        </w:rPr>
        <w:t xml:space="preserve">The only randomised trial of liver transplantation in colorectal liver metastases, and it shows a large survival gain in a tightly defined population: five-year overall survival 56.6% against 12.6% by intention to treat, HR 0.37 (95% CI 0.21-0.65), with 42% of recipients disease free at last follow-up. The 73.2% figure that is usually quoted is per protocol and is inflated from both sides - early failures removed from the transplant arm, the nine resected or transplanted patients removed from the control arm - and proportional hazards did not hold, so the honest effect size is the intention-to-treat curve or the unprespecified 12.6-month gain in restricted mean survival. Reproducing it needs a central panel that rejects 40% of referrals, a national agreement to graft low-MELD patients within two months, and acceptance that three-quarters will recur and be operated on again.</w:t>
      </w:r>
    </w:p>
    <w:tbl>
      <w:tblPr>
        <w:tblW w:type="dxa" w:w="9360"/>
        <w:tblBorders>
          <w:top w:val="single" w:color="D3DCE4" w:sz="4"/>
          <w:left w:val="single" w:color="D3DCE4" w:sz="4"/>
          <w:bottom w:val="single" w:color="D3DCE4" w:sz="4"/>
          <w:right w:val="single" w:color="D3DCE4" w:sz="4"/>
          <w:insideH w:val="single" w:color="D3DCE4" w:sz="4"/>
          <w:insideV w:val="single" w:color="D3DCE4" w:sz="4"/>
        </w:tblBorders>
      </w:tblPr>
      <w:tblGrid>
        <w:gridCol w:w="4600"/>
        <w:gridCol w:w="4760"/>
      </w:tblGrid>
      <w:tr>
        <w:tc>
          <w:tcPr>
            <w:tcW w:type="dxa" w:w="4600"/>
            <w:shd w:fill="F1F4F8" w:color="auto" w:val="clear"/>
            <w:tcMar>
              <w:top w:type="dxa" w:w="70"/>
              <w:left w:type="dxa" w:w="110"/>
              <w:bottom w:type="dxa" w:w="70"/>
              <w:right w:type="dxa" w:w="110"/>
            </w:tcMar>
            <w:vAlign w:val="top"/>
          </w:tcPr>
          <w:p>
            <w:pPr>
              <w:spacing w:after="50"/>
            </w:pPr>
            <w:r>
              <w:rPr>
                <w:b/>
                <w:bCs/>
                <w:color w:val="8E5008"/>
                <w:spacing w:val="12"/>
                <w:sz w:val="14"/>
                <w:szCs w:val="14"/>
              </w:rPr>
              <w:t xml:space="preserve">LIMITATIONS THE AUTHORS STATE</w:t>
            </w:r>
          </w:p>
          <w:p>
            <w:pPr>
              <w:pStyle w:val="ListParagraph"/>
              <w:numPr>
                <w:ilvl w:val="0"/>
                <w:numId w:val="2"/>
              </w:numPr>
              <w:spacing w:after="45"/>
            </w:pPr>
            <w:r>
              <w:rPr>
                <w:sz w:val="15"/>
                <w:szCs w:val="15"/>
              </w:rPr>
              <w:t xml:space="preserve">The authors note heterogeneity in chemotherapy regimens and in immunosuppressive therapy, which followed the policies of local oncologists and hepatologists</w:t>
            </w:r>
          </w:p>
          <w:p>
            <w:pPr>
              <w:pStyle w:val="ListParagraph"/>
              <w:numPr>
                <w:ilvl w:val="0"/>
                <w:numId w:val="2"/>
              </w:numPr>
              <w:spacing w:after="45"/>
            </w:pPr>
            <w:r>
              <w:rPr>
                <w:sz w:val="15"/>
                <w:szCs w:val="15"/>
              </w:rPr>
              <w:t xml:space="preserve">Post-transplant chemotherapy was not possible in all patients, mainly because of complications or suboptimal recovery, so its contribution cannot be assessed</w:t>
            </w:r>
          </w:p>
          <w:p>
            <w:pPr>
              <w:pStyle w:val="ListParagraph"/>
              <w:numPr>
                <w:ilvl w:val="0"/>
                <w:numId w:val="2"/>
              </w:numPr>
              <w:spacing w:after="45"/>
            </w:pPr>
            <w:r>
              <w:rPr>
                <w:sz w:val="15"/>
                <w:szCs w:val="15"/>
              </w:rPr>
              <w:t xml:space="preserve">They state that patient selection can still be improved, by molecular biology and by detecting microscopic residual disease with circulating tumour DNA, and note that their recurrence rate resembles SECA-II</w:t>
            </w:r>
          </w:p>
          <w:p>
            <w:pPr>
              <w:pStyle w:val="ListParagraph"/>
              <w:numPr>
                <w:ilvl w:val="0"/>
                <w:numId w:val="2"/>
              </w:numPr>
              <w:spacing w:after="45"/>
            </w:pPr>
            <w:r>
              <w:rPr>
                <w:sz w:val="15"/>
                <w:szCs w:val="15"/>
              </w:rPr>
              <w:t xml:space="preserve">The restricted mean survival time analysis was performed because the proportional hazards assumption was not met and was not prespecified in the protocol</w:t>
            </w:r>
          </w:p>
          <w:p>
            <w:pPr>
              <w:pStyle w:val="ListParagraph"/>
              <w:numPr>
                <w:ilvl w:val="0"/>
                <w:numId w:val="2"/>
              </w:numPr>
              <w:spacing w:after="45"/>
            </w:pPr>
            <w:r>
              <w:rPr>
                <w:sz w:val="15"/>
                <w:szCs w:val="15"/>
              </w:rPr>
              <w:t xml:space="preserve">The required number of deaths was re-estimated during the trial, from 29 to 50, because some patients allocated to transplantation did not receive it</w:t>
            </w:r>
          </w:p>
          <w:p>
            <w:pPr>
              <w:pStyle w:val="ListParagraph"/>
              <w:numPr>
                <w:ilvl w:val="0"/>
                <w:numId w:val="2"/>
              </w:numPr>
              <w:spacing w:after="45"/>
            </w:pPr>
            <w:r>
              <w:rPr>
                <w:sz w:val="15"/>
                <w:szCs w:val="15"/>
              </w:rPr>
              <w:t xml:space="preserve">They state the trial's reproducibility depended on strict adherence to eligibility criteria and on guaranteed prioritisation for organ allocation, and argue only that this could conceivably be generalised to other transplant centres</w:t>
            </w:r>
          </w:p>
        </w:tc>
        <w:tc>
          <w:tcPr>
            <w:tcW w:type="dxa" w:w="4760"/>
            <w:shd w:fill="F1F4F8" w:color="auto" w:val="clear"/>
            <w:tcMar>
              <w:top w:type="dxa" w:w="70"/>
              <w:left w:type="dxa" w:w="110"/>
              <w:bottom w:type="dxa" w:w="70"/>
              <w:right w:type="dxa" w:w="110"/>
            </w:tcMar>
            <w:vAlign w:val="top"/>
          </w:tcPr>
          <w:p>
            <w:pPr>
              <w:spacing w:after="50"/>
            </w:pPr>
            <w:r>
              <w:rPr>
                <w:b/>
                <w:bCs/>
                <w:color w:val="8C2F26"/>
                <w:spacing w:val="12"/>
                <w:sz w:val="14"/>
                <w:szCs w:val="14"/>
              </w:rPr>
              <w:t xml:space="preserve">WHAT THEY DO NOT SAY</w:t>
            </w:r>
          </w:p>
          <w:p>
            <w:pPr>
              <w:pStyle w:val="ListParagraph"/>
              <w:numPr>
                <w:ilvl w:val="0"/>
                <w:numId w:val="2"/>
              </w:numPr>
              <w:spacing w:after="45"/>
            </w:pPr>
            <w:r>
              <w:rPr>
                <w:sz w:val="15"/>
                <w:szCs w:val="15"/>
              </w:rPr>
              <w:t xml:space="preserve">The per-protocol analysis that produces the 73.2% five-year survival is biased in both directions at once. From the transplant arm it removes patients who never reached transplantation, who progressed on the pre-transplant scan, or who waited three months or more after their last chemotherapy - that is, the early failures. From the chemotherapy arm it removes the nine patients who went on to resection or transplantation - that is, the best outcomes. The hazard ratio moves from 0.37 to 0.16 as a result, and the intention-to-treat figure of 56.6% against 12.6% is the only randomised estimate in the paper.</w:t>
            </w:r>
          </w:p>
          <w:p>
            <w:pPr>
              <w:pStyle w:val="ListParagraph"/>
              <w:numPr>
                <w:ilvl w:val="0"/>
                <w:numId w:val="2"/>
              </w:numPr>
              <w:spacing w:after="45"/>
            </w:pPr>
            <w:r>
              <w:rPr>
                <w:sz w:val="15"/>
                <w:szCs w:val="15"/>
              </w:rPr>
              <w:t xml:space="preserve">Proportional hazards did not hold, so the hazard ratios that headline the abstract describe an effect that varies over time. The analysis appropriate to that, restricted mean survival time, was not prespecified and gives a far more modest framing: a gain of 12.6 months (95% CI 4.9-20.4) over five years.</w:t>
            </w:r>
          </w:p>
          <w:p>
            <w:pPr>
              <w:pStyle w:val="ListParagraph"/>
              <w:numPr>
                <w:ilvl w:val="0"/>
                <w:numId w:val="2"/>
              </w:numPr>
              <w:spacing w:after="45"/>
            </w:pPr>
            <w:r>
              <w:rPr>
                <w:sz w:val="15"/>
                <w:szCs w:val="15"/>
              </w:rPr>
              <w:t xml:space="preserve">The event requirement was revised mid-trial from 29 to 50 deaths after it became clear that allocated patients were not all being transplanted. Changing the information requirement in response to observed protocol deviation preserves nominal power but means the final analysis was not the one designed.</w:t>
            </w:r>
          </w:p>
          <w:p>
            <w:pPr>
              <w:pStyle w:val="ListParagraph"/>
              <w:numPr>
                <w:ilvl w:val="0"/>
                <w:numId w:val="2"/>
              </w:numPr>
              <w:spacing w:after="45"/>
            </w:pPr>
            <w:r>
              <w:rPr>
                <w:sz w:val="15"/>
                <w:szCs w:val="15"/>
              </w:rPr>
              <w:t xml:space="preserve">Recurrence and progression were declared equivalent for analysis - recurrence after removal of the entire liver and progression of disease left in place are treated as the same event - and progression-free survival was then analysed only in the per-protocol population, so the endpoint that most favours the intervention is computed in the population that most favours it.</w:t>
            </w:r>
          </w:p>
          <w:p>
            <w:pPr>
              <w:pStyle w:val="ListParagraph"/>
              <w:numPr>
                <w:ilvl w:val="0"/>
                <w:numId w:val="2"/>
              </w:numPr>
              <w:spacing w:after="45"/>
            </w:pPr>
            <w:r>
              <w:rPr>
                <w:sz w:val="15"/>
                <w:szCs w:val="15"/>
              </w:rPr>
              <w:t xml:space="preserve">The trial is open label and no independent central review of progression in the chemotherapy arm is described. The central panel's role was to confirm permanent unresectability at diagnosis and after chemotherapy, not to adjudicate the endpoints.</w:t>
            </w:r>
          </w:p>
          <w:p>
            <w:pPr>
              <w:pStyle w:val="ListParagraph"/>
              <w:numPr>
                <w:ilvl w:val="0"/>
                <w:numId w:val="2"/>
              </w:numPr>
              <w:spacing w:after="45"/>
            </w:pPr>
            <w:r>
              <w:rPr>
                <w:sz w:val="15"/>
                <w:szCs w:val="15"/>
              </w:rPr>
              <w:t xml:space="preserve">Three different populations are used for three classes of result: intention-to-treat for overall survival, per protocol for progression-free survival, quality of life and postoperative complications, and an as-treated population for safety. The definitions of major protocol deviation sit in an appendix.</w:t>
            </w:r>
          </w:p>
          <w:p>
            <w:pPr>
              <w:pStyle w:val="ListParagraph"/>
              <w:numPr>
                <w:ilvl w:val="0"/>
                <w:numId w:val="2"/>
              </w:numPr>
              <w:spacing w:after="45"/>
            </w:pPr>
            <w:r>
              <w:rPr>
                <w:sz w:val="15"/>
                <w:szCs w:val="15"/>
              </w:rPr>
              <w:t xml:space="preserve">Quality of life is described as descriptive only and its data are in an appendix, so the trade-off a patient is being offered - a graft, lifelong immunosuppression, 34% severe morbidity, 8% retransplantation, renal complications in 22%, diabetes in 17%, rejection in 8% - is never set against the survival gain in any quantitative form.</w:t>
            </w:r>
          </w:p>
          <w:p>
            <w:pPr>
              <w:pStyle w:val="ListParagraph"/>
              <w:numPr>
                <w:ilvl w:val="0"/>
                <w:numId w:val="2"/>
              </w:numPr>
              <w:spacing w:after="45"/>
            </w:pPr>
            <w:r>
              <w:rPr>
                <w:sz w:val="15"/>
                <w:szCs w:val="15"/>
              </w:rPr>
              <w:t xml:space="preserve">The result is contingent on an organ allocation arrangement rather than on the operation: national organ-sharing organisations agreed to prioritise these patients so that 79% were grafted within two months of their last chemotherapy cycle. Patients with normal liver function have low MELD scores and cannot compete without exception points, and the paper contains no analysis of what the diverted grafts cost other candidates or of how dropout would rise with longer waiting.</w:t>
            </w:r>
          </w:p>
          <w:p>
            <w:pPr>
              <w:pStyle w:val="ListParagraph"/>
              <w:numPr>
                <w:ilvl w:val="0"/>
                <w:numId w:val="2"/>
              </w:numPr>
              <w:spacing w:after="45"/>
            </w:pPr>
            <w:r>
              <w:rPr>
                <w:sz w:val="15"/>
                <w:szCs w:val="15"/>
              </w:rPr>
              <w:t xml:space="preserve">Selection was severe and defined the population twice over: the panel rejected 63 of 157 patients, including 13 for equivocal unresectability, so the trial enrolled only patients who were both definitely unresectable and definitely chemotherapy-responsive, aged 65 or under, ECOG 0-1, BRAF wild-type, within three chemotherapy lines, with CEA under 80 or a 50% fall, and all but one with a low Oslo score. Ninety-four patients over five and a half years across twenty centres is under one patient per centre per year.</w:t>
            </w:r>
          </w:p>
          <w:p>
            <w:pPr>
              <w:pStyle w:val="ListParagraph"/>
              <w:numPr>
                <w:ilvl w:val="0"/>
                <w:numId w:val="2"/>
              </w:numPr>
              <w:spacing w:after="45"/>
            </w:pPr>
            <w:r>
              <w:rPr>
                <w:sz w:val="15"/>
                <w:szCs w:val="15"/>
              </w:rPr>
              <w:t xml:space="preserve">Protocol deviation was large in both arms and undermines the trial's premise: 11 of 47 allocated to transplantation did not receive it (9 for progression) and 9 of 47 allocated to chemotherapy underwent resection or transplantation. A fifth of patients judged permanently unresectable by a central panel were nonetheless resected or transplanted outside their allocation.</w:t>
            </w:r>
          </w:p>
          <w:p>
            <w:pPr>
              <w:pStyle w:val="ListParagraph"/>
              <w:numPr>
                <w:ilvl w:val="0"/>
                <w:numId w:val="2"/>
              </w:numPr>
              <w:spacing w:after="45"/>
            </w:pPr>
            <w:r>
              <w:rPr>
                <w:sz w:val="15"/>
                <w:szCs w:val="15"/>
              </w:rPr>
              <w:t xml:space="preserve">The chemotherapy arm had no protocol regimen, no mandated sequencing and no prescribed later lines, so the comparator is whatever each centre chose, in a trial whose survival difference is attributed to the operation.</w:t>
            </w:r>
          </w:p>
          <w:p>
            <w:pPr>
              <w:pStyle w:val="ListParagraph"/>
              <w:numPr>
                <w:ilvl w:val="0"/>
                <w:numId w:val="2"/>
              </w:numPr>
              <w:spacing w:after="45"/>
            </w:pPr>
            <w:r>
              <w:rPr>
                <w:sz w:val="15"/>
                <w:szCs w:val="15"/>
              </w:rPr>
              <w:t xml:space="preserve">The claim of a real potential for cure rests on 42% of transplanted patients being disease free at last follow-up, which counts patients rendered disease free by later lung surgery or ablation; recurrence occurred in 72% of per-protocol recipients and five-year progression-free survival was 19.9%.</w:t>
            </w:r>
          </w:p>
          <w:p>
            <w:pPr>
              <w:pStyle w:val="ListParagraph"/>
              <w:numPr>
                <w:ilvl w:val="0"/>
                <w:numId w:val="2"/>
              </w:numPr>
              <w:spacing w:after="45"/>
            </w:pPr>
            <w:r>
              <w:rPr>
                <w:sz w:val="15"/>
                <w:szCs w:val="15"/>
              </w:rPr>
              <w:t xml:space="preserve">Minor internal inconsistencies: per-protocol five-year survival is 73.3% in the Summary and 73.2% in the Results, and first-line targeted therapy in 76 of 94 patients is given as 80% in the Summary and 81% in the Results.</w:t>
            </w:r>
          </w:p>
          <w:p>
            <w:pPr>
              <w:pStyle w:val="ListParagraph"/>
              <w:numPr>
                <w:ilvl w:val="0"/>
                <w:numId w:val="2"/>
              </w:numPr>
              <w:spacing w:after="45"/>
            </w:pPr>
            <w:r>
              <w:rPr>
                <w:sz w:val="15"/>
                <w:szCs w:val="15"/>
              </w:rPr>
              <w:t xml:space="preserve">A linked Lancet Comment (PMID 39306454, Heinemann and Stintzing, 'Liver transplantation in metastatic colorectal cancer: a new standard of care?', 2024;404:1078-9) was identified in PubMed but its text was not available here, so its arguments are not reflected in this record.</w:t>
            </w:r>
          </w:p>
        </w:tc>
      </w:tr>
    </w:tbl>
    <w:p>
      <w:pPr>
        <w:spacing w:after="0" w:line="276"/>
      </w:pPr>
      <w:r>
        <w:rPr>
          <w:color w:val="5A6069"/>
          <w:sz w:val="14"/>
          <w:szCs w:val="14"/>
        </w:rPr>
        <w:t xml:space="preserve">Funding: French National Cancer Institute (PHRC-K 2013), the French Ministry of Health and Assistance Publique-Hopitaux de Paris, endorsed by the French chapter of the IHPBA; the funders had no role in design, data collection, analysis, interpretation or writing. Editing support was provided by Miller Medical Communications. The authors declare no competing interests</w:t>
      </w:r>
    </w:p>
    <w:p>
      <w:pPr>
        <w:keepNext/>
        <w:spacing w:after="50" w:before="260"/>
      </w:pPr>
      <w:r>
        <w:rPr>
          <w:rFonts w:ascii="Cambria" w:cs="Cambria" w:eastAsia="Cambria" w:hAnsi="Cambria"/>
          <w:b/>
          <w:bCs/>
          <w:color w:val="17365D"/>
          <w:sz w:val="20"/>
          <w:szCs w:val="20"/>
        </w:rPr>
        <w:t xml:space="preserve">TRICE</w:t>
      </w:r>
      <w:r>
        <w:rPr>
          <w:b/>
          <w:bCs/>
          <w:color w:val="176A87"/>
          <w:sz w:val="15"/>
          <w:szCs w:val="15"/>
        </w:rPr>
        <w:t xml:space="preserve">   Randomised trial</w:t>
      </w:r>
      <w:r>
        <w:rPr>
          <w:color w:val="5A6069"/>
          <w:sz w:val="15"/>
          <w:szCs w:val="15"/>
        </w:rPr>
        <w:t xml:space="preserve">   PMID 38728364</w:t>
      </w:r>
    </w:p>
    <w:p>
      <w:pPr>
        <w:spacing w:after="50" w:line="276"/>
      </w:pPr>
      <w:r>
        <w:rPr>
          <w:color w:val="5A6069"/>
          <w:sz w:val="17"/>
          <w:szCs w:val="17"/>
        </w:rPr>
        <w:t xml:space="preserve">Cetuximab plus FOLFOXIRI versus cetuximab plus FOLFOX as conversion regimen in RAS/BRAF wild-type patients with initially unresectable colorectal liver metastases (TRICE trial): A randomized controlled trial</w:t>
      </w:r>
    </w:p>
    <w:p>
      <w:pPr>
        <w:spacing w:after="50"/>
      </w:pPr>
      <w:r>
        <w:rPr>
          <w:b/>
          <w:bCs/>
          <w:color w:val="176A87"/>
          <w:sz w:val="16"/>
          <w:szCs w:val="16"/>
        </w:rPr>
        <w:t xml:space="preserve">Population. </w:t>
      </w:r>
      <w:r>
        <w:rPr>
          <w:sz w:val="16"/>
          <w:szCs w:val="16"/>
        </w:rPr>
        <w:t xml:space="preserve">146 RAS/BRAF wild-type patients with initially unresectable liver-only colorectal metastases enrolled at seven Chinese centres from April 2018 to December 2022 (72 cetuximab plus FOLFOXIRI, 74 cetuximab plus FOLFOX); 142 received at least one course and form the safety population (68 and 74); 87% left-sided, 95% synchronous, aged 18 to 70 with ECOG 0-1; 14 patients (9.6%) were lost to follow-up and median follow-up was 26.2 months</w:t>
      </w:r>
    </w:p>
    <w:p>
      <w:pPr>
        <w:spacing w:after="70"/>
      </w:pPr>
      <w:r>
        <w:rPr>
          <w:b/>
          <w:bCs/>
          <w:color w:val="17365D"/>
          <w:sz w:val="16"/>
          <w:szCs w:val="16"/>
        </w:rPr>
        <w:t xml:space="preserve">Bottom line. </w:t>
      </w:r>
      <w:r>
        <w:rPr>
          <w:sz w:val="16"/>
          <w:szCs w:val="16"/>
        </w:rPr>
        <w:t xml:space="preserve">Shows that adding irinotecan to cetuximab plus FOLFOX in RAS/BRAF wild-type initially unresectable liver-only metastases does not raise response (84.7% versus 79.7%, p=0.42), and that the deeper tumour shrinkage it does produce converts no additional patient to resection (54.2% versus 52.7%) while roughly doubling grade 3 neutropenia. It does not establish that the doublet is the better regimen: the trial was powered only for a 20-point response difference that its own control arm made impossible, its primary comparison simply failed, survival was immature, and response and resectability were both judged locally by the unmasked treating teams. Read with CAIRO5, it is the second trial in this depot in which more shrinkage buys no more surgery.</w:t>
      </w:r>
    </w:p>
    <w:tbl>
      <w:tblPr>
        <w:tblW w:type="dxa" w:w="9360"/>
        <w:tblBorders>
          <w:top w:val="single" w:color="D3DCE4" w:sz="4"/>
          <w:left w:val="single" w:color="D3DCE4" w:sz="4"/>
          <w:bottom w:val="single" w:color="D3DCE4" w:sz="4"/>
          <w:right w:val="single" w:color="D3DCE4" w:sz="4"/>
          <w:insideH w:val="single" w:color="D3DCE4" w:sz="4"/>
          <w:insideV w:val="single" w:color="D3DCE4" w:sz="4"/>
        </w:tblBorders>
      </w:tblPr>
      <w:tblGrid>
        <w:gridCol w:w="4600"/>
        <w:gridCol w:w="4760"/>
      </w:tblGrid>
      <w:tr>
        <w:tc>
          <w:tcPr>
            <w:tcW w:type="dxa" w:w="4600"/>
            <w:shd w:fill="F1F4F8" w:color="auto" w:val="clear"/>
            <w:tcMar>
              <w:top w:type="dxa" w:w="70"/>
              <w:left w:type="dxa" w:w="110"/>
              <w:bottom w:type="dxa" w:w="70"/>
              <w:right w:type="dxa" w:w="110"/>
            </w:tcMar>
            <w:vAlign w:val="top"/>
          </w:tcPr>
          <w:p>
            <w:pPr>
              <w:spacing w:after="50"/>
            </w:pPr>
            <w:r>
              <w:rPr>
                <w:b/>
                <w:bCs/>
                <w:color w:val="8E5008"/>
                <w:spacing w:val="12"/>
                <w:sz w:val="14"/>
                <w:szCs w:val="14"/>
              </w:rPr>
              <w:t xml:space="preserve">LIMITATIONS THE AUTHORS STATE</w:t>
            </w:r>
          </w:p>
          <w:p>
            <w:pPr>
              <w:pStyle w:val="ListParagraph"/>
              <w:numPr>
                <w:ilvl w:val="0"/>
                <w:numId w:val="2"/>
              </w:numPr>
              <w:spacing w:after="45"/>
            </w:pPr>
            <w:r>
              <w:rPr>
                <w:sz w:val="15"/>
                <w:szCs w:val="15"/>
              </w:rPr>
              <w:t xml:space="preserve">The authors name as their primary limitation the inherent bias in subjective surgical decisions about resection feasibility, together with the absence of any centralised assessment of response or of resection</w:t>
            </w:r>
          </w:p>
          <w:p>
            <w:pPr>
              <w:pStyle w:val="ListParagraph"/>
              <w:numPr>
                <w:ilvl w:val="0"/>
                <w:numId w:val="2"/>
              </w:numPr>
              <w:spacing w:after="45"/>
            </w:pPr>
            <w:r>
              <w:rPr>
                <w:sz w:val="15"/>
                <w:szCs w:val="15"/>
              </w:rPr>
              <w:t xml:space="preserve">Objective response rate was chosen as a surrogate primary endpoint rather than overall survival, which the authors call the gold standard, and they state it is unclear whether depth of response or time to surgical failure would serve better</w:t>
            </w:r>
          </w:p>
          <w:p>
            <w:pPr>
              <w:pStyle w:val="ListParagraph"/>
              <w:numPr>
                <w:ilvl w:val="0"/>
                <w:numId w:val="2"/>
              </w:numPr>
              <w:spacing w:after="45"/>
            </w:pPr>
            <w:r>
              <w:rPr>
                <w:sz w:val="15"/>
                <w:szCs w:val="15"/>
              </w:rPr>
              <w:t xml:space="preserve">Stratified balanced sampling of the technically unresectable subgroup was not done, leaving more patients with over 10 metastases in the triplet arm (41.7% versus 33.8%), which the authors say may explain the longer progression-free survival in the doublet arm</w:t>
            </w:r>
          </w:p>
          <w:p>
            <w:pPr>
              <w:pStyle w:val="ListParagraph"/>
              <w:numPr>
                <w:ilvl w:val="0"/>
                <w:numId w:val="2"/>
              </w:numPr>
              <w:spacing w:after="45"/>
            </w:pPr>
            <w:r>
              <w:rPr>
                <w:sz w:val="15"/>
                <w:szCs w:val="15"/>
              </w:rPr>
              <w:t xml:space="preserve">Overall survival was not mature at the primary analysis, so further analysis after survival matures is needed to know whether the deeper response means anything</w:t>
            </w:r>
          </w:p>
          <w:p>
            <w:pPr>
              <w:pStyle w:val="ListParagraph"/>
              <w:numPr>
                <w:ilvl w:val="0"/>
                <w:numId w:val="2"/>
              </w:numPr>
              <w:spacing w:after="45"/>
            </w:pPr>
            <w:r>
              <w:rPr>
                <w:sz w:val="15"/>
                <w:szCs w:val="15"/>
              </w:rPr>
              <w:t xml:space="preserve">The comparison of patients who achieved local treatment against those who did not is acknowledged to be subject to survivor bias, since the converted patients had already survived progression-free long enough to reach surgery</w:t>
            </w:r>
          </w:p>
          <w:p>
            <w:pPr>
              <w:pStyle w:val="ListParagraph"/>
              <w:numPr>
                <w:ilvl w:val="0"/>
                <w:numId w:val="2"/>
              </w:numPr>
              <w:spacing w:after="45"/>
            </w:pPr>
            <w:r>
              <w:rPr>
                <w:sz w:val="15"/>
                <w:szCs w:val="15"/>
              </w:rPr>
              <w:t xml:space="preserve">The low rate of grade 3 or worse diarrhoea is attributed to an all-Asian cohort in which no triplet-arm patient carried UGT1A1*6 or *28 polymorphisms, alongside a reduced irinotecan dose</w:t>
            </w:r>
          </w:p>
          <w:p>
            <w:pPr>
              <w:pStyle w:val="ListParagraph"/>
              <w:numPr>
                <w:ilvl w:val="0"/>
                <w:numId w:val="2"/>
              </w:numPr>
              <w:spacing w:after="45"/>
            </w:pPr>
            <w:r>
              <w:rPr>
                <w:sz w:val="15"/>
                <w:szCs w:val="15"/>
              </w:rPr>
              <w:t xml:space="preserve">The right-sided subgroup contained only 19 patients and the authors call for further prospective trials in that group</w:t>
            </w:r>
          </w:p>
        </w:tc>
        <w:tc>
          <w:tcPr>
            <w:tcW w:type="dxa" w:w="4760"/>
            <w:shd w:fill="F1F4F8" w:color="auto" w:val="clear"/>
            <w:tcMar>
              <w:top w:type="dxa" w:w="70"/>
              <w:left w:type="dxa" w:w="110"/>
              <w:bottom w:type="dxa" w:w="70"/>
              <w:right w:type="dxa" w:w="110"/>
            </w:tcMar>
            <w:vAlign w:val="top"/>
          </w:tcPr>
          <w:p>
            <w:pPr>
              <w:spacing w:after="50"/>
            </w:pPr>
            <w:r>
              <w:rPr>
                <w:b/>
                <w:bCs/>
                <w:color w:val="8C2F26"/>
                <w:spacing w:val="12"/>
                <w:sz w:val="14"/>
                <w:szCs w:val="14"/>
              </w:rPr>
              <w:t xml:space="preserve">WHAT THEY DO NOT SAY</w:t>
            </w:r>
          </w:p>
          <w:p>
            <w:pPr>
              <w:pStyle w:val="ListParagraph"/>
              <w:numPr>
                <w:ilvl w:val="0"/>
                <w:numId w:val="2"/>
              </w:numPr>
              <w:spacing w:after="45"/>
            </w:pPr>
            <w:r>
              <w:rPr>
                <w:sz w:val="15"/>
                <w:szCs w:val="15"/>
              </w:rPr>
              <w:t xml:space="preserve">The trial was designed assuming response rates of 80% with the triplet against 60% with the doublet, and the observed doublet rate was 79.7%. The control assumption was wrong by 20 absolute points, so the 146-patient sample had no realistic power for the comparison it was built on - and the primary endpoint still failed (p=0.42) against a threshold the authors set at a two-sided alpha of 0.10.</w:t>
            </w:r>
          </w:p>
          <w:p>
            <w:pPr>
              <w:pStyle w:val="ListParagraph"/>
              <w:numPr>
                <w:ilvl w:val="0"/>
                <w:numId w:val="2"/>
              </w:numPr>
              <w:spacing w:after="45"/>
            </w:pPr>
            <w:r>
              <w:rPr>
                <w:sz w:val="15"/>
                <w:szCs w:val="15"/>
              </w:rPr>
              <w:t xml:space="preserve">Two different significance thresholds are used in the same paper: p below 0.1 for the primary endpoint and p below 0.05 for secondary endpoints. The only positive finding, depth of response, is a 4.6-point median difference (59.6% versus 55.0%, p=0.039) among several unadjusted secondary comparisons judged at the stricter threshold.</w:t>
            </w:r>
          </w:p>
          <w:p>
            <w:pPr>
              <w:pStyle w:val="ListParagraph"/>
              <w:numPr>
                <w:ilvl w:val="0"/>
                <w:numId w:val="2"/>
              </w:numPr>
              <w:spacing w:after="45"/>
            </w:pPr>
            <w:r>
              <w:rPr>
                <w:sz w:val="15"/>
                <w:szCs w:val="15"/>
              </w:rPr>
              <w:t xml:space="preserve">The reported effect estimates run against the reported proportions. Response was 84.7% with the triplet and 79.7% with the doublet, yet the odds ratio is given as 0.70 (95% CI 0.30-1.67); early tumour shrinkage was 80.6% against 77.0% with an odds ratio of 0.82. The reference category is never stated, so neither estimate can be reconciled with its own percentages.</w:t>
            </w:r>
          </w:p>
          <w:p>
            <w:pPr>
              <w:pStyle w:val="ListParagraph"/>
              <w:numPr>
                <w:ilvl w:val="0"/>
                <w:numId w:val="2"/>
              </w:numPr>
              <w:spacing w:after="45"/>
            </w:pPr>
            <w:r>
              <w:rPr>
                <w:sz w:val="15"/>
                <w:szCs w:val="15"/>
              </w:rPr>
              <w:t xml:space="preserve">The same inversion affects the survival result: median progression-free survival was 11.8 months with the triplet and 13.4 months with the doublet, reported alongside a hazard ratio of 0.74 (95% CI 0.50-1.11). As printed, the hazard ratio points the opposite way to the medians it accompanies.</w:t>
            </w:r>
          </w:p>
          <w:p>
            <w:pPr>
              <w:pStyle w:val="ListParagraph"/>
              <w:numPr>
                <w:ilvl w:val="0"/>
                <w:numId w:val="2"/>
              </w:numPr>
              <w:spacing w:after="45"/>
            </w:pPr>
            <w:r>
              <w:rPr>
                <w:sz w:val="15"/>
                <w:szCs w:val="15"/>
              </w:rPr>
              <w:t xml:space="preserve">Progression-free survival is defined non-standardly: the methods state that successful resection of liver metastases is considered a continuation of progression-free survival. Converting a patient therefore protects that patient's progression-free survival by definition, so the endpoint absorbs the conversion endpoint rather than being independent of it.</w:t>
            </w:r>
          </w:p>
          <w:p>
            <w:pPr>
              <w:pStyle w:val="ListParagraph"/>
              <w:numPr>
                <w:ilvl w:val="0"/>
                <w:numId w:val="2"/>
              </w:numPr>
              <w:spacing w:after="45"/>
            </w:pPr>
            <w:r>
              <w:rPr>
                <w:sz w:val="15"/>
                <w:szCs w:val="15"/>
              </w:rPr>
              <w:t xml:space="preserve">Response was assessed every 8 weeks by local investigators and resectability by the local multidisciplinary team, in an unmasked trial, so the team that judged whether the tumour had shrunk is the team that judged whether it could be removed. The authors flag the absence of central review; they do not note that it bears most heavily on their only positive endpoint.</w:t>
            </w:r>
          </w:p>
          <w:p>
            <w:pPr>
              <w:pStyle w:val="ListParagraph"/>
              <w:numPr>
                <w:ilvl w:val="0"/>
                <w:numId w:val="2"/>
              </w:numPr>
              <w:spacing w:after="45"/>
            </w:pPr>
            <w:r>
              <w:rPr>
                <w:sz w:val="15"/>
                <w:szCs w:val="15"/>
              </w:rPr>
              <w:t xml:space="preserve">Unresectability could be met by a lesion count alone (five or more metastases), independently of any anatomical criterion. The paper never reports how many patients entered on count rather than on remnant volume or vascular infiltration, so whether conversion was the real question for most of the cohort cannot be checked.</w:t>
            </w:r>
          </w:p>
          <w:p>
            <w:pPr>
              <w:pStyle w:val="ListParagraph"/>
              <w:numPr>
                <w:ilvl w:val="0"/>
                <w:numId w:val="2"/>
              </w:numPr>
              <w:spacing w:after="45"/>
            </w:pPr>
            <w:r>
              <w:rPr>
                <w:sz w:val="15"/>
                <w:szCs w:val="15"/>
              </w:rPr>
              <w:t xml:space="preserve">The efficacy and safety denominators differ without explanation: 72 patients are analysed for response in the triplet arm but 68 for toxicity, meaning four randomised patients never received the assigned regimen and are counted in the numerator population of the primary endpoint.</w:t>
            </w:r>
          </w:p>
          <w:p>
            <w:pPr>
              <w:pStyle w:val="ListParagraph"/>
              <w:numPr>
                <w:ilvl w:val="0"/>
                <w:numId w:val="2"/>
              </w:numPr>
              <w:spacing w:after="45"/>
            </w:pPr>
            <w:r>
              <w:rPr>
                <w:sz w:val="15"/>
                <w:szCs w:val="15"/>
              </w:rPr>
              <w:t xml:space="preserve">Fourteen patients (9.6%) were lost to follow-up, unevenly (9 doublet, 5 triplet), in a trial of 146 whose survival endpoints are time to event; no sensitivity analysis for informative censoring is reported.</w:t>
            </w:r>
          </w:p>
          <w:p>
            <w:pPr>
              <w:pStyle w:val="ListParagraph"/>
              <w:numPr>
                <w:ilvl w:val="0"/>
                <w:numId w:val="2"/>
              </w:numPr>
              <w:spacing w:after="45"/>
            </w:pPr>
            <w:r>
              <w:rPr>
                <w:sz w:val="15"/>
                <w:szCs w:val="15"/>
              </w:rPr>
              <w:t xml:space="preserve">The conclusion recommends cetuximab plus FOLFOX as the first-line regimen for this population, but the trial was designed to detect triplet superiority and failed; nothing in it was designed to show the doublet non-inferior, and survival was immature at the time the recommendation was made.</w:t>
            </w:r>
          </w:p>
          <w:p>
            <w:pPr>
              <w:pStyle w:val="ListParagraph"/>
              <w:numPr>
                <w:ilvl w:val="0"/>
                <w:numId w:val="2"/>
              </w:numPr>
              <w:spacing w:after="45"/>
            </w:pPr>
            <w:r>
              <w:rPr>
                <w:sz w:val="15"/>
                <w:szCs w:val="15"/>
              </w:rPr>
              <w:t xml:space="preserve">The locally-treated versus not-treated comparison adjusts for ten clinical variables (age, sex, tumour location, ECOG, primary site, prior adjuvant therapy, time to metastases, number and size of metastases, resectability) in 146 patients, far too few events per covariate, and is additionally confounded by immortal time, which the authors acknowledge without quantifying.</w:t>
            </w:r>
          </w:p>
          <w:p>
            <w:pPr>
              <w:pStyle w:val="ListParagraph"/>
              <w:numPr>
                <w:ilvl w:val="0"/>
                <w:numId w:val="2"/>
              </w:numPr>
              <w:spacing w:after="45"/>
            </w:pPr>
            <w:r>
              <w:rPr>
                <w:sz w:val="15"/>
                <w:szCs w:val="15"/>
              </w:rPr>
              <w:t xml:space="preserve">No quality-of-life or patient-reported outcome is reported, although the triplet produced significantly more grade 3 or worse neutropenia (44.1% versus 27.0%) and the paper's recommendation rests partly on toxicity.</w:t>
            </w:r>
          </w:p>
          <w:p>
            <w:pPr>
              <w:pStyle w:val="ListParagraph"/>
              <w:numPr>
                <w:ilvl w:val="0"/>
                <w:numId w:val="2"/>
              </w:numPr>
              <w:spacing w:after="45"/>
            </w:pPr>
            <w:r>
              <w:rPr>
                <w:sz w:val="15"/>
                <w:szCs w:val="15"/>
              </w:rPr>
              <w:t xml:space="preserve">Generalisability is restricted in ways the paper applies only to toxicity: the cohort is entirely Chinese, under 70, ECOG 0-1, 87% left-sided and 95% synchronous, with no UGT1A1 polymorphism carriers in the triplet arm and a reduced irinotecan dose of 150 mg/m2. The efficacy conclusion is stated without the same qualification.</w:t>
            </w:r>
          </w:p>
          <w:p>
            <w:pPr>
              <w:pStyle w:val="ListParagraph"/>
              <w:numPr>
                <w:ilvl w:val="0"/>
                <w:numId w:val="2"/>
              </w:numPr>
              <w:spacing w:after="45"/>
            </w:pPr>
            <w:r>
              <w:rPr>
                <w:sz w:val="15"/>
                <w:szCs w:val="15"/>
              </w:rPr>
              <w:t xml:space="preserve">No linked editorial or comment on this trial was found in PubMed, so no independent published critique informs this record.</w:t>
            </w:r>
          </w:p>
        </w:tc>
      </w:tr>
    </w:tbl>
    <w:p>
      <w:pPr>
        <w:spacing w:after="0" w:line="276"/>
      </w:pPr>
      <w:r>
        <w:rPr>
          <w:color w:val="5A6069"/>
          <w:sz w:val="14"/>
          <w:szCs w:val="14"/>
        </w:rPr>
        <w:t xml:space="preserve">Funding: National Natural Science Foundation of China (82073302) and Guangdong Basic and Applied Basic Research Foundation (2023B1515020015); the funders are stated to have had no role in design, data collection, analysis, decision to publish or preparation of the manuscript. The authors declare no competing interests. The source of the cetuximab used is not stated</w:t>
      </w:r>
    </w:p>
    <w:p>
      <w:pPr>
        <w:pStyle w:val="Heading2"/>
        <w:keepNext/>
        <w:spacing w:after="110" w:before="320"/>
      </w:pPr>
      <w:r>
        <w:rPr>
          <w:rFonts w:ascii="Cambria" w:cs="Cambria" w:eastAsia="Cambria" w:hAnsi="Cambria"/>
          <w:b/>
          <w:bCs/>
          <w:color w:val="17365D"/>
          <w:sz w:val="26"/>
          <w:szCs w:val="26"/>
        </w:rPr>
        <w:t xml:space="preserve">Sources not abstracted in full</w:t>
      </w:r>
    </w:p>
    <w:p>
      <w:pPr>
        <w:spacing w:after="120" w:line="276"/>
      </w:pPr>
      <w:r>
        <w:rPr>
          <w:i/>
          <w:iCs/>
          <w:color w:val="5A6069"/>
          <w:sz w:val="20"/>
          <w:szCs w:val="20"/>
        </w:rPr>
        <w:t xml:space="preserve">These carry no entry above. A guideline or policy document is cited for what it states rather than for a result, and a paper listed here without a PMID could not be retrieved — in either case the roadmap's claim rests on the source as quoted, not on a full-text read of it.</w:t>
      </w:r>
    </w:p>
    <w:p>
      <w:pPr>
        <w:pStyle w:val="ListParagraph"/>
        <w:numPr>
          <w:ilvl w:val="0"/>
          <w:numId w:val="2"/>
        </w:numPr>
        <w:spacing w:after="60" w:line="268"/>
      </w:pPr>
      <w:r>
        <w:rPr>
          <w:color w:val="15181F"/>
          <w:sz w:val="16"/>
          <w:szCs w:val="16"/>
        </w:rPr>
        <w:t xml:space="preserve">CRLM alignment worksheet — Guideline alignment worksheet — adult colorectal liver metastases, Memorial Hermann CRLM System Roadmap Draft v0.6, 4 October 2026. Sixteen areas where NCCN 2.2026, IHPBA 2021, OPTN 2025 guidance, ASCO 2023, Adam 2015 an</w:t>
      </w:r>
    </w:p>
    <w:p>
      <w:pPr>
        <w:pStyle w:val="ListParagraph"/>
        <w:numPr>
          <w:ilvl w:val="0"/>
          <w:numId w:val="2"/>
        </w:numPr>
        <w:spacing w:after="60" w:line="268"/>
      </w:pPr>
      <w:r>
        <w:rPr>
          <w:color w:val="15181F"/>
          <w:sz w:val="16"/>
          <w:szCs w:val="16"/>
        </w:rPr>
        <w:t xml:space="preserve">MH CRLM roadmap v0.6 — Memorial Hermann Colorectal Liver Metastasis System Roadmap. Multidisciplinary practice guideline and operating pathway, Draft v0.6, 4 October 2026; liver-directed treatment section revised 3 October 2026. Evidence curre</w:t>
      </w:r>
    </w:p>
    <w:p>
      <w:pPr>
        <w:pStyle w:val="ListParagraph"/>
        <w:numPr>
          <w:ilvl w:val="0"/>
          <w:numId w:val="2"/>
        </w:numPr>
        <w:spacing w:after="60" w:line="268"/>
      </w:pPr>
      <w:r>
        <w:rPr>
          <w:color w:val="15181F"/>
          <w:sz w:val="16"/>
          <w:szCs w:val="16"/>
        </w:rPr>
        <w:t xml:space="preserve">MH/UTHealth CRLM review — Memorial Hermann / UTHealth colorectal liver metastasis review, V18 coauthor draft, September 2026. Internal manuscript; the three-phase clearance-anchored framework, the clearance / regional-control / remnant-augmentati</w:t>
      </w:r>
    </w:p>
    <w:p>
      <w:pPr>
        <w:pStyle w:val="ListParagraph"/>
        <w:numPr>
          <w:ilvl w:val="0"/>
          <w:numId w:val="2"/>
        </w:numPr>
        <w:spacing w:after="60" w:line="268"/>
      </w:pPr>
      <w:r>
        <w:rPr>
          <w:color w:val="15181F"/>
          <w:sz w:val="16"/>
          <w:szCs w:val="16"/>
        </w:rPr>
        <w:t xml:space="preserve">NCCN colon v2.2026 — National Comprehensive Cancer Network. NCCN Clinical Practice Guidelines in Oncology: Colon Cancer. Version 2.2026, 7 April 2026. Original PDF pp. 13-14, 16, 26, 30, 37-41 and 51-55; HAI and SBRT on p. 39 and local selec</w:t>
      </w:r>
    </w:p>
    <w:p>
      <w:pPr>
        <w:pStyle w:val="ListParagraph"/>
        <w:numPr>
          <w:ilvl w:val="0"/>
          <w:numId w:val="2"/>
        </w:numPr>
        <w:spacing w:after="60" w:line="268"/>
      </w:pPr>
      <w:r>
        <w:rPr>
          <w:color w:val="15181F"/>
          <w:sz w:val="16"/>
          <w:szCs w:val="16"/>
        </w:rPr>
        <w:t xml:space="preserve">OPTN Policy 9 — Organ Procurement and Transplantation Network. Policy 9: Allocation of Livers and Liver-Intestines. US Department of Health and Human Services, HRSA. Policy 9.4.C-E, 9.5.A and 9.5.I; official PDF retrieved 1 October 2026</w:t>
      </w:r>
    </w:p>
    <w:p>
      <w:pPr>
        <w:pStyle w:val="ListParagraph"/>
        <w:numPr>
          <w:ilvl w:val="0"/>
          <w:numId w:val="2"/>
        </w:numPr>
        <w:spacing w:after="60" w:line="268"/>
      </w:pPr>
      <w:r>
        <w:rPr>
          <w:color w:val="15181F"/>
          <w:sz w:val="16"/>
          <w:szCs w:val="16"/>
        </w:rPr>
        <w:t xml:space="preserve">OPTN transplant-oncology guidance — Organ Procurement and Transplantation Network, Liver and Intestinal Organ Transplantation Committee. Guidance to Liver Transplant Programs and the National Liver Review Board for: Adult MELD Exceptions for Transplant Onc</w:t>
      </w:r>
    </w:p>
    <w:p>
      <w:r>
        <w:br w:type="page"/>
      </w:r>
    </w:p>
    <w:p>
      <w:pPr>
        <w:pStyle w:val="Heading1"/>
      </w:pPr>
      <w:r>
        <w:t>HAI evidence and pathway revision | 15 October 2026</w:t>
      </w:r>
    </w:p>
    <w:p>
      <w:pPr>
        <w:pStyle w:val="Heading2"/>
      </w:pPr>
      <w:r>
        <w:t>Earlier HAI review with a clearance endpoint</w:t>
      </w:r>
    </w:p>
    <w:p>
      <w:r>
        <w:t>Offer early pump-program review for selected unresectable liver-only CRLM during first-line treatment planning, with formal reassessment after systemic therapy and before hepatic radiation. Record conversion-to-complete-clearance, regional control, or adjuvant intent separately. D’Angelica phase II: 49 patients, 47% resection conversion and 76% response (PMID 24646562). This is distinct from Kemeny’s 49-patient phase I series with 92% response (PMID 19470932). Resection conversion is not a pump-alone cure rate.</w:t>
      </w:r>
    </w:p>
    <w:p>
      <w:pPr>
        <w:pStyle w:val="Heading2"/>
      </w:pPr>
      <w:r>
        <w:t>Adjuvant HAI: updated evidence</w:t>
      </w:r>
    </w:p>
    <w:p>
      <w:r>
        <w:t>Dutch PUMP (ASCO 2026 LBA3506; DOI 10.1200/JCO.2026.44.17_suppl.LBA3506) has reported randomized conference results: in low-risk resected CRLM (CRS 0–2), adjuvant HAIP alone did not significantly improve PFS versus resection alone (HR 0.88, 95% CI 0.62–1.25; P=.48). Neither arm received adjuvant systemic chemotherapy. Overall survival is immature. This does not test HAI plus modern systemic therapy or the unresectable conversion setting. Adjuvant HAI remains selective expert-centre consideration; routine use for every low-risk resection is not supported by these results.</w:t>
      </w:r>
    </w:p>
    <w:p>
      <w:pPr>
        <w:pStyle w:val="Heading2"/>
      </w:pPr>
      <w:r>
        <w:t>Salvage evidence and external delivery</w:t>
      </w:r>
    </w:p>
    <w:p>
      <w:r>
        <w:t>Cercek’s refractory cohort included 57 liver-only and 53 low-volume extrahepatic cases. Response and median survival were 33% and 20 months in liver-only disease versus 36% and 11.4 months with extrahepatic disease (PMID 27566258). These retrospective results do not broaden routine eligibility. Duke’s 102-patient series reported 20% conversion to resection, HAI-specific complications in 23% and biliary sclerosis in 6% (PMID 39565488); these are selected-cohort outcomes, not institutional performance targets.</w:t>
      </w:r>
    </w:p>
    <w:p>
      <w:pPr>
        <w:pStyle w:val="Heading2"/>
      </w:pPr>
      <w:r>
        <w:t>Parallel transplant assessment</w:t>
      </w:r>
    </w:p>
    <w:p>
      <w:r>
        <w:t>For persistently unresectable liver-only CRLM potentially eligible for LT, obtain transplant review in parallel with HAI/conversion planning. HAI response does not establish listing or MELD-exception eligibility and completing every HAI option is not a prerequisite for evaluation. LT after HAI is technically feasible but evidence is limited: Hill et al. reported seven transplants, five for biliary complications and two for residual tumour, with difficult dissection and frequent atypical arterial reconstruction (PMID 37210451). Review arterial inflow/conduit, biliary injury and donor strategy before pump placement. The lecture’s fixed 6+3+3-month bridge and systemic-therapy withdrawal schedule remain investigational.</w:t>
      </w:r>
    </w:p>
    <w:p>
      <w:pPr>
        <w:pStyle w:val="Heading2"/>
      </w:pPr>
      <w:r>
        <w:t>Radiation sequencing</w:t>
      </w:r>
    </w:p>
    <w:p>
      <w:r>
        <w:t>Review potential HAI before Y90 or hepatic external-beam radiation. The existing NCCN Colon v2.2026 original PDF p39 eligibility row excludes prior liver radiation; the lecture describes prior Y90 as a relative contraindication at Duke. Preserve that guideline restriction and require an explicit specialist exception decision if considering a different institutional approach. Do not describe prior irradiation as a universal technical impossibility.</w:t>
      </w:r>
    </w:p>
    <w:p>
      <w:pPr>
        <w:pStyle w:val="Heading2"/>
      </w:pPr>
      <w:r>
        <w:t>Trial referral</w:t>
      </w:r>
    </w:p>
    <w:p>
      <w:r>
        <w:t>EA2222 / NCT05863195 tests systemic therapy with or without HAI for unresectable CRLM. It is separate from Dutch adjuvant PUMP and iCCA PUMP-2. Use current trial eligibility and site availability; no efficacy result is inferred from its registration.</w:t>
      </w:r>
    </w:p>
    <w:p>
      <w:pPr>
        <w:pStyle w:val="Heading2"/>
      </w:pPr>
      <w:r>
        <w:t>Programme readiness</w:t>
      </w:r>
    </w:p>
    <w:p>
      <w:r>
        <w:t>Before starting HAI, approve a named HPB surgeon with backup, medical oncologist, trained infusion nurses and pharmacy, nuclear-medicine perfusion assessment, IR rescue access, refill/maintenance coverage, liver-test monitoring and dose-hold rules, biliary-toxicity escalation and an outcomes registry. Reliable repeated visits are essential. Credentialing must cover the whole service, not pump implantation alone (PMIDs 39962001, 36346892).</w:t>
      </w:r>
    </w:p>
    <w:p>
      <w:pPr>
        <w:pStyle w:val="Heading2"/>
      </w:pPr>
      <w:r>
        <w:t>Feasibility and medication safeguards</w:t>
      </w:r>
    </w:p>
    <w:p>
      <w:r>
        <w:t>Avoid concurrent bevacizumab with HAI floxuridine because of increased biliary toxicity (PMID 24154839). Retain the broader no-concurrent-VEGF wording in the existing NCCN CRLM row. Assess hepatic reserve, portal hypertension/portal inflow, arterial anatomy, biliary obstruction or infection, prior liver radiation, operative fitness and reliable refill access. Age under 80 and lecture shunt cutoffs are centre practices, not universal evidence-based thresholds.</w:t>
      </w:r>
    </w:p>
    <w:p>
      <w:pPr>
        <w:pStyle w:val="Heading2"/>
      </w:pPr>
      <w:r>
        <w:t>Additional reference register</w:t>
      </w:r>
    </w:p>
    <w:p>
      <w:r>
        <w:t>Phase II trial of hepatic artery infusional and systemic chemotherapy for patients with unresectable hepatic metastases from colorectal cancer: conversion to resection and long-term outcomes. PMID 24646562. DOI 10.1097/SLA.0000000000000614.</w:t>
      </w:r>
    </w:p>
    <w:p>
      <w:r>
        <w:t>Response rates of hepatic arterial infusion pump therapy in patients with metastatic colorectal cancer liver metastases refractory to all standard chemotherapies. PMID 27566258. DOI 10.1002/jso.24399.</w:t>
      </w:r>
    </w:p>
    <w:p>
      <w:r>
        <w:t>Perioperative and Oncologic Outcomes of Hepatic Arterial Infusion (HAI) Pump Chemotherapy for Patients with Unresectable Colorectal Liver Metastases at an Expanding HAI Program. PMID 39565488. DOI 10.1245/s10434-024-16488-y.</w:t>
      </w:r>
    </w:p>
    <w:p>
      <w:r>
        <w:t>Minimum Requirements to Safely Establish and Sustain New Hepatic Arterial Infusion Pump Programs: An International Expert Perspective. PMID 39962001. DOI 10.1245/s10434-025-17009-1.</w:t>
      </w:r>
    </w:p>
    <w:p>
      <w:r>
        <w:t>Hepatic Artery Infusion Pumps: A Surgical Toolkit for Intraoperative Decision-Making and Management of Hepatic Artery Infusion-Specific Complications. PMID 36346892. DOI 10.1097/SLA.0000000000005434.</w:t>
      </w:r>
    </w:p>
    <w:p>
      <w:r>
        <w:t>Liver Transplantation After Hepatic Artery Infusion Pump Therapy: Single-Center Experience and Technical Considerations. PMID 37210451. DOI 10.1245/s10434-023-13652-8.</w:t>
      </w:r>
    </w:p>
    <w:p>
      <w:r>
        <w:t>Floxuridine hepatic arterial infusion associated biliary toxicity is increased by concurrent administration of systemic bevacizumab. PMID 24154839. DOI 10.1245/s10434-013-3275-0.</w:t>
      </w:r>
    </w:p>
    <w:p>
      <w:r>
        <w:t>Outmani et al. Dutch PUMP randomized trial, ASCO 2026 abstract LBA3506 PMID not assigned (meeting abstract). DOI 10.1200/JCO.2026.44.17_suppl.LBA3506.</w:t>
      </w:r>
    </w:p>
    <w:p>
      <w:pPr>
        <w:pStyle w:val="Heading1"/>
        <w:widowControl/>
        <w:keepNext/>
      </w:pPr>
      <w:r>
        <w:t xml:space="preserve">Revision history</w:t>
      </w:r>
    </w:p>
    <w:p>
      <w:pPr>
        <w:pStyle w:val="Normal"/>
        <w:widowControl/>
        <w:spacing w:after="120"/>
      </w:pPr>
      <w:r>
        <w:t xml:space="preserve">2026-10-25 04:38 CDT. Problem and correction: Add/update the tumor-specific systemic matrix and full-text appraisals with point-of-use source/PDF links. Preserve ordinary balanced LRT treatment of RASER/LEGACY and existing surgical context. Later-line efficacy does not define persistent unresectability. HPB MDT must document why complete clearance of every original disease site cannot be achieved with a credible resection/ablation strategy, liver reserve and staged options. Treated/nonviable lesions alone are not proof of active unresectable disease. Preserve all biology, extrahepatic and allocation gates.</w:t>
      </w:r>
    </w:p>
    <w:p>
      <w:pPr>
        <w:pStyle w:val="Normal"/>
        <w:widowControl/>
        <w:spacing w:after="120"/>
      </w:pPr>
      <w:r>
        <w:t xml:space="preserve">Review scope: all pages of the 14 newly supplied main PDFs were read; separately linked supplements and every older retained reference were not reread. Existing formatting and prior material are retained. New clinical proposals remain OPEN. Live EndNote field structures and document-specific XML/RIS exports are included; native Word/EndNote CWYW execution has not been verified.</w:t>
      </w:r>
    </w:p>
    <w:p>
      <w:pPr>
        <w:pStyle w:val="Normal"/>
      </w:pPr>
      <w:r>
        <w:t>26 October 2026, 09:30 CDT. Presentation revision: removed release-specific emphasis and grouped evidence with the clinical question it informs. Website navigation is separate from patient findings; selecting a topic or opening a care plan does not establish eligibility. Clinical thresholds, negative results, uncertainty, source links, EndNote field data and OPEN decision status are retained.</w:t>
      </w:r>
    </w:p>
    <w:p>
      <w:pPr>
        <w:pStyle w:val="Heading1"/>
        <w:widowControl/>
        <w:keepNext/>
      </w:pPr>
      <w:r>
        <w:t xml:space="preserve">References</w:t>
      </w:r>
    </w:p>
    <w:p>
      <w:pPr>
        <w:pStyle w:val="Normal"/>
        <w:widowControl/>
        <w:spacing w:after="120"/>
      </w:pPr>
      <w:r>
        <w:t xml:space="preserve"/>
      </w:r>
      <w:r>
        <w:fldChar w:fldCharType="begin"/>
      </w:r>
      <w:r>
        <w:instrText xml:space="preserve"> ADDIN EN.REFLIST </w:instrText>
      </w:r>
      <w:r>
        <w:fldChar w:fldCharType="separate"/>
      </w:r>
      <w:r>
        <w:t xml:space="preserve">[V16-1] Nordlinger B; Sorbye H; Glimelius B; et al. Perioperative FOLFOX4 chemotherapy and surgery versus surgery alone for resectable liver metastases from colorectal cancer (EORTC 40983): long-term results of a randomised, controlled, phase 3 trial.. The Lancet. Oncology. 2013; 14(12):1208-15. </w:t>
      </w:r>
      <w:hyperlink r:id="rId106">
        <w:r>
          <w:rPr>
            <w:color w:val="0563C1"/>
            <w:u w:val="single"/>
          </w:rPr>
          <w:t>Source</w:t>
        </w:r>
      </w:hyperlink>
      <w:r>
        <w:t xml:space="preserve"> | </w:t>
      </w:r>
      <w:hyperlink r:id="rId107">
        <w:r>
          <w:rPr>
            <w:color w:val="0563C1"/>
            <w:u w:val="single"/>
          </w:rPr>
          <w:t>Full-text access</w:t>
        </w:r>
      </w:hyperlink>
    </w:p>
    <w:p>
      <w:pPr>
        <w:pStyle w:val="Normal"/>
        <w:widowControl/>
        <w:spacing w:after="120"/>
      </w:pPr>
      <w:r>
        <w:t xml:space="preserve"/>
      </w:r>
      <w:r>
        <w:t xml:space="preserve">[V16-2] Bridgewater JA; Pugh SA; Maishman T; et al. Systemic chemotherapy with or without cetuximab in patients with resectable colorectal liver metastasis (New EPOC): long-term results of a multicentre, randomised, controlled, phase 3 trial.. The Lancet. Oncology. 2020; 21(3):398-411. </w:t>
      </w:r>
      <w:hyperlink r:id="rId108">
        <w:r>
          <w:rPr>
            <w:color w:val="0563C1"/>
            <w:u w:val="single"/>
          </w:rPr>
          <w:t>Source</w:t>
        </w:r>
      </w:hyperlink>
      <w:r>
        <w:t xml:space="preserve"> | </w:t>
      </w:r>
      <w:hyperlink r:id="rId109">
        <w:r>
          <w:rPr>
            <w:color w:val="0563C1"/>
            <w:u w:val="single"/>
          </w:rPr>
          <w:t>Full-text access</w:t>
        </w:r>
      </w:hyperlink>
    </w:p>
    <w:p>
      <w:pPr>
        <w:pStyle w:val="Normal"/>
        <w:widowControl/>
        <w:spacing w:after="120"/>
      </w:pPr>
      <w:r>
        <w:t xml:space="preserve"/>
      </w:r>
      <w:r>
        <w:t xml:space="preserve">[V16-3] Cremolini C; Chalabi M; Elez E; et al. Metastatic colorectal cancer: ESMO Clinical Practice Guideline for diagnosis, treatment and follow-up.. Annals of oncology : official journal of the European Society for Medical Oncology. 2026; 37(6):759-776. </w:t>
      </w:r>
      <w:hyperlink r:id="rId110">
        <w:r>
          <w:rPr>
            <w:color w:val="0563C1"/>
            <w:u w:val="single"/>
          </w:rPr>
          <w:t>Source</w:t>
        </w:r>
      </w:hyperlink>
      <w:r>
        <w:t xml:space="preserve"> | </w:t>
      </w:r>
      <w:hyperlink r:id="rId111">
        <w:r>
          <w:rPr>
            <w:color w:val="0563C1"/>
            <w:u w:val="single"/>
          </w:rPr>
          <w:t>Full-text access</w:t>
        </w:r>
      </w:hyperlink>
    </w:p>
    <w:p>
      <w:pPr>
        <w:pStyle w:val="Normal"/>
        <w:widowControl/>
        <w:spacing w:after="120"/>
      </w:pPr>
      <w:r>
        <w:t xml:space="preserve"/>
      </w:r>
      <w:r>
        <w:t xml:space="preserve">[V16-4] Bond MJG; Bolhuis K; Loosveld OJL; et al. First-line systemic treatment strategies in patients with initially unresectable colorectal cancer liver metastases (CAIRO5): an open-label, multicentre, randomised, controlled, phase 3 study from the Dutch Colorectal Cancer Group.. The Lancet. Oncology. 2023; 24(7):757-771. </w:t>
      </w:r>
      <w:hyperlink r:id="rId112">
        <w:r>
          <w:rPr>
            <w:color w:val="0563C1"/>
            <w:u w:val="single"/>
          </w:rPr>
          <w:t>Source</w:t>
        </w:r>
      </w:hyperlink>
      <w:r>
        <w:t xml:space="preserve"> | </w:t>
      </w:r>
      <w:hyperlink r:id="rId113">
        <w:r>
          <w:rPr>
            <w:color w:val="0563C1"/>
            <w:u w:val="single"/>
          </w:rPr>
          <w:t>Full-text access</w:t>
        </w:r>
      </w:hyperlink>
    </w:p>
    <w:p>
      <w:pPr>
        <w:pStyle w:val="Normal"/>
        <w:widowControl/>
        <w:spacing w:after="120"/>
      </w:pPr>
      <w:r>
        <w:t xml:space="preserve"/>
      </w:r>
      <w:r>
        <w:t xml:space="preserve">[V16-5] Venook AP; Niedzwiecki D; Lenz HJ; et al. Effect of First-Line Chemotherapy Combined With Cetuximab or Bevacizumab on Overall Survival in Patients With KRAS Wild-Type Advanced or Metastatic Colorectal Cancer: A Randomized Clinical Trial.. JAMA. 2017; 317(23):2392-2401. </w:t>
      </w:r>
      <w:hyperlink r:id="rId114">
        <w:r>
          <w:rPr>
            <w:color w:val="0563C1"/>
            <w:u w:val="single"/>
          </w:rPr>
          <w:t>Source</w:t>
        </w:r>
      </w:hyperlink>
      <w:r>
        <w:t xml:space="preserve"> | </w:t>
      </w:r>
      <w:hyperlink r:id="rId115">
        <w:r>
          <w:rPr>
            <w:color w:val="0563C1"/>
            <w:u w:val="single"/>
          </w:rPr>
          <w:t>Full-text access</w:t>
        </w:r>
      </w:hyperlink>
    </w:p>
    <w:p>
      <w:pPr>
        <w:pStyle w:val="Normal"/>
        <w:widowControl/>
        <w:spacing w:after="120"/>
      </w:pPr>
      <w:r>
        <w:t xml:space="preserve"/>
      </w:r>
      <w:r>
        <w:t xml:space="preserve">[V16-6] Genentech. Avastin bevacizumab US prescribing information. US prescribing information. 2022. </w:t>
      </w:r>
      <w:hyperlink r:id="rId116">
        <w:r>
          <w:rPr>
            <w:color w:val="0563C1"/>
            <w:u w:val="single"/>
          </w:rPr>
          <w:t>Source</w:t>
        </w:r>
      </w:hyperlink>
      <w:r>
        <w:t xml:space="preserve"> | </w:t>
      </w:r>
      <w:hyperlink r:id="rId117">
        <w:r>
          <w:rPr>
            <w:color w:val="0563C1"/>
            <w:u w:val="single"/>
          </w:rPr>
          <w:t>Full-text access</w:t>
        </w:r>
      </w:hyperlink>
    </w:p>
    <w:p>
      <w:pPr>
        <w:pStyle w:val="Normal"/>
        <w:widowControl/>
        <w:spacing w:after="120"/>
      </w:pPr>
      <w:r>
        <w:t xml:space="preserve"/>
      </w:r>
      <w:r>
        <w:t xml:space="preserve">[V16-7] André T; Elez E; Lenz HJ; et al. Nivolumab plus ipilimumab versus nivolumab in microsatellite instability-high metastatic colorectal cancer (CheckMate 8HW): a randomised, open-label, phase 3 trial.. Lancet (London, England). 2025; 405(10476):383-395. </w:t>
      </w:r>
      <w:hyperlink r:id="rId118">
        <w:r>
          <w:rPr>
            <w:color w:val="0563C1"/>
            <w:u w:val="single"/>
          </w:rPr>
          <w:t>Source</w:t>
        </w:r>
      </w:hyperlink>
      <w:r>
        <w:t xml:space="preserve"> | </w:t>
      </w:r>
      <w:hyperlink r:id="rId119">
        <w:r>
          <w:rPr>
            <w:color w:val="0563C1"/>
            <w:u w:val="single"/>
          </w:rPr>
          <w:t>Full-text access</w:t>
        </w:r>
      </w:hyperlink>
    </w:p>
    <w:p>
      <w:pPr>
        <w:pStyle w:val="Normal"/>
        <w:widowControl/>
        <w:spacing w:after="120"/>
      </w:pPr>
      <w:r>
        <w:t xml:space="preserve"/>
      </w:r>
      <w:r>
        <w:t xml:space="preserve">[V16-8] André T; Shiu KK; Kim TW; et al. Pembrolizumab in Microsatellite-Instability-High Advanced Colorectal Cancer.. The New England journal of medicine. 2020; 383(23):2207-2218. </w:t>
      </w:r>
      <w:hyperlink r:id="rId120">
        <w:r>
          <w:rPr>
            <w:color w:val="0563C1"/>
            <w:u w:val="single"/>
          </w:rPr>
          <w:t>Source</w:t>
        </w:r>
      </w:hyperlink>
      <w:r>
        <w:t xml:space="preserve"> | </w:t>
      </w:r>
      <w:hyperlink r:id="rId121">
        <w:r>
          <w:rPr>
            <w:color w:val="0563C1"/>
            <w:u w:val="single"/>
          </w:rPr>
          <w:t>Full-text access</w:t>
        </w:r>
      </w:hyperlink>
    </w:p>
    <w:p>
      <w:pPr>
        <w:pStyle w:val="Normal"/>
        <w:widowControl/>
        <w:spacing w:after="120"/>
      </w:pPr>
      <w:r>
        <w:t xml:space="preserve"/>
      </w:r>
      <w:r>
        <w:t xml:space="preserve">[V16-9] Elez E; Yoshino T; Shen L; et al. Encorafenib, Cetuximab, and mFOLFOX6 in BRAF-Mutated Colorectal Cancer.. The New England journal of medicine. 2025; 392(24):2425-2437. </w:t>
      </w:r>
      <w:hyperlink r:id="rId122">
        <w:r>
          <w:rPr>
            <w:color w:val="0563C1"/>
            <w:u w:val="single"/>
          </w:rPr>
          <w:t>Source</w:t>
        </w:r>
      </w:hyperlink>
      <w:r>
        <w:t xml:space="preserve"> | </w:t>
      </w:r>
      <w:hyperlink r:id="rId123">
        <w:r>
          <w:rPr>
            <w:color w:val="0563C1"/>
            <w:u w:val="single"/>
          </w:rPr>
          <w:t>Full-text access</w:t>
        </w:r>
      </w:hyperlink>
    </w:p>
    <w:p>
      <w:pPr>
        <w:pStyle w:val="Normal"/>
        <w:widowControl/>
        <w:spacing w:after="120"/>
      </w:pPr>
      <w:r>
        <w:t xml:space="preserve"/>
      </w:r>
      <w:r>
        <w:t xml:space="preserve">[V16-10] US Food and Drug Administration. FDA grants traditional approval to encorafenib for metastatic colorectal cancer with a BRAF V600E mutation. FDA approval announcement. 2026. </w:t>
      </w:r>
      <w:hyperlink r:id="rId124">
        <w:r>
          <w:rPr>
            <w:color w:val="0563C1"/>
            <w:u w:val="single"/>
          </w:rPr>
          <w:t>Source</w:t>
        </w:r>
      </w:hyperlink>
      <w:r>
        <w:t xml:space="preserve"> | Local PDF not available in this update</w:t>
      </w:r>
    </w:p>
    <w:p>
      <w:pPr>
        <w:pStyle w:val="Normal"/>
        <w:widowControl/>
        <w:spacing w:after="120"/>
      </w:pPr>
      <w:r>
        <w:t xml:space="preserve"/>
      </w:r>
      <w:r>
        <w:t xml:space="preserve">[V16-11] Strickler JH; Cercek A; Siena S; et al. Tucatinib plus trastuzumab for chemotherapy-refractory, HER2 + , RAS wild-type metastatic colorectal cancer (MOUNTAINEER): final analysis.. Nature communications. 2026; 17(1):1068. </w:t>
      </w:r>
      <w:hyperlink r:id="rId125">
        <w:r>
          <w:rPr>
            <w:color w:val="0563C1"/>
            <w:u w:val="single"/>
          </w:rPr>
          <w:t>Source</w:t>
        </w:r>
      </w:hyperlink>
      <w:r>
        <w:t xml:space="preserve"> | </w:t>
      </w:r>
      <w:hyperlink r:id="rId126">
        <w:r>
          <w:rPr>
            <w:color w:val="0563C1"/>
            <w:u w:val="single"/>
          </w:rPr>
          <w:t>Full-text access</w:t>
        </w:r>
      </w:hyperlink>
    </w:p>
    <w:p>
      <w:pPr>
        <w:pStyle w:val="Normal"/>
        <w:widowControl/>
        <w:spacing w:after="120"/>
      </w:pPr>
      <w:r>
        <w:t xml:space="preserve"/>
      </w:r>
      <w:r>
        <w:t xml:space="preserve">[V16-12] Fakih MG; Salvatore L; Esaki T; et al. Sotorasib plus Panitumumab in Refractory Colorectal Cancer with Mutated KRAS G12C.. The New England journal of medicine. 2023; 389(23):2125-2139. </w:t>
      </w:r>
      <w:hyperlink r:id="rId127">
        <w:r>
          <w:rPr>
            <w:color w:val="0563C1"/>
            <w:u w:val="single"/>
          </w:rPr>
          <w:t>Source</w:t>
        </w:r>
      </w:hyperlink>
      <w:r>
        <w:t xml:space="preserve"> | </w:t>
      </w:r>
      <w:hyperlink r:id="rId128">
        <w:r>
          <w:rPr>
            <w:color w:val="0563C1"/>
            <w:u w:val="single"/>
          </w:rPr>
          <w:t>Full-text access</w:t>
        </w:r>
      </w:hyperlink>
    </w:p>
    <w:p>
      <w:pPr>
        <w:pStyle w:val="Normal"/>
        <w:widowControl/>
        <w:spacing w:after="120"/>
      </w:pPr>
      <w:r>
        <w:t xml:space="preserve"/>
      </w:r>
      <w:r>
        <w:t xml:space="preserve">[V16-13] US Food and Drug Administration. FDA approves sotorasib with panitumumab for KRAS G12C mutated colorectal cancer. FDA approval announcement. 2025. </w:t>
      </w:r>
      <w:hyperlink r:id="rId129">
        <w:r>
          <w:rPr>
            <w:color w:val="0563C1"/>
            <w:u w:val="single"/>
          </w:rPr>
          <w:t>Source</w:t>
        </w:r>
      </w:hyperlink>
      <w:r>
        <w:t xml:space="preserve"> | Local PDF not available in this update</w:t>
      </w:r>
    </w:p>
    <w:p>
      <w:pPr>
        <w:pStyle w:val="Normal"/>
        <w:widowControl/>
        <w:spacing w:after="120"/>
      </w:pPr>
      <w:r>
        <w:t xml:space="preserve"/>
      </w:r>
      <w:r>
        <w:t xml:space="preserve">[V16-14] Prager GW; Taieb J; Fakih M; et al. Trifluridine-Tipiracil and Bevacizumab in Refractory Metastatic Colorectal Cancer.. The New England journal of medicine. 2023; 388(18):1657-1667. </w:t>
      </w:r>
      <w:hyperlink r:id="rId130">
        <w:r>
          <w:rPr>
            <w:color w:val="0563C1"/>
            <w:u w:val="single"/>
          </w:rPr>
          <w:t>Source</w:t>
        </w:r>
      </w:hyperlink>
      <w:r>
        <w:t xml:space="preserve"> | </w:t>
      </w:r>
      <w:hyperlink r:id="rId131">
        <w:r>
          <w:rPr>
            <w:color w:val="0563C1"/>
            <w:u w:val="single"/>
          </w:rPr>
          <w:t>Full-text access</w:t>
        </w:r>
      </w:hyperlink>
    </w:p>
    <w:p>
      <w:pPr>
        <w:pStyle w:val="Normal"/>
        <w:widowControl/>
        <w:spacing w:after="120"/>
      </w:pPr>
      <w:r>
        <w:t xml:space="preserve"/>
      </w:r>
      <w:r>
        <w:t xml:space="preserve">[V16-15] Dasari A; Lonardi S; Garcia-Carbonero R; et al. Fruquintinib versus placebo in patients with refractory metastatic colorectal cancer (FRESCO-2): an international, multicentre, randomised, double-blind, phase 3 study.. Lancet (London, England). 2023; 402(10395):41-53. </w:t>
      </w:r>
      <w:hyperlink r:id="rId132">
        <w:r>
          <w:rPr>
            <w:color w:val="0563C1"/>
            <w:u w:val="single"/>
          </w:rPr>
          <w:t>Source</w:t>
        </w:r>
      </w:hyperlink>
      <w:r>
        <w:t xml:space="preserve"> | </w:t>
      </w:r>
      <w:hyperlink r:id="rId133">
        <w:r>
          <w:rPr>
            <w:color w:val="0563C1"/>
            <w:u w:val="single"/>
          </w:rPr>
          <w:t>Full-text access</w:t>
        </w:r>
      </w:hyperlink>
    </w:p>
    <w:p>
      <w:pPr>
        <w:pStyle w:val="Normal"/>
        <w:widowControl/>
        <w:spacing w:after="120"/>
      </w:pPr>
      <w:r>
        <w:t xml:space="preserve"/>
      </w:r>
      <w:r>
        <w:t xml:space="preserve">[V16-16] Hadden, William J; de Reuver, Philip R; Brown, Kai; et al. Resection of colorectal liver metastases and extra-hepatic disease: a systematic review and proportional meta-analysis of survival outcomes. HPB : the official journal of the International Hepato Pancreato Biliary Association. 2016; 18(3):209-20. </w:t>
      </w:r>
      <w:hyperlink r:id="rId134">
        <w:r>
          <w:rPr>
            <w:color w:val="0563C1"/>
            <w:u w:val="single"/>
          </w:rPr>
          <w:t>Source</w:t>
        </w:r>
      </w:hyperlink>
      <w:r>
        <w:t xml:space="preserve"> | Local PDF not available in this update</w:t>
      </w:r>
    </w:p>
    <w:p>
      <w:pPr>
        <w:pStyle w:val="Normal"/>
        <w:widowControl/>
        <w:spacing w:after="120"/>
      </w:pPr>
      <w:r>
        <w:t xml:space="preserve"/>
      </w:r>
      <w:r>
        <w:t xml:space="preserve">[V16-17] Leung, Universe; Gönen, Mithat; Allen, Peter J; et al. Colorectal Cancer Liver Metastases and Concurrent Extrahepatic Disease Treated With Resection. Annals of surgery. 2017; 265(1):158-165. </w:t>
      </w:r>
      <w:hyperlink r:id="rId135">
        <w:r>
          <w:rPr>
            <w:color w:val="0563C1"/>
            <w:u w:val="single"/>
          </w:rPr>
          <w:t>Source</w:t>
        </w:r>
      </w:hyperlink>
      <w:r>
        <w:t xml:space="preserve"> | Local PDF not available in this update</w:t>
      </w:r>
    </w:p>
    <w:p>
      <w:pPr>
        <w:pStyle w:val="Normal"/>
        <w:widowControl/>
        <w:spacing w:after="120"/>
      </w:pPr>
      <w:r>
        <w:t xml:space="preserve"/>
      </w:r>
      <w:r>
        <w:t xml:space="preserve">[V16-18] Milosevic, M; Edwards, J; Tsang, D; et al. Pulmonary Metastasectomy in Colorectal Cancer: updated analysis of 93 randomized patients - control survival is much better than previously assumed. Colorectal disease : the official journal of the Association of Coloproctology of Great Britain and Ireland. 2020; 22(10):1314-1324. </w:t>
      </w:r>
      <w:hyperlink r:id="rId136">
        <w:r>
          <w:rPr>
            <w:color w:val="0563C1"/>
            <w:u w:val="single"/>
          </w:rPr>
          <w:t>Source</w:t>
        </w:r>
      </w:hyperlink>
      <w:r>
        <w:t xml:space="preserve"> | Local PDF not available in this update</w:t>
      </w:r>
    </w:p>
    <w:p>
      <w:pPr>
        <w:pStyle w:val="Normal"/>
        <w:widowControl/>
        <w:spacing w:after="120"/>
      </w:pPr>
      <w:r>
        <w:t xml:space="preserve"/>
      </w:r>
      <w:r>
        <w:t xml:space="preserve">[V16-19] Gallinger, S; Biagi, J J; Fletcher, G G; et al. Liver resection for colorectal cancer metastases. Current oncology (Toronto, Ont.). 2013; 20(3):e255-65. </w:t>
      </w:r>
      <w:hyperlink r:id="rId137">
        <w:r>
          <w:rPr>
            <w:color w:val="0563C1"/>
            <w:u w:val="single"/>
          </w:rPr>
          <w:t>Source</w:t>
        </w:r>
      </w:hyperlink>
      <w:r>
        <w:t xml:space="preserve"> | Local PDF not available in this update</w:t>
      </w:r>
    </w:p>
    <w:p>
      <w:pPr>
        <w:pStyle w:val="Normal"/>
        <w:widowControl/>
        <w:spacing w:after="120"/>
      </w:pPr>
      <w:r>
        <w:t xml:space="preserve"/>
      </w:r>
      <w:r>
        <w:t xml:space="preserve">[V16-20] Andres, A; Mentha, G; Adam, R; et al. Surgical management of patients with colorectal cancer and simultaneous liver and lung metastases. The British journal of surgery. 2015; 102(6):691-9. </w:t>
      </w:r>
      <w:hyperlink r:id="rId138">
        <w:r>
          <w:rPr>
            <w:color w:val="0563C1"/>
            <w:u w:val="single"/>
          </w:rPr>
          <w:t>Source</w:t>
        </w:r>
      </w:hyperlink>
      <w:r>
        <w:t xml:space="preserve"> | Local PDF not available in this update</w:t>
      </w:r>
    </w:p>
    <w:p>
      <w:pPr>
        <w:pStyle w:val="Normal"/>
        <w:widowControl/>
        <w:spacing w:after="120"/>
      </w:pPr>
      <w:r>
        <w:t xml:space="preserve"/>
      </w:r>
      <w:r>
        <w:t xml:space="preserve">[V16-21] Adam, René; de Haas, Robbert J; Wicherts, Dennis A; et al. Is hepatic resection justified after chemotherapy in patients with colorectal liver metastases and lymph node involvement?. Journal of clinical oncology : official journal of the American Society of Clinical Oncology. 2008; 26(22):3672-80. </w:t>
      </w:r>
      <w:hyperlink r:id="rId139">
        <w:r>
          <w:rPr>
            <w:color w:val="0563C1"/>
            <w:u w:val="single"/>
          </w:rPr>
          <w:t>Source</w:t>
        </w:r>
      </w:hyperlink>
      <w:r>
        <w:t xml:space="preserve"> | Local PDF not available in this update</w:t>
      </w:r>
    </w:p>
    <w:p>
      <w:pPr>
        <w:pStyle w:val="Normal"/>
        <w:widowControl/>
        <w:spacing w:after="120"/>
      </w:pPr>
      <w:r>
        <w:t xml:space="preserve"/>
      </w:r>
      <w:r>
        <w:t xml:space="preserve">[V16-22] Taqi, Kadhim; Icchhpuniani, Simarpreet; Stockley, Cecily; et al. Outcomes of Cytoreductive Surgery and Hyperthermic Intraperitoneal Chemotherapy (CRS/HIPEC) and Liver-Directed Therapy for Synchronous Peritoneal and Liver Metastatic Colorectal Cancer: A Systematic Review with Meta-analysis. Annals of surgical oncology. 2025; 32(7):5063-5082. </w:t>
      </w:r>
      <w:hyperlink r:id="rId140">
        <w:r>
          <w:rPr>
            <w:color w:val="0563C1"/>
            <w:u w:val="single"/>
          </w:rPr>
          <w:t>Source</w:t>
        </w:r>
      </w:hyperlink>
      <w:r>
        <w:t xml:space="preserve"> | Local PDF not available in this update</w:t>
      </w:r>
    </w:p>
    <w:p>
      <w:pPr>
        <w:pStyle w:val="Normal"/>
        <w:widowControl/>
        <w:spacing w:after="120"/>
      </w:pPr>
      <w:r>
        <w:t xml:space="preserve"/>
      </w:r>
      <w:r>
        <w:t xml:space="preserve">[V16-23] Zou, Yifeng; Chen, Xi; Zhang, Xinzhi; et al. Clinical outcomes of curative treatment for colorectal liver metastases combined with cytoreductive surgery and intraperitoneal chemotherapy for peritoneal metastases: a systematic review and meta-analysis of current evidence. International journal of hyperthermia : the official journal of European Society for Hyperthermic Oncology, North American Hyperthermia Group. 2020; 37(1):944-954. </w:t>
      </w:r>
      <w:hyperlink r:id="rId141">
        <w:r>
          <w:rPr>
            <w:color w:val="0563C1"/>
            <w:u w:val="single"/>
          </w:rPr>
          <w:t>Source</w:t>
        </w:r>
      </w:hyperlink>
      <w:r>
        <w:t xml:space="preserve"> | Local PDF not available in this update</w:t>
      </w:r>
      <w:r>
        <w:fldChar w:fldCharType="end"/>
      </w:r>
    </w:p>
    <w:p>
      <w:pPr>
        <w:pStyle w:val="Heading1"/>
        <w:widowControl/>
        <w:keepNext/>
      </w:pPr>
      <w:r>
        <w:t xml:space="preserve">V16 revision note</w:t>
      </w:r>
    </w:p>
    <w:p>
      <w:pPr>
        <w:pStyle w:val="Normal"/>
        <w:widowControl/>
        <w:spacing w:after="120"/>
      </w:pPr>
      <w:r>
        <w:t xml:space="preserve">2026-10-29 09:21 CDT. Problem: no dedicated position on previously treated, responded extrahepatic disease. Correction: added CRLM-R1 with a proposed position, rules, evidence and OPEN decision fields. No eligibility rule, allocation route, MELD-exception request or study is activated; existing clinical content is retained.</w:t>
      </w:r>
    </w:p>
    <w:p>
      <w:pPr>
        <w:pStyle w:val="Normal"/>
        <w:widowControl/>
        <w:spacing w:after="120"/>
      </w:pPr>
      <w:r>
        <w:t xml:space="preserve">Review scope: 4 cited study lines rest on full-text reading (complete main text; relevant complete sections of long guidelines) and 4 on verified PubMed abstracts whose full texts are pending TMC download. Positions will be revised after those full texts are read. Analyst B (Claude.ai) for Hao Liu; no external-analyst consensus or institutional approval is implied. Live EndNote field structures and document-specific XML/RIS exports are included; native Word/EndNote CWYW refresh has not been tested.</w:t>
      </w:r>
    </w:p>
    <w:sectPr>
      <w:footerReference w:type="default" r:id="rId7"/>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tabs>
        <w:tab w:val="right" w:pos="9360"/>
      </w:tabs>
    </w:pPr>
    <w:r>
      <w:rPr>
        <w:color w:val="5A6069"/>
        <w:sz w:val="15"/>
        <w:szCs w:val="15"/>
      </w:rPr>
      <w:t xml:space="preserve">Memorial Hermann CRLM system roadmap V16 · Extrahepatic-disease update, 29 October 2026 · draft, not ratified	</w:t>
    </w:r>
    <w:r>
      <w:rPr>
        <w:sz w:val="15"/>
        <w:szCs w:val="15"/>
      </w:rPr>
      <w:t xml:space="preserve"/>
    </w:r>
    <w:r>
      <w:rPr>
        <w:color w:val="5A6069"/>
        <w:sz w:val="15"/>
        <w:szCs w:val="15"/>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360" w:hanging="200"/>
      </w:pPr>
    </w:lvl>
    <w:lvl w:ilvl="1" w15:tentative="1">
      <w:start w:val="1"/>
      <w:numFmt w:val="bullet"/>
      <w:lvlText w:val="–"/>
      <w:lvlJc w:val="left"/>
      <w:pPr>
        <w:ind w:left="720" w:hanging="200"/>
      </w:pPr>
    </w:lvl>
  </w:abstractNum>
  <w:abstractNum w:abstractNumId="3" w15:restartNumberingAfterBreak="0">
    <w:multiLevelType w:val="hybridMultilevel"/>
    <w:lvl w:ilvl="0" w15:tentative="1">
      <w:start w:val="1"/>
      <w:numFmt w:val="bullet"/>
      <w:lvlText w:val="☐"/>
      <w:lvlJc w:val="left"/>
      <w:pPr>
        <w:ind w:left="360" w:hanging="240"/>
      </w:pPr>
    </w:lvl>
  </w:abstractNum>
  <w:num w:numId="1">
    <w:abstractNumId w:val="1"/>
    <w:lvlOverride w:ilvl="0">
      <w:startOverride w:val="1"/>
    </w:lvlOverride>
  </w:num>
  <w:num w:numId="2">
    <w:abstractNumId w:val="2"/>
    <w:lvlOverride w:ilvl="0">
      <w:startOverride w:val="1"/>
    </w:lvlOverride>
  </w:num>
  <w:abstractNum w:abstractNumId="4">
    <w:multiLevelType w:val="multilevel"/>
    <w:lvl w:ilvl="0">
      <w:start w:val="1"/>
      <w:numFmt w:val="bullet"/>
      <w:lvlText w:val="•"/>
      <w:lvlJc w:val="left"/>
      <w:pPr>
        <w:ind w:left="360" w:hanging="180"/>
      </w:pPr>
    </w:lvl>
    <w:lvl w:ilvl="1">
      <w:start w:val="1"/>
      <w:numFmt w:val="bullet"/>
      <w:lvlText w:val="•"/>
      <w:lvlJc w:val="left"/>
      <w:pPr>
        <w:ind w:left="720" w:hanging="180"/>
      </w:pPr>
    </w:lvl>
    <w:lvl w:ilvl="2">
      <w:start w:val="1"/>
      <w:numFmt w:val="bullet"/>
      <w:lvlText w:val="•"/>
      <w:lvlJc w:val="left"/>
      <w:pPr>
        <w:ind w:left="1080" w:hanging="180"/>
      </w:pPr>
    </w:lvl>
  </w:abstractNum>
  <w:num w:numId="3">
    <w:abstractNumId w:val="4"/>
  </w:num>
  <w:abstractNum w:abstractNumId="5">
    <w:multiLevelType w:val="multilevel"/>
    <w:lvl w:ilvl="0">
      <w:start w:val="1"/>
      <w:numFmt w:val="bullet"/>
      <w:lvlText w:val="•"/>
      <w:lvlJc w:val="left"/>
      <w:pPr>
        <w:ind w:left="360" w:hanging="180"/>
      </w:pPr>
    </w:lvl>
    <w:lvl w:ilvl="1">
      <w:start w:val="1"/>
      <w:numFmt w:val="bullet"/>
      <w:lvlText w:val="•"/>
      <w:lvlJc w:val="left"/>
      <w:pPr>
        <w:ind w:left="720" w:hanging="180"/>
      </w:pPr>
    </w:lvl>
    <w:lvl w:ilvl="2">
      <w:start w:val="1"/>
      <w:numFmt w:val="bullet"/>
      <w:lvlText w:val="•"/>
      <w:lvlJc w:val="left"/>
      <w:pPr>
        <w:ind w:left="1080" w:hanging="180"/>
      </w:pPr>
    </w:lvl>
  </w:abstractNum>
  <w:num w:numId="4">
    <w:abstractNumId w:val="5"/>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15181F"/>
        <w:sz w:val="20"/>
        <w:szCs w:val="20"/>
      </w:rPr>
    </w:rPrDefault>
    <w:pPrDefault>
      <w:pPr>
        <w:spacing w:line="276"/>
      </w:pPr>
    </w:pPrDefault>
  </w:docDefaults>
  <w:style w:type="paragraph" w:styleId="Title">
    <w:name w:val="Title"/>
    <w:basedOn w:val="Normal"/>
    <w:next w:val="Normal"/>
    <w:qFormat/>
    <w:rPr>
      <w:sz w:val="56"/>
      <w:szCs w:val="56"/>
    </w:rPr>
  </w:style>
  <w:style w:type="paragraph" w:styleId="Heading1">
    <w:name w:val="Heading 1"/>
    <w:basedOn w:val="Normal"/>
    <w:next w:val="Normal"/>
    <w:qFormat/>
    <w:rPr>
      <w:rFonts w:ascii="Cambria" w:cs="Cambria" w:eastAsia="Cambria" w:hAnsi="Cambria"/>
      <w:b/>
      <w:bCs/>
      <w:color w:val="17365D"/>
      <w:sz w:val="32"/>
      <w:szCs w:val="32"/>
    </w:rPr>
  </w:style>
  <w:style w:type="paragraph" w:styleId="Heading2">
    <w:name w:val="Heading 2"/>
    <w:basedOn w:val="Normal"/>
    <w:next w:val="Normal"/>
    <w:qFormat/>
    <w:rPr>
      <w:rFonts w:ascii="Cambria" w:cs="Cambria" w:eastAsia="Cambria" w:hAnsi="Cambria"/>
      <w:b/>
      <w:bCs/>
      <w:color w:val="17365D"/>
      <w:sz w:val="26"/>
      <w:szCs w:val="26"/>
    </w:rPr>
  </w:style>
  <w:style w:type="paragraph" w:styleId="Heading3">
    <w:name w:val="Heading 3"/>
    <w:basedOn w:val="Normal"/>
    <w:next w:val="Normal"/>
    <w:qFormat/>
    <w:rPr>
      <w:rFonts w:ascii="Cambria" w:cs="Cambria" w:eastAsia="Cambria" w:hAnsi="Cambria"/>
      <w:b/>
      <w:bCs/>
      <w:color w:val="17365D"/>
      <w:sz w:val="22"/>
      <w:szCs w:val="22"/>
    </w:rPr>
  </w:style>
  <w:style w:type="paragraph" w:styleId="Heading4">
    <w:name w:val="Heading 4"/>
    <w:basedOn w:val="Normal"/>
    <w:next w:val="Normal"/>
    <w:qFormat/>
    <w:rPr>
      <w:rFonts w:ascii="Calibri" w:cs="Calibri" w:eastAsia="Calibri" w:hAnsi="Calibri"/>
      <w:b/>
      <w:bCs/>
      <w:color w:val="176A87"/>
      <w:sz w:val="20"/>
      <w:szCs w:val="20"/>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customStyle="1" w:styleId="Heading1">
    <w:name w:val="heading 1"/>
    <w:pPr>
      <w:keepNext/>
    </w:pPr>
    <w:rPr>
      <w:rFonts w:ascii="Arial" w:hAnsi="Arial"/>
      <w:b/>
      <w:sz w:val="36"/>
    </w:rPr>
  </w:style>
  <w:style w:type="paragraph" w:customStyle="1" w:styleId="Heading2">
    <w:name w:val="heading 2"/>
    <w:pPr>
      <w:keepNext/>
    </w:pPr>
    <w:rPr>
      <w:rFonts w:ascii="Arial" w:hAnsi="Arial"/>
      <w:b/>
      <w:sz w:val="26"/>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 Id="rId9" Type="http://schemas.openxmlformats.org/officeDocument/2006/relationships/hyperlink" Target="https://doi.org/10.1016/S1470-2045(13)70447-9" TargetMode="External"/><Relationship Id="rId10" Type="http://schemas.openxmlformats.org/officeDocument/2006/relationships/hyperlink" Target="https://drliuhao.github.io/mh-liver-pathways/evidence-libraries/" TargetMode="External"/><Relationship Id="rId11" Type="http://schemas.openxmlformats.org/officeDocument/2006/relationships/hyperlink" Target="https://doi.org/10.1016/S1470-2045(19)30798-3" TargetMode="External"/><Relationship Id="rId12" Type="http://schemas.openxmlformats.org/officeDocument/2006/relationships/hyperlink" Target="https://drliuhao.github.io/mh-liver-pathways/evidence-libraries/" TargetMode="External"/><Relationship Id="rId13" Type="http://schemas.openxmlformats.org/officeDocument/2006/relationships/hyperlink" Target="https://doi.org/10.1016/j.annonc.2026.03.005" TargetMode="External"/><Relationship Id="rId14" Type="http://schemas.openxmlformats.org/officeDocument/2006/relationships/hyperlink" Target="https://drliuhao.github.io/mh-liver-pathways/evidence-libraries/" TargetMode="External"/><Relationship Id="rId15" Type="http://schemas.openxmlformats.org/officeDocument/2006/relationships/hyperlink" Target="https://doi.org/10.1016/j.annonc.2026.03.005" TargetMode="External"/><Relationship Id="rId16" Type="http://schemas.openxmlformats.org/officeDocument/2006/relationships/hyperlink" Target="https://drliuhao.github.io/mh-liver-pathways/evidence-libraries/" TargetMode="External"/><Relationship Id="rId17" Type="http://schemas.openxmlformats.org/officeDocument/2006/relationships/hyperlink" Target="https://doi.org/10.1016/S1470-2045(23)00219-X" TargetMode="External"/><Relationship Id="rId18" Type="http://schemas.openxmlformats.org/officeDocument/2006/relationships/hyperlink" Target="https://drliuhao.github.io/mh-liver-pathways/evidence-libraries/" TargetMode="External"/><Relationship Id="rId19" Type="http://schemas.openxmlformats.org/officeDocument/2006/relationships/hyperlink" Target="https://doi.org/10.1001/jama.2017.7105" TargetMode="External"/><Relationship Id="rId20" Type="http://schemas.openxmlformats.org/officeDocument/2006/relationships/hyperlink" Target="https://drliuhao.github.io/mh-liver-pathways/evidence-libraries/" TargetMode="External"/><Relationship Id="rId21" Type="http://schemas.openxmlformats.org/officeDocument/2006/relationships/hyperlink" Target="https://doi.org/10.1016/j.annonc.2026.03.005" TargetMode="External"/><Relationship Id="rId22" Type="http://schemas.openxmlformats.org/officeDocument/2006/relationships/hyperlink" Target="https://drliuhao.github.io/mh-liver-pathways/evidence-libraries/" TargetMode="External"/><Relationship Id="rId23" Type="http://schemas.openxmlformats.org/officeDocument/2006/relationships/hyperlink" Target="https://www.gene.com/download/pdf/avastin_prescribing.pdf" TargetMode="External"/><Relationship Id="rId24" Type="http://schemas.openxmlformats.org/officeDocument/2006/relationships/hyperlink" Target="https://drliuhao.github.io/mh-liver-pathways/evidence-libraries/" TargetMode="External"/><Relationship Id="rId25" Type="http://schemas.openxmlformats.org/officeDocument/2006/relationships/hyperlink" Target="https://doi.org/10.1016/S1470-2045(23)00219-X" TargetMode="External"/><Relationship Id="rId26" Type="http://schemas.openxmlformats.org/officeDocument/2006/relationships/hyperlink" Target="https://drliuhao.github.io/mh-liver-pathways/evidence-libraries/" TargetMode="External"/><Relationship Id="rId27" Type="http://schemas.openxmlformats.org/officeDocument/2006/relationships/hyperlink" Target="https://doi.org/10.1016/j.annonc.2026.03.005" TargetMode="External"/><Relationship Id="rId28" Type="http://schemas.openxmlformats.org/officeDocument/2006/relationships/hyperlink" Target="https://drliuhao.github.io/mh-liver-pathways/evidence-libraries/" TargetMode="External"/><Relationship Id="rId29" Type="http://schemas.openxmlformats.org/officeDocument/2006/relationships/hyperlink" Target="https://doi.org/10.1016/S0140-6736(24)02848-4" TargetMode="External"/><Relationship Id="rId30" Type="http://schemas.openxmlformats.org/officeDocument/2006/relationships/hyperlink" Target="https://drliuhao.github.io/mh-liver-pathways/evidence-libraries/" TargetMode="External"/><Relationship Id="rId31" Type="http://schemas.openxmlformats.org/officeDocument/2006/relationships/hyperlink" Target="https://doi.org/10.1056/NEJMoa2017699" TargetMode="External"/><Relationship Id="rId32" Type="http://schemas.openxmlformats.org/officeDocument/2006/relationships/hyperlink" Target="https://drliuhao.github.io/mh-liver-pathways/evidence-libraries/" TargetMode="External"/><Relationship Id="rId33" Type="http://schemas.openxmlformats.org/officeDocument/2006/relationships/hyperlink" Target="https://doi.org/10.1016/j.annonc.2026.03.005" TargetMode="External"/><Relationship Id="rId34" Type="http://schemas.openxmlformats.org/officeDocument/2006/relationships/hyperlink" Target="https://drliuhao.github.io/mh-liver-pathways/evidence-libraries/" TargetMode="External"/><Relationship Id="rId35" Type="http://schemas.openxmlformats.org/officeDocument/2006/relationships/hyperlink" Target="https://doi.org/10.1056/NEJMoa2501912" TargetMode="External"/><Relationship Id="rId36" Type="http://schemas.openxmlformats.org/officeDocument/2006/relationships/hyperlink" Target="https://drliuhao.github.io/mh-liver-pathways/evidence-libraries/" TargetMode="External"/><Relationship Id="rId37" Type="http://schemas.openxmlformats.org/officeDocument/2006/relationships/hyperlink" Target="https://www.fda.gov/drugs/resources-information-approved-drugs/fda-grants-traditional-approval-encorafenib-metastatic-colorectal-cancer-braf-v600e-mutation" TargetMode="External"/><Relationship Id="rId38" Type="http://schemas.openxmlformats.org/officeDocument/2006/relationships/hyperlink" Target="https://doi.org/10.1016/j.annonc.2026.03.005" TargetMode="External"/><Relationship Id="rId39" Type="http://schemas.openxmlformats.org/officeDocument/2006/relationships/hyperlink" Target="https://drliuhao.github.io/mh-liver-pathways/evidence-libraries/" TargetMode="External"/><Relationship Id="rId40" Type="http://schemas.openxmlformats.org/officeDocument/2006/relationships/hyperlink" Target="https://doi.org/10.1016/j.annonc.2026.03.005" TargetMode="External"/><Relationship Id="rId41" Type="http://schemas.openxmlformats.org/officeDocument/2006/relationships/hyperlink" Target="https://drliuhao.github.io/mh-liver-pathways/evidence-libraries/" TargetMode="External"/><Relationship Id="rId42" Type="http://schemas.openxmlformats.org/officeDocument/2006/relationships/hyperlink" Target="https://doi.org/10.1016/j.annonc.2026.03.005" TargetMode="External"/><Relationship Id="rId43" Type="http://schemas.openxmlformats.org/officeDocument/2006/relationships/hyperlink" Target="https://drliuhao.github.io/mh-liver-pathways/evidence-libraries/" TargetMode="External"/><Relationship Id="rId44" Type="http://schemas.openxmlformats.org/officeDocument/2006/relationships/hyperlink" Target="https://doi.org/10.1016/j.annonc.2026.03.005" TargetMode="External"/><Relationship Id="rId45" Type="http://schemas.openxmlformats.org/officeDocument/2006/relationships/hyperlink" Target="https://drliuhao.github.io/mh-liver-pathways/evidence-libraries/" TargetMode="External"/><Relationship Id="rId46" Type="http://schemas.openxmlformats.org/officeDocument/2006/relationships/hyperlink" Target="https://www.fda.gov/drugs/resources-information-approved-drugs/fda-grants-traditional-approval-encorafenib-metastatic-colorectal-cancer-braf-v600e-mutation" TargetMode="External"/><Relationship Id="rId47" Type="http://schemas.openxmlformats.org/officeDocument/2006/relationships/hyperlink" Target="https://doi.org/10.1038/s41467-025-67824-z" TargetMode="External"/><Relationship Id="rId48" Type="http://schemas.openxmlformats.org/officeDocument/2006/relationships/hyperlink" Target="https://drliuhao.github.io/mh-liver-pathways/evidence-libraries/" TargetMode="External"/><Relationship Id="rId49" Type="http://schemas.openxmlformats.org/officeDocument/2006/relationships/hyperlink" Target="https://doi.org/10.1016/j.annonc.2026.03.005" TargetMode="External"/><Relationship Id="rId50" Type="http://schemas.openxmlformats.org/officeDocument/2006/relationships/hyperlink" Target="https://drliuhao.github.io/mh-liver-pathways/evidence-libraries/" TargetMode="External"/><Relationship Id="rId51" Type="http://schemas.openxmlformats.org/officeDocument/2006/relationships/hyperlink" Target="https://doi.org/10.1056/NEJMoa2308795" TargetMode="External"/><Relationship Id="rId52" Type="http://schemas.openxmlformats.org/officeDocument/2006/relationships/hyperlink" Target="https://drliuhao.github.io/mh-liver-pathways/evidence-libraries/" TargetMode="External"/><Relationship Id="rId53" Type="http://schemas.openxmlformats.org/officeDocument/2006/relationships/hyperlink" Target="https://www.fda.gov/drugs/resources-information-approved-drugs/fda-approves-sotorasib-panitumumab-kras-g12c-mutated-colorectal-cancer" TargetMode="External"/><Relationship Id="rId54" Type="http://schemas.openxmlformats.org/officeDocument/2006/relationships/hyperlink" Target="https://doi.org/10.1016/j.annonc.2026.03.005" TargetMode="External"/><Relationship Id="rId55" Type="http://schemas.openxmlformats.org/officeDocument/2006/relationships/hyperlink" Target="https://drliuhao.github.io/mh-liver-pathways/evidence-libraries/" TargetMode="External"/><Relationship Id="rId56" Type="http://schemas.openxmlformats.org/officeDocument/2006/relationships/hyperlink" Target="https://doi.org/10.1056/NEJMoa2214963" TargetMode="External"/><Relationship Id="rId57" Type="http://schemas.openxmlformats.org/officeDocument/2006/relationships/hyperlink" Target="https://drliuhao.github.io/mh-liver-pathways/evidence-libraries/" TargetMode="External"/><Relationship Id="rId58" Type="http://schemas.openxmlformats.org/officeDocument/2006/relationships/hyperlink" Target="https://doi.org/10.1016/j.annonc.2026.03.005" TargetMode="External"/><Relationship Id="rId59" Type="http://schemas.openxmlformats.org/officeDocument/2006/relationships/hyperlink" Target="https://drliuhao.github.io/mh-liver-pathways/evidence-libraries/" TargetMode="External"/><Relationship Id="rId60" Type="http://schemas.openxmlformats.org/officeDocument/2006/relationships/hyperlink" Target="https://doi.org/10.1016/S0140-6736(23)00772-9" TargetMode="External"/><Relationship Id="rId61" Type="http://schemas.openxmlformats.org/officeDocument/2006/relationships/hyperlink" Target="https://drliuhao.github.io/mh-liver-pathways/evidence-libraries/" TargetMode="External"/><Relationship Id="rId62" Type="http://schemas.openxmlformats.org/officeDocument/2006/relationships/hyperlink" Target="https://doi.org/10.1016/j.annonc.2026.03.005" TargetMode="External"/><Relationship Id="rId63" Type="http://schemas.openxmlformats.org/officeDocument/2006/relationships/hyperlink" Target="https://drliuhao.github.io/mh-liver-pathways/evidence-libraries/" TargetMode="External"/><Relationship Id="rId64" Type="http://schemas.openxmlformats.org/officeDocument/2006/relationships/hyperlink" Target="https://doi.org/10.1038/s41467-025-67824-z" TargetMode="External"/><Relationship Id="rId65" Type="http://schemas.openxmlformats.org/officeDocument/2006/relationships/hyperlink" Target="https://drliuhao.github.io/mh-liver-pathways/evidence-libraries/" TargetMode="External"/><Relationship Id="rId66" Type="http://schemas.openxmlformats.org/officeDocument/2006/relationships/hyperlink" Target="https://doi.org/10.1056/NEJMoa2214963" TargetMode="External"/><Relationship Id="rId67" Type="http://schemas.openxmlformats.org/officeDocument/2006/relationships/hyperlink" Target="https://drliuhao.github.io/mh-liver-pathways/evidence-libraries/" TargetMode="External"/><Relationship Id="rId68" Type="http://schemas.openxmlformats.org/officeDocument/2006/relationships/hyperlink" Target="https://doi.org/10.1016/S0140-6736(23)00772-9" TargetMode="External"/><Relationship Id="rId69" Type="http://schemas.openxmlformats.org/officeDocument/2006/relationships/hyperlink" Target="https://drliuhao.github.io/mh-liver-pathways/evidence-libraries/" TargetMode="External"/><Relationship Id="rId70" Type="http://schemas.openxmlformats.org/officeDocument/2006/relationships/hyperlink" Target="https://doi.org/10.1016/S1470-2045(13)70447-9" TargetMode="External"/><Relationship Id="rId71" Type="http://schemas.openxmlformats.org/officeDocument/2006/relationships/hyperlink" Target="https://drliuhao.github.io/mh-liver-pathways/evidence-libraries/" TargetMode="External"/><Relationship Id="rId72" Type="http://schemas.openxmlformats.org/officeDocument/2006/relationships/hyperlink" Target="https://doi.org/10.1016/S1470-2045(19)30798-3" TargetMode="External"/><Relationship Id="rId73" Type="http://schemas.openxmlformats.org/officeDocument/2006/relationships/hyperlink" Target="https://drliuhao.github.io/mh-liver-pathways/evidence-libraries/" TargetMode="External"/><Relationship Id="rId74" Type="http://schemas.openxmlformats.org/officeDocument/2006/relationships/hyperlink" Target="https://doi.org/10.1016/j.annonc.2026.03.005" TargetMode="External"/><Relationship Id="rId75" Type="http://schemas.openxmlformats.org/officeDocument/2006/relationships/hyperlink" Target="https://drliuhao.github.io/mh-liver-pathways/evidence-libraries/" TargetMode="External"/><Relationship Id="rId76" Type="http://schemas.openxmlformats.org/officeDocument/2006/relationships/hyperlink" Target="https://doi.org/10.1016/S1470-2045(23)00219-X" TargetMode="External"/><Relationship Id="rId77" Type="http://schemas.openxmlformats.org/officeDocument/2006/relationships/hyperlink" Target="https://drliuhao.github.io/mh-liver-pathways/evidence-libraries/" TargetMode="External"/><Relationship Id="rId78" Type="http://schemas.openxmlformats.org/officeDocument/2006/relationships/hyperlink" Target="https://doi.org/10.1001/jama.2017.7105" TargetMode="External"/><Relationship Id="rId79" Type="http://schemas.openxmlformats.org/officeDocument/2006/relationships/hyperlink" Target="https://drliuhao.github.io/mh-liver-pathways/evidence-libraries/" TargetMode="External"/><Relationship Id="rId80" Type="http://schemas.openxmlformats.org/officeDocument/2006/relationships/hyperlink" Target="https://www.gene.com/download/pdf/avastin_prescribing.pdf" TargetMode="External"/><Relationship Id="rId81" Type="http://schemas.openxmlformats.org/officeDocument/2006/relationships/hyperlink" Target="https://drliuhao.github.io/mh-liver-pathways/evidence-libraries/" TargetMode="External"/><Relationship Id="rId82" Type="http://schemas.openxmlformats.org/officeDocument/2006/relationships/hyperlink" Target="https://doi.org/10.1016/S0140-6736(24)02848-4" TargetMode="External"/><Relationship Id="rId83" Type="http://schemas.openxmlformats.org/officeDocument/2006/relationships/hyperlink" Target="https://drliuhao.github.io/mh-liver-pathways/evidence-libraries/" TargetMode="External"/><Relationship Id="rId84" Type="http://schemas.openxmlformats.org/officeDocument/2006/relationships/hyperlink" Target="https://doi.org/10.1056/NEJMoa2017699" TargetMode="External"/><Relationship Id="rId85" Type="http://schemas.openxmlformats.org/officeDocument/2006/relationships/hyperlink" Target="https://drliuhao.github.io/mh-liver-pathways/evidence-libraries/" TargetMode="External"/><Relationship Id="rId86" Type="http://schemas.openxmlformats.org/officeDocument/2006/relationships/hyperlink" Target="https://doi.org/10.1056/NEJMoa2501912" TargetMode="External"/><Relationship Id="rId87" Type="http://schemas.openxmlformats.org/officeDocument/2006/relationships/hyperlink" Target="https://drliuhao.github.io/mh-liver-pathways/evidence-libraries/" TargetMode="External"/><Relationship Id="rId88" Type="http://schemas.openxmlformats.org/officeDocument/2006/relationships/hyperlink" Target="https://www.fda.gov/drugs/resources-information-approved-drugs/fda-grants-traditional-approval-encorafenib-metastatic-colorectal-cancer-braf-v600e-mutation" TargetMode="External"/><Relationship Id="rId89" Type="http://schemas.openxmlformats.org/officeDocument/2006/relationships/hyperlink" Target="https://doi.org/10.1038/s41467-025-67824-z" TargetMode="External"/><Relationship Id="rId90" Type="http://schemas.openxmlformats.org/officeDocument/2006/relationships/hyperlink" Target="https://drliuhao.github.io/mh-liver-pathways/evidence-libraries/" TargetMode="External"/><Relationship Id="rId91" Type="http://schemas.openxmlformats.org/officeDocument/2006/relationships/hyperlink" Target="https://doi.org/10.1056/NEJMoa2308795" TargetMode="External"/><Relationship Id="rId92" Type="http://schemas.openxmlformats.org/officeDocument/2006/relationships/hyperlink" Target="https://drliuhao.github.io/mh-liver-pathways/evidence-libraries/" TargetMode="External"/><Relationship Id="rId93" Type="http://schemas.openxmlformats.org/officeDocument/2006/relationships/hyperlink" Target="https://www.fda.gov/drugs/resources-information-approved-drugs/fda-approves-sotorasib-panitumumab-kras-g12c-mutated-colorectal-cancer" TargetMode="External"/><Relationship Id="rId94" Type="http://schemas.openxmlformats.org/officeDocument/2006/relationships/hyperlink" Target="https://doi.org/10.1056/NEJMoa2214963" TargetMode="External"/><Relationship Id="rId95" Type="http://schemas.openxmlformats.org/officeDocument/2006/relationships/hyperlink" Target="https://drliuhao.github.io/mh-liver-pathways/evidence-libraries/" TargetMode="External"/><Relationship Id="rId96" Type="http://schemas.openxmlformats.org/officeDocument/2006/relationships/hyperlink" Target="https://doi.org/10.1016/S0140-6736(23)00772-9" TargetMode="External"/><Relationship Id="rId97" Type="http://schemas.openxmlformats.org/officeDocument/2006/relationships/hyperlink" Target="https://drliuhao.github.io/mh-liver-pathways/evidence-libraries/" TargetMode="External"/><Relationship Id="rId98" Type="http://schemas.openxmlformats.org/officeDocument/2006/relationships/hyperlink" Target="https://doi.org/10.1016/j.hpb.2015.12.004" TargetMode="External"/><Relationship Id="rId99" Type="http://schemas.openxmlformats.org/officeDocument/2006/relationships/hyperlink" Target="https://doi.org/10.1097/SLA.0000000000001624" TargetMode="External"/><Relationship Id="rId100" Type="http://schemas.openxmlformats.org/officeDocument/2006/relationships/hyperlink" Target="https://doi.org/10.1111/codi.15113" TargetMode="External"/><Relationship Id="rId101" Type="http://schemas.openxmlformats.org/officeDocument/2006/relationships/hyperlink" Target="https://doi.org/10.3747/co.20.1341" TargetMode="External"/><Relationship Id="rId102" Type="http://schemas.openxmlformats.org/officeDocument/2006/relationships/hyperlink" Target="https://doi.org/10.1002/bjs.9783" TargetMode="External"/><Relationship Id="rId103" Type="http://schemas.openxmlformats.org/officeDocument/2006/relationships/hyperlink" Target="https://doi.org/10.1200/JCO.2007.15.7297" TargetMode="External"/><Relationship Id="rId104" Type="http://schemas.openxmlformats.org/officeDocument/2006/relationships/hyperlink" Target="https://doi.org/10.1245/s10434-025-17321-w" TargetMode="External"/><Relationship Id="rId105" Type="http://schemas.openxmlformats.org/officeDocument/2006/relationships/hyperlink" Target="https://doi.org/10.1080/02656736.2020.1803424" TargetMode="External"/><Relationship Id="rId106" Type="http://schemas.openxmlformats.org/officeDocument/2006/relationships/hyperlink" Target="https://doi.org/10.1016/S1470-2045(13)70447-9" TargetMode="External"/><Relationship Id="rId107" Type="http://schemas.openxmlformats.org/officeDocument/2006/relationships/hyperlink" Target="https://drliuhao.github.io/mh-liver-pathways/evidence-libraries/" TargetMode="External"/><Relationship Id="rId108" Type="http://schemas.openxmlformats.org/officeDocument/2006/relationships/hyperlink" Target="https://doi.org/10.1016/S1470-2045(19)30798-3" TargetMode="External"/><Relationship Id="rId109" Type="http://schemas.openxmlformats.org/officeDocument/2006/relationships/hyperlink" Target="https://drliuhao.github.io/mh-liver-pathways/evidence-libraries/" TargetMode="External"/><Relationship Id="rId110" Type="http://schemas.openxmlformats.org/officeDocument/2006/relationships/hyperlink" Target="https://doi.org/10.1016/j.annonc.2026.03.005" TargetMode="External"/><Relationship Id="rId111" Type="http://schemas.openxmlformats.org/officeDocument/2006/relationships/hyperlink" Target="https://drliuhao.github.io/mh-liver-pathways/evidence-libraries/" TargetMode="External"/><Relationship Id="rId112" Type="http://schemas.openxmlformats.org/officeDocument/2006/relationships/hyperlink" Target="https://doi.org/10.1016/S1470-2045(23)00219-X" TargetMode="External"/><Relationship Id="rId113" Type="http://schemas.openxmlformats.org/officeDocument/2006/relationships/hyperlink" Target="https://drliuhao.github.io/mh-liver-pathways/evidence-libraries/" TargetMode="External"/><Relationship Id="rId114" Type="http://schemas.openxmlformats.org/officeDocument/2006/relationships/hyperlink" Target="https://doi.org/10.1001/jama.2017.7105" TargetMode="External"/><Relationship Id="rId115" Type="http://schemas.openxmlformats.org/officeDocument/2006/relationships/hyperlink" Target="https://drliuhao.github.io/mh-liver-pathways/evidence-libraries/" TargetMode="External"/><Relationship Id="rId116" Type="http://schemas.openxmlformats.org/officeDocument/2006/relationships/hyperlink" Target="https://www.gene.com/download/pdf/avastin_prescribing.pdf" TargetMode="External"/><Relationship Id="rId117" Type="http://schemas.openxmlformats.org/officeDocument/2006/relationships/hyperlink" Target="https://drliuhao.github.io/mh-liver-pathways/evidence-libraries/" TargetMode="External"/><Relationship Id="rId118" Type="http://schemas.openxmlformats.org/officeDocument/2006/relationships/hyperlink" Target="https://doi.org/10.1016/S0140-6736(24)02848-4" TargetMode="External"/><Relationship Id="rId119" Type="http://schemas.openxmlformats.org/officeDocument/2006/relationships/hyperlink" Target="https://drliuhao.github.io/mh-liver-pathways/evidence-libraries/" TargetMode="External"/><Relationship Id="rId120" Type="http://schemas.openxmlformats.org/officeDocument/2006/relationships/hyperlink" Target="https://doi.org/10.1056/NEJMoa2017699" TargetMode="External"/><Relationship Id="rId121" Type="http://schemas.openxmlformats.org/officeDocument/2006/relationships/hyperlink" Target="https://drliuhao.github.io/mh-liver-pathways/evidence-libraries/" TargetMode="External"/><Relationship Id="rId122" Type="http://schemas.openxmlformats.org/officeDocument/2006/relationships/hyperlink" Target="https://doi.org/10.1056/NEJMoa2501912" TargetMode="External"/><Relationship Id="rId123" Type="http://schemas.openxmlformats.org/officeDocument/2006/relationships/hyperlink" Target="https://drliuhao.github.io/mh-liver-pathways/evidence-libraries/" TargetMode="External"/><Relationship Id="rId124" Type="http://schemas.openxmlformats.org/officeDocument/2006/relationships/hyperlink" Target="https://www.fda.gov/drugs/resources-information-approved-drugs/fda-grants-traditional-approval-encorafenib-metastatic-colorectal-cancer-braf-v600e-mutation" TargetMode="External"/><Relationship Id="rId125" Type="http://schemas.openxmlformats.org/officeDocument/2006/relationships/hyperlink" Target="https://doi.org/10.1038/s41467-025-67824-z" TargetMode="External"/><Relationship Id="rId126" Type="http://schemas.openxmlformats.org/officeDocument/2006/relationships/hyperlink" Target="https://drliuhao.github.io/mh-liver-pathways/evidence-libraries/" TargetMode="External"/><Relationship Id="rId127" Type="http://schemas.openxmlformats.org/officeDocument/2006/relationships/hyperlink" Target="https://doi.org/10.1056/NEJMoa2308795" TargetMode="External"/><Relationship Id="rId128" Type="http://schemas.openxmlformats.org/officeDocument/2006/relationships/hyperlink" Target="https://drliuhao.github.io/mh-liver-pathways/evidence-libraries/" TargetMode="External"/><Relationship Id="rId129" Type="http://schemas.openxmlformats.org/officeDocument/2006/relationships/hyperlink" Target="https://www.fda.gov/drugs/resources-information-approved-drugs/fda-approves-sotorasib-panitumumab-kras-g12c-mutated-colorectal-cancer" TargetMode="External"/><Relationship Id="rId130" Type="http://schemas.openxmlformats.org/officeDocument/2006/relationships/hyperlink" Target="https://doi.org/10.1056/NEJMoa2214963" TargetMode="External"/><Relationship Id="rId131" Type="http://schemas.openxmlformats.org/officeDocument/2006/relationships/hyperlink" Target="https://drliuhao.github.io/mh-liver-pathways/evidence-libraries/" TargetMode="External"/><Relationship Id="rId132" Type="http://schemas.openxmlformats.org/officeDocument/2006/relationships/hyperlink" Target="https://doi.org/10.1016/S0140-6736(23)00772-9" TargetMode="External"/><Relationship Id="rId133" Type="http://schemas.openxmlformats.org/officeDocument/2006/relationships/hyperlink" Target="https://drliuhao.github.io/mh-liver-pathways/evidence-libraries/" TargetMode="External"/><Relationship Id="rId134" Type="http://schemas.openxmlformats.org/officeDocument/2006/relationships/hyperlink" Target="https://doi.org/10.1016/j.hpb.2015.12.004" TargetMode="External"/><Relationship Id="rId135" Type="http://schemas.openxmlformats.org/officeDocument/2006/relationships/hyperlink" Target="https://doi.org/10.1097/SLA.0000000000001624" TargetMode="External"/><Relationship Id="rId136" Type="http://schemas.openxmlformats.org/officeDocument/2006/relationships/hyperlink" Target="https://doi.org/10.1111/codi.15113" TargetMode="External"/><Relationship Id="rId137" Type="http://schemas.openxmlformats.org/officeDocument/2006/relationships/hyperlink" Target="https://doi.org/10.3747/co.20.1341" TargetMode="External"/><Relationship Id="rId138" Type="http://schemas.openxmlformats.org/officeDocument/2006/relationships/hyperlink" Target="https://doi.org/10.1002/bjs.9783" TargetMode="External"/><Relationship Id="rId139" Type="http://schemas.openxmlformats.org/officeDocument/2006/relationships/hyperlink" Target="https://doi.org/10.1200/JCO.2007.15.7297" TargetMode="External"/><Relationship Id="rId140" Type="http://schemas.openxmlformats.org/officeDocument/2006/relationships/hyperlink" Target="https://doi.org/10.1245/s10434-025-17321-w" TargetMode="External"/><Relationship Id="rId141" Type="http://schemas.openxmlformats.org/officeDocument/2006/relationships/hyperlink" Target="https://doi.org/10.1080/02656736.2020.1803424" TargetMode="External"/></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Memorial Hermann CRLM system roadmap v0.7</dc:title>
  <dc:subject>Colorectal liver metastases</dc:subject>
  <dc:creator>Memorial Hermann / UTHealth Houston tumour roadmap programme</dc:creator>
  <dc:description>Draft under development. Not ratified clinical policy.</dc:description>
  <cp:lastModifiedBy>Un-named</cp:lastModifiedBy>
  <cp:revision>1</cp:revision>
  <dcterms:created xsi:type="dcterms:W3CDTF">2026-10-10T04:29:15.709Z</dcterms:created>
  <dcterms:modified xsi:type="dcterms:W3CDTF">2026-10-29T14:21:30Z</dcterms:modified>
</cp:coreProperties>
</file>

<file path=docProps/custom.xml><?xml version="1.0" encoding="utf-8"?>
<Properties xmlns="http://schemas.openxmlformats.org/officeDocument/2006/custom-properties" xmlns:vt="http://schemas.openxmlformats.org/officeDocument/2006/docPropsVTypes"/>
</file>