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keepNext/>
        <w:widowControl/>
      </w:pPr>
      <w:r>
        <w:t xml:space="preserve">UTHealth Houston / Memorial Hermann — Colorectal liver metastases Standard / Guidance-Aligned Transplant Protocol</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spacing w:after="120"/>
      </w:pPr>
      <w:r>
        <w:rPr>
          <w:i/>
          <w:sz w:val="18"/>
        </w:rPr>
        <w:t xml:space="preserve">Standardized document set, 29 October 2026: this is the full-content document for the standard transplant pathway. Questions for consensus: CRLM_4_Standard_Transplant_Questions.docx. Decision discussion for all settings: CRLM_7_Decision_Discussion.docx. Web page: https://drliuhao.github.io/mh-liver-pathways/transplant/crlm/</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MWUyNzJlZi0wMDM3LTU0NjktOTczNC1kZjBhNzYyNTdmNTE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GUIDANCE-ALIGNED NON-STANDARD EXCEPTION. CRLM is not a standardized diagnosis in OPTN Policy 9.5. The December 2025 guidance supports NLRB consideration only when all specified oncologic, molecular, timing, resection, imaging, chemotherapy, stability, lesion-size, and CEA criteria are met. Recommended score: MMaT-20, with a floor of 15 under Policy 9.4.E.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MWUyNzJlZi0wMDM3LTU0NjktOTczNC1kZjBhNzYyNTdmNTE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MWUyNzJlZi0wMDM3LTU0NjktOTczNC1kZjBhNzYyNTdmNTE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Extension requests should be submitted every 3 months with CT or MRI of chest/abdomen/pelvis, CEA &lt;80 µg/L, no hepatic progression, and no extrahepatic disease.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PROTOCOL A: STANDARD LIVER TRANSPLANTATION FOR UNRESECTABLE COLORECTAL LIVER METASTASES</w:t>
      </w:r>
    </w:p>
    <w:p>
      <w:pPr>
        <w:pStyle w:val="Heading3"/>
        <w:keepNext/>
        <w:widowControl/>
      </w:pPr>
      <w:r>
        <w:t xml:space="preserve">1. Purpose and Scope</w:t>
      </w:r>
    </w:p>
    <w:p>
      <w:pPr>
        <w:pStyle w:val="Normal"/>
        <w:widowControl/>
      </w:pPr>
      <w:r>
        <w:t xml:space="preserve">This protocol establishes a guidance-aligned institutional pathway for liver transplantation in patients with permanently unresectable colorectal cancer liver metastases at UTHealth Houston. It incorporates the December 2025 NLRB guidance and supporting evidence from the TransMet trial, SECA-II, IHPBA LT-CoMet 21 consensus, and AASLD/AST guidance.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MDwvWWVhcj48UmVjTnVtPjQ8L1JlY051bT48RGlzcGxheVRleHQ+W1YxNi00XTwvRGlzcGxheVRleHQ+PHJlY29yZD48cmVjLW51bWJlcj40PC9yZWMtbnVtYmVyPjxmb3JlaWduLWtleXM+PGtleSBhcHA9IkVOIiBkYi1pZD0iNDFlMjcyZWYtMDAzNy01NDY5LTk3MzQtZGYwYTc2MjU3ZjUxIiB0aW1lc3RhbXA9IjE3OTMyODM2ODUiPjQ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QxZTI3MmVmLTAwMzctNTQ2OS05NzM0LWRmMGE3NjI1N2Y1MSIgdGltZXN0YW1wPSIxNzkzMjgzNjg1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Ni02XTwvRGlzcGxheVRleHQ+PHJlY29yZD48cmVjLW51bWJlcj42PC9yZWMtbnVtYmVyPjxmb3JlaWduLWtleXM+PGtleSBhcHA9IkVOIiBkYi1pZD0iNDFlMjcyZWYtMDAzNy01NDY5LTk3MzQtZGYwYTc2MjU3ZjUxIiB0aW1lc3RhbXA9IjE3OTMyODM2ODU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p>
    <w:p>
      <w:pPr>
        <w:pStyle w:val="Heading3"/>
        <w:keepNext/>
        <w:widowControl/>
      </w:pPr>
      <w:r>
        <w:t xml:space="preserve">2. Patient Selection — Inclusion Criteria</w:t>
      </w:r>
    </w:p>
    <w:p>
      <w:pPr>
        <w:pStyle w:val="Heading3"/>
        <w:keepNext/>
        <w:widowControl/>
      </w:pPr>
      <w:r>
        <w:t xml:space="preserve">2.1 General Requirements</w:t>
      </w:r>
    </w:p>
    <w:p>
      <w:pPr>
        <w:pStyle w:val="Normal"/>
        <w:widowControl/>
        <w:numPr>
          <w:ilvl w:val="0"/>
          <w:numId w:val="3"/>
        </w:numPr>
      </w:pPr>
      <w:r>
        <w:t xml:space="preserve">Age 18–65 years</w:t>
      </w:r>
    </w:p>
    <w:p>
      <w:pPr>
        <w:pStyle w:val="Normal"/>
        <w:widowControl/>
        <w:numPr>
          <w:ilvl w:val="0"/>
          <w:numId w:val="3"/>
        </w:numPr>
      </w:pPr>
      <w:r>
        <w:t xml:space="preserve">ECOG performance status 0–1</w:t>
      </w:r>
    </w:p>
    <w:p>
      <w:pPr>
        <w:pStyle w:val="Normal"/>
        <w:widowControl/>
        <w:numPr>
          <w:ilvl w:val="0"/>
          <w:numId w:val="3"/>
        </w:numPr>
      </w:pPr>
      <w:r>
        <w:t xml:space="preserve">Histologically confirmed colorectal adenocarcinoma with liver metastases</w:t>
      </w:r>
    </w:p>
    <w:p>
      <w:pPr>
        <w:pStyle w:val="Normal"/>
        <w:widowControl/>
        <w:numPr>
          <w:ilvl w:val="0"/>
          <w:numId w:val="3"/>
        </w:numPr>
      </w:pPr>
      <w:r>
        <w:t xml:space="preserve">Metastatic disease permanently unresectable as determined by multidisciplinary tumor board (hepatobiliary surgery, transplant surgery, medical oncology, interventional radiology, diagnostic radiology)</w:t>
      </w:r>
    </w:p>
    <w:p>
      <w:pPr>
        <w:pStyle w:val="Normal"/>
        <w:widowControl/>
        <w:numPr>
          <w:ilvl w:val="0"/>
          <w:numId w:val="3"/>
        </w:numPr>
      </w:pPr>
      <w:r>
        <w:t xml:space="preserve">No general contraindications to liver transplantation</w:t>
      </w:r>
    </w:p>
    <w:p>
      <w:pPr>
        <w:pStyle w:val="Normal"/>
        <w:widowControl/>
        <w:numPr>
          <w:ilvl w:val="0"/>
          <w:numId w:val="3"/>
        </w:numPr>
      </w:pPr>
      <w:r>
        <w:t xml:space="preserve">Adequate psychosocial support and ability to comply with post-transplant medical regimen</w:t>
      </w:r>
    </w:p>
    <w:p>
      <w:pPr>
        <w:pStyle w:val="Heading3"/>
        <w:keepNext/>
        <w:widowControl/>
      </w:pPr>
      <w:r>
        <w:t xml:space="preserve">2.2 Oncologic Requirements</w:t>
      </w:r>
    </w:p>
    <w:p>
      <w:pPr>
        <w:pStyle w:val="Normal"/>
        <w:widowControl/>
        <w:numPr>
          <w:ilvl w:val="0"/>
          <w:numId w:val="3"/>
        </w:numPr>
      </w:pPr>
      <w:r>
        <w:t xml:space="preserve">Primary colorectal tumor resected with negative margins (R0 resection)</w:t>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QxZTI3MmVmLTAwMzctNTQ2OS05NzM0LWRmMGE3NjI1N2Y1MSIgdGltZXN0YW1wPSIxNzkzMjgzNjg1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ZWJlcnJvdGg8L0F1dGhvcj48WWVhcj4yMDI1PC9ZZWFyPjxSZWNOdW0+NzwvUmVjTnVtPjxEaXNwbGF5VGV4dD5bVjE2LTddPC9EaXNwbGF5VGV4dD48cmVjb3JkPjxyZWMtbnVtYmVyPjc8L3JlYy1udW1iZXI+PGZvcmVpZ24ta2V5cz48a2V5IGFwcD0iRU4iIGRiLWlkPSI0MWUyNzJlZi0wMDM3LTU0NjktOTczNC1kZjBhNzYyNTdmNTEiIHRpbWVzdGFtcD0iMTc5MzI4MzY4NSI+Nzwva2V5PjwvZm9yZWlnbi1rZXlzPjxyZWYtdHlwZSBuYW1lPSJKb3VybmFsIEFydGljbGUiPjE3PC9yZWYtdHlwZT48Y29udHJpYnV0b3JzPjxhdXRob3JzPjxhdXRob3I+VWViZXJyb3RoLCBCZW5qYW1pbiBFPC9hdXRob3I+PGF1dGhvcj5LcmlzcywgTWljaGFlbDwvYXV0aG9yPjxhdXRob3I+QnVydG9uLCBKYW1lcyBSPC9hdXRob3I+PGF1dGhvcj5NZXNzZXJzbWl0aCwgV2VsbHMgQTwvYXV0aG9yPjwvYXV0aG9ycz48L2NvbnRyaWJ1dG9ycz48dGl0bGVzPjx0aXRsZT5MaXZlciB0cmFuc3BsYW50YXRpb24gZm9yIGNvbG9yZWN0YWwgY2FuY2VyIHdpdGggbGl2ZXIgbWV0YXN0YXNlczwvdGl0bGU+PHNlY29uZGFyeS10aXRsZT5UaGUgT25jb2xvZ2lzdDwvc2Vjb25kYXJ5LXRpdGxlPjwvdGl0bGVzPjxwZXJpb2RpY2FsPjxmdWxsLXRpdGxlPlRoZSBPbmNvbG9naXN0PC9mdWxsLXRpdGxlPjwvcGVyaW9kaWNhbD48ZGF0ZXM+PHllYXI+MjAyNTwveWVhcj48L2RhdGVzPjx2b2x1bWU+MzA8L3ZvbHVtZT48bnVtYmVyPjE8L251bWJlcj48ZWxlY3Ryb25pYy1yZXNvdXJjZS1udW0+MTAuMTA5My9vbmNvbG8vb3lhZTM2NzwvZWxlY3Ryb25pYy1yZXNvdXJjZS1udW0+PG5vdGVzPkV4aXN0aW5nIHN0YW5kYXJkLXByb3RvY29sIHJlZmVyZW5jZSBDb21wbGV0ZSAxMi1wYWdlIG5hcnJhdGl2ZSByZXZpZXcgcmVhZCwgaW5jbHVkaW5nIFRhYmxlcyAxJiM4MjExOzMgYW5kIHJlZmVyZW5jZXMuIFY4IGV4dHJhY3Rpb24gYW5kIGxpbWl0YXRpb25zOiBzb3VyY2UvbWV0YXN0YXNlc19zdGFuZGFyZF9zdXBwbGVtZW50Lmpzb248L25vdGVzPjx1cmxzPjxyZWxhdGVkLXVybHM+PHVybD5odHRwczovL3B1Ym1lZC5uY2JpLm5sbS5uaWguZ292LzM5ODM0MTI3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No local or regional recurrence of primary tumor</w:t>
      </w:r>
    </w:p>
    <w:p>
      <w:pPr>
        <w:pStyle w:val="Normal"/>
        <w:widowControl/>
        <w:numPr>
          <w:ilvl w:val="0"/>
          <w:numId w:val="3"/>
        </w:numPr>
      </w:pPr>
      <w:r>
        <w:t xml:space="preserve">No extrahepatic metastatic disease confirmed by PET-CT and cross-sectional imaging</w:t>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QxZTI3MmVmLTAwMzctNTQ2OS05NzM0LWRmMGE3NjI1N2Y1MSIgdGltZXN0YW1wPSIxNzkzMjgzNjg1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Disease confined to the liver</w:t>
      </w:r>
    </w:p>
    <w:p>
      <w:pPr>
        <w:pStyle w:val="Normal"/>
        <w:widowControl/>
        <w:numPr>
          <w:ilvl w:val="0"/>
          <w:numId w:val="3"/>
        </w:numPr>
      </w:pPr>
      <w:r>
        <w:t xml:space="preserve">Disappearing-lesion assessment: retain the original lesion map and review contemporary liver MRI, CT and PET where indicated. PET-negative or radiographically disappearing disease may remain viable, but this alone does not prove persistent unresectability or LT benefit. Separate residual suspicious disease, true radiographic NED with preserved function and irreversible treatment-related liver failure. Do not deliberately induce hepatic failure or stop effective therapy to produce measurable disease.</w:t>
      </w:r>
      <w:r>
        <w:t xml:space="preserve"> </w:t>
      </w:r>
      <w:r>
        <w:t xml:space="preserve"> </w:t>
      </w:r>
      <w:r>
        <w:t xml:space="preserve"> </w:t>
      </w:r>
      <w:r>
        <w:fldChar w:fldCharType="begin"/>
      </w:r>
      <w:r>
        <w:instrText xml:space="preserve"> ADDIN EN.CITE </w:instrText>
      </w:r>
      <w:r>
        <w:fldChar w:fldCharType="begin">
          <w:fldData>PEVuZE5vdGU+PENpdGU+PEF1dGhvcj5LYXRhb2thPC9BdXRob3I+PFllYXI+MjAyNTwvWWVhcj48UmVjTnVtPjg8L1JlY051bT48RGlzcGxheVRleHQ+W1YxNi04XTwvRGlzcGxheVRleHQ+PHJlY29yZD48cmVjLW51bWJlcj44PC9yZWMtbnVtYmVyPjxmb3JlaWduLWtleXM+PGtleSBhcHA9IkVOIiBkYi1pZD0iNDFlMjcyZWYtMDAzNy01NDY5LTk3MzQtZGYwYTc2MjU3ZjUxIiB0aW1lc3RhbXA9IjE3OTMyODM2ODUiPjg8L2tleT48L2ZvcmVpZ24ta2V5cz48cmVmLXR5cGUgbmFtZT0iSm91cm5hbCBBcnRpY2xlIj4xNzwvcmVmLXR5cGU+PGNvbnRyaWJ1dG9ycz48YXV0aG9ycz48YXV0aG9yPkthdGFva2EsIEtvem88L2F1dGhvcj48YXV0aG9yPk1hdWVyLCBNdXJpZWxsZTwvYXV0aG9yPjxhdXRob3I+U2hpb3phd2EsIE1hbmFidTwvYXV0aG9yPjxhdXRob3I+TWFycmVhdWQsIFNhbmRyaW5lPC9hdXRob3I+PC9hdXRob3JzPjwvY29udHJpYnV0b3JzPjx0aXRsZXM+PHRpdGxlPkRpYWdub3N0aWMgQWNjdXJhY3kgb2YgSW1hZ2luZyBpbiBBc3Nlc3NpbmcgTm9udmlhYmlsaXR5IG9mIERpc2FwcGVhcmluZyBDb2xvcmVjdGFsIExpdmVyIE1ldGFzdGFzaXM8L3RpdGxlPjxzZWNvbmRhcnktdGl0bGU+SkFNQSBTdXJnZXJ5PC9zZWNvbmRhcnktdGl0bGU+PC90aXRsZXM+PHBlcmlvZGljYWw+PGZ1bGwtdGl0bGU+SkFNQSBTdXJnZXJ5PC9mdWxsLXRpdGxlPjwvcGVyaW9kaWNhbD48ZGF0ZXM+PHllYXI+MjAyNTwveWVhcj48L2RhdGVzPjxlbGVjdHJvbmljLXJlc291cmNlLW51bT4xMC4xMDAxL2phbWFzdXJnLjIwMjUuMzYwMDwvZWxlY3Ryb25pYy1yZXNvdXJjZS1udW0+PG5vdGVzPlByb3NwZWN0aXZlIG11bHRpY2VudHJlIGRpYWdub3N0aWMgY29ob3J0IEFsbCBuaW5lIFBERiBwYWdlcyByZWFkLiBDb21wbGV0ZSBwcmltYXJ5IHN0dWR5IHBwIDEyMTImIzgyMTE7MTIyMCwgaW5jbHVkaW5nIHJlZmVyZW5jZXM7IGZpbmFsIHBhZ2UgYWxzbyBiZWdpbnMgYSBzZXBhcmF0ZSBpbnZpdGVkIGNvbW1lbnRhcnkgd2hvc2UgY29udGludWF0aW9uIGlzIG5vdCBpbmNsdWRlZCBhbmQgd2FzIG5vdCB0cmVhdGVkIGFzIGNvbXBsZXRlLiBWOCBleHRyYWN0aW9uIGFuZCBsaW1pdGF0aW9uczogc291cmNlL21ldGFzdGFzZXNfZnVsbHRleHRfcmV2aWV3Lmpzb248L25vdGVzPjx1cmxzPjxyZWxhdGVkLXVybHM+PHVybD5odHRwczovL2RvaS5vcmcvMTAuMTAwMS9qYW1hc3VyZy4yMDI1LjM2MDA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YmE8L0F1dGhvcj48WWVhcj4yMDE4PC9ZZWFyPjxSZWNOdW0+OTwvUmVjTnVtPjxEaXNwbGF5VGV4dD5bVjE2LTldPC9EaXNwbGF5VGV4dD48cmVjb3JkPjxyZWMtbnVtYmVyPjk8L3JlYy1udW1iZXI+PGZvcmVpZ24ta2V5cz48a2V5IGFwcD0iRU4iIGRiLWlkPSI0MWUyNzJlZi0wMDM3LTU0NjktOTczNC1kZjBhNzYyNTdmNTEiIHRpbWVzdGFtcD0iMTc5MzI4MzY4NSI+OTwva2V5PjwvZm9yZWlnbi1rZXlzPjxyZWYtdHlwZSBuYW1lPSJKb3VybmFsIEFydGljbGUiPjE3PC9yZWYtdHlwZT48Y29udHJpYnV0b3JzPjxhdXRob3JzPjxhdXRob3I+T2JhLCBBdHN1c2hpPC9hdXRob3I+PGF1dGhvcj5NaXNlLCBZb3NoaWhpcm88L2F1dGhvcj48YXV0aG9yPkl0bywgSGlyb21pY2hpPC9hdXRob3I+PGF1dGhvcj5IaXJhdHN1a2EsIE1ha2lrbzwvYXV0aG9yPjxhdXRob3I+SW5vdWUsIFlvc3VrZTwvYXV0aG9yPjxhdXRob3I+SXNoaXphd2EsIFRha2Vha2k8L2F1dGhvcj48YXV0aG9yPkFyaXRhLCBKdW5pY2hpPC9hdXRob3I+PGF1dGhvcj5NYXRzdWVkYSwgS2l5b3NoaTwvYXV0aG9yPjxhdXRob3I+VGFrYWhhc2hpLCBZdTwvYXV0aG9yPjxhdXRob3I+U2FpdXJhLCBBa2lvPC9hdXRob3I+PC9hdXRob3JzPjwvY29udHJpYnV0b3JzPjx0aXRsZXM+PHRpdGxlPkNsaW5pY2FsIGltcGxpY2F0aW9ucyBvZiBkaXNhcHBlYXJpbmcgY29sb3JlY3RhbCBsaXZlciBtZXRhc3Rhc2VzIGhhdmUgY2hhbmdlZCBpbiB0aGUgZXJhIG9mIGhlcGF0b2N5dGUtc3BlY2lmaWMgTVJJIGFuZCBjb250cmFzdC1lbmhhbmNlZCBpbnRyYW9wZXJhdGl2ZSB1bHRyYXNvbm9ncmFwaHk8L3RpdGxlPjxzZWNvbmRhcnktdGl0bGU+SFBCPC9zZWNvbmRhcnktdGl0bGU+PC90aXRsZXM+PHBlcmlvZGljYWw+PGZ1bGwtdGl0bGU+SFBCPC9mdWxsLXRpdGxlPjwvcGVyaW9kaWNhbD48ZGF0ZXM+PHllYXI+MjAxODwveWVhcj48L2RhdGVzPjx2b2x1bWU+MjA8L3ZvbHVtZT48bnVtYmVyPjg8L251bWJlcj48cGFnZXM+NzA4LTcxNDwvcGFnZXM+PGVsZWN0cm9uaWMtcmVzb3VyY2UtbnVtPjEwLjEwMTYvai5ocGIuMjAxOC4wMi4zNzc8L2VsZWN0cm9uaWMtcmVzb3VyY2UtbnVtPjxub3Rlcz5SZXRyb3NwZWN0aXZlIGltYWdpbmcvc3VyZ2ljYWwgY29ob3J0IENvbXBsZXRlIHNldmVuLXBhZ2UgbWFpbiBwYXBlciByZWFkLCBpbmNsdWRpbmcgbWV0aG9kcywgcmVzdWx0cywgdGFibGVzLCBmaWd1cmUgdGV4dC9jYXB0aW9ucywgZGlzY3Vzc2lvbiBhbmQgcmVmZXJlbmNlcy4gVjggZXh0cmFjdGlvbiBhbmQgbGltaXRhdGlvbnM6IHNvdXJjZS9tZXRhc3Rhc2VzX2Z1bGx0ZXh0X3Jldmlldy5qc29uPC9ub3Rlcz48dXJscz48cmVsYXRlZC11cmxzPjx1cmw+aHR0cHM6Ly9kb2kub3JnLzEwLjEwMTYvai5ocGIuMjAxOC4wMi4zNzc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A8L1JlY051bT48RGlzcGxheVRleHQ+W1YxNi0xMF08L0Rpc3BsYXlUZXh0PjxyZWNvcmQ+PHJlYy1udW1iZXI+MTA8L3JlYy1udW1iZXI+PGZvcmVpZ24ta2V5cz48a2V5IGFwcD0iRU4iIGRiLWlkPSI0MWUyNzJlZi0wMDM3LTU0NjktOTczNC1kZjBhNzYyNTdmNTEiIHRpbWVzdGFtcD0iMTc5MzI4MzY4NSI+MTA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Ni0xMV08L0Rpc3BsYXlUZXh0PjxyZWNvcmQ+PHJlYy1udW1iZXI+MTE8L3JlYy1udW1iZXI+PGZvcmVpZ24ta2V5cz48a2V5IGFwcD0iRU4iIGRiLWlkPSI0MWUyNzJlZi0wMDM3LTU0NjktOTczNC1kZjBhNzYyNTdmNTEiIHRpbWVzdGFtcD0iMTc5MzI4MzY4NS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numPr>
          <w:ilvl w:val="0"/>
          <w:numId w:val="3"/>
        </w:numPr>
      </w:pPr>
      <w:r>
        <w:t xml:space="preserve">TransMet allowed stable or partially responding disease by RECIST for at least three months on no more than three chemotherapy lines; it did not require objective response in every patient. Current NLRB guidance separately requires at least six months of control. Keep study and allocation criteria distinct.</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Observation interval: at least 12 months from diagnosis of liver metastases to the initial exception request, per the OPTN transplant-oncology guidance. Where an institutional bar is set more stringently than the trial or the guidance, state that it is an institutional restriction and record the reason; do not attribute it to the guidance or to the trial.</w:t>
      </w:r>
    </w:p>
    <w:p>
      <w:pPr>
        <w:pStyle w:val="Normal"/>
        <w:widowControl/>
        <w:numPr>
          <w:ilvl w:val="0"/>
          <w:numId w:val="3"/>
        </w:numPr>
      </w:pPr>
      <w:r>
        <w:t xml:space="preserve">≤3 lines of prior systemic chemotherapy</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Source-specific observation intervals: SECA-II Table 1 required at least one year from colorectal-cancer diagnosis to listing. The current NLRB liver-metastasis-diagnosis-to-initial-exception interval is a separate allocation requirement; use the verified allocation interval in Section 2.2 and do not attribute it to SECA-II.</w:t>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MDwvWWVhcj48UmVjTnVtPjQ8L1JlY051bT48RGlzcGxheVRleHQ+W1YxNi00XTwvRGlzcGxheVRleHQ+PHJlY29yZD48cmVjLW51bWJlcj40PC9yZWMtbnVtYmVyPjxmb3JlaWduLWtleXM+PGtleSBhcHA9IkVOIiBkYi1pZD0iNDFlMjcyZWYtMDAzNy01NDY5LTk3MzQtZGYwYTc2MjU3ZjUxIiB0aW1lc3RhbXA9IjE3OTMyODM2ODUiPjQ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Heading3"/>
        <w:keepNext/>
        <w:widowControl/>
      </w:pPr>
      <w:r>
        <w:t xml:space="preserve">2.3 Molecular and Histologic Requirements</w:t>
      </w:r>
    </w:p>
    <w:p>
      <w:pPr>
        <w:pStyle w:val="Normal"/>
        <w:widowControl/>
        <w:numPr>
          <w:ilvl w:val="0"/>
          <w:numId w:val="3"/>
        </w:numPr>
      </w:pPr>
      <w:r>
        <w:t xml:space="preserve">Guidance-aligned allocation requires BRAF wild type and microsatellite-stable disease. Do not treat a non-V600E BRAF mutation as an accepted exception within this standard pathway. KRAS mutation is a risk factor, not an automatic national exclusion. Molecular expansion belongs to a separate OPEN research decision.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Microsatellite stable (MSS) / proficient mismatch repair (pMMR)</w:t>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QxZTI3MmVmLTAwMzctNTQ2OS05NzM0LWRmMGE3NjI1N2Y1MSIgdGltZXN0YW1wPSIxNzkzMjgzNjg1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No undifferentiated adenocarcinoma or signet ring cell carcinoma histology</w:t>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QxZTI3MmVmLTAwMzctNTQ2OS05NzM0LWRmMGE3NjI1N2Y1MSIgdGltZXN0YW1wPSIxNzkzMjgzNjg1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Heading3"/>
        <w:keepNext/>
        <w:widowControl/>
      </w:pPr>
      <w:r>
        <w:t xml:space="preserve">2.4 Imaging and Biomarker Requirements</w:t>
      </w:r>
    </w:p>
    <w:p>
      <w:pPr>
        <w:pStyle w:val="Normal"/>
        <w:widowControl/>
        <w:numPr>
          <w:ilvl w:val="0"/>
          <w:numId w:val="3"/>
        </w:numPr>
      </w:pPr>
      <w:r>
        <w:t xml:space="preserve">No hepatic lesion &gt;10 cm before the start of treatment, as required by the December 2025 guidance.</w:t>
      </w:r>
    </w:p>
    <w:p>
      <w:pPr>
        <w:pStyle w:val="Normal"/>
        <w:widowControl/>
        <w:numPr>
          <w:ilvl w:val="0"/>
          <w:numId w:val="3"/>
        </w:numPr>
      </w:pPr>
      <w:r>
        <w:t xml:space="preserve">FDG PET-CT within 4 weeks of listing:</w:t>
      </w:r>
    </w:p>
    <w:p>
      <w:pPr>
        <w:pStyle w:val="Normal"/>
        <w:widowControl/>
        <w:numPr>
          <w:ilvl w:val="0"/>
          <w:numId w:val="3"/>
        </w:numPr>
      </w:pPr>
      <w:r>
        <w:t xml:space="preserve">PET-derived MTV and TLG are adjunctive prognostic measurements, not validated eligibility thresholds. Record technique and timing relative to chemotherapy. The Oslo analysis used a ROC-derived MTV threshold of 66.09 cm3 rounded to about 70 and TLG 238.8; other published thresholds must be source-labelled. PET negativity does not exclude viable cancer. Do not use MTV/TLG alone to activate, permanently exclude or mandate additional therapy.</w:t>
      </w:r>
      <w:r>
        <w:t xml:space="preserve"> </w:t>
      </w:r>
      <w:r>
        <w:t xml:space="preserve"> </w:t>
      </w:r>
      <w:r>
        <w:t xml:space="preserve"> </w:t>
      </w:r>
      <w:r>
        <w:fldChar w:fldCharType="begin"/>
      </w:r>
      <w:r>
        <w:instrText xml:space="preserve"> ADDIN EN.CITE </w:instrText>
      </w:r>
      <w:r>
        <w:fldChar w:fldCharType="begin">
          <w:fldData>PEVuZE5vdGU+PENpdGU+PEF1dGhvcj5HcnV0PC9BdXRob3I+PFllYXI+MjAyMjwvWWVhcj48UmVjTnVtPjEyPC9SZWNOdW0+PERpc3BsYXlUZXh0PltWMTYtMTJdPC9EaXNwbGF5VGV4dD48cmVjb3JkPjxyZWMtbnVtYmVyPjEyPC9yZWMtbnVtYmVyPjxmb3JlaWduLWtleXM+PGtleSBhcHA9IkVOIiBkYi1pZD0iNDFlMjcyZWYtMDAzNy01NDY5LTk3MzQtZGYwYTc2MjU3ZjUxIiB0aW1lc3RhbXA9IjE3OTMyODM2ODUiPjEy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Ni0xMV08L0Rpc3BsYXlUZXh0PjxyZWNvcmQ+PHJlYy1udW1iZXI+MTE8L3JlYy1udW1iZXI+PGZvcmVpZ24ta2V5cz48a2V5IGFwcD0iRU4iIGRiLWlkPSI0MWUyNzJlZi0wMDM3LTU0NjktOTczNC1kZjBhNzYyNTdmNTEiIHRpbWVzdGFtcD0iMTc5MzI4MzY4NS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numPr>
          <w:ilvl w:val="0"/>
          <w:numId w:val="3"/>
        </w:numPr>
      </w:pPr>
      <w:r>
        <w:t xml:space="preserve">CEA gate: current guidance excludes an initial request with CEA &gt;80 µg/L and requires CEA &lt;80 for extension. Exactly 80 is a wording boundary requiring allocation clarification. OPEN local proposal uses &lt;80 ng/mL throughout for consistency; a falling value ≥80 does not satisfy that stricter proposal. Record assay/date and repeat unexpected values.</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Largest liver lesion ≤5.5 cm (preferred; &gt;5.5 cm is a relative contraindication)</w:t>
      </w:r>
      <w:r>
        <w:t xml:space="preserve"> </w:t>
      </w:r>
      <w:r>
        <w:t xml:space="preserve"> </w:t>
      </w:r>
      <w:r>
        <w:t xml:space="preserve"> </w:t>
      </w:r>
      <w:r>
        <w:fldChar w:fldCharType="begin"/>
      </w:r>
      <w:r>
        <w:instrText xml:space="preserve"> ADDIN EN.CITE </w:instrText>
      </w:r>
      <w:r>
        <w:fldChar w:fldCharType="begin">
          <w:fldData>PEVuZE5vdGU+PENpdGU+PEF1dGhvcj5VZWJlcnJvdGg8L0F1dGhvcj48WWVhcj4yMDI1PC9ZZWFyPjxSZWNOdW0+NzwvUmVjTnVtPjxEaXNwbGF5VGV4dD5bVjE2LTddPC9EaXNwbGF5VGV4dD48cmVjb3JkPjxyZWMtbnVtYmVyPjc8L3JlYy1udW1iZXI+PGZvcmVpZ24ta2V5cz48a2V5IGFwcD0iRU4iIGRiLWlkPSI0MWUyNzJlZi0wMDM3LTU0NjktOTczNC1kZjBhNzYyNTdmNTEiIHRpbWVzdGFtcD0iMTc5MzI4MzY4NSI+Nzwva2V5PjwvZm9yZWlnbi1rZXlzPjxyZWYtdHlwZSBuYW1lPSJKb3VybmFsIEFydGljbGUiPjE3PC9yZWYtdHlwZT48Y29udHJpYnV0b3JzPjxhdXRob3JzPjxhdXRob3I+VWViZXJyb3RoLCBCZW5qYW1pbiBFPC9hdXRob3I+PGF1dGhvcj5LcmlzcywgTWljaGFlbDwvYXV0aG9yPjxhdXRob3I+QnVydG9uLCBKYW1lcyBSPC9hdXRob3I+PGF1dGhvcj5NZXNzZXJzbWl0aCwgV2VsbHMgQTwvYXV0aG9yPjwvYXV0aG9ycz48L2NvbnRyaWJ1dG9ycz48dGl0bGVzPjx0aXRsZT5MaXZlciB0cmFuc3BsYW50YXRpb24gZm9yIGNvbG9yZWN0YWwgY2FuY2VyIHdpdGggbGl2ZXIgbWV0YXN0YXNlczwvdGl0bGU+PHNlY29uZGFyeS10aXRsZT5UaGUgT25jb2xvZ2lzdDwvc2Vjb25kYXJ5LXRpdGxlPjwvdGl0bGVzPjxwZXJpb2RpY2FsPjxmdWxsLXRpdGxlPlRoZSBPbmNvbG9naXN0PC9mdWxsLXRpdGxlPjwvcGVyaW9kaWNhbD48ZGF0ZXM+PHllYXI+MjAyNTwveWVhcj48L2RhdGVzPjx2b2x1bWU+MzA8L3ZvbHVtZT48bnVtYmVyPjE8L251bWJlcj48ZWxlY3Ryb25pYy1yZXNvdXJjZS1udW0+MTAuMTA5My9vbmNvbG8vb3lhZTM2NzwvZWxlY3Ryb25pYy1yZXNvdXJjZS1udW0+PG5vdGVzPkV4aXN0aW5nIHN0YW5kYXJkLXByb3RvY29sIHJlZmVyZW5jZSBDb21wbGV0ZSAxMi1wYWdlIG5hcnJhdGl2ZSByZXZpZXcgcmVhZCwgaW5jbHVkaW5nIFRhYmxlcyAxJiM4MjExOzMgYW5kIHJlZmVyZW5jZXMuIFY4IGV4dHJhY3Rpb24gYW5kIGxpbWl0YXRpb25zOiBzb3VyY2UvbWV0YXN0YXNlc19zdGFuZGFyZF9zdXBwbGVtZW50Lmpzb248L25vdGVzPjx1cmxzPjxyZWxhdGVkLXVybHM+PHVybD5odHRwczovL3B1Ym1lZC5uY2JpLm5sbS5uaWguZ292LzM5ODM0MTI3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Heading3"/>
        <w:keepNext/>
        <w:widowControl/>
      </w:pPr>
      <w:r>
        <w:t xml:space="preserve">3. Patient Selection — Exclusion Criteria</w:t>
      </w:r>
    </w:p>
    <w:p>
      <w:pPr>
        <w:pStyle w:val="Normal"/>
        <w:widowControl/>
        <w:numPr>
          <w:ilvl w:val="0"/>
          <w:numId w:val="3"/>
        </w:numPr>
      </w:pPr>
      <w:r>
        <w:t xml:space="preserve">Any extrahepatic metastatic disease (including peritoneal, pulmonary, or nodal disease)</w:t>
      </w:r>
    </w:p>
    <w:p>
      <w:pPr>
        <w:pStyle w:val="Normal"/>
        <w:widowControl/>
        <w:numPr>
          <w:ilvl w:val="0"/>
          <w:numId w:val="3"/>
        </w:numPr>
      </w:pPr>
      <w:r>
        <w:t xml:space="preserve">Disease progression on most recent chemotherapy regimen</w:t>
      </w:r>
    </w:p>
    <w:p>
      <w:pPr>
        <w:pStyle w:val="Normal"/>
        <w:widowControl/>
        <w:numPr>
          <w:ilvl w:val="0"/>
          <w:numId w:val="3"/>
        </w:numPr>
      </w:pPr>
      <w:r>
        <w:t xml:space="preserve">Any BRAF mutation is outside the current guidance-aligned BRAF-wild-type route. Non-V600E alterations require a separate OPEN research/exception discussion; this restriction does not prove universal clinical futility.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Ni0xM108L0Rpc3BsYXlUZXh0PjxyZWNvcmQ+PHJlYy1udW1iZXI+MTM8L3JlYy1udW1iZXI+PGZvcmVpZ24ta2V5cz48a2V5IGFwcD0iRU4iIGRiLWlkPSI0MWUyNzJlZi0wMDM3LTU0NjktOTczNC1kZjBhNzYyNTdmNTEiIHRpbWVzdGFtcD0iMTc5MzI4MzY4NS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Z1bGwgdGV4dCByZWFkIGZvciB0aGUgVjE2IGV4dHJhaGVwYXRpYy1kaXNlYXNlIHJldmlldyAoY29tcGxldGUgbWFpbiB0ZXh0OyByZWxldmFudCBjb21wbGV0ZSBzZWN0aW9ucyBmb3IgbG9uZyBndWlkZWxpbmVzKS4gU2VsZWN0aW9uLCBiaW9sb2dpY2FsIHByb2dub3NpcyBhbmQgdGVjaG5pY2FsIHJlc2VjdGFiaWxpdHkgaGF2ZSBkaXN0aW5jdCByb2xlcy4gQW4gZXhwZXJ0IHJlY29tbWVuZGF0aW9uIGlzIG5vdCBhIG5hdGlvbmFsIGFsbG9jYXRpb24gcnVsZS48L25vdGVzPjx1cmxzPjxyZWxhdGVkLXVybHM+PHVybD5odHRwczovL2RvaS5vcmcvMTAuMTAxNi9TMjQ2OC0xMjUzKDIxKTAwMjE5LTM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pPr>
      <w:r>
        <w:t xml:space="preserve">dMMR/MSI-H tumors (these patients should be considered for immunotherapy-based approaches)</w:t>
      </w:r>
    </w:p>
    <w:p>
      <w:pPr>
        <w:pStyle w:val="Normal"/>
        <w:widowControl/>
        <w:numPr>
          <w:ilvl w:val="0"/>
          <w:numId w:val="3"/>
        </w:numPr>
      </w:pPr>
      <w:r>
        <w:t xml:space="preserve">Undifferentiated or signet ring cell histology</w:t>
      </w:r>
    </w:p>
    <w:p>
      <w:pPr>
        <w:pStyle w:val="Normal"/>
        <w:widowControl/>
        <w:numPr>
          <w:ilvl w:val="0"/>
          <w:numId w:val="3"/>
        </w:numPr>
      </w:pPr>
      <w:r>
        <w:t xml:space="preserve">Prior extrahepatic metastases or local recurrence, even if treated</w:t>
      </w:r>
    </w:p>
    <w:p>
      <w:pPr>
        <w:pStyle w:val="Normal"/>
        <w:widowControl/>
        <w:numPr>
          <w:ilvl w:val="0"/>
          <w:numId w:val="3"/>
        </w:numPr>
      </w:pPr>
      <w:r>
        <w:t xml:space="preserve">Active alcohol or substance abuse</w:t>
      </w:r>
    </w:p>
    <w:p>
      <w:pPr>
        <w:pStyle w:val="Normal"/>
        <w:widowControl/>
        <w:numPr>
          <w:ilvl w:val="0"/>
          <w:numId w:val="3"/>
        </w:numPr>
      </w:pPr>
      <w:r>
        <w:t xml:space="preserve">Active uncontrolled infection</w:t>
      </w:r>
    </w:p>
    <w:p>
      <w:pPr>
        <w:pStyle w:val="Normal"/>
        <w:widowControl/>
        <w:numPr>
          <w:ilvl w:val="0"/>
          <w:numId w:val="3"/>
        </w:numPr>
      </w:pPr>
      <w:r>
        <w:t xml:space="preserve">Other malignancy within 5 years (excluding non-melanoma skin cancer, in situ cervical cancer)</w:t>
      </w:r>
    </w:p>
    <w:p>
      <w:pPr>
        <w:pStyle w:val="Normal"/>
        <w:widowControl/>
        <w:numPr>
          <w:ilvl w:val="0"/>
          <w:numId w:val="3"/>
        </w:numPr>
      </w:pPr>
      <w:r>
        <w:t xml:space="preserve">Pregnancy</w:t>
      </w:r>
    </w:p>
    <w:p>
      <w:pPr>
        <w:pStyle w:val="Normal"/>
        <w:widowControl/>
        <w:numPr>
          <w:ilvl w:val="0"/>
          <w:numId w:val="3"/>
        </w:numPr>
      </w:pPr>
      <w:r>
        <w:t xml:space="preserve">General contraindications to liver transplantation per institutional policy</w:t>
      </w:r>
    </w:p>
    <w:p>
      <w:pPr>
        <w:pStyle w:val="Heading3"/>
        <w:keepNext/>
        <w:widowControl/>
      </w:pPr>
      <w:r>
        <w:t xml:space="preserve">4. Pre-Transplant Evaluation</w:t>
      </w:r>
    </w:p>
    <w:p>
      <w:pPr>
        <w:pStyle w:val="Heading3"/>
        <w:keepNext/>
        <w:widowControl/>
      </w:pPr>
      <w:r>
        <w:t xml:space="preserve">4.1 Multidisciplinary Tumor Board Review</w:t>
      </w:r>
    </w:p>
    <w:p>
      <w:pPr>
        <w:pStyle w:val="Normal"/>
        <w:widowControl/>
      </w:pPr>
      <w:r>
        <w:t xml:space="preserve">All candidates must be reviewed and approved by a multidisciplinary tumor board including:</w:t>
      </w:r>
    </w:p>
    <w:p>
      <w:pPr>
        <w:pStyle w:val="Normal"/>
        <w:widowControl/>
        <w:numPr>
          <w:ilvl w:val="0"/>
          <w:numId w:val="3"/>
        </w:numPr>
      </w:pPr>
      <w:r>
        <w:t xml:space="preserve">Transplant hepatology</w:t>
      </w:r>
    </w:p>
    <w:p>
      <w:pPr>
        <w:pStyle w:val="Normal"/>
        <w:widowControl/>
        <w:numPr>
          <w:ilvl w:val="0"/>
          <w:numId w:val="3"/>
        </w:numPr>
      </w:pPr>
      <w:r>
        <w:t xml:space="preserve">Transplant surgery</w:t>
      </w:r>
    </w:p>
    <w:p>
      <w:pPr>
        <w:pStyle w:val="Normal"/>
        <w:widowControl/>
        <w:numPr>
          <w:ilvl w:val="0"/>
          <w:numId w:val="3"/>
        </w:numPr>
      </w:pPr>
      <w:r>
        <w:t xml:space="preserve">Hepatobiliary surgery</w:t>
      </w:r>
    </w:p>
    <w:p>
      <w:pPr>
        <w:pStyle w:val="Normal"/>
        <w:widowControl/>
        <w:numPr>
          <w:ilvl w:val="0"/>
          <w:numId w:val="3"/>
        </w:numPr>
      </w:pPr>
      <w:r>
        <w:t xml:space="preserve">Medical oncology (GI)</w:t>
      </w:r>
    </w:p>
    <w:p>
      <w:pPr>
        <w:pStyle w:val="Normal"/>
        <w:widowControl/>
        <w:numPr>
          <w:ilvl w:val="0"/>
          <w:numId w:val="3"/>
        </w:numPr>
      </w:pPr>
      <w:r>
        <w:t xml:space="preserve">Diagnostic radiology</w:t>
      </w:r>
    </w:p>
    <w:p>
      <w:pPr>
        <w:pStyle w:val="Normal"/>
        <w:widowControl/>
        <w:numPr>
          <w:ilvl w:val="0"/>
          <w:numId w:val="3"/>
        </w:numPr>
      </w:pPr>
      <w:r>
        <w:t xml:space="preserve">Interventional radiology</w:t>
      </w:r>
    </w:p>
    <w:p>
      <w:pPr>
        <w:pStyle w:val="Normal"/>
        <w:widowControl/>
        <w:numPr>
          <w:ilvl w:val="0"/>
          <w:numId w:val="3"/>
        </w:numPr>
      </w:pPr>
      <w:r>
        <w:t xml:space="preserve">Pathology</w:t>
      </w:r>
    </w:p>
    <w:p>
      <w:pPr>
        <w:pStyle w:val="Heading3"/>
        <w:keepNext/>
        <w:widowControl/>
      </w:pPr>
      <w:r>
        <w:t xml:space="preserve">4.2 Oncologic Workup</w:t>
      </w:r>
    </w:p>
    <w:p>
      <w:pPr>
        <w:pStyle w:val="Normal"/>
        <w:widowControl/>
        <w:numPr>
          <w:ilvl w:val="0"/>
          <w:numId w:val="3"/>
        </w:numPr>
      </w:pPr>
      <w:r>
        <w:t xml:space="preserve">Contrast-enhanced CT chest/abdomen/pelvis (within 4 weeks of listing)</w:t>
      </w:r>
    </w:p>
    <w:p>
      <w:pPr>
        <w:pStyle w:val="Normal"/>
        <w:widowControl/>
        <w:numPr>
          <w:ilvl w:val="0"/>
          <w:numId w:val="3"/>
        </w:numPr>
      </w:pPr>
      <w:r>
        <w:t xml:space="preserve">FDG PET-CT (within 4 weeks of listing)</w:t>
      </w:r>
    </w:p>
    <w:p>
      <w:pPr>
        <w:pStyle w:val="Normal"/>
        <w:widowControl/>
        <w:numPr>
          <w:ilvl w:val="0"/>
          <w:numId w:val="3"/>
        </w:numPr>
      </w:pPr>
      <w:r>
        <w:t xml:space="preserve">Liver MRI with hepatobiliary contrast agent</w:t>
      </w:r>
    </w:p>
    <w:p>
      <w:pPr>
        <w:pStyle w:val="Normal"/>
        <w:widowControl/>
        <w:numPr>
          <w:ilvl w:val="0"/>
          <w:numId w:val="3"/>
        </w:numPr>
      </w:pPr>
      <w:r>
        <w:t xml:space="preserve">Colonoscopy (within 12 months, confirming no local recurrence)</w:t>
      </w:r>
    </w:p>
    <w:p>
      <w:pPr>
        <w:pStyle w:val="Normal"/>
        <w:widowControl/>
        <w:numPr>
          <w:ilvl w:val="0"/>
          <w:numId w:val="3"/>
        </w:numPr>
      </w:pPr>
      <w:r>
        <w:t xml:space="preserve">CEA and CA 19-9 levels</w:t>
      </w:r>
    </w:p>
    <w:p>
      <w:pPr>
        <w:pStyle w:val="Normal"/>
        <w:widowControl/>
        <w:numPr>
          <w:ilvl w:val="0"/>
          <w:numId w:val="3"/>
        </w:numPr>
      </w:pPr>
      <w:r>
        <w:t xml:space="preserve">Comprehensive molecular profiling of tumor (RAS, BRAF, MSI/MMR status, HER2)</w:t>
      </w:r>
    </w:p>
    <w:p>
      <w:pPr>
        <w:pStyle w:val="Normal"/>
        <w:widowControl/>
        <w:numPr>
          <w:ilvl w:val="0"/>
          <w:numId w:val="3"/>
        </w:numPr>
      </w:pPr>
      <w:r>
        <w:t xml:space="preserve">Review of all prior pathology</w:t>
      </w:r>
    </w:p>
    <w:p>
      <w:pPr>
        <w:pStyle w:val="Heading3"/>
        <w:keepNext/>
        <w:widowControl/>
      </w:pPr>
      <w:r>
        <w:t xml:space="preserve">4.3 Standard Transplant Evaluation</w:t>
      </w:r>
    </w:p>
    <w:p>
      <w:pPr>
        <w:pStyle w:val="Normal"/>
        <w:widowControl/>
        <w:numPr>
          <w:ilvl w:val="0"/>
          <w:numId w:val="3"/>
        </w:numPr>
      </w:pPr>
      <w:r>
        <w:t xml:space="preserve">Per institutional liver transplant evaluation protocol (cardiac, pulmonary, renal, psychosocial, infectious disease screening, etc.)</w:t>
      </w:r>
    </w:p>
    <w:p>
      <w:pPr>
        <w:pStyle w:val="Heading3"/>
        <w:keepNext/>
        <w:widowControl/>
      </w:pPr>
      <w:r>
        <w:t xml:space="preserve">5. Waitlist Management</w:t>
      </w:r>
    </w:p>
    <w:p>
      <w:pPr>
        <w:pStyle w:val="Normal"/>
        <w:widowControl/>
        <w:numPr>
          <w:ilvl w:val="0"/>
          <w:numId w:val="3"/>
        </w:numPr>
      </w:pPr>
      <w:r>
        <w:t xml:space="preserve">Submit a non-standard NLRB request. The December 2025 guidance recommends MMaT-20; if that is below 15, Policy 9.4.E sets the exception score to 15. Approval is not automatic.</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0MWUyNzJlZi0wMDM3LTU0NjktOTczNC1kZjBhNzYyNTdmNTE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Ni02XTwvRGlzcGxheVRleHQ+PHJlY29yZD48cmVjLW51bWJlcj42PC9yZWMtbnVtYmVyPjxmb3JlaWduLWtleXM+PGtleSBhcHA9IkVOIiBkYi1pZD0iNDFlMjcyZWYtMDAzNy01NDY5LTk3MzQtZGYwYTc2MjU3ZjUxIiB0aW1lc3RhbXA9IjE3OTMyODM2ODU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Restaging every 8–12 weeks with:</w:t>
      </w:r>
    </w:p>
    <w:p>
      <w:pPr>
        <w:pStyle w:val="Normal"/>
        <w:widowControl/>
        <w:numPr>
          <w:ilvl w:val="0"/>
          <w:numId w:val="3"/>
        </w:numPr>
      </w:pPr>
      <w:r>
        <w:t xml:space="preserve">CT chest/abdomen/pelvis</w:t>
      </w:r>
    </w:p>
    <w:p>
      <w:pPr>
        <w:pStyle w:val="Normal"/>
        <w:widowControl/>
        <w:numPr>
          <w:ilvl w:val="0"/>
          <w:numId w:val="3"/>
        </w:numPr>
      </w:pPr>
      <w:r>
        <w:t xml:space="preserve">CEA levels</w:t>
      </w:r>
    </w:p>
    <w:p>
      <w:pPr>
        <w:pStyle w:val="Normal"/>
        <w:widowControl/>
        <w:numPr>
          <w:ilvl w:val="0"/>
          <w:numId w:val="3"/>
        </w:numPr>
      </w:pPr>
      <w:r>
        <w:t xml:space="preserve">PET-CT every 3–6 months while listed</w:t>
      </w:r>
    </w:p>
    <w:p>
      <w:pPr>
        <w:pStyle w:val="Normal"/>
        <w:widowControl/>
        <w:numPr>
          <w:ilvl w:val="0"/>
          <w:numId w:val="3"/>
        </w:numPr>
      </w:pPr>
      <w:r>
        <w:t xml:space="preserve">Continue an individualized bridging plan while listed, with agent-specific perioperative washout, toxicity recovery and repeat staging approved by oncology, transplant surgery and pharmacy. TransMet aimed to perform LT within 2 months of the last chemotherapy cycle; this trial implementation interval is not a universal validated exclusion threshold or an allocation guarantee.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YtMTRdPC9EaXNwbGF5VGV4dD48cmVjb3JkPjxyZWMtbnVtYmVyPjE0PC9yZWMtbnVtYmVyPjxmb3JlaWduLWtleXM+PGtleSBhcHA9IkVOIiBkYi1pZD0iNDFlMjcyZWYtMDAzNy01NDY5LTk3MzQtZGYwYTc2MjU3ZjUxIiB0aW1lc3RhbXA9IjE3OTMyODM2ODU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A new extrahepatic lesion, local primary recurrence, hepatic progression, concerning CEA or molecular/pathology change is HOLD pending multidisciplinary confirmation and current guidance review. Apply verified guidance exclusions separately. An isolated rise beyond an observational PET/lesion prognostic threshold is not, by itself, an evidence-based permanent exclusion. Reassess true progression, technical options, biological control and allocation eligibility explicitly.</w:t>
      </w:r>
      <w:r>
        <w:t xml:space="preserve"> </w:t>
      </w:r>
      <w:r>
        <w:t xml:space="preserve"> </w:t>
      </w:r>
      <w:r>
        <w:t xml:space="preserve"> </w:t>
      </w:r>
      <w:r>
        <w:fldChar w:fldCharType="begin"/>
      </w:r>
      <w:r>
        <w:instrText xml:space="preserve"> ADDIN EN.CITE </w:instrText>
      </w:r>
      <w:r>
        <w:fldChar w:fldCharType="begin">
          <w:fldData>PEVuZE5vdGU+PENpdGU+PEF1dGhvcj5HcnV0PC9BdXRob3I+PFllYXI+MjAyMjwvWWVhcj48UmVjTnVtPjEyPC9SZWNOdW0+PERpc3BsYXlUZXh0PltWMTYtMTJdPC9EaXNwbGF5VGV4dD48cmVjb3JkPjxyZWMtbnVtYmVyPjEyPC9yZWMtbnVtYmVyPjxmb3JlaWduLWtleXM+PGtleSBhcHA9IkVOIiBkYi1pZD0iNDFlMjcyZWYtMDAzNy01NDY5LTk3MzQtZGYwYTc2MjU3ZjUxIiB0aW1lc3RhbXA9IjE3OTMyODM2ODUiPjEy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Ni0xMV08L0Rpc3BsYXlUZXh0PjxyZWNvcmQ+PHJlYy1udW1iZXI+MTE8L3JlYy1udW1iZXI+PGZvcmVpZ24ta2V5cz48a2V5IGFwcD0iRU4iIGRiLWlkPSI0MWUyNzJlZi0wMDM3LTU0NjktOTczNC1kZjBhNzYyNTdmNTEiIHRpbWVzdGFtcD0iMTc5MzI4MzY4NS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E1PC9SZWNOdW0+PERpc3BsYXlUZXh0PltWMTYtMTVdPC9EaXNwbGF5VGV4dD48cmVjb3JkPjxyZWMtbnVtYmVyPjE1PC9yZWMtbnVtYmVyPjxmb3JlaWduLWtleXM+PGtleSBhcHA9IkVOIiBkYi1pZD0iNDFlMjcyZWYtMDAzNy01NDY5LTk3MzQtZGYwYTc2MjU3ZjUxIiB0aW1lc3RhbXA9IjE3OTMyODM2ODUiPjE1PC9rZXk+PC9mb3JlaWduLWtleXM+PHJlZi10eXBlIG5hbWU9IkpvdXJuYWwgQXJ0aWNsZSI+MTc8L3JlZi10eXBlPjxjb250cmlidXRvcnM+PGF1dGhvcnM+PGF1dGhvcj5EdWVsYW5kLCBTdmVpbjwvYXV0aG9yPjxhdXRob3I+U21lZG1hbiwgVG9yIE0uPC9hdXRob3I+PGF1dGhvcj5TeXZlcnN2ZWVuLCBUcnlndmU8L2F1dGhvcj48YXV0aG9yPktoYW4sIEFtbWFyPC9hdXRob3I+PGF1dGhvcj5HcnV0LCBIYXJhbGQ8L2F1dGhvcj48YXV0aG9yPkxpbmUsIFAmIzIyOTtsLURhZzwvYXV0aG9yPjwvYXV0aG9ycz48L2NvbnRyaWJ1dG9ycz48dGl0bGVzPjx0aXRsZT5MaXZlciBUcmFuc3BsYW50YXRpb24gZm9yIE5vbnJlc2VjdGFibGUgQ29sb3JlY3RhbCBMaXZlciBNZXRhc3Rhc2VzOiBUZW4teWVhciBGb2xsb3ctdXAgYW5kIEFzc2Vzc21lbnQgb2YgQ3VyYXRpdmUgUmF0ZSBpbiB0aGUgU0VDQS1JSSBTdHVkeTwvdGl0bGU+PHNlY29uZGFyeS10aXRsZT5Bbm5hbHMgb2YgU3VyZ2VyeTwvc2Vjb25kYXJ5LXRpdGxlPjwvdGl0bGVzPjxwZXJpb2RpY2FsPjxmdWxsLXRpdGxlPkFubmFscyBvZiBTdXJnZXJ5PC9mdWxsLXRpdGxlPjwvcGVyaW9kaWNhbD48ZGF0ZXM+PHllYXI+MjAyNjwveWVhcj48L2RhdGVzPjxlbGVjdHJvbmljLXJlc291cmNlLW51bT4xMC4xMDk3L3NsYS4wMDAwMDAwMDAwMDA3MjAwPC9lbGVjdHJvbmljLXJlc291cmNlLW51bT48bm90ZXM+RXh0ZW5kZWQgcHJvc3BlY3RpdmUtY29ob3J0IGZvbGxvdy11cDsgb3ZlcmxhcHMgb3JpZ2luYWwgU0VDQS1JSSBDb21wbGV0ZSBzZXZlbi1wYWdlIGFkdmFuY2Utb25saW5lIG1haW4gYXJ0aWNsZSByZWFkLCBpbmNsdWRpbmcgYWxsIGZpZ3VyZXMsIHRhYmxlIGFuZCByZWZlcmVuY2VzLiBWOCBleHRyYWN0aW9uIGFuZCBsaW1pdGF0aW9uczogc291cmNlL21ldGFzdGFzZXNfZnVsbHRleHRfcmV2aWV3Lmpzb248L25vdGVzPjx1cmxzPjxyZWxhdGVkLXVybHM+PHVybD5odHRwczovL2RvaS5vcmcvMTAuMTA5Ny9TTEEuMDAwMDAwMDAwMDAwNzIwMD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Normal"/>
        <w:widowControl/>
        <w:numPr>
          <w:ilvl w:val="0"/>
          <w:numId w:val="3"/>
        </w:numPr>
      </w:pPr>
      <w:r>
        <w:t xml:space="preserve">HOLD for confirmed hepatic progression or a new lesion and obtain renewed oncology, HPB/transplant and allocation review. Report standard RECIST separately from the NLRB-specific growth wording. Reactivation is not automatic after two scans: re-establish all current guidance criteria, including the applicable continuous six-month disease-control interval, with no extrahepatic disease and persistent unresectability. The separate time-since-CRLM-diagnosis requirement is not the biological-control clock. Any salvage/re-entry proposal remains OPEN for explicit committee and allocation adjudication.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0MWUyNzJlZi0wMDM3LTU0NjktOTczNC1kZjBhNzYyNTdmNTE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Ni0xM108L0Rpc3BsYXlUZXh0PjxyZWNvcmQ+PHJlYy1udW1iZXI+MTM8L3JlYy1udW1iZXI+PGZvcmVpZ24ta2V5cz48a2V5IGFwcD0iRU4iIGRiLWlkPSI0MWUyNzJlZi0wMDM3LTU0NjktOTczNC1kZjBhNzYyNTdmNTEiIHRpbWVzdGFtcD0iMTc5MzI4MzY4NS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Z1bGwgdGV4dCByZWFkIGZvciB0aGUgVjE2IGV4dHJhaGVwYXRpYy1kaXNlYXNlIHJldmlldyAoY29tcGxldGUgbWFpbiB0ZXh0OyByZWxldmFudCBjb21wbGV0ZSBzZWN0aW9ucyBmb3IgbG9uZyBndWlkZWxpbmVzKS4gU2VsZWN0aW9uLCBiaW9sb2dpY2FsIHByb2dub3NpcyBhbmQgdGVjaG5pY2FsIHJlc2VjdGFiaWxpdHkgaGF2ZSBkaXN0aW5jdCByb2xlcy4gQW4gZXhwZXJ0IHJlY29tbWVuZGF0aW9uIGlzIG5vdCBhIG5hdGlvbmFsIGFsbG9jYXRpb24gcnVsZS48L25vdGVzPjx1cmxzPjxyZWxhdGVkLXVybHM+PHVybD5odHRwczovL2RvaS5vcmcvMTAuMTAxNi9TMjQ2OC0xMjUzKDIxKTAwMjE5LTM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pPr>
      <w:r>
        <w:t xml:space="preserve">Every removal and every reactivation is recorded with its category and the supporting evidence.</w:t>
      </w:r>
    </w:p>
    <w:p>
      <w:pPr>
        <w:pStyle w:val="Heading3"/>
        <w:widowControl/>
        <w:keepNext/>
      </w:pPr>
      <w:r>
        <w:t xml:space="preserve">Systemic treatment evidence and transplant boundaries</w:t>
      </w:r>
    </w:p>
    <w:p>
      <w:pPr>
        <w:pStyle w:val="Normal"/>
        <w:widowControl/>
        <w:spacing w:after="120"/>
      </w:pPr>
      <w:r>
        <w:t xml:space="preserve">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Heading4"/>
        <w:widowControl/>
        <w:keepNext/>
      </w:pPr>
      <w:r>
        <w:t xml:space="preserve">MOUNTAINEER final: HER2-positive CRC</w:t>
      </w:r>
    </w:p>
    <w:p>
      <w:pPr>
        <w:pStyle w:val="Normal"/>
        <w:widowControl/>
        <w:spacing w:after="120"/>
      </w:pPr>
      <w: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r>
        <w:t xml:space="preserve"> </w:t>
      </w:r>
      <w:r>
        <w:t xml:space="preserve"> </w:t>
      </w:r>
      <w:r>
        <w:fldChar w:fldCharType="begin"/>
      </w:r>
      <w:r>
        <w:instrText xml:space="preserve"> ADDIN EN.CITE </w:instrText>
      </w:r>
      <w:r>
        <w:fldChar w:fldCharType="begin">
          <w:fldData>PEVuZE5vdGU+PENpdGU+PEF1dGhvcj5TdHJpY2tsZXIgSkg8L0F1dGhvcj48WWVhcj4yMDI2PC9ZZWFyPjxSZWNOdW0+MTY8L1JlY051bT48RGlzcGxheVRleHQ+W1YxNi0xNl08L0Rpc3BsYXlUZXh0PjxyZWNvcmQ+PHJlYy1udW1iZXI+MTY8L3JlYy1udW1iZXI+PGZvcmVpZ24ta2V5cz48a2V5IGFwcD0iRU4iIGRiLWlkPSI0MWUyNzJlZi0wMDM3LTU0NjktOTczNC1kZjBhNzYyNTdmNTEiIHRpbWVzdGFtcD0iMTc5MzI4MzY4NSI+MTY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r>
        <w:br/>
      </w:r>
      <w:hyperlink r:id="rId88">
        <w:r>
          <w:rPr>
            <w:color w:val="0563C1"/>
            <w:u w:val="single"/>
          </w:rPr>
          <w:t>Source</w:t>
        </w:r>
      </w:hyperlink>
      <w:r>
        <w:t xml:space="preserve"> · </w:t>
      </w:r>
      <w:hyperlink r:id="rId89">
        <w:r>
          <w:rPr>
            <w:color w:val="0563C1"/>
            <w:u w:val="single"/>
          </w:rPr>
          <w:t>PDF</w:t>
        </w:r>
      </w:hyperlink>
    </w:p>
    <w:p>
      <w:pPr>
        <w:pStyle w:val="Heading4"/>
        <w:widowControl/>
        <w:keepNext/>
      </w:pPr>
      <w:r>
        <w:t xml:space="preserve">SUNLIGHT: FTD/TPI plus bevacizumab</w:t>
      </w:r>
    </w:p>
    <w:p>
      <w:pPr>
        <w:pStyle w:val="Normal"/>
        <w:widowControl/>
        <w:spacing w:after="120"/>
      </w:pPr>
      <w:r>
        <w:t xml:space="preserve">Offer a later-line disease-control option when marrow reserve and anti-VEGF safety permit. Record bleeding, wound-healing and operative timing; do not translate disease control automatically into LT eligibility.</w:t>
      </w:r>
      <w:r>
        <w:t xml:space="preserve"> </w:t>
      </w:r>
      <w:r>
        <w:t xml:space="preserve"> </w:t>
      </w:r>
      <w:r>
        <w:fldChar w:fldCharType="begin"/>
      </w:r>
      <w:r>
        <w:instrText xml:space="preserve"> ADDIN EN.CITE </w:instrText>
      </w:r>
      <w:r>
        <w:fldChar w:fldCharType="begin">
          <w:fldData>PEVuZE5vdGU+PENpdGU+PEF1dGhvcj5QcmFnZXIgR1c8L0F1dGhvcj48WWVhcj4yMDIzPC9ZZWFyPjxSZWNOdW0+MTc8L1JlY051bT48RGlzcGxheVRleHQ+W1YxNi0xN108L0Rpc3BsYXlUZXh0PjxyZWNvcmQ+PHJlYy1udW1iZXI+MTc8L3JlYy1udW1iZXI+PGZvcmVpZ24ta2V5cz48a2V5IGFwcD0iRU4iIGRiLWlkPSI0MWUyNzJlZi0wMDM3LTU0NjktOTczNC1kZjBhNzYyNTdmNTEiIHRpbWVzdGFtcD0iMTc5MzI4MzY4NSI+MTc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90">
        <w:r>
          <w:rPr>
            <w:color w:val="0563C1"/>
            <w:u w:val="single"/>
          </w:rPr>
          <w:t>Source</w:t>
        </w:r>
      </w:hyperlink>
      <w:r>
        <w:t xml:space="preserve"> · </w:t>
      </w:r>
      <w:hyperlink r:id="rId91">
        <w:r>
          <w:rPr>
            <w:color w:val="0563C1"/>
            <w:u w:val="single"/>
          </w:rPr>
          <w:t>PDF</w:t>
        </w:r>
      </w:hyperlink>
    </w:p>
    <w:p>
      <w:pPr>
        <w:pStyle w:val="Heading4"/>
        <w:widowControl/>
        <w:keepNext/>
      </w:pPr>
      <w:r>
        <w:t xml:space="preserve">FRESCO-2: fruquintinib</w:t>
      </w:r>
    </w:p>
    <w:p>
      <w:pPr>
        <w:pStyle w:val="Normal"/>
        <w:widowControl/>
        <w:spacing w:after="120"/>
      </w:pPr>
      <w:r>
        <w:t xml:space="preserve">Retain a later-line option with BP, proteinuria, hand–foot, bleeding/perforation and operative safety assessment. Not an evidence-based curative conversion strategy or new transplant-selection route.</w:t>
      </w:r>
      <w:r>
        <w:t xml:space="preserve"> </w:t>
      </w:r>
      <w:r>
        <w:t xml:space="preserve"> </w:t>
      </w:r>
      <w:r>
        <w:fldChar w:fldCharType="begin"/>
      </w:r>
      <w:r>
        <w:instrText xml:space="preserve"> ADDIN EN.CITE </w:instrText>
      </w:r>
      <w:r>
        <w:fldChar w:fldCharType="begin">
          <w:fldData>PEVuZE5vdGU+PENpdGU+PEF1dGhvcj5EYXNhcmkgQTwvQXV0aG9yPjxZZWFyPjIwMjM8L1llYXI+PFJlY051bT4xODwvUmVjTnVtPjxEaXNwbGF5VGV4dD5bVjE2LTE4XTwvRGlzcGxheVRleHQ+PHJlY29yZD48cmVjLW51bWJlcj4xODwvcmVjLW51bWJlcj48Zm9yZWlnbi1rZXlzPjxrZXkgYXBwPSJFTiIgZGItaWQ9IjQxZTI3MmVmLTAwMzctNTQ2OS05NzM0LWRmMGE3NjI1N2Y1MSIgdGltZXN0YW1wPSIxNzkzMjgzNjg1Ij4xOD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r>
        <w:br/>
      </w:r>
      <w:hyperlink r:id="rId92">
        <w:r>
          <w:rPr>
            <w:color w:val="0563C1"/>
            <w:u w:val="single"/>
          </w:rPr>
          <w:t>Source</w:t>
        </w:r>
      </w:hyperlink>
      <w:r>
        <w:t xml:space="preserve"> · </w:t>
      </w:r>
      <w:hyperlink r:id="rId93">
        <w:r>
          <w:rPr>
            <w:color w:val="0563C1"/>
            <w:u w:val="single"/>
          </w:rPr>
          <w:t>PDF</w:t>
        </w:r>
      </w:hyperlink>
    </w:p>
    <w:p>
      <w:pPr>
        <w:pStyle w:val="Normal"/>
        <w:widowControl/>
        <w:spacing w:after="120"/>
      </w:pPr>
      <w:r>
        <w:t xml:space="preserve">Treatment comparisons and detailed regimen evidence: </w:t>
      </w:r>
      <w:hyperlink r:id="rId87">
        <w:r>
          <w:rPr>
            <w:color w:val="0563C1"/>
            <w:u w:val="single"/>
          </w:rPr>
          <w:t>Cross-tumor systemic matrix</w:t>
        </w:r>
      </w:hyperlink>
    </w:p>
    <w:p>
      <w:pPr>
        <w:pStyle w:val="Heading3"/>
        <w:keepNext/>
        <w:widowControl/>
      </w:pPr>
      <w:r>
        <w:t xml:space="preserve">6. Surgical Procedure</w:t>
      </w:r>
    </w:p>
    <w:p>
      <w:pPr>
        <w:pStyle w:val="Normal"/>
        <w:widowControl/>
        <w:numPr>
          <w:ilvl w:val="0"/>
          <w:numId w:val="3"/>
        </w:numPr>
      </w:pPr>
      <w:r>
        <w:t xml:space="preserve">Whole cadaveric liver graft with conventional orthotopic transplantation technique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Complete abdominal exploration at laparotomy with frozen section of any suspicious lymph nodes</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YtMTRdPC9EaXNwbGF5VGV4dD48cmVjb3JkPjxyZWMtbnVtYmVyPjE0PC9yZWMtbnVtYmVyPjxmb3JlaWduLWtleXM+PGtleSBhcHA9IkVOIiBkYi1pZD0iNDFlMjcyZWYtMDAzNy01NDY5LTk3MzQtZGYwYTc2MjU3ZjUxIiB0aW1lc3RhbXA9IjE3OTMyODM2ODU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p>
    <w:p>
      <w:pPr>
        <w:pStyle w:val="Normal"/>
        <w:widowControl/>
        <w:numPr>
          <w:ilvl w:val="0"/>
          <w:numId w:val="3"/>
        </w:numPr>
      </w:pPr>
      <w:r>
        <w:t xml:space="preserve">If extrahepatic disease is identified at exploration, transplant is aborted</w:t>
      </w:r>
    </w:p>
    <w:p>
      <w:pPr>
        <w:pStyle w:val="Normal"/>
        <w:widowControl/>
        <w:numPr>
          <w:ilvl w:val="0"/>
          <w:numId w:val="3"/>
        </w:numPr>
      </w:pPr>
      <w:r>
        <w:t xml:space="preserve">At transplantation, explore the abdomen and assess suspicious deposits and regional/pedicle nodes with pathology, including frozen section when indicated; metastatic nodal or extrahepatic disease should halt the guidance-aligned oncologic transplant plan. The extent of any systematic portal lymphadenectomy requires a separately documented surgical protocol; it is not established as mandatory by TransMet or by an ASCO abstract.</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YtMTRdPC9EaXNwbGF5VGV4dD48cmVjb3JkPjxyZWMtbnVtYmVyPjE0PC9yZWMtbnVtYmVyPjxmb3JlaWduLWtleXM+PGtleSBhcHA9IkVOIiBkYi1pZD0iNDFlMjcyZWYtMDAzNy01NDY5LTk3MzQtZGYwYTc2MjU3ZjUxIiB0aW1lc3RhbXA9IjE3OTMyODM2ODU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p>
    <w:p>
      <w:pPr>
        <w:pStyle w:val="Heading3"/>
        <w:keepNext/>
        <w:widowControl/>
      </w:pPr>
      <w:r>
        <w:t xml:space="preserve">7. Post-Transplant Immunosuppression</w:t>
      </w:r>
    </w:p>
    <w:p>
      <w:pPr>
        <w:pStyle w:val="Normal"/>
        <w:widowControl/>
      </w:pPr>
      <w:r>
        <w:t xml:space="preserve">Medication management — institutional LT and transplant-pharmacy protocol, not a copied trial prescription:</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Use the current signed institutional LT immunosuppression order set with transplant-pharmacy oversight. TransMet’s study regimen is descriptive and does not establish an oncologically superior CRLM regimen. Individualize induction, MMF duration, corticosteroid taper, CNI exposure and optional mTOR conversion; do not use this evidence summary as a stand-alone medication order.</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xOTwvUmVjTnVtPjxEaXNwbGF5VGV4dD5bVjE2LTE5XTwvRGlzcGxheVRleHQ+PHJlY29yZD48cmVjLW51bWJlcj4xOTwvcmVjLW51bWJlcj48Zm9yZWlnbi1rZXlzPjxrZXkgYXBwPSJFTiIgZGItaWQ9IjQxZTI3MmVmLTAwMzctNTQ2OS05NzM0LWRmMGE3NjI1N2Y1MSIgdGltZXN0YW1wPSIxNzkzMjgzNjg1Ij4xOT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A8L1JlY051bT48RGlzcGxheVRleHQ+W1YxNi0yMF08L0Rpc3BsYXlUZXh0PjxyZWNvcmQ+PHJlYy1udW1iZXI+MjA8L3JlYy1udW1iZXI+PGZvcmVpZ24ta2V5cz48a2V5IGFwcD0iRU4iIGRiLWlkPSI0MWUyNzJlZi0wMDM3LTU0NjktOTczNC1kZjBhNzYyNTdmNTEiIHRpbWVzdGFtcD0iMTc5MzI4MzY4NSI+MjA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p>
    <w:p>
      <w:pPr>
        <w:pStyle w:val="Normal"/>
        <w:widowControl/>
      </w:pPr>
      <w:r>
        <w:t xml:space="preserve">Rationale for mTOR Inhibitor Use:</w:t>
      </w:r>
    </w:p>
    <w:p>
      <w:pPr>
        <w:pStyle w:val="Normal"/>
        <w:widowControl/>
      </w:pPr>
      <w:r>
        <w:t xml:space="preserve">mTOR-based calcineurin-inhibitor minimization may be considered for appropriate renal, immunologic and tolerability indications with transplant-pharmacy oversight. A reduction in CRLM recurrence from everolimus has not been established. The AASLD/AST conditional HCC-within-Milan recommendation must not be represented as CRLM-specific evidence or as a mandatory preferred regimen.</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xOTwvUmVjTnVtPjxEaXNwbGF5VGV4dD5bVjE2LTE5XTwvRGlzcGxheVRleHQ+PHJlY29yZD48cmVjLW51bWJlcj4xOTwvcmVjLW51bWJlcj48Zm9yZWlnbi1rZXlzPjxrZXkgYXBwPSJFTiIgZGItaWQ9IjQxZTI3MmVmLTAwMzctNTQ2OS05NzM0LWRmMGE3NjI1N2Y1MSIgdGltZXN0YW1wPSIxNzkzMjgzNjg1Ij4xOT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NoYW48L0F1dGhvcj48WWVhcj4yMDE4PC9ZZWFyPjxSZWNOdW0+MjE8L1JlY051bT48RGlzcGxheVRleHQ+W1YxNi0yMV08L0Rpc3BsYXlUZXh0PjxyZWNvcmQ+PHJlYy1udW1iZXI+MjE8L3JlYy1udW1iZXI+PGZvcmVpZ24ta2V5cz48a2V5IGFwcD0iRU4iIGRiLWlkPSI0MWUyNzJlZi0wMDM3LTU0NjktOTczNC1kZjBhNzYyNTdmNTEiIHRpbWVzdGFtcD0iMTc5MzI4MzY4NSI+MjE8L2tleT48L2ZvcmVpZ24ta2V5cz48cmVmLXR5cGUgbmFtZT0iSm91cm5hbCBBcnRpY2xlIj4xNzwvcmVmLXR5cGU+PGNvbnRyaWJ1dG9ycz48YXV0aG9ycz48YXV0aG9yPk5hc2hhbiwgQmomIzI0NjtybjwvYXV0aG9yPjwvYXV0aG9ycz48L2NvbnRyaWJ1dG9ycz48dGl0bGVzPjx0aXRsZT5tVE9SIEluaGliaXRpb24gYW5kIENsaW5pY2FsIFRyYW5zcGxhbnRhdGlvbjwvdGl0bGU+PHNlY29uZGFyeS10aXRsZT5UcmFuc3BsYW50YXRpb248L3NlY29uZGFyeS10aXRsZT48L3RpdGxlcz48cGVyaW9kaWNhbD48ZnVsbC10aXRsZT5UcmFuc3BsYW50YXRpb248L2Z1bGwtdGl0bGU+PC9wZXJpb2RpY2FsPjxkYXRlcz48eWVhcj4yMDE4PC95ZWFyPjwvZGF0ZXM+PHZvbHVtZT4xMDI8L3ZvbHVtZT48bnVtYmVyPjJTPC9udW1iZXI+PHBhZ2VzPlMxOS1TMjY8L3BhZ2VzPjxlbGVjdHJvbmljLXJlc291cmNlLW51bT4xMC4xMDk3L3RwLjAwMDAwMDAwMDAwMDE2OTA8L2VsZWN0cm9uaWMtcmVzb3VyY2UtbnVtPjxub3Rlcz5FeGlzdGluZyBzdGFuZGFyZC1wcm90b2NvbCByZWZlcmVuY2UgQ29tcGxldGUgZWlnaHQtcGFnZSByZXZpZXcgcmVhZCwgaW5jbHVkaW5nIHRyaWFsIHRhYmxlLCBzYWZldHkgc2VjdGlvbnMgYW5kIHJlZmVyZW5jZXMuIFY4IGV4dHJhY3Rpb24gYW5kIGxpbWl0YXRpb25zOiBzb3VyY2UvbWV0YXN0YXNlc19zdGFuZGFyZF9zdXBwbGVtZW50Lmpzb248L25vdGVzPjx1cmxzPjxyZWxhdGVkLXVybHM+PHVybD5odHRwczovL3B1Ym1lZC5uY2JpLm5sbS5uaWguZ292LzI4MjMwNjM5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Heading3"/>
        <w:keepNext/>
        <w:widowControl/>
      </w:pPr>
      <w:r>
        <w:t xml:space="preserve">8. Post-Transplant Adjuvant Chemotherapy</w:t>
      </w:r>
    </w:p>
    <w:p>
      <w:pPr>
        <w:pStyle w:val="Normal"/>
        <w:widowControl/>
        <w:numPr>
          <w:ilvl w:val="0"/>
          <w:numId w:val="3"/>
        </w:numPr>
      </w:pPr>
      <w:r>
        <w:t xml:space="preserve">Routine post-transplant systemic chemotherapy is not an established standard and is not recommended by the IHPBA LT-CoMet 21 consensus. Consider it only case-by-case or within a prospective protocol after graft recovery and multidisciplinary review.</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Ni0xM108L0Rpc3BsYXlUZXh0PjxyZWNvcmQ+PHJlYy1udW1iZXI+MTM8L3JlYy1udW1iZXI+PGZvcmVpZ24ta2V5cz48a2V5IGFwcD0iRU4iIGRiLWlkPSI0MWUyNzJlZi0wMDM3LTU0NjktOTczNC1kZjBhNzYyNTdmNTEiIHRpbWVzdGFtcD0iMTc5MzI4MzY4NS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Z1bGwgdGV4dCByZWFkIGZvciB0aGUgVjE2IGV4dHJhaGVwYXRpYy1kaXNlYXNlIHJldmlldyAoY29tcGxldGUgbWFpbiB0ZXh0OyByZWxldmFudCBjb21wbGV0ZSBzZWN0aW9ucyBmb3IgbG9uZyBndWlkZWxpbmVzKS4gU2VsZWN0aW9uLCBiaW9sb2dpY2FsIHByb2dub3NpcyBhbmQgdGVjaG5pY2FsIHJlc2VjdGFiaWxpdHkgaGF2ZSBkaXN0aW5jdCByb2xlcy4gQW4gZXhwZXJ0IHJlY29tbWVuZGF0aW9uIGlzIG5vdCBhIG5hdGlvbmFsIGFsbG9jYXRpb24gcnVsZS48L25vdGVzPjx1cmxzPjxyZWxhdGVkLXVybHM+PHVybD5odHRwczovL2RvaS5vcmcvMTAuMTAxNi9TMjQ2OC0xMjUzKDIxKTAwMjE5LTM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pPr>
      <w:r>
        <w:t xml:space="preserve">Any treatment decision requires joint medical-oncology, transplant-surgery, hepatology, and transplant-pharmacy review; the absence of proven overall-survival benefit must be documented.</w:t>
      </w:r>
    </w:p>
    <w:p>
      <w:pPr>
        <w:pStyle w:val="Normal"/>
        <w:widowControl/>
        <w:numPr>
          <w:ilvl w:val="0"/>
          <w:numId w:val="3"/>
        </w:numPr>
      </w:pPr>
      <w:r>
        <w:t xml:space="preserve">If investigational adjuvant therapy is selected, timing must depend on graft function, wound healing, infection status, marrow recovery, and immunosuppressant interactions.</w:t>
      </w:r>
    </w:p>
    <w:p>
      <w:pPr>
        <w:pStyle w:val="Normal"/>
        <w:widowControl/>
        <w:numPr>
          <w:ilvl w:val="0"/>
          <w:numId w:val="3"/>
        </w:numPr>
      </w:pPr>
      <w:r>
        <w:t xml:space="preserve">Duration is not evidence-defined after LT and must be specified by the approved protocol.</w:t>
      </w:r>
    </w:p>
    <w:p>
      <w:pPr>
        <w:pStyle w:val="Normal"/>
        <w:widowControl/>
        <w:numPr>
          <w:ilvl w:val="0"/>
          <w:numId w:val="3"/>
        </w:numPr>
      </w:pPr>
      <w:r>
        <w:t xml:space="preserve">Note: The IHPBA LT-CoMet 21 guidelines do not recommend routine adjuvant chemotherapy given the absence of proven OS benefit and risk of chemotoxicity in immunosuppressed patients</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Ni0xM108L0Rpc3BsYXlUZXh0PjxyZWNvcmQ+PHJlYy1udW1iZXI+MTM8L3JlYy1udW1iZXI+PGZvcmVpZ24ta2V5cz48a2V5IGFwcD0iRU4iIGRiLWlkPSI0MWUyNzJlZi0wMDM3LTU0NjktOTczNC1kZjBhNzYyNTdmNTEiIHRpbWVzdGFtcD0iMTc5MzI4MzY4NS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Z1bGwgdGV4dCByZWFkIGZvciB0aGUgVjE2IGV4dHJhaGVwYXRpYy1kaXNlYXNlIHJldmlldyAoY29tcGxldGUgbWFpbiB0ZXh0OyByZWxldmFudCBjb21wbGV0ZSBzZWN0aW9ucyBmb3IgbG9uZyBndWlkZWxpbmVzKS4gU2VsZWN0aW9uLCBiaW9sb2dpY2FsIHByb2dub3NpcyBhbmQgdGVjaG5pY2FsIHJlc2VjdGFiaWxpdHkgaGF2ZSBkaXN0aW5jdCByb2xlcy4gQW4gZXhwZXJ0IHJlY29tbWVuZGF0aW9uIGlzIG5vdCBhIG5hdGlvbmFsIGFsbG9jYXRpb24gcnVsZS48L25vdGVzPjx1cmxzPjxyZWxhdGVkLXVybHM+PHVybD5odHRwczovL2RvaS5vcmcvMTAuMTAxNi9TMjQ2OC0xMjUzKDIxKTAwMjE5LTM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Heading3"/>
        <w:keepNext/>
        <w:widowControl/>
      </w:pPr>
      <w:r>
        <w:t xml:space="preserve">9. Post-Transplant Surveillance</w:t>
      </w:r>
    </w:p>
    <w:p>
      <w:pPr>
        <w:pStyle w:val="Normal"/>
        <w:widowControl/>
      </w:pPr>
      <w:r>
        <w:t xml:space="preserve">Oncologic Surveillance:</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CT chest/abdomen/pelvis + tumor markers (CEA) every 3 months for years 1–2</w:t>
      </w:r>
    </w:p>
    <w:p>
      <w:pPr>
        <w:pStyle w:val="Normal"/>
        <w:widowControl/>
        <w:numPr>
          <w:ilvl w:val="0"/>
          <w:numId w:val="3"/>
        </w:numPr>
      </w:pPr>
      <w:r>
        <w:t xml:space="preserve">CT chest/abdomen/pelvis + tumor markers every 6 months for years 3–5</w:t>
      </w:r>
    </w:p>
    <w:p>
      <w:pPr>
        <w:pStyle w:val="Normal"/>
        <w:widowControl/>
        <w:numPr>
          <w:ilvl w:val="0"/>
          <w:numId w:val="3"/>
        </w:numPr>
      </w:pPr>
      <w:r>
        <w:t xml:space="preserve">PET-CT at 6, 12, 24 months, then annually through year 5</w:t>
      </w:r>
    </w:p>
    <w:p>
      <w:pPr>
        <w:pStyle w:val="Normal"/>
        <w:widowControl/>
        <w:numPr>
          <w:ilvl w:val="0"/>
          <w:numId w:val="3"/>
        </w:numPr>
      </w:pPr>
      <w:r>
        <w:t xml:space="preserve">Colonoscopy at 1 year post-LT, then per standard CRC surveillance guidelines</w:t>
      </w:r>
    </w:p>
    <w:p>
      <w:pPr>
        <w:pStyle w:val="Normal"/>
        <w:widowControl/>
      </w:pPr>
      <w:r>
        <w:t xml:space="preserve">Transplant Surveillance:</w:t>
      </w:r>
    </w:p>
    <w:p>
      <w:pPr>
        <w:pStyle w:val="Normal"/>
        <w:widowControl/>
        <w:numPr>
          <w:ilvl w:val="0"/>
          <w:numId w:val="3"/>
        </w:numPr>
      </w:pPr>
      <w:r>
        <w:t xml:space="preserve">Per institutional liver transplant follow-up protocol (liver function tests, immunosuppression drug levels, renal function, metabolic monitoring)</w:t>
      </w:r>
    </w:p>
    <w:p>
      <w:pPr>
        <w:pStyle w:val="Heading3"/>
        <w:keepNext/>
        <w:widowControl/>
      </w:pPr>
      <w:r>
        <w:t xml:space="preserve">10. Management of Recurrence</w:t>
      </w:r>
    </w:p>
    <w:p>
      <w:pPr>
        <w:pStyle w:val="Normal"/>
        <w:widowControl/>
        <w:numPr>
          <w:ilvl w:val="0"/>
          <w:numId w:val="3"/>
        </w:numPr>
      </w:pPr>
      <w:r>
        <w:t xml:space="preserve">Recurrence is common (~50–74%), predominantly pulmonary</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Small, slow-growing pulmonary metastases may be observed until amenable to curative resection</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Ni0xM108L0Rpc3BsYXlUZXh0PjxyZWNvcmQ+PHJlYy1udW1iZXI+MTM8L3JlYy1udW1iZXI+PGZvcmVpZ24ta2V5cz48a2V5IGFwcD0iRU4iIGRiLWlkPSI0MWUyNzJlZi0wMDM3LTU0NjktOTczNC1kZjBhNzYyNTdmNTEiIHRpbWVzdGFtcD0iMTc5MzI4MzY4NS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Z1bGwgdGV4dCByZWFkIGZvciB0aGUgVjE2IGV4dHJhaGVwYXRpYy1kaXNlYXNlIHJldmlldyAoY29tcGxldGUgbWFpbiB0ZXh0OyByZWxldmFudCBjb21wbGV0ZSBzZWN0aW9ucyBmb3IgbG9uZyBndWlkZWxpbmVzKS4gU2VsZWN0aW9uLCBiaW9sb2dpY2FsIHByb2dub3NpcyBhbmQgdGVjaG5pY2FsIHJlc2VjdGFiaWxpdHkgaGF2ZSBkaXN0aW5jdCByb2xlcy4gQW4gZXhwZXJ0IHJlY29tbWVuZGF0aW9uIGlzIG5vdCBhIG5hdGlvbmFsIGFsbG9jYXRpb24gcnVsZS48L25vdGVzPjx1cmxzPjxyZWxhdGVkLXVybHM+PHVybD5odHRwczovL2RvaS5vcmcvMTAuMTAxNi9TMjQ2OC0xMjUzKDIxKTAwMjE5LTM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pPr>
      <w:r>
        <w:t xml:space="preserve">Isolated extrahepatic recurrence, most commonly pulmonary, may reasonably be managed with metastasectomy or ablation when technically feasible and when the recurrence is solitary or oligometastatic and slow-growing. This is consensus opinion based on observational series, not a strong recommendation: no controlled data establish a survival benefit for aggressive local therapy of post-transplant recurrence in this population. Decisions require MDT review with explicit consideration of immunosuppression burden.</w:t>
      </w:r>
      <w:r>
        <w:t xml:space="preserve"> </w:t>
      </w:r>
      <w:r>
        <w:t xml:space="preserve"> </w:t>
      </w:r>
      <w:r>
        <w:t xml:space="preserve"> </w:t>
      </w:r>
      <w:r>
        <w:fldChar w:fldCharType="begin"/>
      </w:r>
      <w:r>
        <w:instrText xml:space="preserve"> ADDIN EN.CITE </w:instrText>
      </w:r>
      <w:r>
        <w:fldChar w:fldCharType="begin">
          <w:fldData>PEVuZE5vdGU+PENpdGU+PEF1dGhvcj5Cb25uZXk8L0F1dGhvcj48WWVhcj4yMDIxPC9ZZWFyPjxSZWNOdW0+MTM8L1JlY051bT48RGlzcGxheVRleHQ+W1YxNi0xM108L0Rpc3BsYXlUZXh0PjxyZWNvcmQ+PHJlYy1udW1iZXI+MTM8L3JlYy1udW1iZXI+PGZvcmVpZ24ta2V5cz48a2V5IGFwcD0iRU4iIGRiLWlkPSI0MWUyNzJlZi0wMDM3LTU0NjktOTczNC1kZjBhNzYyNTdmNTEiIHRpbWVzdGFtcD0iMTc5MzI4MzY4NS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Z1bGwgdGV4dCByZWFkIGZvciB0aGUgVjE2IGV4dHJhaGVwYXRpYy1kaXNlYXNlIHJldmlldyAoY29tcGxldGUgbWFpbiB0ZXh0OyByZWxldmFudCBjb21wbGV0ZSBzZWN0aW9ucyBmb3IgbG9uZyBndWlkZWxpbmVzKS4gU2VsZWN0aW9uLCBiaW9sb2dpY2FsIHByb2dub3NpcyBhbmQgdGVjaG5pY2FsIHJlc2VjdGFiaWxpdHkgaGF2ZSBkaXN0aW5jdCByb2xlcy4gQW4gZXhwZXJ0IHJlY29tbWVuZGF0aW9uIGlzIG5vdCBhIG5hdGlvbmFsIGFsbG9jYXRpb24gcnVsZS48L25vdGVzPjx1cmxzPjxyZWxhdGVkLXVybHM+PHVybD5odHRwczovL2RvaS5vcmcvMTAuMTAxNi9TMjQ2OC0xMjUzKDIxKTAwMjE5LTM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pPr>
      <w:r>
        <w:t xml:space="preserve">Systemic therapy for unresectable recurrence per standard mCRC guidelines</w:t>
      </w:r>
    </w:p>
    <w:p>
      <w:pPr>
        <w:pStyle w:val="Normal"/>
        <w:widowControl/>
        <w:numPr>
          <w:ilvl w:val="0"/>
          <w:numId w:val="3"/>
        </w:numPr>
      </w:pPr>
      <w:r>
        <w:t xml:space="preserve">Immunosuppression adjustment in consultation with transplant team</w:t>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A8L1JlY051bT48RGlzcGxheVRleHQ+W1YxNi0yMF08L0Rpc3BsYXlUZXh0PjxyZWNvcmQ+PHJlYy1udW1iZXI+MjA8L3JlYy1udW1iZXI+PGZvcmVpZ24ta2V5cz48a2V5IGFwcD0iRU4iIGRiLWlkPSI0MWUyNzJlZi0wMDM3LTU0NjktOTczNC1kZjBhNzYyNTdmNTEiIHRpbWVzdGFtcD0iMTc5MzI4MzY4NSI+MjA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xOTwvUmVjTnVtPjxEaXNwbGF5VGV4dD5bVjE2LTE5XTwvRGlzcGxheVRleHQ+PHJlY29yZD48cmVjLW51bWJlcj4xOTwvcmVjLW51bWJlcj48Zm9yZWlnbi1rZXlzPjxrZXkgYXBwPSJFTiIgZGItaWQ9IjQxZTI3MmVmLTAwMzctNTQ2OS05NzM0LWRmMGE3NjI1N2Y1MSIgdGltZXN0YW1wPSIxNzkzMjgzNjg1Ij4xOT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p>
    <w:p>
      <w:pPr>
        <w:pStyle w:val="Heading2"/>
        <w:keepNext/>
        <w:widowControl/>
      </w:pPr>
      <w:r>
        <w:t xml:space="preserve">Outcome evidence within the standard pathway</w:t>
      </w:r>
    </w:p>
    <w:p>
      <w:pPr>
        <w:pStyle w:val="Normal"/>
        <w:widowControl/>
      </w:pPr>
      <w:r>
        <w:t xml:space="preserve">The following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Ni02XTwvRGlzcGxheVRleHQ+PHJlY29yZD48cmVjLW51bWJlcj42PC9yZWMtbnVtYmVyPjxmb3JlaWduLWtleXM+PGtleSBhcHA9IkVOIiBkYi1pZD0iNDFlMjcyZWYtMDAzNy01NDY5LTk3MzQtZGYwYTc2MjU3ZjUxIiB0aW1lc3RhbXA9IjE3OTMyODM2ODU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8">
              <w:r>
                <w:rPr>
                  <w:color w:val="77230C"/>
                  <w:sz w:val="20"/>
                  <w:u w:val="single"/>
                </w:rPr>
                <w:t>Primary source</w:t>
              </w:r>
            </w:hyperlink>
            <w:r>
              <w:t xml:space="preserve"> | </w:t>
            </w:r>
            <w:hyperlink r:id="rId9">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2023 · ctDNA</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zPC9ZZWFyPjxSZWNOdW0+MjI8L1JlY051bT48RGlzcGxheVRleHQ+W1YxNi0yMl08L0Rpc3BsYXlUZXh0PjxyZWNvcmQ+PHJlYy1udW1iZXI+MjI8L3JlYy1udW1iZXI+PGZvcmVpZ24ta2V5cz48a2V5IGFwcD0iRU4iIGRiLWlkPSI0MWUyNzJlZi0wMDM3LTU0NjktOTczNC1kZjBhNzYyNTdmNTEiIHRpbWVzdGFtcD0iMTc5MzI4MzY4NSI+MjI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Exploratory January–August 2022 CRLM series: 52 patients, described as 34 preoperative and 18 postoperative tests; nine paired pre/postoperative samples. Twenty-nine operations comprised 24 resections and five LT. Guardant360 tumour-agnostic 83-gene assay.</w:t>
            </w:r>
          </w:p>
          <w:p>
            <w:pPr>
              <w:pStyle w:val="Normal"/>
              <w:widowControl/>
              <w:spacing w:before="60" w:after="20"/>
            </w:pPr>
            <w:hyperlink r:id="rId10">
              <w:r>
                <w:rPr>
                  <w:color w:val="77230C"/>
                  <w:sz w:val="20"/>
                  <w:u w:val="single"/>
                </w:rPr>
                <w:t>Primary source</w:t>
              </w:r>
            </w:hyperlink>
            <w:r>
              <w:t xml:space="preserve"> | </w:t>
            </w:r>
            <w:hyperlink r:id="rId11">
              <w:r>
                <w:rPr>
                  <w:color w:val="77230C"/>
                  <w:sz w:val="20"/>
                  <w:u w:val="single"/>
                </w:rPr>
                <w:t>Full-text PDF</w:t>
              </w:r>
            </w:hyperlink>
          </w:p>
          <w:p>
            <w:pPr>
              <w:pStyle w:val="Normal"/>
              <w:widowControl/>
              <w:spacing w:before="60" w:after="20"/>
            </w:pPr>
            <w:r>
              <w:t xml:space="preserve">Locator: PDF p 3: Results/Table 1; pp 4–5: paired cohort/Table 2; p 6: Figure 4; p 7: donor-derived/nononcologic DNA; p 8: limitations; p 10: appendix.</w:t>
            </w:r>
          </w:p>
          <w:p>
            <w:pPr>
              <w:pStyle w:val="Normal"/>
              <w:widowControl/>
              <w:spacing w:before="60" w:after="20"/>
            </w:pPr>
            <w:r>
              <w:t xml:space="preserve">Review depth: Complete ten-page paper read, including methods, Tables 1–2, figures, discussion and Appendix 1.</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Only four LT recipients had paired samples. Postoperative draws ranged from nine to 191 days and preoperative draws from one to 146 days. Mean postoperative follow-up 271 days overall; paired-LT follow-up mean 574 days (160–1160). These are not uniform landmark analyses. All nine paired patients had preoperative ctDNA; three remained positive postoperatively. Three of four paired LT recipients cleared ctDNA; none of the four recurred during reported follow-up. The Results describe 14 positive plus six negative postoperative tests, totaling 20, despite stating a postoperative cohort of 18; the associated eight of 14 versus zero of six recurrence comparison must not be presented as a reliable LT risk estimate. One post-LT NOTCH1-positive patient was NED at 4.5 years; newly detected variants may be donor-derived or nononcologic.</w:t>
            </w:r>
          </w:p>
          <w:p>
            <w:pPr>
              <w:pStyle w:val="Normal"/>
              <w:widowControl/>
              <w:spacing w:before="60" w:after="20"/>
            </w:pPr>
            <w:r>
              <w:rPr>
                <w:b/>
              </w:rPr>
              <w:t xml:space="preserve">Do not infer: </w:t>
            </w:r>
            <w:r>
              <w:t xml:space="preserve">Mixed resection/LT population, very small LT subset, discretionary testing, inconsistent postoperative denominator and variable sample timing. Paired-test P values differ between abstract, body and Table 2; avoid a definitive numerical significance claim. No validated ctDNA threshold for listing, delisting, surveillance escalation or transplant benefit. Tumour mutational burden was not significantly associated with response (P=.1035); no TMB eligibility cutoff. No assay safety problem was established; the important risks are false reassurance and inappropriate exclusion or treatment based on unvalidated results. Supplement access: Appendix 1 is included. No separately supplied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M8L1JlY051bT48RGlzcGxheVRleHQ+W1YxNi0yM108L0Rpc3BsYXlUZXh0PjxyZWNvcmQ+PHJlYy1udW1iZXI+MjM8L3JlYy1udW1iZXI+PGZvcmVpZ24ta2V5cz48a2V5IGFwcD0iRU4iIGRiLWlkPSI0MWUyNzJlZi0wMDM3LTU0NjktOTczNC1kZjBhNzYyNTdmNTEiIHRpbWVzdGFtcD0iMTc5MzI4MzY4NSI+MjM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12">
              <w:r>
                <w:rPr>
                  <w:color w:val="77230C"/>
                  <w:sz w:val="20"/>
                  <w:u w:val="single"/>
                </w:rPr>
                <w:t>Primary source</w:t>
              </w:r>
            </w:hyperlink>
            <w:r>
              <w:t xml:space="preserve"> | </w:t>
            </w:r>
            <w:hyperlink r:id="rId13">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jQ8L1JlY051bT48RGlzcGxheVRleHQ+W1YxNi0yNF08L0Rpc3BsYXlUZXh0PjxyZWNvcmQ+PHJlYy1udW1iZXI+MjQ8L3JlYy1udW1iZXI+PGZvcmVpZ24ta2V5cz48a2V5IGFwcD0iRU4iIGRiLWlkPSI0MWUyNzJlZi0wMDM3LTU0NjktOTczNC1kZjBhNzYyNTdmNTEiIHRpbWVzdGFtcD0iMTc5MzI4MzY4NSI+MjQ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[V16-24]</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14">
              <w:r>
                <w:rPr>
                  <w:color w:val="77230C"/>
                  <w:sz w:val="20"/>
                  <w:u w:val="single"/>
                </w:rPr>
                <w:t>Primary source</w:t>
              </w:r>
            </w:hyperlink>
            <w:r>
              <w:t xml:space="preserve"> | </w:t>
            </w:r>
            <w:hyperlink r:id="rId15">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I1PC9SZWNOdW0+PERpc3BsYXlUZXh0PltWMTYtMjVdPC9EaXNwbGF5VGV4dD48cmVjb3JkPjxyZWMtbnVtYmVyPjI1PC9yZWMtbnVtYmVyPjxmb3JlaWduLWtleXM+PGtleSBhcHA9IkVOIiBkYi1pZD0iNDFlMjcyZWYtMDAzNy01NDY5LTk3MzQtZGYwYTc2MjU3ZjUxIiB0aW1lc3RhbXA9IjE3OTMyODM2ODUiPjI1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16">
              <w:r>
                <w:rPr>
                  <w:color w:val="77230C"/>
                  <w:sz w:val="20"/>
                  <w:u w:val="single"/>
                </w:rPr>
                <w:t>Primary source</w:t>
              </w:r>
            </w:hyperlink>
            <w:r>
              <w:t xml:space="preserve"> | </w:t>
            </w:r>
            <w:hyperlink r:id="rId17">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Kataoka 2025 · DREAM</w:t>
            </w:r>
            <w:r>
              <w:t xml:space="preserve"> </w:t>
            </w:r>
            <w:r>
              <w:t xml:space="preserve"> </w:t>
            </w:r>
            <w:r>
              <w:t xml:space="preserve"> </w:t>
            </w:r>
            <w:r>
              <w:fldChar w:fldCharType="begin"/>
            </w:r>
            <w:r>
              <w:instrText xml:space="preserve"> ADDIN EN.CITE </w:instrText>
            </w:r>
            <w:r>
              <w:fldChar w:fldCharType="begin">
                <w:fldData>PEVuZE5vdGU+PENpdGU+PEF1dGhvcj5LYXRhb2thPC9BdXRob3I+PFllYXI+MjAyNTwvWWVhcj48UmVjTnVtPjg8L1JlY051bT48RGlzcGxheVRleHQ+W1YxNi04XTwvRGlzcGxheVRleHQ+PHJlY29yZD48cmVjLW51bWJlcj44PC9yZWMtbnVtYmVyPjxmb3JlaWduLWtleXM+PGtleSBhcHA9IkVOIiBkYi1pZD0iNDFlMjcyZWYtMDAzNy01NDY5LTk3MzQtZGYwYTc2MjU3ZjUxIiB0aW1lc3RhbXA9IjE3OTMyODM2ODUiPjg8L2tleT48L2ZvcmVpZ24ta2V5cz48cmVmLXR5cGUgbmFtZT0iSm91cm5hbCBBcnRpY2xlIj4xNzwvcmVmLXR5cGU+PGNvbnRyaWJ1dG9ycz48YXV0aG9ycz48YXV0aG9yPkthdGFva2EsIEtvem88L2F1dGhvcj48YXV0aG9yPk1hdWVyLCBNdXJpZWxsZTwvYXV0aG9yPjxhdXRob3I+U2hpb3phd2EsIE1hbmFidTwvYXV0aG9yPjxhdXRob3I+TWFycmVhdWQsIFNhbmRyaW5lPC9hdXRob3I+PC9hdXRob3JzPjwvY29udHJpYnV0b3JzPjx0aXRsZXM+PHRpdGxlPkRpYWdub3N0aWMgQWNjdXJhY3kgb2YgSW1hZ2luZyBpbiBBc3Nlc3NpbmcgTm9udmlhYmlsaXR5IG9mIERpc2FwcGVhcmluZyBDb2xvcmVjdGFsIExpdmVyIE1ldGFzdGFzaXM8L3RpdGxlPjxzZWNvbmRhcnktdGl0bGU+SkFNQSBTdXJnZXJ5PC9zZWNvbmRhcnktdGl0bGU+PC90aXRsZXM+PHBlcmlvZGljYWw+PGZ1bGwtdGl0bGU+SkFNQSBTdXJnZXJ5PC9mdWxsLXRpdGxlPjwvcGVyaW9kaWNhbD48ZGF0ZXM+PHllYXI+MjAyNTwveWVhcj48L2RhdGVzPjxlbGVjdHJvbmljLXJlc291cmNlLW51bT4xMC4xMDAxL2phbWFzdXJnLjIwMjUuMzYwMDwvZWxlY3Ryb25pYy1yZXNvdXJjZS1udW0+PG5vdGVzPlByb3NwZWN0aXZlIG11bHRpY2VudHJlIGRpYWdub3N0aWMgY29ob3J0IEFsbCBuaW5lIFBERiBwYWdlcyByZWFkLiBDb21wbGV0ZSBwcmltYXJ5IHN0dWR5IHBwIDEyMTImIzgyMTE7MTIyMCwgaW5jbHVkaW5nIHJlZmVyZW5jZXM7IGZpbmFsIHBhZ2UgYWxzbyBiZWdpbnMgYSBzZXBhcmF0ZSBpbnZpdGVkIGNvbW1lbnRhcnkgd2hvc2UgY29udGludWF0aW9uIGlzIG5vdCBpbmNsdWRlZCBhbmQgd2FzIG5vdCB0cmVhdGVkIGFzIGNvbXBsZXRlLiBWOCBleHRyYWN0aW9uIGFuZCBsaW1pdGF0aW9uczogc291cmNlL21ldGFzdGFzZXNfZnVsbHRleHRfcmV2aWV3Lmpzb248L25vdGVzPjx1cmxzPjxyZWxhdGVkLXVybHM+PHVybD5odHRwczovL2RvaS5vcmcvMTAuMTAwMS9qYW1hc3VyZy4yMDI1LjM2MDA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Prospective international diagnostic study at 21 centres. 233 registered with initially borderline/unresectable CLM; 112 considered suitable for conversion surgery after chemotherapy and enrolled, 109 operated. WHO 0–1, with resectable extrahepatic disease allowed. R0 feasibility with functional vascular/biliary anatomy and ≥30% future liver remnant was this study's definition, not a universal LT criterion. CT disappearance = DLM; disappearance on CT and multiparametric MRI = cDLM.</w:t>
            </w:r>
          </w:p>
          <w:p>
            <w:pPr>
              <w:pStyle w:val="Normal"/>
              <w:widowControl/>
              <w:spacing w:before="60" w:after="20"/>
            </w:pPr>
            <w:hyperlink r:id="rId18">
              <w:r>
                <w:rPr>
                  <w:color w:val="77230C"/>
                  <w:sz w:val="20"/>
                  <w:u w:val="single"/>
                </w:rPr>
                <w:t>Primary source</w:t>
              </w:r>
            </w:hyperlink>
            <w:r>
              <w:t xml:space="preserve"> | </w:t>
            </w:r>
            <w:hyperlink r:id="rId19">
              <w:r>
                <w:rPr>
                  <w:color w:val="77230C"/>
                  <w:sz w:val="20"/>
                  <w:u w:val="single"/>
                </w:rPr>
                <w:t>Full-text PDF</w:t>
              </w:r>
            </w:hyperlink>
          </w:p>
          <w:p>
            <w:pPr>
              <w:pStyle w:val="Normal"/>
              <w:widowControl/>
              <w:spacing w:before="60" w:after="20"/>
            </w:pPr>
            <w:r>
              <w:t xml:space="preserve">Locator: Methods pp 1213–1214; patient table p 1215; flowchart and outcomes p 1216; NPV Figure 2 p 1217; survival Figure 4 and limitations p 1218.</w:t>
            </w:r>
          </w:p>
          <w:p>
            <w:pPr>
              <w:pStyle w:val="Normal"/>
              <w:widowControl/>
              <w:spacing w:before="60" w:after="20"/>
            </w:pPr>
            <w:r>
              <w:t xml:space="preserve">Review depth: All nine PDF pages read. Complete primary study pp 1212–1220, including references; final page also begins a separate invited commentary whose continuation is not included and was not treated as complete.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203 cDLMs in 54 patients; 152 evaluable cDLMs in 44 patients (88 resected, 64 left). Fifty-one cDLMs excluded, including death before two years, missing/out-of-window MRI, ablation or pathology data. Median follow-up 26.1 months after surgery. Survival time zero is initial hepatic surgery. Primary endpoint combines pathology at surgery and lack of site recurrence at two years; these are not identical gold standards. Nonviability NPV for CT+MRI disappearance 95/152 =62.5% (90% CI 50.8–74.2), below prespecified 85%; CT-only DLM NPV 52.9%. Resected cDLMs: 50/88 nonviable, leaving 38/88 with residual viable disease. Left cDLMs: 45/64 without site recurrence at two years, 19/64 with recurrence. With CEUS and cDLM: 42/57 lesions invisible on CEUS were nonviable/no two-year site recurrence (73.7%; 90% CI 55.0–92.3), still imperfect. No equivalence to Oba's expert-centre results. Among 45 patients without extrahepatic disease and R0/R1 resection, all cDLMs removed (19) versus some left (26): DFS HR 0.92 (95% CI 0.48–1.77), OS HR 0.80 (0.21–3.08). Underpowered nonrandom comparison, not proof that resection is useless. Among 109 surgeries, grade ≥IIIa early complications 12/109 (11.0%), late complications 4/109 (3.7%); no postoperative mortality. Postoperative chemotherapy in 46/109.</w:t>
            </w:r>
          </w:p>
          <w:p>
            <w:pPr>
              <w:pStyle w:val="Normal"/>
              <w:widowControl/>
              <w:spacing w:before="60" w:after="20"/>
            </w:pPr>
            <w:r>
              <w:rPr>
                <w:b/>
              </w:rPr>
              <w:t xml:space="preserve">Do not infer: </w:t>
            </w:r>
            <w:r>
              <w:t xml:space="preserve">No central imaging review completed; mixed MRI contrast agents and intraoperative ultrasound practice. Selection and verification bias from conversion-only population and exclusions; per-lesion within-patient correlation was addressed statistically but clinical selection remained. Not powered for survival benefit, no adjustment of survival comparisons; trial discussion of possible LT is hypothesis, not direct evidence. Supplement 1 imaging/pathology guidelines, additional tables/figures and Supplement 2 data-sharing statement are not in this download. Supplement access: Main study complete; Supplement 1 and Supplement 2 absent. Separate invited commentary only begins on the last page.</w:t>
            </w:r>
          </w:p>
        </w:tc>
      </w:tr>
      <w:tr>
        <w:trPr/>
        <w:tc>
          <w:tcPr>
            <w:tcW w:w="3400" w:type="dxa"/>
            <w:tcMar>
              <w:top w:w="90" w:type="dxa"/>
              <w:left w:w="90" w:type="dxa"/>
              <w:bottom w:w="90" w:type="dxa"/>
              <w:right w:w="90" w:type="dxa"/>
            </w:tcMar>
          </w:tcPr>
          <w:p>
            <w:pPr>
              <w:pStyle w:val="Normal"/>
              <w:widowControl/>
              <w:spacing w:before="60" w:after="20"/>
            </w:pPr>
            <w:r>
              <w:rPr>
                <w:b/>
              </w:rPr>
              <w:t xml:space="preserve">Grut 2022 · MTV</w:t>
            </w:r>
            <w:r>
              <w:t xml:space="preserve"> </w:t>
            </w:r>
            <w:r>
              <w:t xml:space="preserve"> </w:t>
            </w:r>
            <w:r>
              <w:t xml:space="preserve"> </w:t>
            </w:r>
            <w:r>
              <w:fldChar w:fldCharType="begin"/>
            </w:r>
            <w:r>
              <w:instrText xml:space="preserve"> ADDIN EN.CITE </w:instrText>
            </w:r>
            <w:r>
              <w:fldChar w:fldCharType="begin">
                <w:fldData>PEVuZE5vdGU+PENpdGU+PEF1dGhvcj5HcnV0PC9BdXRob3I+PFllYXI+MjAyMjwvWWVhcj48UmVjTnVtPjEyPC9SZWNOdW0+PERpc3BsYXlUZXh0PltWMTYtMTJdPC9EaXNwbGF5VGV4dD48cmVjb3JkPjxyZWMtbnVtYmVyPjEyPC9yZWMtbnVtYmVyPjxmb3JlaWduLWtleXM+PGtleSBhcHA9IkVOIiBkYi1pZD0iNDFlMjcyZWYtMDAzNy01NDY5LTk3MzQtZGYwYTc2MjU3ZjUxIiB0aW1lc3RhbXA9IjE3OTMyODM2ODUiPjEy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Retrospective pooled prognostic analysis of 40 already-transplanted SECA recipients: 23 SECA-I and 17 SECA-II (November 2006–August 2018). ECOG 0–1, radically resected primary, liver-only unresectable metastases. Different trial criteria allowed progression in SECA-I, but not SECA-II.</w:t>
            </w:r>
          </w:p>
          <w:p>
            <w:pPr>
              <w:pStyle w:val="Normal"/>
              <w:widowControl/>
              <w:spacing w:before="60" w:after="20"/>
            </w:pPr>
            <w:hyperlink r:id="rId20">
              <w:r>
                <w:rPr>
                  <w:color w:val="77230C"/>
                  <w:sz w:val="20"/>
                  <w:u w:val="single"/>
                </w:rPr>
                <w:t>Primary source</w:t>
              </w:r>
            </w:hyperlink>
            <w:r>
              <w:t xml:space="preserve"> | </w:t>
            </w:r>
            <w:hyperlink r:id="rId21">
              <w:r>
                <w:rPr>
                  <w:color w:val="77230C"/>
                  <w:sz w:val="20"/>
                  <w:u w:val="single"/>
                </w:rPr>
                <w:t>Full-text PDF</w:t>
              </w:r>
            </w:hyperlink>
          </w:p>
          <w:p>
            <w:pPr>
              <w:pStyle w:val="Normal"/>
              <w:widowControl/>
              <w:spacing w:before="60" w:after="20"/>
            </w:pPr>
            <w:r>
              <w:t xml:space="preserve">Locator: Printed pp 1074–1075 Methods and ROC; Tables 1–2 pp 1075–1076; recurrence p 1077; limitations and scan timing p 1079.</w:t>
            </w:r>
          </w:p>
          <w:p>
            <w:pPr>
              <w:pStyle w:val="Normal"/>
              <w:widowControl/>
              <w:spacing w:before="60" w:after="20"/>
            </w:pPr>
            <w:r>
              <w:t xml:space="preserve">Review depth: Complete nine-page published paper read, including Methods, all tables/figures,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LT to 22 December 2021, postrecurrence survival from relapse. Twenty-six MTV &lt;70 cm³ and 14 &gt;70; the exact equality boundary was not specified. ROC-derived cutpoint 66.09 rounded to 70. TLG ROC cutpoint 238.80, not 260. Five-/ten-year OS 76%/50% for low MTV versus 21%/7% for high MTV (P&lt;0.001). Median DFS 16 versus 4 months; all 14 high-MTV and 19/26 low-MTV recipients recurred. Five-/ten-year postrecurrence survival 57%/37% versus 14%/7%. No randomized comparison or incremental benefit analysis. High-MTV group had progression in 79% versus 19%, CEA median 95 versus 3, larger lesions 83 versus 29 mm and substantially more second/third-line treatment: strong confounding by biology. PET was performed after a reported chemotherapy pause of four to six weeks. Among 20 scanned &lt;90 days before LT, MTV was strongly associated with OS; among 20 scanned &gt;90 days, P=0.093. Timing subgroup findings do not prove an optimal universal interval.</w:t>
            </w:r>
          </w:p>
          <w:p>
            <w:pPr>
              <w:pStyle w:val="Normal"/>
              <w:widowControl/>
              <w:spacing w:before="60" w:after="20"/>
            </w:pPr>
            <w:r>
              <w:rPr>
                <w:b/>
              </w:rPr>
              <w:t xml:space="preserve">Do not infer: </w:t>
            </w:r>
            <w:r>
              <w:t xml:space="preserve">Threshold derived and assessed in the same small overlapping SECA cohort; no multivariable isolation of MTV and no untreated comparator. TLG separated the identical patients, so it is not independent validation or an additive test. The paper reports no PET-attributable harms; withholding chemotherapy four to six weeks was study practice, not a universally safe requirement. A zero MTV indicates below-threshold FDG uptake, not histological clearance. Supplement access: No separate supplement cited.</w:t>
            </w:r>
          </w:p>
        </w:tc>
      </w:tr>
      <w:tr>
        <w:trPr/>
        <w:tc>
          <w:tcPr>
            <w:tcW w:w="3400" w:type="dxa"/>
            <w:tcMar>
              <w:top w:w="90" w:type="dxa"/>
              <w:left w:w="90" w:type="dxa"/>
              <w:bottom w:w="90" w:type="dxa"/>
              <w:right w:w="90" w:type="dxa"/>
            </w:tcMar>
          </w:tcPr>
          <w:p>
            <w:pPr>
              <w:pStyle w:val="Normal"/>
              <w:widowControl/>
              <w:spacing w:before="60" w:after="20"/>
            </w:pPr>
            <w:r>
              <w:rPr>
                <w:b/>
              </w:rPr>
              <w:t xml:space="preserve">Oba 2018 · disappearing lesions</w:t>
            </w:r>
            <w:r>
              <w:t xml:space="preserve"> </w:t>
            </w:r>
            <w:r>
              <w:t xml:space="preserve"> </w:t>
            </w:r>
            <w:r>
              <w:t xml:space="preserve"> </w:t>
            </w:r>
            <w:r>
              <w:fldChar w:fldCharType="begin"/>
            </w:r>
            <w:r>
              <w:instrText xml:space="preserve"> ADDIN EN.CITE </w:instrText>
            </w:r>
            <w:r>
              <w:fldChar w:fldCharType="begin">
                <w:fldData>PEVuZE5vdGU+PENpdGU+PEF1dGhvcj5PYmE8L0F1dGhvcj48WWVhcj4yMDE4PC9ZZWFyPjxSZWNOdW0+OTwvUmVjTnVtPjxEaXNwbGF5VGV4dD5bVjE2LTldPC9EaXNwbGF5VGV4dD48cmVjb3JkPjxyZWMtbnVtYmVyPjk8L3JlYy1udW1iZXI+PGZvcmVpZ24ta2V5cz48a2V5IGFwcD0iRU4iIGRiLWlkPSI0MWUyNzJlZi0wMDM3LTU0NjktOTczNC1kZjBhNzYyNTdmNTEiIHRpbWVzdGFtcD0iMTc5MzI4MzY4NSI+OTwva2V5PjwvZm9yZWlnbi1rZXlzPjxyZWYtdHlwZSBuYW1lPSJKb3VybmFsIEFydGljbGUiPjE3PC9yZWYtdHlwZT48Y29udHJpYnV0b3JzPjxhdXRob3JzPjxhdXRob3I+T2JhLCBBdHN1c2hpPC9hdXRob3I+PGF1dGhvcj5NaXNlLCBZb3NoaWhpcm88L2F1dGhvcj48YXV0aG9yPkl0bywgSGlyb21pY2hpPC9hdXRob3I+PGF1dGhvcj5IaXJhdHN1a2EsIE1ha2lrbzwvYXV0aG9yPjxhdXRob3I+SW5vdWUsIFlvc3VrZTwvYXV0aG9yPjxhdXRob3I+SXNoaXphd2EsIFRha2Vha2k8L2F1dGhvcj48YXV0aG9yPkFyaXRhLCBKdW5pY2hpPC9hdXRob3I+PGF1dGhvcj5NYXRzdWVkYSwgS2l5b3NoaTwvYXV0aG9yPjxhdXRob3I+VGFrYWhhc2hpLCBZdTwvYXV0aG9yPjxhdXRob3I+U2FpdXJhLCBBa2lvPC9hdXRob3I+PC9hdXRob3JzPjwvY29udHJpYnV0b3JzPjx0aXRsZXM+PHRpdGxlPkNsaW5pY2FsIGltcGxpY2F0aW9ucyBvZiBkaXNhcHBlYXJpbmcgY29sb3JlY3RhbCBsaXZlciBtZXRhc3Rhc2VzIGhhdmUgY2hhbmdlZCBpbiB0aGUgZXJhIG9mIGhlcGF0b2N5dGUtc3BlY2lmaWMgTVJJIGFuZCBjb250cmFzdC1lbmhhbmNlZCBpbnRyYW9wZXJhdGl2ZSB1bHRyYXNvbm9ncmFwaHk8L3RpdGxlPjxzZWNvbmRhcnktdGl0bGU+SFBCPC9zZWNvbmRhcnktdGl0bGU+PC90aXRsZXM+PHBlcmlvZGljYWw+PGZ1bGwtdGl0bGU+SFBCPC9mdWxsLXRpdGxlPjwvcGVyaW9kaWNhbD48ZGF0ZXM+PHllYXI+MjAxODwveWVhcj48L2RhdGVzPjx2b2x1bWU+MjA8L3ZvbHVtZT48bnVtYmVyPjg8L251bWJlcj48cGFnZXM+NzA4LTcxNDwvcGFnZXM+PGVsZWN0cm9uaWMtcmVzb3VyY2UtbnVtPjEwLjEwMTYvai5ocGIuMjAxOC4wMi4zNzc8L2VsZWN0cm9uaWMtcmVzb3VyY2UtbnVtPjxub3Rlcz5SZXRyb3NwZWN0aXZlIGltYWdpbmcvc3VyZ2ljYWwgY29ob3J0IENvbXBsZXRlIHNldmVuLXBhZ2UgbWFpbiBwYXBlciByZWFkLCBpbmNsdWRpbmcgbWV0aG9kcywgcmVzdWx0cywgdGFibGVzLCBmaWd1cmUgdGV4dC9jYXB0aW9ucywgZGlzY3Vzc2lvbiBhbmQgcmVmZXJlbmNlcy4gVjggZXh0cmFjdGlvbiBhbmQgbGltaXRhdGlvbnM6IHNvdXJjZS9tZXRhc3Rhc2VzX2Z1bGx0ZXh0X3Jldmlldy5qc29uPC9ub3Rlcz48dXJscz48cmVsYXRlZC11cmxzPjx1cmw+aHR0cHM6Ly9kb2kub3JnLzEwLjEwMTYvai5ocGIuMjAxOC4wMi4zNzc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Single-centre diagnostic/surgical cohort: 392 hepatectomy patients, 228 treated with preoperative chemotherapy, 184 with CT, EOB-MRI and contrast-enhanced intraoperative ultrasound (CE-IOUS). Fifty-nine patients had 275 CT-disappearing liver metastases; median original size 8 mm. Ninety-eight percent had partial response and 75% received postoperative chemotherapy. This was not an LT cohort.</w:t>
            </w:r>
          </w:p>
          <w:p>
            <w:pPr>
              <w:pStyle w:val="Normal"/>
              <w:widowControl/>
              <w:spacing w:before="60" w:after="20"/>
            </w:pPr>
            <w:hyperlink r:id="rId22">
              <w:r>
                <w:rPr>
                  <w:color w:val="77230C"/>
                  <w:sz w:val="20"/>
                  <w:u w:val="single"/>
                </w:rPr>
                <w:t>Primary source</w:t>
              </w:r>
            </w:hyperlink>
            <w:r>
              <w:t xml:space="preserve"> | </w:t>
            </w:r>
            <w:hyperlink r:id="rId23">
              <w:r>
                <w:rPr>
                  <w:color w:val="77230C"/>
                  <w:sz w:val="20"/>
                  <w:u w:val="single"/>
                </w:rPr>
                <w:t>Full-text PDF</w:t>
              </w:r>
            </w:hyperlink>
          </w:p>
          <w:p>
            <w:pPr>
              <w:pStyle w:val="Normal"/>
              <w:widowControl/>
              <w:spacing w:before="60" w:after="20"/>
            </w:pPr>
            <w:r>
              <w:t xml:space="preserve">Locator: Printed pp 708–714; methods pp 709–710; Figure 2 p 711; Table 2 p 712; limitations p 713.</w:t>
            </w:r>
          </w:p>
          <w:p>
            <w:pPr>
              <w:pStyle w:val="Normal"/>
              <w:widowControl/>
              <w:spacing w:before="60" w:after="20"/>
            </w:pPr>
            <w:r>
              <w:t xml:space="preserve">Review depth: Complete seven-page main paper read, including methods, results, tables, figure text/captions,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Lesion-level reference standard: pathology for resected lesions and subsequent site recurrence for unresected lesions. Unresected-site follow-up median 27 months (range 9–72), not a transplant survival endpoint. EOB-MRI detected 71 of 275 lesions, 65 viable. EOB-MRI plus CE-IOUS detected 165 lesions, 127 viable. Of 110 lesions undetected by both methods, 68 were resected with three viable; 42 were left in situ with six site recurrences. Table 2: combined sensitivity 127/136 (93%), negative predictive value 101/110 (92%).</w:t>
            </w:r>
          </w:p>
          <w:p>
            <w:pPr>
              <w:pStyle w:val="Normal"/>
              <w:widowControl/>
              <w:spacing w:before="60" w:after="20"/>
            </w:pPr>
            <w:r>
              <w:rPr>
                <w:b/>
              </w:rPr>
              <w:t xml:space="preserve">Do not infer: </w:t>
            </w:r>
            <w:r>
              <w:t xml:space="preserve">Unblinded imaging, operator-dependent ultrasound, different pathology and recurrence reference standards. Pathological sections 3–10 mm apart can miss residual cancer; postoperative chemotherapy can suppress recurrence. Japanese perflubutane protocol and expertise are not a mandate for an unavailable US contrast agent. Does not establish a survival benefit from blind resection of every old site or from LT; no comparative operative-harm estimate. Supplement access: No separate supplement included or identified in the main paper; earlier imaging-method papers were not re-reviewed.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2025 · PET</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1PC9ZZWFyPjxSZWNOdW0+MTE8L1JlY051bT48RGlzcGxheVRleHQ+W1YxNi0xMV08L0Rpc3BsYXlUZXh0PjxyZWNvcmQ+PHJlYy1udW1iZXI+MTE8L3JlYy1udW1iZXI+PGZvcmVpZ24ta2V5cz48a2V5IGFwcD0iRU4iIGRiLWlkPSI0MWUyNzJlZi0wMDM3LTU0NjktOTczNC1kZjBhNzYyNTdmNTEiIHRpbWVzdGFtcD0iMTc5MzI4MzY4NSI+MTE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Retrospective two-US-centre study of 26 recipients (24 LDLT), 2017–2023; all Oslo score 0–2. Five had PET MTV ≥70 cm3 and 21 had lower MTV. No nontransplanted comparator.</w:t>
            </w:r>
          </w:p>
          <w:p>
            <w:pPr>
              <w:pStyle w:val="Normal"/>
              <w:widowControl/>
              <w:spacing w:before="60" w:after="20"/>
            </w:pPr>
            <w:hyperlink r:id="rId24">
              <w:r>
                <w:rPr>
                  <w:color w:val="77230C"/>
                  <w:sz w:val="20"/>
                  <w:u w:val="single"/>
                </w:rPr>
                <w:t>Primary source</w:t>
              </w:r>
            </w:hyperlink>
            <w:r>
              <w:t xml:space="preserve"> | </w:t>
            </w:r>
            <w:hyperlink r:id="rId25">
              <w:r>
                <w:rPr>
                  <w:color w:val="77230C"/>
                  <w:sz w:val="20"/>
                  <w:u w:val="single"/>
                </w:rPr>
                <w:t>Full-text PDF</w:t>
              </w:r>
            </w:hyperlink>
          </w:p>
          <w:p>
            <w:pPr>
              <w:pStyle w:val="Normal"/>
              <w:widowControl/>
              <w:spacing w:before="60" w:after="20"/>
            </w:pPr>
            <w:r>
              <w:t xml:space="preserve">Locator: PDF pp 4–6: methods, results and Table 1; pp 7–8: Table 2/explant viability; pp 10–11: chemotherapy timing and limitations.</w:t>
            </w:r>
          </w:p>
          <w:p>
            <w:pPr>
              <w:pStyle w:val="Normal"/>
              <w:widowControl/>
              <w:spacing w:before="60" w:after="20"/>
            </w:pPr>
            <w:r>
              <w:t xml:space="preserve">Review depth: Complete 13-page main paper read, including methods, Tables 1–2, figures/captions,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recipient follow-up 21 months (IQR 11–36); PET within four months of LT, median 1.9 months. Chemotherapy-to-PET interval median 20 days (IQR 0–30), unlike the Oslo four-to-six-week interruption. One-/two-year survival percentages use mature denominators 18/13. Recurrence occurred in four of five high-MTV recipients versus four of 21 low-MTV recipients; two cancer deaths. One-/two-year RFS 15/18 (83%) and 8/13 (62%); OS 18/18 (100%) and 11/13 (85%). Nineteen of 26 explants were viable. All 11 PET-avid cases were viable; eight of 15 nonavid cases were also viable (53.3%). Eight of 19 viable and none of seven nonviable explants recurred. High-MTV patients also had more poorly differentiated tumours (80% versus 14.3%) and higher CEA (35 versus 3.3), without multivariable adjustment.</w:t>
            </w:r>
          </w:p>
          <w:p>
            <w:pPr>
              <w:pStyle w:val="Normal"/>
              <w:widowControl/>
              <w:spacing w:before="60" w:after="20"/>
            </w:pPr>
            <w:r>
              <w:rPr>
                <w:b/>
              </w:rPr>
              <w:t xml:space="preserve">Do not infer: </w:t>
            </w:r>
            <w:r>
              <w:t xml:space="preserve">Reported HR 2.42 with CI 2.2–62.2 is internally inconsistent; do not repair or reuse it without author clarification. Several count/percentage/table inconsistencies: 19/26 incorrectly labelled 69.2%; LDLT subgroup totals conflict; MTV IQR and cohort-centre totals differ. Use explicit raw counts and flag uncertainty. Recent chemotherapy can suppress FDG avidity. PET negativity is not pathological nonviability. Data-derived Youden MTV 1.6 is exploratory, not an alternative eligibility threshold. Small recipient-only cohort with possible overlap with other US series; cannot establish incremental transplant benefit or efficacy of reducing MTV. Supplement access: Supplementary Figures S1/S2 at http://links.lww.com/LVT/A684 are not included or reviewed.</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2020 · SECA-II</w:t>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MDwvWWVhcj48UmVjTnVtPjQ8L1JlY051bT48RGlzcGxheVRleHQ+W1YxNi00XTwvRGlzcGxheVRleHQ+PHJlY29yZD48cmVjLW51bWJlcj40PC9yZWMtbnVtYmVyPjxmb3JlaWduLWtleXM+PGtleSBhcHA9IkVOIiBkYi1pZD0iNDFlMjcyZWYtMDAzNy01NDY5LTk3MzQtZGYwYTc2MjU3ZjUxIiB0aW1lc3RhbXA9IjE3OTMyODM2ODUiPjQ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Prospective single-centre, single-arm study, 15 transplanted April 2012–November 2016. R0 primary, ECOG 0–1, no current or prior extrahepatic metastasis/local relapse, liver-only unresectable disease. At least 10% chemotherapy shrinkage; before treatment no lesion &gt;10 cm; when &gt;30 lesions, all &lt;5 cm and at least 30% shrinkage. Less than 10% chemotherapy response could be supplemented by at least 20% response to DEB-IRI or Y90. Table 1 requires at least one year from CRC diagnosis to listing, not merely an elapsed year by transplantation.</w:t>
            </w:r>
          </w:p>
          <w:p>
            <w:pPr>
              <w:pStyle w:val="Normal"/>
              <w:widowControl/>
              <w:spacing w:before="60" w:after="20"/>
            </w:pPr>
            <w:hyperlink r:id="rId26">
              <w:r>
                <w:rPr>
                  <w:color w:val="77230C"/>
                  <w:sz w:val="20"/>
                  <w:u w:val="single"/>
                </w:rPr>
                <w:t>Primary source</w:t>
              </w:r>
            </w:hyperlink>
            <w:r>
              <w:t xml:space="preserve"> | </w:t>
            </w:r>
            <w:hyperlink r:id="rId27">
              <w:r>
                <w:rPr>
                  <w:color w:val="77230C"/>
                  <w:sz w:val="20"/>
                  <w:u w:val="single"/>
                </w:rPr>
                <w:t>Full-text PDF</w:t>
              </w:r>
            </w:hyperlink>
          </w:p>
          <w:p>
            <w:pPr>
              <w:pStyle w:val="Normal"/>
              <w:widowControl/>
              <w:spacing w:before="60" w:after="20"/>
            </w:pPr>
            <w:r>
              <w:t xml:space="preserve">Locator: Printed pp 212–218; eligibility Table 1 p 213; outcomes and complications p 214; relapse Table 4 and cohort comparison Table 5 p 216.</w:t>
            </w:r>
          </w:p>
          <w:p>
            <w:pPr>
              <w:pStyle w:val="Normal"/>
              <w:widowControl/>
              <w:spacing w:before="60" w:after="20"/>
            </w:pPr>
            <w:r>
              <w:t xml:space="preserve">Review depth: Complete seven-page published main article read, including methods, Tables 1–5, figures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Fifteen transplanted; no wait-list dropout, median wait 29 days (7–148). OS and DFS start at LT. Median follow-up among living patients 36 months (5–60); five-year estimates have very few at risk. Median diagnosis-to-LT 24.0 months and primary resection-to-LT 22.6 months. One-, three- and five-year OS 100%, 83%, 83%; median DFS 13.7 months; one-, two-, three-year DFS 53%, 44%, 35%. Eight recurrences, six initially/only pulmonary. Five patients underwent six lung resections. Median interval detection-to-lung resection 21.4 months illustrates selection and slow growth, not a required waiting interval. Eleven of 15 were NED at last follow-up: seven never relapsed and four after salvage. Three-year NED 76.4% is not the same endpoint as DFS. Grade IIIa–IVa complications in seven of 15 (47%); no adjuvant chemotherapy. Two deaths from recurrence at 26 months.</w:t>
            </w:r>
          </w:p>
          <w:p>
            <w:pPr>
              <w:pStyle w:val="Normal"/>
              <w:widowControl/>
              <w:spacing w:before="60" w:after="20"/>
            </w:pPr>
            <w:r>
              <w:rPr>
                <w:b/>
              </w:rPr>
              <w:t xml:space="preserve">Do not infer: </w:t>
            </w:r>
            <w:r>
              <w:t xml:space="preserve">Highly selected recipients, no randomised comparator or all-evaluated denominator; favourable Oslo scores 0–1, CEA 1–30 and largest pre-LT lesions 3–47 mm. The comparison with expected chemotherapy survival is historical/selected and should not be used as a causal effect estimate. SECA-II long-term report expands and overlaps this cohort; do not count as an independent replication. Single old-era immunosuppression protocol is not a validated best regimen. Supplement access: No separate supplemental file is cited in the main paper.</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t xml:space="preserve"> </w:t>
            </w:r>
            <w:r>
              <w:fldChar w:fldCharType="begin"/>
            </w:r>
            <w:r>
              <w:instrText xml:space="preserve"> ADDIN EN.CITE </w:instrText>
            </w:r>
            <w:r>
              <w:fldChar w:fldCharType="begin">
                <w:fldData>PEVuZE5vdGU+PENpdGU+PEF1dGhvcj5EdWVsYW5kPC9BdXRob3I+PFllYXI+MjAyNjwvWWVhcj48UmVjTnVtPjE1PC9SZWNOdW0+PERpc3BsYXlUZXh0PltWMTYtMTVdPC9EaXNwbGF5VGV4dD48cmVjb3JkPjxyZWMtbnVtYmVyPjE1PC9yZWMtbnVtYmVyPjxmb3JlaWduLWtleXM+PGtleSBhcHA9IkVOIiBkYi1pZD0iNDFlMjcyZWYtMDAzNy01NDY5LTk3MzQtZGYwYTc2MjU3ZjUxIiB0aW1lc3RhbXA9IjE3OTMyODM2ODUiPjE1PC9rZXk+PC9mb3JlaWduLWtleXM+PHJlZi10eXBlIG5hbWU9IkpvdXJuYWwgQXJ0aWNsZSI+MTc8L3JlZi10eXBlPjxjb250cmlidXRvcnM+PGF1dGhvcnM+PGF1dGhvcj5EdWVsYW5kLCBTdmVpbjwvYXV0aG9yPjxhdXRob3I+U21lZG1hbiwgVG9yIE0uPC9hdXRob3I+PGF1dGhvcj5TeXZlcnN2ZWVuLCBUcnlndmU8L2F1dGhvcj48YXV0aG9yPktoYW4sIEFtbWFyPC9hdXRob3I+PGF1dGhvcj5HcnV0LCBIYXJhbGQ8L2F1dGhvcj48YXV0aG9yPkxpbmUsIFAmIzIyOTtsLURhZzwvYXV0aG9yPjwvYXV0aG9ycz48L2NvbnRyaWJ1dG9ycz48dGl0bGVzPjx0aXRsZT5MaXZlciBUcmFuc3BsYW50YXRpb24gZm9yIE5vbnJlc2VjdGFibGUgQ29sb3JlY3RhbCBMaXZlciBNZXRhc3Rhc2VzOiBUZW4teWVhciBGb2xsb3ctdXAgYW5kIEFzc2Vzc21lbnQgb2YgQ3VyYXRpdmUgUmF0ZSBpbiB0aGUgU0VDQS1JSSBTdHVkeTwvdGl0bGU+PHNlY29uZGFyeS10aXRsZT5Bbm5hbHMgb2YgU3VyZ2VyeTwvc2Vjb25kYXJ5LXRpdGxlPjwvdGl0bGVzPjxwZXJpb2RpY2FsPjxmdWxsLXRpdGxlPkFubmFscyBvZiBTdXJnZXJ5PC9mdWxsLXRpdGxlPjwvcGVyaW9kaWNhbD48ZGF0ZXM+PHllYXI+MjAyNjwveWVhcj48L2RhdGVzPjxlbGVjdHJvbmljLXJlc291cmNlLW51bT4xMC4xMDk3L3NsYS4wMDAwMDAwMDAwMDA3MjAwPC9lbGVjdHJvbmljLXJlc291cmNlLW51bT48bm90ZXM+RXh0ZW5kZWQgcHJvc3BlY3RpdmUtY29ob3J0IGZvbGxvdy11cDsgb3ZlcmxhcHMgb3JpZ2luYWwgU0VDQS1JSSBDb21wbGV0ZSBzZXZlbi1wYWdlIGFkdmFuY2Utb25saW5lIG1haW4gYXJ0aWNsZSByZWFkLCBpbmNsdWRpbmcgYWxsIGZpZ3VyZXMsIHRhYmxlIGFuZCByZWZlcmVuY2VzLiBWOCBleHRyYWN0aW9uIGFuZCBsaW1pdGF0aW9uczogc291cmNlL21ldGFzdGFzZXNfZnVsbHRleHRfcmV2aWV3Lmpzb248L25vdGVzPjx1cmxzPjxyZWxhdGVkLXVybHM+PHVybD5odHRwczovL2RvaS5vcmcvMTAuMTA5Ny9TTEEuMDAwMDAwMDAwMDAwNzIwMD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Gorji 2024</w:t>
            </w:r>
            <w:r>
              <w:t xml:space="preserve"> </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QxZTI3MmVmLTAwMzctNTQ2OS05NzM0LWRmMGE3NjI1N2Y1MSIgdGltZXN0YW1wPSIxNzkzMjgzNjg1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Narrative review; no new patient cohort or meta-analysis.</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pp 213–216 Tables 2–3, Figure 2, CRLM/NET and allocation sections; references pp 217–218.</w:t>
            </w:r>
          </w:p>
          <w:p>
            <w:pPr>
              <w:pStyle w:val="Normal"/>
              <w:widowControl/>
              <w:spacing w:before="60" w:after="20"/>
            </w:pPr>
            <w:r>
              <w:t xml:space="preserve">Review depth: Complete eight-page narrative review read, including tables, figures/captions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Useful historical synthesis, not a substitute for current allocation guidance or primary trial denominators.; Table 2 p 213 distinguishes Milan NET age &lt;60 (relative), &lt;50% burden and &gt;6-month stability from other guidance; Figure 2 p 215 imports older risk flags (Ki-67 &gt;10%, observation &lt;12 months), which are not proven universal gates.; CRLM p 214 uses IHPBA BRAF V600E and historical CEA/PET language; these are not interchangeable with current NLRB all-BRAF and CEA rules.</w:t>
            </w:r>
          </w:p>
          <w:p>
            <w:pPr>
              <w:pStyle w:val="Normal"/>
              <w:widowControl/>
              <w:spacing w:before="60" w:after="20"/>
            </w:pPr>
            <w:r>
              <w:rPr>
                <w:b/>
              </w:rPr>
              <w:t xml:space="preserve">Do not infer: </w:t>
            </w:r>
            <w:r>
              <w:t xml:space="preserve">The paper says no iCCA/CRLM MELD exceptions and uses older allocation sources: outdated for 2026.; NET ELTR sentence p 216 reverses pre-/post-2000 five-year OS (46% versus 59%); primary ELTR shows better post-2000 outcome.; SECA-II DFS labels p 215 use 1/3/5 years although the primary paper reports 1/2/3 years for 53/44/35%.; Do not count review citations as independent outcome data or adopt Figure 2 Ki-67/observation cutoffs over current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Ueberroth 2025</w:t>
            </w:r>
            <w:r>
              <w:t xml:space="preserve"> </w:t>
            </w:r>
            <w:r>
              <w:t xml:space="preserve"> </w:t>
            </w:r>
            <w:r>
              <w:t xml:space="preserve"> </w:t>
            </w:r>
            <w:r>
              <w:fldChar w:fldCharType="begin"/>
            </w:r>
            <w:r>
              <w:instrText xml:space="preserve"> ADDIN EN.CITE </w:instrText>
            </w:r>
            <w:r>
              <w:fldChar w:fldCharType="begin">
                <w:fldData>PEVuZE5vdGU+PENpdGU+PEF1dGhvcj5VZWJlcnJvdGg8L0F1dGhvcj48WWVhcj4yMDI1PC9ZZWFyPjxSZWNOdW0+NzwvUmVjTnVtPjxEaXNwbGF5VGV4dD5bVjE2LTddPC9EaXNwbGF5VGV4dD48cmVjb3JkPjxyZWMtbnVtYmVyPjc8L3JlYy1udW1iZXI+PGZvcmVpZ24ta2V5cz48a2V5IGFwcD0iRU4iIGRiLWlkPSI0MWUyNzJlZi0wMDM3LTU0NjktOTczNC1kZjBhNzYyNTdmNTEiIHRpbWVzdGFtcD0iMTc5MzI4MzY4NSI+Nzwva2V5PjwvZm9yZWlnbi1rZXlzPjxyZWYtdHlwZSBuYW1lPSJKb3VybmFsIEFydGljbGUiPjE3PC9yZWYtdHlwZT48Y29udHJpYnV0b3JzPjxhdXRob3JzPjxhdXRob3I+VWViZXJyb3RoLCBCZW5qYW1pbiBFPC9hdXRob3I+PGF1dGhvcj5LcmlzcywgTWljaGFlbDwvYXV0aG9yPjxhdXRob3I+QnVydG9uLCBKYW1lcyBSPC9hdXRob3I+PGF1dGhvcj5NZXNzZXJzbWl0aCwgV2VsbHMgQTwvYXV0aG9yPjwvYXV0aG9ycz48L2NvbnRyaWJ1dG9ycz48dGl0bGVzPjx0aXRsZT5MaXZlciB0cmFuc3BsYW50YXRpb24gZm9yIGNvbG9yZWN0YWwgY2FuY2VyIHdpdGggbGl2ZXIgbWV0YXN0YXNlczwvdGl0bGU+PHNlY29uZGFyeS10aXRsZT5UaGUgT25jb2xvZ2lzdDwvc2Vjb25kYXJ5LXRpdGxlPjwvdGl0bGVzPjxwZXJpb2RpY2FsPjxmdWxsLXRpdGxlPlRoZSBPbmNvbG9naXN0PC9mdWxsLXRpdGxlPjwvcGVyaW9kaWNhbD48ZGF0ZXM+PHllYXI+MjAyNTwveWVhcj48L2RhdGVzPjx2b2x1bWU+MzA8L3ZvbHVtZT48bnVtYmVyPjE8L251bWJlcj48ZWxlY3Ryb25pYy1yZXNvdXJjZS1udW0+MTAuMTA5My9vbmNvbG8vb3lhZTM2NzwvZWxlY3Ryb25pYy1yZXNvdXJjZS1udW0+PG5vdGVzPkV4aXN0aW5nIHN0YW5kYXJkLXByb3RvY29sIHJlZmVyZW5jZSBDb21wbGV0ZSAxMi1wYWdlIG5hcnJhdGl2ZSByZXZpZXcgcmVhZCwgaW5jbHVkaW5nIFRhYmxlcyAxJiM4MjExOzMgYW5kIHJlZmVyZW5jZXMuIFY4IGV4dHJhY3Rpb24gYW5kIGxpbWl0YXRpb25zOiBzb3VyY2UvbWV0YXN0YXNlc19zdGFuZGFyZF9zdXBwbGVtZW50Lmpzb248L25vdGVzPjx1cmxzPjxyZWxhdGVkLXVybHM+PHVybD5odHRwczovL3B1Ym1lZC5uY2JpLm5sbS5uaWguZ292LzM5ODM0MTI3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Narrative CRLM review; eight distinct primary cohorts plus overlapping follow-ups/cross-trial comparisons.</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TransMet body p 2 and Table 1 pp 3–4; selection Table 2 pp 7–8; allocation Table 3 p 9; limitations pp 8–9.</w:t>
            </w:r>
          </w:p>
          <w:p>
            <w:pPr>
              <w:pStyle w:val="Normal"/>
              <w:widowControl/>
              <w:spacing w:before="60" w:after="20"/>
            </w:pPr>
            <w:r>
              <w:t xml:space="preserve">Review depth: Complete 12-page narrative review read, including Tables 1–3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Body p 2 correctly states stable disease or partial response as TransMet eligibility and separates ITT versus per-protocol survival.; CEA 80 and lesion size 5.5 cm are prognostic associations; Table 2 acknowledges non-prospective timing cutoffs, no dedicated lymph-node sampling study and lack of established molecular subgroup effects.; Post-LT adjuvant treatment and ctDNA-guided therapy are research questions, not established standards.</w:t>
            </w:r>
          </w:p>
          <w:p>
            <w:pPr>
              <w:pStyle w:val="Normal"/>
              <w:widowControl/>
              <w:spacing w:before="60" w:after="20"/>
            </w:pPr>
            <w:r>
              <w:rPr>
                <w:b/>
              </w:rPr>
              <w:t xml:space="preserve">Do not infer: </w:t>
            </w:r>
            <w:r>
              <w:t xml:space="preserve">Table 1 simultaneously lists stable disease as inclusion and exclusion for TransMet; the primary paper resolves this in favour of stable or partial response.; Table 1 calls SD/PR a shorter-survival factor in long-term SECA, contrary to its body; Table 2 reverses the direction of the &lt;2-year timing risk. Do not copy table rules blindly.; TransMet survival cited to interim safety paper rather than final efficacy source; recipient postoperative percentages are juxtaposed with one-year registry survival, which is not a matched comparison.; Review's allocation implementation wording and LDLT superiority conclusions are not current controlling policy or causal donor-source evidence.; Table 2 TLG &lt;257 differs from other PET studies; no universal threshold. Includes conference-abstract references among broader literature.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YtMTRdPC9EaXNwbGF5VGV4dD48cmVjb3JkPjxyZWMtbnVtYmVyPjE0PC9yZWMtbnVtYmVyPjxmb3JlaWduLWtleXM+PGtleSBhcHA9IkVOIiBkYi1pZD0iNDFlMjcyZWYtMDAzNy01NDY5LTk3MzQtZGYwYTc2MjU3ZjUxIiB0aW1lc3RhbXA9IjE3OTMyODM2ODUiPjE0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xOTwvUmVjTnVtPjxEaXNwbGF5VGV4dD5bVjE2LTE5XTwvRGlzcGxheVRleHQ+PHJlY29yZD48cmVjLW51bWJlcj4xOTwvcmVjLW51bWJlcj48Zm9yZWlnbi1rZXlzPjxrZXkgYXBwPSJFTiIgZGItaWQ9IjQxZTI3MmVmLTAwMzctNTQ2OS05NzM0LWRmMGE3NjI1N2Y1MSIgdGltZXN0YW1wPSIxNzkzMjgzNjg1Ij4xOT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t xml:space="preserve"> </w:t>
            </w:r>
            <w:r>
              <w:fldChar w:fldCharType="begin"/>
            </w:r>
            <w:r>
              <w:instrText xml:space="preserve"> ADDIN EN.CITE </w:instrText>
            </w:r>
            <w:r>
              <w:fldChar w:fldCharType="begin">
                <w:fldData>PEVuZE5vdGU+PENpdGU+PEF1dGhvcj5XZWhybGU8L0F1dGhvcj48WWVhcj4yMDI0PC9ZZWFyPjxSZWNOdW0+MTA8L1JlY051bT48RGlzcGxheVRleHQ+W1YxNi0xMF08L0Rpc3BsYXlUZXh0PjxyZWNvcmQ+PHJlYy1udW1iZXI+MTA8L3JlYy1udW1iZXI+PGZvcmVpZ24ta2V5cz48a2V5IGFwcD0iRU4iIGRiLWlkPSI0MWUyNzJlZi0wMDM3LTU0NjktOTczNC1kZjBhNzYyNTdmNTEiIHRpbWVzdGFtcD0iMTc5MzI4MzY4NSI+MTA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bl>
    <w:p>
      <w:pPr>
        <w:pStyle w:val="Normal"/>
        <w:widowControl/>
      </w:pPr>
      <w:hyperlink r:id="rId40">
        <w:r>
          <w:rPr>
            <w:color w:val="77230C"/>
            <w:sz w:val="20"/>
            <w:u w:val="single"/>
          </w:rPr>
          <w:t>Separate evidence/alignment meeting record — OPEN boundary decisions</w:t>
        </w:r>
      </w:hyperlink>
    </w:p>
    <w:p>
      <w:pPr>
        <w:pStyle w:val="Normal"/>
        <w:widowControl/>
      </w:pPr>
      <w:r>
        <w:t xml:space="preserve">Evidence review record: </w:t>
      </w:r>
      <w:hyperlink r:id="rId41">
        <w:r>
          <w:rPr>
            <w:color w:val="77230C"/>
            <w:sz w:val="20"/>
            <w:u w:val="single"/>
          </w:rPr>
          <w:t>Five analyst comments and reconciliation</w:t>
        </w:r>
      </w:hyperlink>
      <w:r>
        <w:t xml:space="preserve">  |  </w:t>
      </w:r>
      <w:hyperlink r:id="rId42">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Standard-route clarification. The standardized pathway requires no extrahepatic disease. This section states how previously treated, responded extrahepatic disease is handled, and records the program position proposed for review.</w:t>
      </w:r>
    </w:p>
    <w:p>
      <w:pPr>
        <w:pStyle w:val="Heading2"/>
        <w:widowControl/>
        <w:keepNext/>
      </w:pPr>
      <w:bookmarkStart w:id="16010" w:name="CRLM_B5"/>
      <w:r>
        <w:t xml:space="preserve">CRLM-B5 — Previously treated extrahepatic disease</w:t>
      </w:r>
      <w:bookmarkEnd w:id="16010"/>
    </w:p>
    <w:p>
      <w:pPr>
        <w:pStyle w:val="Normal"/>
        <w:widowControl/>
        <w:spacing w:after="120"/>
      </w:pPr>
      <w:r>
        <w:t xml:space="preserve">Status: Closed; lung-only study stratum proposed. OPEN proposal for multidisciplinary review; not activated.</w:t>
      </w:r>
    </w:p>
    <w:p>
      <w:pPr>
        <w:pStyle w:val="Normal"/>
        <w:widowControl/>
        <w:spacing w:after="120"/>
      </w:pPr>
      <w:r>
        <w:t xml:space="preserve">Question: Should a lung-only study stratum be opened for completely treated pulmonary metastases, and if so with which interval and biology limits? All other previously treated extrahepatic sites stay closed.</w:t>
      </w:r>
    </w:p>
    <w:p>
      <w:pPr>
        <w:pStyle w:val="Normal"/>
        <w:widowControl/>
        <w:spacing w:after="120"/>
      </w:pPr>
      <w:r>
        <w:t xml:space="preserve">Proposed position (OPEN): Keep previously treated extrahepatic disease closed in the CRLM transplant pathway. IHPBA Statement 9 finds no evidence to support transplantation for patients who initially present with or later develop extrahepatic metastases, and TransMet excluded previous or concomitant extrahepatic disease. Propose one narrow study stratum (not active) for limited, completely treated lung-only metastases; every other site stays closed.</w:t>
      </w:r>
    </w:p>
    <w:p>
      <w:pPr>
        <w:pStyle w:val="Heading3"/>
        <w:widowControl/>
        <w:keepNext/>
      </w:pPr>
      <w:r>
        <w:t xml:space="preserve">Proposed rules</w:t>
      </w:r>
    </w:p>
    <w:p>
      <w:pPr>
        <w:pStyle w:val="Normal"/>
        <w:widowControl/>
        <w:spacing w:after="120"/>
        <w:numPr>
          <w:ilvl w:val="0"/>
          <w:numId w:val="5"/>
        </w:numPr>
      </w:pPr>
      <w:r>
        <w:t xml:space="preserve">Default: extrahepatic metastasis after primary resection (including nodes outside the primary field), metastasis removed with the primary, and local relapse are outside the pathway, even after resection, ablation, radiotherapy or complete response. Response to systemic therapy alone never counts as clearance.</w:t>
      </w:r>
    </w:p>
    <w:p>
      <w:pPr>
        <w:pStyle w:val="Normal"/>
        <w:widowControl/>
        <w:spacing w:after="120"/>
        <w:numPr>
          <w:ilvl w:val="0"/>
          <w:numId w:val="5"/>
        </w:numPr>
      </w:pPr>
      <w:r>
        <w:t xml:space="preserve">Proposed lung-only study stratum (needs its own protocol, IRB and a living-donor or individually reviewed allocation route): at most three lung metastases, each completely treated with curative intent, no thoracic nodal involvement, and no recurrence for ≥12 months after the last lung treatment (SECA-III excludes resection of lung or hilar-node metastases within the last year and of other non-hepatic metastases within 2 years; the Japanese protocol uses &gt;6 months recurrence-free). The meeting must choose the interval.</w:t>
      </w:r>
    </w:p>
    <w:p>
      <w:pPr>
        <w:pStyle w:val="Normal"/>
        <w:widowControl/>
        <w:spacing w:after="120"/>
        <w:numPr>
          <w:ilvl w:val="0"/>
          <w:numId w:val="5"/>
        </w:numPr>
      </w:pPr>
      <w:r>
        <w:t xml:space="preserve">The stratum adds no other relaxation: every CRLM-B3 limit applies, and favorable biology is required (low Oslo or Fong score; low liver metabolic tumor volume). Chest CT and PET-CT within one month.</w:t>
      </w:r>
    </w:p>
    <w:p>
      <w:pPr>
        <w:pStyle w:val="Normal"/>
        <w:widowControl/>
        <w:spacing w:after="120"/>
        <w:numPr>
          <w:ilvl w:val="0"/>
          <w:numId w:val="5"/>
        </w:numPr>
      </w:pPr>
      <w:r>
        <w:t xml:space="preserve">Hilar nodes: frozen section of hilar nodes before implantation, and before donor hepatectomy in living donation. A positive node ends the transplant.</w:t>
      </w:r>
    </w:p>
    <w:p>
      <w:pPr>
        <w:pStyle w:val="Normal"/>
        <w:widowControl/>
        <w:spacing w:after="120"/>
        <w:numPr>
          <w:ilvl w:val="0"/>
          <w:numId w:val="5"/>
        </w:numPr>
      </w:pPr>
      <w:r>
        <w:t xml:space="preserve">Closed with no stratum: nodal disease outside the primary field; peritoneal, ovarian, adrenal, bone, brain or other non-lung sites; local relapse; more than three lung lesions; thoracic nodes; recurrence after lung treatment.</w:t>
      </w:r>
    </w:p>
    <w:p>
      <w:pPr>
        <w:pStyle w:val="Normal"/>
        <w:widowControl/>
        <w:spacing w:after="120"/>
      </w:pPr>
      <w:r>
        <w:t xml:space="preserve">Why: Lung-limited disease is the most indolent extrahepatic pattern, and post-transplant lung recurrence is often resectable, but outcome data for transplantation after treated extrahepatic disease are limited to two SECA-II recipients (a lung metastasis resected 8 years earlier, recurrence-free; an ovarian metastasis removed 14 months earlier, lung relapse at 5 months). In the Oslo series, hilar node metastasis on frozen section at laparotomy was the commonest extrahepatic reason for not transplanting (7 of 10).</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TransMet 2024</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Randomized trial, 94 patients. Excluded “previous or concomitant extrahepatic metastases or local recurrence” (Methods); every transplant preceded by exploration with frozen section of suspicious nodes.</w:t>
            </w:r>
          </w:p>
        </w:tc>
        <w:tc>
          <w:tcPr>
            <w:tcW w:w="3743" w:type="dxa"/>
            <w:vAlign w:val="top"/>
            <w:shd w:fill="F1F5F8"/>
          </w:tcPr>
          <w:p>
            <w:pPr>
              <w:pStyle w:val="Normal"/>
              <w:widowControl/>
              <w:spacing w:after="55" w:line="240" w:lineRule="auto"/>
              <w:keepNext w:val="0"/>
              <w:keepLines/>
            </w:pPr>
            <w:r>
              <w:rPr>
                <w:sz w:val="21"/>
                <w:szCs w:val="21"/>
              </w:rPr>
              <w:t xml:space="preserve">Results: 5-year survival 56.6% vs 12.6% (HR 0.37); recurrence mainly in the lung, with curative-intent salvage in 12 of 26.</w:t>
            </w:r>
          </w:p>
          <w:p>
            <w:pPr>
              <w:pStyle w:val="Normal"/>
              <w:widowControl/>
              <w:spacing w:after="55" w:line="240" w:lineRule="auto"/>
              <w:keepNext w:val="0"/>
              <w:keepLines/>
            </w:pPr>
            <w:r>
              <w:rPr>
                <w:sz w:val="21"/>
                <w:szCs w:val="21"/>
              </w:rPr>
              <w:t xml:space="preserve">Limits: Benefit cannot be transferred to previously treated extrahepatic disease.</w:t>
            </w:r>
          </w:p>
          <w:p>
            <w:pPr>
              <w:pStyle w:val="Normal"/>
              <w:widowControl/>
              <w:spacing w:after="55" w:line="240" w:lineRule="auto"/>
              <w:keepNext w:val="0"/>
              <w:keepLines/>
            </w:pPr>
            <w:r>
              <w:rPr>
                <w:sz w:val="21"/>
                <w:szCs w:val="21"/>
              </w:rPr>
              <w:t xml:space="preserve">Lancet 2024; Methods (Participants),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ZGFtPC9BdXRob3I+PFllYXI+MjAyNDwvWWVhcj48UmVjTnVtPjM8L1JlY051bT48RGlzcGxheVRleHQ+W1YxNi0zXTwvRGlzcGxheVRleHQ+PHJlY29yZD48cmVjLW51bWJlcj4zPC9yZWMtbnVtYmVyPjxmb3JlaWduLWtleXM+PGtleSBhcHA9IkVOIiBkYi1pZD0iNDFlMjcyZWYtMDAzNy01NDY5LTk3MzQtZGYwYTc2MjU3ZjUxIiB0aW1lc3RhbXA9IjE3OTMyODM2ODU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Z1bGwgdGV4dCByZWFkIGZvciB0aGUgVjE2IGV4dHJhaGVwYXRpYy1kaXNlYXNlIHJldmlldyAoY29tcGxldGUgbWFpbiB0ZXh0OyByZWxldmFudCBjb21wbGV0ZSBzZWN0aW9ucyBmb3IgbG9uZyBndWlkZWxpbmVzKS4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144">
              <w:r>
                <w:rPr>
                  <w:color w:val="0563C1"/>
                  <w:u w:val="single"/>
                </w:rPr>
                <w:t>Source</w:t>
              </w:r>
            </w:hyperlink>
            <w:r>
              <w:t xml:space="preserve"> · </w:t>
            </w:r>
            <w:hyperlink r:id="rId145">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IHPBA 2021 consensus</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2021 international Delphi consensus. Statement 9: no evidence supports transplantation for patients who initially present with or subsequently develop extrahepatic metastases; node-positive patients excluded; no lung exception or nodule-size rule.</w:t>
            </w:r>
          </w:p>
        </w:tc>
        <w:tc>
          <w:tcPr>
            <w:tcW w:w="3743" w:type="dxa"/>
            <w:vAlign w:val="top"/>
            <w:shd w:fill="FFFFFF"/>
          </w:tcPr>
          <w:p>
            <w:pPr>
              <w:pStyle w:val="Normal"/>
              <w:widowControl/>
              <w:spacing w:after="55" w:line="240" w:lineRule="auto"/>
              <w:keepNext w:val="0"/>
              <w:keepLines/>
            </w:pPr>
            <w:r>
              <w:rPr>
                <w:sz w:val="21"/>
                <w:szCs w:val="21"/>
              </w:rPr>
              <w:t xml:space="preserve">Results: Statement 41: isolated pulmonary recurrence after transplantation should be considered for resection.</w:t>
            </w:r>
          </w:p>
          <w:p>
            <w:pPr>
              <w:pStyle w:val="Normal"/>
              <w:widowControl/>
              <w:spacing w:after="55" w:line="240" w:lineRule="auto"/>
              <w:keepNext w:val="0"/>
              <w:keepLines/>
            </w:pPr>
            <w:r>
              <w:rPr>
                <w:sz w:val="21"/>
                <w:szCs w:val="21"/>
              </w:rPr>
              <w:t xml:space="preserve">Limits: Expert consensus.</w:t>
            </w:r>
          </w:p>
          <w:p>
            <w:pPr>
              <w:pStyle w:val="Normal"/>
              <w:widowControl/>
              <w:spacing w:after="55" w:line="240" w:lineRule="auto"/>
              <w:keepNext w:val="0"/>
              <w:keepLines/>
            </w:pPr>
            <w:r>
              <w:rPr>
                <w:sz w:val="21"/>
                <w:szCs w:val="21"/>
              </w:rPr>
              <w:t xml:space="preserve">Lancet Gastroenterol Hepatol 2021; Statements 9–12, 41.</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Cb25uZXk8L0F1dGhvcj48WWVhcj4yMDIxPC9ZZWFyPjxSZWNOdW0+MTM8L1JlY051bT48RGlzcGxheVRleHQ+W1YxNi0xM108L0Rpc3BsYXlUZXh0PjxyZWNvcmQ+PHJlYy1udW1iZXI+MTM8L3JlYy1udW1iZXI+PGZvcmVpZ24ta2V5cz48a2V5IGFwcD0iRU4iIGRiLWlkPSI0MWUyNzJlZi0wMDM3LTU0NjktOTczNC1kZjBhNzYyNTdmNTEiIHRpbWVzdGFtcD0iMTc5MzI4MzY4NSI+MTM8L2tleT48L2ZvcmVpZ24ta2V5cz48cmVmLXR5cGUgbmFtZT0iSm91cm5hbCBBcnRpY2xlIj4xNzwvcmVmLXR5cGU+PGNvbnRyaWJ1dG9ycz48YXV0aG9ycz48YXV0aG9yPkJvbm5leSwgR2xlbm4gSzwvYXV0aG9yPjxhdXRob3I+Q2hldywgQ2xhaXJlIEFsZXhhbmRyYTwvYXV0aG9yPjxhdXRob3I+TG9kZ2UsIFBldGVyPC9hdXRob3I+PGF1dGhvcj5IdWJiYXJkLCBKb2xlZW48L2F1dGhvcj48YXV0aG9yPkhhbGF6dW4sIEthcmltIEo8L2F1dGhvcj48YXV0aG9yPlRydW5lY2thLCBQYXZlbDwvYXV0aG9yPjxhdXRob3I+TXVpZXNhbiwgUGFvbG88L2F1dGhvcj48YXV0aG9yPk1pcnphLCBEYXJpdXMgRjwvYXV0aG9yPjxhdXRob3I+SXNhYWMsIEpvaG48L2F1dGhvcj48YXV0aG9yPkxhaW5nLCBSaWNoYXJkIFc8L2F1dGhvcj48YXV0aG9yPkl5ZXIsIFNocmlkaGFyIEdhbnBhdGhpPC9hdXRob3I+PGF1dGhvcj5DaGVlLCBDaGVuZyBFYW48L2F1dGhvcj48YXV0aG9yPllvbmcsIFdlaSBQZW5nPC9hdXRob3I+PGF1dGhvcj5NdXRoaWFoLCBNYXJrIERoaW5lc2g8L2F1dGhvcj48YXV0aG9yPlBhbmFybywgRmFicml6aW88L2F1dGhvcj48YXV0aG9yPlNhbmFicmlhLCBKdWFuPC9hdXRob3I+PGF1dGhvcj5Hcm90aGV5LCBBeGVsPC9hdXRob3I+PGF1dGhvcj5Nb29kbGV5LCBLZXltYW50aHJpPC9hdXRob3I+PGF1dGhvcj5DaGF1LCBJYW48L2F1dGhvcj48YXV0aG9yPkNoYW4sIEFsYmVydCBDIFk8L2F1dGhvcj48YXV0aG9yPldhbmcsIENoaWggQ2hpPC9hdXRob3I+PGF1dGhvcj5NZW5vbiwgS3Jpc2huYTwvYXV0aG9yPjxhdXRob3I+U2FwaXNvY2hpbiwgR29uemFsbzwvYXV0aG9yPjxhdXRob3I+SGFnbmVzcywgTW9ydGVuPC9hdXRob3I+PGF1dGhvcj5EdWVsYW5kLCBTdmVpbjwvYXV0aG9yPjxhdXRob3I+TGluZSwgUCYjMjI5O2wtRGFnPC9hdXRob3I+PGF1dGhvcj5BZGFtLCBSZW4mIzIzMzs8L2F1dGhvcj48L2F1dGhvcnM+PC9jb250cmlidXRvcnM+PHRpdGxlcz48dGl0bGU+TGl2ZXIgdHJhbnNwbGFudGF0aW9uIGZvciBub24tcmVzZWN0YWJsZSBjb2xvcmVjdGFsIGxpdmVyIG1ldGFzdGFzZXM6IHRoZSBJbnRlcm5hdGlvbmFsIEhlcGF0by1QYW5jcmVhdG8tQmlsaWFyeSBBc3NvY2lhdGlvbiBjb25zZW5zdXMgZ3VpZGVsaW5lczwvdGl0bGU+PHNlY29uZGFyeS10aXRsZT5UaGUgbGFuY2V0LiBHYXN0cm9lbnRlcm9sb2d5ICZhbXA7IGhlcGF0b2xvZ3k8L3NlY29uZGFyeS10aXRsZT48L3RpdGxlcz48cGVyaW9kaWNhbD48ZnVsbC10aXRsZT5UaGUgbGFuY2V0LiBHYXN0cm9lbnRlcm9sb2d5ICZhbXA7IGhlcGF0b2xvZ3k8L2Z1bGwtdGl0bGU+PC9wZXJpb2RpY2FsPjxkYXRlcz48eWVhcj4yMDIxPC95ZWFyPjwvZGF0ZXM+PHZvbHVtZT42PC92b2x1bWU+PG51bWJlcj4xMTwvbnVtYmVyPjxwYWdlcz45MzMtOTQ2PC9wYWdlcz48ZWxlY3Ryb25pYy1yZXNvdXJjZS1udW0+MTAuMTAxNi9TMjQ2OC0xMjUzKDIxKTAwMjE5LTM8L2VsZWN0cm9uaWMtcmVzb3VyY2UtbnVtPjxub3Rlcz5FeHBlcnQgY29uc2Vuc3VzIEZ1bGwgdGV4dCByZWFkIGZvciB0aGUgVjE2IGV4dHJhaGVwYXRpYy1kaXNlYXNlIHJldmlldyAoY29tcGxldGUgbWFpbiB0ZXh0OyByZWxldmFudCBjb21wbGV0ZSBzZWN0aW9ucyBmb3IgbG9uZyBndWlkZWxpbmVzKS4gU2VsZWN0aW9uLCBiaW9sb2dpY2FsIHByb2dub3NpcyBhbmQgdGVjaG5pY2FsIHJlc2VjdGFiaWxpdHkgaGF2ZSBkaXN0aW5jdCByb2xlcy4gQW4gZXhwZXJ0IHJlY29tbWVuZGF0aW9uIGlzIG5vdCBhIG5hdGlvbmFsIGFsbG9jYXRpb24gcnVsZS48L25vdGVzPjx1cmxzPjxyZWxhdGVkLXVybHM+PHVybD5odHRwczovL2RvaS5vcmcvMTAuMTAxNi9TMjQ2OC0xMjUzKDIxKTAwMjE5LTM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br/>
            </w:r>
            <w:hyperlink r:id="rId146">
              <w:r>
                <w:rPr>
                  <w:color w:val="0563C1"/>
                  <w:u w:val="single"/>
                </w:rPr>
                <w:t>Source</w:t>
              </w:r>
            </w:hyperlink>
            <w:r>
              <w:t xml:space="preserve"> · </w:t>
            </w:r>
            <w:hyperlink r:id="rId147">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SECA-II arm D (Smedman 2020)</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SECA-II arm D, 10 recipients. Protocol allowed resectable lung lesions &lt;15 mm and prior nodal or local relapse treated &gt;1 year earlier.</w:t>
            </w:r>
          </w:p>
        </w:tc>
        <w:tc>
          <w:tcPr>
            <w:tcW w:w="3743" w:type="dxa"/>
            <w:vAlign w:val="top"/>
            <w:shd w:fill="F1F5F8"/>
          </w:tcPr>
          <w:p>
            <w:pPr>
              <w:pStyle w:val="Normal"/>
              <w:widowControl/>
              <w:spacing w:after="55" w:line="240" w:lineRule="auto"/>
              <w:keepNext w:val="0"/>
              <w:keepLines/>
            </w:pPr>
            <w:r>
              <w:rPr>
                <w:sz w:val="21"/>
                <w:szCs w:val="21"/>
              </w:rPr>
              <w:t xml:space="preserve">Results: Only 1 recipient had a previously resected lung metastasis (8 years earlier) and was recurrence-free; a second had an ovarian metastasis removed with the primary 14 months earlier and relapsed in the lung at 5 months; the arm’s median survival of 18 months reflects other high-risk features.</w:t>
            </w:r>
          </w:p>
          <w:p>
            <w:pPr>
              <w:pStyle w:val="Normal"/>
              <w:widowControl/>
              <w:spacing w:after="55" w:line="240" w:lineRule="auto"/>
              <w:keepNext w:val="0"/>
              <w:keepLines/>
            </w:pPr>
            <w:r>
              <w:rPr>
                <w:sz w:val="21"/>
                <w:szCs w:val="21"/>
              </w:rPr>
              <w:t xml:space="preserve">Limits: Protocol precedent only, not outcome evidence about lung disease.</w:t>
            </w:r>
          </w:p>
          <w:p>
            <w:pPr>
              <w:pStyle w:val="Normal"/>
              <w:widowControl/>
              <w:spacing w:after="55" w:line="240" w:lineRule="auto"/>
              <w:keepNext w:val="0"/>
              <w:keepLines/>
            </w:pPr>
            <w:r>
              <w:rPr>
                <w:sz w:val="21"/>
                <w:szCs w:val="21"/>
              </w:rPr>
              <w:t xml:space="preserve">BJS Open 2020; Table 1–2,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bWVkbWFuPC9BdXRob3I+PFllYXI+MjAyMDwvWWVhcj48UmVjTnVtPjI2PC9SZWNOdW0+PERpc3BsYXlUZXh0PltWMTYtMjZdPC9EaXNwbGF5VGV4dD48cmVjb3JkPjxyZWMtbnVtYmVyPjI2PC9yZWMtbnVtYmVyPjxmb3JlaWduLWtleXM+PGtleSBhcHA9IkVOIiBkYi1pZD0iNDFlMjcyZWYtMDAzNy01NDY5LTk3MzQtZGYwYTc2MjU3ZjUxIiB0aW1lc3RhbXA9IjE3OTMyODM2ODUiPjI2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Z1bGwgdGV4dCByZWFkIGZvciB0aGUgVjE2IGV4dHJhaGVwYXRpYy1kaXNlYXNlIHJldmlldyAoY29tcGxldGUgbWFpbiB0ZXh0OyByZWxldmFudCBjb21wbGV0ZSBzZWN0aW9ucyBmb3IgbG9uZyBndWlkZWxpbmVzKS4gVGVuIGJyb2FkbHkgZXhwYW5kZWQgcmVjaXBpZW50czsgbWVkaWFuIERGUyBmb3VyIG1vbnRocywgT1MgMTggbW9udGhzLiBNdWx0aXBsZSBhZHZlcnNlIGZlYXR1cmVzIHByZXZlbnQgaXNvbGF0aW5nIGFueSBvbmUgZGV2aWF0aW9uLCBpbmNsdWRpbmcgcHJpb3IgbHVuZyBkaXNlYXNlLjwvbm90ZXM+PHVybHM+PHJlbGF0ZWQtdXJscz48dXJsPmh0dHBzOi8vZG9pLm9yZy8xMC4xMDAyL2JqczUuNTAyNzg8L3VybD48L3JlbGF0ZWQtdXJscz48cGRmLXVybHMvPjwvdXJscz48L3JlY29yZD48L0NpdGU+PC9FbmROb3RlPg==</w:fldData>
              </w:fldChar>
            </w:r>
            <w:r>
              <w:instrText xml:space="preserve"> ADDIN EN.CITE.DATA </w:instrText>
            </w:r>
            <w:r>
              <w:fldChar w:fldCharType="end"/>
            </w:r>
            <w:r>
              <w:fldChar w:fldCharType="separate"/>
            </w:r>
            <w:r>
              <w:t xml:space="preserve">[V16-26]</w:t>
            </w:r>
            <w:r>
              <w:fldChar w:fldCharType="end"/>
            </w:r>
            <w:r>
              <w:br/>
            </w:r>
            <w:hyperlink r:id="rId148">
              <w:r>
                <w:rPr>
                  <w:color w:val="0563C1"/>
                  <w:u w:val="single"/>
                </w:rPr>
                <w:t>Source</w:t>
              </w:r>
            </w:hyperlink>
            <w:r>
              <w:t xml:space="preserve"> · </w:t>
            </w:r>
            <w:hyperlink r:id="rId149">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Dueland 2023 · Oslo long-term</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Oslo pooled cohort, 72 listed, 61 transplanted. PET-CT before transplant; prior extrahepatic disease not analysed.</w:t>
            </w:r>
          </w:p>
        </w:tc>
        <w:tc>
          <w:tcPr>
            <w:tcW w:w="3743" w:type="dxa"/>
            <w:vAlign w:val="top"/>
            <w:shd w:fill="FFFFFF"/>
          </w:tcPr>
          <w:p>
            <w:pPr>
              <w:pStyle w:val="Normal"/>
              <w:widowControl/>
              <w:spacing w:after="55" w:line="240" w:lineRule="auto"/>
              <w:keepNext w:val="0"/>
              <w:keepLines/>
            </w:pPr>
            <w:r>
              <w:rPr>
                <w:sz w:val="21"/>
                <w:szCs w:val="21"/>
              </w:rPr>
              <w:t xml:space="preserve">Results: 10 of 72 not transplanted for extrahepatic disease, 7 with hilar node metastasis on frozen section at laparotomy; intention-to-treat 5-year survival 42.6%.</w:t>
            </w:r>
          </w:p>
          <w:p>
            <w:pPr>
              <w:pStyle w:val="Normal"/>
              <w:widowControl/>
              <w:spacing w:after="55" w:line="240" w:lineRule="auto"/>
              <w:keepNext w:val="0"/>
              <w:keepLines/>
            </w:pPr>
            <w:r>
              <w:rPr>
                <w:sz w:val="21"/>
                <w:szCs w:val="21"/>
              </w:rPr>
              <w:t xml:space="preserve">Limits: No control group.</w:t>
            </w:r>
          </w:p>
          <w:p>
            <w:pPr>
              <w:pStyle w:val="Normal"/>
              <w:widowControl/>
              <w:spacing w:after="55" w:line="240" w:lineRule="auto"/>
              <w:keepNext w:val="0"/>
              <w:keepLines/>
            </w:pPr>
            <w:r>
              <w:rPr>
                <w:sz w:val="21"/>
                <w:szCs w:val="21"/>
              </w:rPr>
              <w:t xml:space="preserve">JAMA Surg 2023;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dWVsYW5kPC9BdXRob3I+PFllYXI+MjAyMzwvWWVhcj48UmVjTnVtPjI3PC9SZWNOdW0+PERpc3BsYXlUZXh0PltWMTYtMjddPC9EaXNwbGF5VGV4dD48cmVjb3JkPjxyZWMtbnVtYmVyPjI3PC9yZWMtbnVtYmVyPjxmb3JlaWduLWtleXM+PGtleSBhcHA9IkVOIiBkYi1pZD0iNDFlMjcyZWYtMDAzNy01NDY5LTk3MzQtZGYwYTc2MjU3ZjUxIiB0aW1lc3RhbXA9IjE3OTMyODM2ODUiPjI3PC9rZXk+PC9mb3JlaWduLWtleXM+PHJlZi10eXBlIG5hbWU9IkpvdXJuYWwgQXJ0aWNsZSI+MTc8L3JlZi10eXBlPjxjb250cmlidXRvcnM+PGF1dGhvcnM+PGF1dGhvcj5EdWVsYW5kLCBTdmVpbjwvYXV0aG9yPjxhdXRob3I+U21lZG1hbiwgVG9yIE1hZ251czwvYXV0aG9yPjxhdXRob3I+U3l2ZXJzdmVlbiwgVHJ5Z3ZlPC9hdXRob3I+PGF1dGhvcj5HcnV0LCBIYXJhbGQ8L2F1dGhvcj48YXV0aG9yPkhhZ25lc3MsIE1vcnRlbjwvYXV0aG9yPjxhdXRob3I+TGluZSwgUCYjMjI5O2wtRGFnPC9hdXRob3I+PC9hdXRob3JzPjwvY29udHJpYnV0b3JzPjx0aXRsZXM+PHRpdGxlPkxvbmctVGVybSBTdXJ2aXZhbCwgUHJvZ25vc3RpYyBGYWN0b3JzLCBhbmQgU2VsZWN0aW9uIG9mIFBhdGllbnRzIFdpdGggQ29sb3JlY3RhbCBDYW5jZXIgZm9yIExpdmVyIFRyYW5zcGxhbnQ6IEEgTm9ucmFuZG9taXplZCBDb250cm9sbGVkIFRyaWFsPC90aXRsZT48c2Vjb25kYXJ5LXRpdGxlPkpBTUEgc3VyZ2VyeTwvc2Vjb25kYXJ5LXRpdGxlPjwvdGl0bGVzPjxwZXJpb2RpY2FsPjxmdWxsLXRpdGxlPkpBTUEgc3VyZ2VyeTwvZnVsbC10aXRsZT48L3BlcmlvZGljYWw+PGRhdGVzPjx5ZWFyPjIwMjM8L3llYXI+PC9kYXRlcz48dm9sdW1lPjE1ODwvdm9sdW1lPjxudW1iZXI+OTwvbnVtYmVyPjxwYWdlcz5lMjMyOTMyPC9wYWdlcz48ZWxlY3Ryb25pYy1yZXNvdXJjZS1udW0+MTAuMTAwMS9qYW1hc3VyZy4yMDIzLjI5MzI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AxL2phbWFzdXJnLjIwMjMuMjkzMjwvdXJsPjwvcmVsYXRlZC11cmxzPjxwZGYtdXJscy8+PC91cmxzPjwvcmVjb3JkPjwvQ2l0ZT48L0VuZE5vdGU+</w:fldData>
              </w:fldChar>
            </w:r>
            <w:r>
              <w:instrText xml:space="preserve"> ADDIN EN.CITE.DATA </w:instrText>
            </w:r>
            <w:r>
              <w:fldChar w:fldCharType="end"/>
            </w:r>
            <w:r>
              <w:fldChar w:fldCharType="separate"/>
            </w:r>
            <w:r>
              <w:t xml:space="preserve">[V16-27]</w:t>
            </w:r>
            <w:r>
              <w:fldChar w:fldCharType="end"/>
            </w:r>
            <w:r>
              <w:br/>
            </w:r>
            <w:hyperlink r:id="rId150">
              <w:r>
                <w:rPr>
                  <w:color w:val="0563C1"/>
                  <w:u w:val="single"/>
                </w:rPr>
                <w:t>Source</w:t>
              </w:r>
            </w:hyperlink>
            <w:r>
              <w:t xml:space="preserve"> · </w:t>
            </w:r>
            <w:hyperlink r:id="rId151">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Hernandez-Alejandro 2022 · North American LDLT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North American living-donor series, 10 transplanted. Liver-confined disease.</w:t>
            </w:r>
          </w:p>
        </w:tc>
        <w:tc>
          <w:tcPr>
            <w:tcW w:w="3743" w:type="dxa"/>
            <w:vAlign w:val="top"/>
            <w:shd w:fill="F1F5F8"/>
          </w:tcPr>
          <w:p>
            <w:pPr>
              <w:pStyle w:val="Normal"/>
              <w:widowControl/>
              <w:spacing w:after="55" w:line="240" w:lineRule="auto"/>
              <w:keepNext w:val="0"/>
              <w:keepLines/>
            </w:pPr>
            <w:r>
              <w:rPr>
                <w:sz w:val="21"/>
                <w:szCs w:val="21"/>
              </w:rPr>
              <w:t xml:space="preserve">Results: 1 of 10 had PET-negative portal nodal metastasis and recurred in the peritoneum at 121 days.</w:t>
            </w:r>
          </w:p>
          <w:p>
            <w:pPr>
              <w:pStyle w:val="Normal"/>
              <w:widowControl/>
              <w:spacing w:after="55" w:line="240" w:lineRule="auto"/>
              <w:keepNext w:val="0"/>
              <w:keepLines/>
            </w:pPr>
            <w:r>
              <w:rPr>
                <w:sz w:val="21"/>
                <w:szCs w:val="21"/>
              </w:rPr>
              <w:t xml:space="preserve">Limits: Ten patients; eTable unavailable.</w:t>
            </w:r>
          </w:p>
          <w:p>
            <w:pPr>
              <w:pStyle w:val="Normal"/>
              <w:widowControl/>
              <w:spacing w:after="55" w:line="240" w:lineRule="auto"/>
              <w:keepNext w:val="0"/>
              <w:keepLines/>
            </w:pPr>
            <w:r>
              <w:rPr>
                <w:sz w:val="21"/>
                <w:szCs w:val="21"/>
              </w:rPr>
              <w:t xml:space="preserve">JAMA Surg 2022; Table 4,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ZXJuYW5kZXotQWxlamFuZHJvPC9BdXRob3I+PFllYXI+MjAyMjwvWWVhcj48UmVjTnVtPjI4PC9SZWNOdW0+PERpc3BsYXlUZXh0PltWMTYtMjhdPC9EaXNwbGF5VGV4dD48cmVjb3JkPjxyZWMtbnVtYmVyPjI4PC9yZWMtbnVtYmVyPjxmb3JlaWduLWtleXM+PGtleSBhcHA9IkVOIiBkYi1pZD0iNDFlMjcyZWYtMDAzNy01NDY5LTk3MzQtZGYwYTc2MjU3ZjUxIiB0aW1lc3RhbXA9IjE3OTMyODM2ODUiPjI4PC9rZXk+PC9mb3JlaWduLWtleXM+PHJlZi10eXBlIG5hbWU9IkpvdXJuYWwgQXJ0aWNsZSI+MTc8L3JlZi10eXBlPjxjb250cmlidXRvcnM+PGF1dGhvcnM+PGF1dGhvcj5IZXJuYW5kZXotQWxlamFuZHJvLCBSb2JlcnRvPC9hdXRob3I+PGF1dGhvcj5SdWZmb2xvLCBMdWlzIEk8L2F1dGhvcj48YXV0aG9yPlNhc2FraSwgS2F6dW5hcmk8L2F1dGhvcj48YXV0aG9yPlRvbWl5YW1hLCBLb2ppPC9hdXRob3I+PGF1dGhvcj5PcmxvZmYsIE1hcmsgUzwvYXV0aG9yPjxhdXRob3I+UGluZWRhLVNvbGlzLCBLYXJlbjwvYXV0aG9yPjxhdXRob3I+TmFpciwgQW1pdDwvYXV0aG9yPjxhdXRob3I+RXJyaWdvLCBKZW5uaWU8L2F1dGhvcj48YXV0aG9yPkRva3VzLCBNIEthdGhlcmluZTwvYXV0aG9yPjxhdXRob3I+Q2F0dHJhbCwgTWFyazwvYXV0aG9yPjxhdXRob3I+TWNHaWx2cmF5LCBJYW4gRDwvYXV0aG9yPjxhdXRob3I+R2hhbmVrYXIsIEFuYW5kPC9hdXRob3I+PGF1dGhvcj5HYWxsaW5nZXIsIFN0ZXZlbjwvYXV0aG9yPjxhdXRob3I+U2Vsem5lciwgTmF6aWE8L2F1dGhvcj48YXV0aG9yPkNsYWFzZW4sIE1hcmNvIFAgQSBXPC9hdXRob3I+PGF1dGhvcj5CdXJrZXMsIFJvbjwvYXV0aG9yPjxhdXRob3I+SGFzaGltb3RvLCBLb2ppPC9hdXRob3I+PGF1dGhvcj5GdWppa2ksIE1hc2F0bzwvYXV0aG9yPjxhdXRob3I+UXVpbnRpbmksIENyaXN0aWFubzwvYXV0aG9yPjxhdXRob3I+RXN0ZmFuLCBCYXNzYW0gTjwvYXV0aG9yPjxhdXRob3I+S3dvbiwgQ2hvb24gSHl1Y2sgRGF2aWQ8L2F1dGhvcj48YXV0aG9yPk1lbm9uLCBLIFYgTmFyYXlhbmFuPC9hdXRob3I+PGF1dGhvcj5BdWNlam8sIEZlZGVyaWNvPC9hdXRob3I+PGF1dGhvcj5TYXBpc29jaGluLCBHb256YWxvPC9hdXRob3I+PC9hdXRob3JzPjwvY29udHJpYnV0b3JzPjx0aXRsZXM+PHRpdGxlPlJlY2lwaWVudCBhbmQgRG9ub3IgT3V0Y29tZXMgQWZ0ZXIgTGl2aW5nLURvbm9yIExpdmVyIFRyYW5zcGxhbnQgZm9yIFVucmVzZWN0YWJsZSBDb2xvcmVjdGFsIExpdmVyIE1ldGFzdGFzZXM8L3RpdGxlPjxzZWNvbmRhcnktdGl0bGU+SkFNQSBzdXJnZXJ5PC9zZWNvbmRhcnktdGl0bGU+PC90aXRsZXM+PHBlcmlvZGljYWw+PGZ1bGwtdGl0bGU+SkFNQSBzdXJnZXJ5PC9mdWxsLXRpdGxlPjwvcGVyaW9kaWNhbD48ZGF0ZXM+PHllYXI+MjAyMjwveWVhcj48L2RhdGVzPjx2b2x1bWU+MTU3PC92b2x1bWU+PG51bWJlcj42PC9udW1iZXI+PHBhZ2VzPjUyNC01MzA8L3BhZ2VzPjxlbGVjdHJvbmljLXJlc291cmNlLW51bT4xMC4xMDAxL2phbWFzdXJnLjIwMjIuMDMwMD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wMDEvamFtYXN1cmcuMjAyMi4wMzAw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r>
              <w:br/>
            </w:r>
            <w:hyperlink r:id="rId152">
              <w:r>
                <w:rPr>
                  <w:color w:val="0563C1"/>
                  <w:u w:val="single"/>
                </w:rPr>
                <w:t>Source</w:t>
              </w:r>
            </w:hyperlink>
            <w:r>
              <w:t xml:space="preserve"> · </w:t>
            </w:r>
            <w:hyperlink r:id="rId153">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Hagness 2014 · SECA-I recurrence</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SECA-I, 21 recipients. Liver-only disease required.</w:t>
            </w:r>
          </w:p>
        </w:tc>
        <w:tc>
          <w:tcPr>
            <w:tcW w:w="3743" w:type="dxa"/>
            <w:vAlign w:val="top"/>
            <w:shd w:fill="FFFFFF"/>
          </w:tcPr>
          <w:p>
            <w:pPr>
              <w:pStyle w:val="Normal"/>
              <w:widowControl/>
              <w:spacing w:after="55" w:line="240" w:lineRule="auto"/>
              <w:keepNext w:val="0"/>
              <w:keepLines/>
            </w:pPr>
            <w:r>
              <w:rPr>
                <w:sz w:val="21"/>
                <w:szCs w:val="21"/>
              </w:rPr>
              <w:t xml:space="preserve">Results: On retrospective review, 7 had untreated lung metastases already present at transplant; no statistical test reported.</w:t>
            </w:r>
          </w:p>
          <w:p>
            <w:pPr>
              <w:pStyle w:val="Normal"/>
              <w:widowControl/>
              <w:spacing w:after="55" w:line="240" w:lineRule="auto"/>
              <w:keepNext w:val="0"/>
              <w:keepLines/>
            </w:pPr>
            <w:r>
              <w:rPr>
                <w:sz w:val="21"/>
                <w:szCs w:val="21"/>
              </w:rPr>
              <w:t xml:space="preserve">Limits: Not evidence that treated lung disease is safe.</w:t>
            </w:r>
          </w:p>
          <w:p>
            <w:pPr>
              <w:pStyle w:val="Normal"/>
              <w:widowControl/>
              <w:spacing w:after="55" w:line="240" w:lineRule="auto"/>
              <w:keepNext w:val="0"/>
              <w:keepLines/>
            </w:pPr>
            <w:r>
              <w:rPr>
                <w:sz w:val="21"/>
                <w:szCs w:val="21"/>
              </w:rPr>
              <w:t xml:space="preserve">Ann Surg Oncol 2014;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YWduZXNzPC9BdXRob3I+PFllYXI+MjAxMzwvWWVhcj48UmVjTnVtPjI5PC9SZWNOdW0+PERpc3BsYXlUZXh0PltWMTYtMjldPC9EaXNwbGF5VGV4dD48cmVjb3JkPjxyZWMtbnVtYmVyPjI5PC9yZWMtbnVtYmVyPjxmb3JlaWduLWtleXM+PGtleSBhcHA9IkVOIiBkYi1pZD0iNDFlMjcyZWYtMDAzNy01NDY5LTk3MzQtZGYwYTc2MjU3ZjUxIiB0aW1lc3RhbXA9IjE3OTMyODM2ODUiPjI5PC9rZXk+PC9mb3JlaWduLWtleXM+PHJlZi10eXBlIG5hbWU9IkpvdXJuYWwgQXJ0aWNsZSI+MTc8L3JlZi10eXBlPjxjb250cmlidXRvcnM+PGF1dGhvcnM+PGF1dGhvcj5IYWduZXNzLCBNb3J0ZW48L2F1dGhvcj48YXV0aG9yPkZvc3MsIEFrc2VsPC9hdXRob3I+PGF1dGhvcj5FZ2dlLCBUb3IgU2thdHZlZHQ8L2F1dGhvcj48YXV0aG9yPkR1ZWxhbmQsIFN2ZWluPC9hdXRob3I+PC9hdXRob3JzPjwvY29udHJpYnV0b3JzPjx0aXRsZXM+PHRpdGxlPlBhdHRlcm5zIG9mIHJlY3VycmVuY2UgYWZ0ZXIgbGl2ZXIgdHJhbnNwbGFudGF0aW9uIGZvciBub25yZXNlY3RhYmxlIGxpdmVyIG1ldGFzdGFzZXMgZnJvbSBjb2xvcmVjdGFsIGNhbmNlcjwvdGl0bGU+PHNlY29uZGFyeS10aXRsZT5Bbm5hbHMgb2Ygc3VyZ2ljYWwgb25jb2xvZ3k8L3NlY29uZGFyeS10aXRsZT48L3RpdGxlcz48cGVyaW9kaWNhbD48ZnVsbC10aXRsZT5Bbm5hbHMgb2Ygc3VyZ2ljYWwgb25jb2xvZ3k8L2Z1bGwtdGl0bGU+PC9wZXJpb2RpY2FsPjxkYXRlcz48eWVhcj4yMDEzPC95ZWFyPjwvZGF0ZXM+PHZvbHVtZT4yMTwvdm9sdW1lPjxudW1iZXI+NDwvbnVtYmVyPjxwYWdlcz4xMzIzLTk8L3BhZ2VzPjxlbGVjdHJvbmljLXJlc291cmNlLW51bT4xMC4xMjQ1L3MxMDQzNC0wMTMtMzQ0OS05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I0NS9zMTA0MzQtMDEzLTM0NDktOTwvdXJsPjwvcmVsYXRlZC11cmxzPjwvdXJscz48L3JlY29yZD48L0NpdGU+PC9FbmROb3RlPg==</w:fldData>
              </w:fldChar>
            </w:r>
            <w:r>
              <w:instrText xml:space="preserve"> ADDIN EN.CITE.DATA </w:instrText>
            </w:r>
            <w:r>
              <w:fldChar w:fldCharType="end"/>
            </w:r>
            <w:r>
              <w:fldChar w:fldCharType="separate"/>
            </w:r>
            <w:r>
              <w:t xml:space="preserve">[V16-29]</w:t>
            </w:r>
            <w:r>
              <w:fldChar w:fldCharType="end"/>
            </w:r>
            <w:r>
              <w:br/>
            </w:r>
            <w:hyperlink r:id="rId154">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Dueland 2022 · lung resection after LT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Oslo, 14 recipients with resected lung relapse after transplant. Post-transplant setting.</w:t>
            </w:r>
          </w:p>
        </w:tc>
        <w:tc>
          <w:tcPr>
            <w:tcW w:w="3743" w:type="dxa"/>
            <w:vAlign w:val="top"/>
            <w:shd w:fill="F1F5F8"/>
          </w:tcPr>
          <w:p>
            <w:pPr>
              <w:pStyle w:val="Normal"/>
              <w:widowControl/>
              <w:spacing w:after="55" w:line="240" w:lineRule="auto"/>
              <w:keepNext w:val="0"/>
              <w:keepLines/>
            </w:pPr>
            <w:r>
              <w:rPr>
                <w:sz w:val="21"/>
                <w:szCs w:val="21"/>
              </w:rPr>
              <w:t xml:space="preserve">Results: 10-year survival 64.5% from first lung resection; 85.7% with liver metabolic tumor volume &lt;70 cm³ vs 25.0% above.</w:t>
            </w:r>
          </w:p>
          <w:p>
            <w:pPr>
              <w:pStyle w:val="Normal"/>
              <w:widowControl/>
              <w:spacing w:after="55" w:line="240" w:lineRule="auto"/>
              <w:keepNext w:val="0"/>
              <w:keepLines/>
            </w:pPr>
            <w:r>
              <w:rPr>
                <w:sz w:val="21"/>
                <w:szCs w:val="21"/>
              </w:rPr>
              <w:t xml:space="preserve">Limits: Selected patients; does not address pre-transplant disease.</w:t>
            </w:r>
          </w:p>
          <w:p>
            <w:pPr>
              <w:pStyle w:val="Normal"/>
              <w:widowControl/>
              <w:spacing w:after="55" w:line="240" w:lineRule="auto"/>
              <w:keepNext w:val="0"/>
              <w:keepLines/>
            </w:pPr>
            <w:r>
              <w:rPr>
                <w:sz w:val="21"/>
                <w:szCs w:val="21"/>
              </w:rPr>
              <w:t xml:space="preserve">Cancers 2022; Results 3.1.</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dWVsYW5kPC9BdXRob3I+PFllYXI+MjAyMjwvWWVhcj48UmVjTnVtPjMwPC9SZWNOdW0+PERpc3BsYXlUZXh0PltWMTYtMzBdPC9EaXNwbGF5VGV4dD48cmVjb3JkPjxyZWMtbnVtYmVyPjMwPC9yZWMtbnVtYmVyPjxmb3JlaWduLWtleXM+PGtleSBhcHA9IkVOIiBkYi1pZD0iNDFlMjcyZWYtMDAzNy01NDY5LTk3MzQtZGYwYTc2MjU3ZjUxIiB0aW1lc3RhbXA9IjE3OTMyODM2ODUiPjMwPC9rZXk+PC9mb3JlaWduLWtleXM+PHJlZi10eXBlIG5hbWU9IkpvdXJuYWwgQXJ0aWNsZSI+MTc8L3JlZi10eXBlPjxjb250cmlidXRvcnM+PGF1dGhvcnM+PGF1dGhvcj5EdWVsYW5kPC9hdXRob3I+PC9hdXRob3JzPjwvY29udHJpYnV0b3JzPjx0aXRsZXM+PHRpdGxlPlBFVC11cHRha2UgaW4gbGl2ZXIgbWV0YXN0YXNlcyBhcyBtZXRob2QgdG8gcHJlZGljdCB0dW1vciBiaW9sb2dpY2FsIGJlaGF2aW9yIGluIHBhdGllbnRzIHRyYW5zcGxhbnRlZCBmb3IgY29sb3JlY3RhbCBsaXZlciBtZXRhc3Rhc2VzIGRldmVsb3BpbmcgbHVuZyByZWN1cnJlbmNlPC90aXRsZT48c2Vjb25kYXJ5LXRpdGxlPkNhbmNlcnM8L3NlY29uZGFyeS10aXRsZT48L3RpdGxlcz48cGVyaW9kaWNhbD48ZnVsbC10aXRsZT5DYW5jZXJzPC9mdWxsLXRpdGxlPjwvcGVyaW9kaWNhbD48ZGF0ZXM+PHllYXI+MjAyMjwveWVhcj48L2RhdGVzPjxlbGVjdHJvbmljLXJlc291cmNlLW51bT4xMC4zMzkwL2NhbmNlcnMxNDIwNTA0Mj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wbWMubmNiaS5ubG0ubmloLmdvdi9hcnRpY2xlcy9QTUM5NTk5NjM4LzwvdXJsPjwvcmVsYXRlZC11cmxzPjwvdXJscz48L3JlY29yZD48L0NpdGU+PC9FbmROb3RlPg==</w:fldData>
              </w:fldChar>
            </w:r>
            <w:r>
              <w:instrText xml:space="preserve"> ADDIN EN.CITE.DATA </w:instrText>
            </w:r>
            <w:r>
              <w:fldChar w:fldCharType="end"/>
            </w:r>
            <w:r>
              <w:fldChar w:fldCharType="separate"/>
            </w:r>
            <w:r>
              <w:t xml:space="preserve">[V16-30]</w:t>
            </w:r>
            <w:r>
              <w:fldChar w:fldCharType="end"/>
            </w:r>
            <w:r>
              <w:br/>
            </w:r>
            <w:hyperlink r:id="rId155">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Fukumitsu 2024 · Japanese LDLT protocol</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Japanese living-donor protocol. Admits ≤3 lung metastases without recurrence for &gt;6 months after treatment; no size limit.</w:t>
            </w:r>
          </w:p>
        </w:tc>
        <w:tc>
          <w:tcPr>
            <w:tcW w:w="3743" w:type="dxa"/>
            <w:vAlign w:val="top"/>
            <w:shd w:fill="FFFFFF"/>
          </w:tcPr>
          <w:p>
            <w:pPr>
              <w:pStyle w:val="Normal"/>
              <w:widowControl/>
              <w:spacing w:after="55" w:line="240" w:lineRule="auto"/>
              <w:keepNext w:val="0"/>
              <w:keepLines/>
            </w:pPr>
            <w:r>
              <w:rPr>
                <w:sz w:val="21"/>
                <w:szCs w:val="21"/>
              </w:rPr>
              <w:t xml:space="preserve">Results: Protocol only.</w:t>
            </w:r>
          </w:p>
          <w:p>
            <w:pPr>
              <w:pStyle w:val="Normal"/>
              <w:widowControl/>
              <w:spacing w:after="55" w:line="240" w:lineRule="auto"/>
              <w:keepNext w:val="0"/>
              <w:keepLines/>
            </w:pPr>
            <w:r>
              <w:rPr>
                <w:sz w:val="21"/>
                <w:szCs w:val="21"/>
              </w:rPr>
              <w:t xml:space="preserve">Limits: No outcomes.</w:t>
            </w:r>
          </w:p>
          <w:p>
            <w:pPr>
              <w:pStyle w:val="Normal"/>
              <w:widowControl/>
              <w:spacing w:after="55" w:line="240" w:lineRule="auto"/>
              <w:keepNext w:val="0"/>
              <w:keepLines/>
            </w:pPr>
            <w:r>
              <w:rPr>
                <w:sz w:val="21"/>
                <w:szCs w:val="21"/>
              </w:rPr>
              <w:t xml:space="preserve">BMJ Open 2024; eligibility.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GdWt1bWl0c3U8L0F1dGhvcj48WWVhcj4yMDI0PC9ZZWFyPjxSZWNOdW0+MzE8L1JlY051bT48RGlzcGxheVRleHQ+W1YxNi0zMV08L0Rpc3BsYXlUZXh0PjxyZWNvcmQ+PHJlYy1udW1iZXI+MzE8L3JlYy1udW1iZXI+PGZvcmVpZ24ta2V5cz48a2V5IGFwcD0iRU4iIGRiLWlkPSI0MWUyNzJlZi0wMDM3LTU0NjktOTczNC1kZjBhNzYyNTdmNTEiIHRpbWVzdGFtcD0iMTc5MzI4MzY4NSI+MzE8L2tleT48L2ZvcmVpZ24ta2V5cz48cmVmLXR5cGUgbmFtZT0iSm91cm5hbCBBcnRpY2xlIj4xNzwvcmVmLXR5cGU+PGNvbnRyaWJ1dG9ycz48YXV0aG9ycz48YXV0aG9yPkZ1a3VtaXRzdTwvYXV0aG9yPjwvYXV0aG9ycz48L2NvbnRyaWJ1dG9ycz48dGl0bGVzPjx0aXRsZT5MaXZpbmctZG9ub3IgbGl2ZXIgdHJhbnNwbGFudGF0aW9uIGZvciBub24tcmVzZWN0YWJsZSBjb2xvcmVjdGFsIGxpdmVyIG1ldGFzdGFzZXM6IHByb3RvY29sIGZvciBhIG11bHRpY2VudHJpYywgc2luZ2xlLWFybSBzdHVkeTwvdGl0bGU+PHNlY29uZGFyeS10aXRsZT5CTUogb3Blbjwvc2Vjb25kYXJ5LXRpdGxlPjwvdGl0bGVzPjxwZXJpb2RpY2FsPjxmdWxsLXRpdGxlPkJNSiBvcGVuPC9mdWxsLXRpdGxlPjwvcGVyaW9kaWNhbD48ZGF0ZXM+PHllYXI+MjAyNDwveWVhcj48L2RhdGVzPjxlbGVjdHJvbmljLXJlc291cmNlLW51bT4xMC4xMTM2L2Jtam9wZW4tMjAyNC0wODgxODg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cG1jLm5jYmkubmxtLm5paC5nb3YvYXJ0aWNsZXMvUE1DMTE1ODAzMTMvPC91cmw+PC9yZWxhdGVkLXVybHM+PC91cmxzPjwvcmVjb3JkPjwvQ2l0ZT48L0VuZE5vdGU+</w:fldData>
              </w:fldChar>
            </w:r>
            <w:r>
              <w:instrText xml:space="preserve"> ADDIN EN.CITE.DATA </w:instrText>
            </w:r>
            <w:r>
              <w:fldChar w:fldCharType="end"/>
            </w:r>
            <w:r>
              <w:fldChar w:fldCharType="separate"/>
            </w:r>
            <w:r>
              <w:t xml:space="preserve">[V16-31]</w:t>
            </w:r>
            <w:r>
              <w:fldChar w:fldCharType="end"/>
            </w:r>
            <w:r>
              <w:br/>
            </w:r>
            <w:hyperlink r:id="rId156">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SECA-III registration (NCT03494946)</w:t>
            </w:r>
          </w:p>
          <w:p>
            <w:pPr>
              <w:pStyle w:val="Normal"/>
              <w:widowControl/>
              <w:spacing w:after="55" w:line="240" w:lineRule="auto"/>
              <w:keepNext w:val="0"/>
              <w:keepLines/>
            </w:pPr>
            <w:r>
              <w:rPr>
                <w:sz w:val="21"/>
                <w:szCs w:val="21"/>
              </w:rPr>
              <w:t xml:space="preserve"/>
            </w:r>
          </w:p>
        </w:tc>
        <w:tc>
          <w:tcPr>
            <w:tcW w:w="3582" w:type="dxa"/>
            <w:vAlign w:val="top"/>
            <w:shd w:fill="F1F5F8"/>
          </w:tcPr>
          <w:p>
            <w:pPr>
              <w:pStyle w:val="Normal"/>
              <w:widowControl/>
              <w:spacing w:after="55" w:line="240" w:lineRule="auto"/>
              <w:keepNext w:val="0"/>
              <w:keepLines/>
            </w:pPr>
            <w:r>
              <w:rPr>
                <w:sz w:val="21"/>
                <w:szCs w:val="21"/>
              </w:rPr>
              <w:t xml:space="preserve">SECA-III randomized trial registration. Resectable lung lesions &lt;15 mm allowed. Excluded: resection of lung or hilar-node metastases within 1 year, of local relapse or other non-hepatic metastasis within 2 years, and any previous bone, CNS or thoracic or abdominal nodal metastasis.</w:t>
            </w:r>
          </w:p>
        </w:tc>
        <w:tc>
          <w:tcPr>
            <w:tcW w:w="3743" w:type="dxa"/>
            <w:vAlign w:val="top"/>
            <w:shd w:fill="F1F5F8"/>
          </w:tcPr>
          <w:p>
            <w:pPr>
              <w:pStyle w:val="Normal"/>
              <w:widowControl/>
              <w:spacing w:after="55" w:line="240" w:lineRule="auto"/>
              <w:keepNext w:val="0"/>
              <w:keepLines/>
            </w:pPr>
            <w:r>
              <w:rPr>
                <w:sz w:val="21"/>
                <w:szCs w:val="21"/>
              </w:rPr>
              <w:t xml:space="preserve">Results: Recruiting.</w:t>
            </w:r>
          </w:p>
          <w:p>
            <w:pPr>
              <w:pStyle w:val="Normal"/>
              <w:widowControl/>
              <w:spacing w:after="55" w:line="240" w:lineRule="auto"/>
              <w:keepNext w:val="0"/>
              <w:keepLines/>
            </w:pPr>
            <w:r>
              <w:rPr>
                <w:sz w:val="21"/>
                <w:szCs w:val="21"/>
              </w:rPr>
              <w:t xml:space="preserve">Limits: No results.</w:t>
            </w:r>
          </w:p>
          <w:p>
            <w:pPr>
              <w:pStyle w:val="Normal"/>
              <w:widowControl/>
              <w:spacing w:after="55" w:line="240" w:lineRule="auto"/>
              <w:keepNext w:val="0"/>
              <w:keepLines/>
            </w:pPr>
            <w:r>
              <w:rPr>
                <w:sz w:val="21"/>
                <w:szCs w:val="21"/>
              </w:rPr>
              <w:t xml:space="preserve">ClinicalTrials.gov NCT03494946.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2xvIFVuaXZlcnNpdHkgSG9zcGl0YWw8L0F1dGhvcj48WWVhcj4yMDE2PC9ZZWFyPjxSZWNOdW0+MzI8L1JlY051bT48RGlzcGxheVRleHQ+W1YxNi0zMl08L0Rpc3BsYXlUZXh0PjxyZWNvcmQ+PHJlYy1udW1iZXI+MzI8L3JlYy1udW1iZXI+PGZvcmVpZ24ta2V5cz48a2V5IGFwcD0iRU4iIGRiLWlkPSI0MWUyNzJlZi0wMDM3LTU0NjktOTczNC1kZjBhNzYyNTdmNTEiIHRpbWVzdGFtcD0iMTc5MzI4MzY4NSI+MzI8L2tleT48L2ZvcmVpZ24ta2V5cz48cmVmLXR5cGUgbmFtZT0iUmVwb3J0Ij4yNzwvcmVmLXR5cGU+PGNvbnRyaWJ1dG9ycz48YXV0aG9ycz48YXV0aG9yPk9zbG8gVW5pdmVyc2l0eSBIb3NwaXRhbDwvYXV0aG9yPjwvYXV0aG9ycz48L2NvbnRyaWJ1dG9ycz48dGl0bGVzPjx0aXRsZT5BIHJhbmRvbWl6ZWQgY2xpbmljYWwgdHJpYWwgY29tcGFyaW5nIG92ZXJhbGwgc3Vydml2YWwgaW4gc2VsZWN0ZWQgcGF0aWVudHMgd2l0aCBjb2xvcmVjdGFsIGNhcmNpbm9tYSB0cmVhdGVkIGJ5IGxpdmVyIHRyYW5zcGxhbnRhdGlvbiBvciBjaGVtb3RoZXJhcHkgKFNFQ0EtSUlJKTwvdGl0bGU+PHNlY29uZGFyeS10aXRsZT5DbGluaWNhbFRyaWFscy5nb3YgTkNUMDM0OTQ5NDY8L3NlY29uZGFyeS10aXRsZT48L3RpdGxlcz48cGVyaW9kaWNhbD48ZnVsbC10aXRsZT5DbGluaWNhbFRyaWFscy5nb3YgTkNUMDM0OTQ5NDY8L2Z1bGwtdGl0bGU+PC9wZXJpb2RpY2FsPjxkYXRlcz48eWVhcj4yMDE2PC95ZWFyPjwvZGF0ZXM+PG5vdGVzPlJlZ2lzdHJ5IFRyaWFsIHJlZ2lzdHJ5IHJlY29yZC48L25vdGVzPjx1cmxzPjxyZWxhdGVkLXVybHM+PHVybD5odHRwczovL2NsaW5pY2FsdHJpYWxzLmdvdi9zdHVkeS9OQ1QwMzQ5NDk0NjwvdXJsPjwvcmVsYXRlZC11cmxzPjwvdXJscz48L3JlY29yZD48L0NpdGU+PC9FbmROb3RlPg==</w:fldData>
              </w:fldChar>
            </w:r>
            <w:r>
              <w:instrText xml:space="preserve"> ADDIN EN.CITE.DATA </w:instrText>
            </w:r>
            <w:r>
              <w:fldChar w:fldCharType="end"/>
            </w:r>
            <w:r>
              <w:fldChar w:fldCharType="separate"/>
            </w:r>
            <w:r>
              <w:t xml:space="preserve">[V16-32]</w:t>
            </w:r>
            <w:r>
              <w:fldChar w:fldCharType="end"/>
            </w:r>
            <w:r>
              <w:br/>
            </w:r>
            <w:hyperlink r:id="rId157">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PulMiCC 2020</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Randomized trial of lung metastasectomy, 93 patients (29% after liver resection). No other sites than treated liver metastases.</w:t>
            </w:r>
          </w:p>
        </w:tc>
        <w:tc>
          <w:tcPr>
            <w:tcW w:w="3743" w:type="dxa"/>
            <w:vAlign w:val="top"/>
            <w:shd w:fill="FFFFFF"/>
          </w:tcPr>
          <w:p>
            <w:pPr>
              <w:pStyle w:val="Normal"/>
              <w:widowControl/>
              <w:spacing w:after="55" w:line="240" w:lineRule="auto"/>
              <w:keepNext w:val="0"/>
              <w:keepLines/>
            </w:pPr>
            <w:r>
              <w:rPr>
                <w:sz w:val="21"/>
                <w:szCs w:val="21"/>
              </w:rPr>
              <w:t xml:space="preserve">Results: Adjusted HR 0.87 (0.51–1.48); 5-year survival 29.6% without metastasectomy vs 36.4% with.</w:t>
            </w:r>
          </w:p>
          <w:p>
            <w:pPr>
              <w:pStyle w:val="Normal"/>
              <w:widowControl/>
              <w:spacing w:after="55" w:line="240" w:lineRule="auto"/>
              <w:keepNext w:val="0"/>
              <w:keepLines/>
            </w:pPr>
            <w:r>
              <w:rPr>
                <w:sz w:val="21"/>
                <w:szCs w:val="21"/>
              </w:rPr>
              <w:t xml:space="preserve">Limits: Closed at 31% of target; inconclusive.</w:t>
            </w:r>
          </w:p>
          <w:p>
            <w:pPr>
              <w:pStyle w:val="Normal"/>
              <w:widowControl/>
              <w:spacing w:after="55" w:line="240" w:lineRule="auto"/>
              <w:keepNext w:val="0"/>
              <w:keepLines/>
            </w:pPr>
            <w:r>
              <w:rPr>
                <w:sz w:val="21"/>
                <w:szCs w:val="21"/>
              </w:rPr>
              <w:t xml:space="preserve">Colorectal Dis 2020;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aWxvc2V2aWM8L0F1dGhvcj48WWVhcj4yMDIwPC9ZZWFyPjxSZWNOdW0+MzM8L1JlY051bT48RGlzcGxheVRleHQ+W1YxNi0zM108L0Rpc3BsYXlUZXh0PjxyZWNvcmQ+PHJlYy1udW1iZXI+MzM8L3JlYy1udW1iZXI+PGZvcmVpZ24ta2V5cz48a2V5IGFwcD0iRU4iIGRiLWlkPSI0MWUyNzJlZi0wMDM3LTU0NjktOTczNC1kZjBhNzYyNTdmNTEiIHRpbWVzdGFtcD0iMTc5MzI4MzY4NSI+MzM8L2tleT48L2ZvcmVpZ24ta2V5cz48cmVmLXR5cGUgbmFtZT0iSm91cm5hbCBBcnRpY2xlIj4xNzwvcmVmLXR5cGU+PGNvbnRyaWJ1dG9ycz48YXV0aG9ycz48YXV0aG9yPk1pbG9zZXZpYywgTTwvYXV0aG9yPjxhdXRob3I+RWR3YXJkcywgSjwvYXV0aG9yPjxhdXRob3I+VHNhbmcsIEQ8L2F1dGhvcj48YXV0aG9yPkR1bm5pbmcsIEo8L2F1dGhvcj48YXV0aG9yPlNoYWNrY2xvdGgsIE08L2F1dGhvcj48YXV0aG9yPkJhdGNoZWxvciwgVDwvYXV0aG9yPjxhdXRob3I+Q29vbmFyLCBBPC9hdXRob3I+PGF1dGhvcj5IYXNhbiwgSjwvYXV0aG9yPjxhdXRob3I+RGF2aWRzb24sIEI8L2F1dGhvcj48YXV0aG9yPk1hcmNoYmFuaywgQTwvYXV0aG9yPjxhdXRob3I+R3J1bWV0dCwgUzwvYXV0aG9yPjxhdXRob3I+V2lsbGlhbXMsIE4gUjwvYXV0aG9yPjxhdXRob3I+TWFjYmV0aCwgRjwvYXV0aG9yPjxhdXRob3I+RmFyZXdlbGwsIFY8L2F1dGhvcj48YXV0aG9yPlRyZWFzdXJlLCBUPC9hdXRob3I+PC9hdXRob3JzPjwvY29udHJpYnV0b3JzPjx0aXRsZXM+PHRpdGxlPlB1bG1vbmFyeSBNZXRhc3Rhc2VjdG9teSBpbiBDb2xvcmVjdGFsIENhbmNlcjogdXBkYXRlZCBhbmFseXNpcyBvZiA5MyByYW5kb21pemVkIHBhdGllbnRzIC0gY29udHJvbCBzdXJ2aXZhbCBpcyBtdWNoIGJldHRlciB0aGFuIHByZXZpb3VzbHkgYXNzdW1lZDwvdGl0bGU+PHNlY29uZGFyeS10aXRsZT5Db2xvcmVjdGFsIGRpc2Vhc2UgOiB0aGUgb2ZmaWNpYWwgam91cm5hbCBvZiB0aGUgQXNzb2NpYXRpb24gb2YgQ29sb3Byb2N0b2xvZ3kgb2YgR3JlYXQgQnJpdGFpbiBhbmQgSXJlbGFuZDwvc2Vjb25kYXJ5LXRpdGxlPjwvdGl0bGVzPjxwZXJpb2RpY2FsPjxmdWxsLXRpdGxlPkNvbG9yZWN0YWwgZGlzZWFzZSA6IHRoZSBvZmZpY2lhbCBqb3VybmFsIG9mIHRoZSBBc3NvY2lhdGlvbiBvZiBDb2xvcHJvY3RvbG9neSBvZiBHcmVhdCBCcml0YWluIGFuZCBJcmVsYW5kPC9mdWxsLXRpdGxlPjwvcGVyaW9kaWNhbD48ZGF0ZXM+PHllYXI+MjAyMDwveWVhcj48L2RhdGVzPjx2b2x1bWU+MjI8L3ZvbHVtZT48bnVtYmVyPjEwPC9udW1iZXI+PHBhZ2VzPjEzMTQtMTMyNDwvcGFnZXM+PGVsZWN0cm9uaWMtcmVzb3VyY2UtbnVtPjEwLjExMTEvY29kaS4xNTExMz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xMTEvY29kaS4xNTExMzwvdXJsPjwvcmVsYXRlZC11cmxzPjwvdXJscz48L3JlY29yZD48L0NpdGU+PC9FbmROb3RlPg==</w:fldData>
              </w:fldChar>
            </w:r>
            <w:r>
              <w:instrText xml:space="preserve"> ADDIN EN.CITE.DATA </w:instrText>
            </w:r>
            <w:r>
              <w:fldChar w:fldCharType="end"/>
            </w:r>
            <w:r>
              <w:fldChar w:fldCharType="separate"/>
            </w:r>
            <w:r>
              <w:t xml:space="preserve">[V16-33]</w:t>
            </w:r>
            <w:r>
              <w:fldChar w:fldCharType="end"/>
            </w:r>
            <w:r>
              <w:br/>
            </w:r>
            <w:hyperlink r:id="rId158">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Grut 2018 · lung metastasis growth after LT</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Imaging case-control, 11 recipients. Lung metastases after transplant.</w:t>
            </w:r>
          </w:p>
        </w:tc>
        <w:tc>
          <w:tcPr>
            <w:tcW w:w="3743" w:type="dxa"/>
            <w:vAlign w:val="top"/>
            <w:shd w:fill="F1F5F8"/>
          </w:tcPr>
          <w:p>
            <w:pPr>
              <w:pStyle w:val="Normal"/>
              <w:widowControl/>
              <w:spacing w:after="55" w:line="240" w:lineRule="auto"/>
              <w:keepNext w:val="0"/>
              <w:keepLines/>
            </w:pPr>
            <w:r>
              <w:rPr>
                <w:sz w:val="21"/>
                <w:szCs w:val="21"/>
              </w:rPr>
              <w:t xml:space="preserve">Results: Median doubling time 125 vs 130 days (transplant vs controls).</w:t>
            </w:r>
          </w:p>
          <w:p>
            <w:pPr>
              <w:pStyle w:val="Normal"/>
              <w:widowControl/>
              <w:spacing w:after="55" w:line="240" w:lineRule="auto"/>
              <w:keepNext w:val="0"/>
              <w:keepLines/>
            </w:pPr>
            <w:r>
              <w:rPr>
                <w:sz w:val="21"/>
                <w:szCs w:val="21"/>
              </w:rPr>
              <w:t xml:space="preserve">Limits: Very small.</w:t>
            </w:r>
          </w:p>
          <w:p>
            <w:pPr>
              <w:pStyle w:val="Normal"/>
              <w:widowControl/>
              <w:spacing w:after="55" w:line="240" w:lineRule="auto"/>
              <w:keepNext w:val="0"/>
              <w:keepLines/>
            </w:pPr>
            <w:r>
              <w:rPr>
                <w:sz w:val="21"/>
                <w:szCs w:val="21"/>
              </w:rPr>
              <w:t xml:space="preserve">Br J Surg 2018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cnV0PC9BdXRob3I+PFllYXI+MjAxNzwvWWVhcj48UmVjTnVtPjM0PC9SZWNOdW0+PERpc3BsYXlUZXh0PltWMTYtMzRdPC9EaXNwbGF5VGV4dD48cmVjb3JkPjxyZWMtbnVtYmVyPjM0PC9yZWMtbnVtYmVyPjxmb3JlaWduLWtleXM+PGtleSBhcHA9IkVOIiBkYi1pZD0iNDFlMjcyZWYtMDAzNy01NDY5LTk3MzQtZGYwYTc2MjU3ZjUxIiB0aW1lc3RhbXA9IjE3OTMyODM2ODUiPjM0PC9rZXk+PC9mb3JlaWduLWtleXM+PHJlZi10eXBlIG5hbWU9IkpvdXJuYWwgQXJ0aWNsZSI+MTc8L3JlZi10eXBlPjxjb250cmlidXRvcnM+PGF1dGhvcnM+PGF1dGhvcj5HcnV0LCBIPC9hdXRob3I+PGF1dGhvcj5Tb2xiZXJnLCBTPC9hdXRob3I+PGF1dGhvcj5TZWllcnN0YWQsIFQ8L2F1dGhvcj48YXV0aG9yPlJldmhlaW0sIE0gRTwvYXV0aG9yPjxhdXRob3I+RWdnZSwgVCBTPC9hdXRob3I+PGF1dGhvcj5MYXJzZW4sIFMgRzwvYXV0aG9yPjxhdXRob3I+TGluZSwgUCBEPC9hdXRob3I+PGF1dGhvcj5EdWVsYW5kLCBTPC9hdXRob3I+PC9hdXRob3JzPjwvY29udHJpYnV0b3JzPjx0aXRsZXM+PHRpdGxlPkdyb3d0aCByYXRlcyBvZiBwdWxtb25hcnkgbWV0YXN0YXNlcyBhZnRlciBsaXZlciB0cmFuc3BsYW50YXRpb24gZm9yIHVucmVzZWN0YWJsZSBjb2xvcmVjdGFsIGxpdmVyIG1ldGFzdGFzZXM8L3RpdGxlPjxzZWNvbmRhcnktdGl0bGU+VGhlIEJyaXRpc2ggam91cm5hbCBvZiBzdXJnZXJ5PC9zZWNvbmRhcnktdGl0bGU+PC90aXRsZXM+PHBlcmlvZGljYWw+PGZ1bGwtdGl0bGU+VGhlIEJyaXRpc2ggam91cm5hbCBvZiBzdXJnZXJ5PC9mdWxsLXRpdGxlPjwvcGVyaW9kaWNhbD48ZGF0ZXM+PHllYXI+MjAxNzwveWVhcj48L2RhdGVzPjx2b2x1bWU+MTA1PC92b2x1bWU+PG51bWJlcj4zPC9udW1iZXI+PHBhZ2VzPjI5NS0zMDE8L3BhZ2VzPjxlbGVjdHJvbmljLXJlc291cmNlLW51bT4xMC4xMDAyL2Jqcy4xMDY1MTwvZWxlY3Ryb25pYy1yZXNvdXJjZS1udW0+PG5vdGVzPkpvdXJuYWwgYXJ0aWNsZSBQdWJNZWQgYWJzdHJhY3QgdmVyaWZpZWQ7IGZ1bGwgdGV4dCBwZW5kaW5nIFRNQyBkb3dubG9hZC4gTm90IHJlcHJlc2VudGVkIGFzIGEgZnVsbC10ZXh0IHJldmlldy48L25vdGVzPjx1cmxzPjxyZWxhdGVkLXVybHM+PHVybD5odHRwczovL2RvaS5vcmcvMTAuMTAwMi9ianMuMTA2NTE8L3VybD48L3JlbGF0ZWQtdXJscz48L3VybHM+PC9yZWNvcmQ+PC9DaXRlPjwvRW5kTm90ZT4=</w:fldData>
              </w:fldChar>
            </w:r>
            <w:r>
              <w:instrText xml:space="preserve"> ADDIN EN.CITE.DATA </w:instrText>
            </w:r>
            <w:r>
              <w:fldChar w:fldCharType="end"/>
            </w:r>
            <w:r>
              <w:fldChar w:fldCharType="separate"/>
            </w:r>
            <w:r>
              <w:t xml:space="preserve">[V16-34]</w:t>
            </w:r>
            <w:r>
              <w:fldChar w:fldCharType="end"/>
            </w:r>
            <w:r>
              <w:br/>
            </w:r>
            <w:hyperlink r:id="rId159">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The lung-only signal comes from post-transplant relapse and protocol precedent, not from transplantation after treated lung disease. PulMiCC was inconclusive but found 29.6% 5-year survival without metastasectomy, suggesting that lung metastasectomy may select favorable biology rather than cure it.</w:t>
      </w:r>
    </w:p>
    <w:p>
      <w:pPr>
        <w:pStyle w:val="Normal"/>
        <w:widowControl/>
        <w:spacing w:after="120"/>
      </w:pPr>
      <w:r>
        <w:t xml:space="preserve">Certainty: Very low for transplantation after previously treated extrahepatic disease; low for the indirect inference that lung-limited disease behaves indolently after transplant.</w:t>
      </w:r>
    </w:p>
    <w:p>
      <w:pPr>
        <w:pStyle w:val="Normal"/>
        <w:widowControl/>
        <w:spacing w:after="120"/>
      </w:pPr>
      <w:r>
        <w:t xml:space="preserve">What would change the answer: SECA-III or Japanese protocol results in recipients with treated lung metastases.</w:t>
      </w:r>
    </w:p>
    <w:p>
      <w:pPr>
        <w:pStyle w:val="Normal"/>
        <w:widowControl/>
        <w:spacing w:after="120"/>
      </w:pPr>
      <w:r>
        <w:t xml:space="preserve">Meeting question CRLM-B5,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Treatment-intensive conversion and radiographic disappearance could imply safe eligibility or eradication. </w:t>
      </w:r>
      <w:r>
        <w:rPr>
          <w:b/>
        </w:rPr>
        <w:t xml:space="preserve">Correction and reason: </w:t>
      </w:r>
      <w:r>
        <w:t xml:space="preserve">Added failure-to-reach-LT denominators, the pre-LT death after bilobar Y90 and the distinction between microscopic viability, persistent unresectability and proven transplant benefit.</w:t>
      </w:r>
    </w:p>
    <w:p>
      <w:pPr>
        <w:pStyle w:val="Normal"/>
        <w:keepNext/>
        <w:widowControl/>
        <w:keepLines/>
      </w:pPr>
      <w:r>
        <w:rPr>
          <w:b/>
        </w:rPr>
        <w:t xml:space="preserve">Problem: </w:t>
      </w:r>
      <w:r>
        <w:t xml:space="preserve">TransMet was incorrectly described as requiring objective response and mandatory lymphadenectomy. </w:t>
      </w:r>
      <w:r>
        <w:rPr>
          <w:b/>
        </w:rPr>
        <w:t xml:space="preserve">Correction and reason: </w:t>
      </w:r>
      <w:r>
        <w:t xml:space="preserve">Allowed the trial’s stable-or-partial-response criterion and separated current NLRB requirements; replaced universal dissection with suspicious-lesion/node assessment and a local operative SOP.</w:t>
      </w:r>
    </w:p>
    <w:p>
      <w:pPr>
        <w:pStyle w:val="Normal"/>
        <w:keepNext/>
        <w:widowControl/>
        <w:keepLines/>
      </w:pPr>
      <w:r>
        <w:rPr>
          <w:b/>
        </w:rPr>
        <w:t xml:space="preserve">Problem: </w:t>
      </w:r>
      <w:r>
        <w:t xml:space="preserve">BRAF and CEA boundaries were inconsistent; radiographic disappearance implied too much. </w:t>
      </w:r>
      <w:r>
        <w:rPr>
          <w:b/>
        </w:rPr>
        <w:t xml:space="preserve">Correction and reason: </w:t>
      </w:r>
      <w:r>
        <w:t xml:space="preserve">Used BRAF-wild-type guidance, separated initial/extension CEA wording and distinguished occult viability from persistent unresectability and LT benefit.</w:t>
      </w:r>
    </w:p>
    <w:p>
      <w:pPr>
        <w:pStyle w:val="Normal"/>
        <w:keepNext/>
        <w:widowControl/>
        <w:keepLines/>
      </w:pPr>
      <w:r>
        <w:rPr>
          <w:b/>
        </w:rPr>
        <w:t xml:space="preserve">Problem: </w:t>
      </w:r>
      <w:r>
        <w:t xml:space="preserve">Trial drug doses and mTOR cancer benefit were presented as routine orders. </w:t>
      </w:r>
      <w:r>
        <w:rPr>
          <w:b/>
        </w:rPr>
        <w:t xml:space="preserve">Correction and reason: </w:t>
      </w:r>
      <w:r>
        <w:t xml:space="preserve">Required the current signed transplant-pharmacy regimen, corrected the MMF attribution, and made CRLM recurrence benefit unproven.</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Revision history</w:t>
      </w:r>
    </w:p>
    <w:p>
      <w:pPr>
        <w:pStyle w:val="Normal"/>
        <w:widowControl/>
        <w:spacing w:after="120"/>
      </w:pPr>
      <w:r>
        <w:t xml:space="preserve">2026-10-25 04:38 CDT. Problem and correction: Integrate CRLM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160">
        <w:r>
          <w:rPr>
            <w:color w:val="0563C1"/>
            <w:u w:val="single"/>
          </w:rPr>
          <w:t>Source</w:t>
        </w:r>
      </w:hyperlink>
      <w:r>
        <w:t xml:space="preserve"> | </w:t>
      </w:r>
      <w:hyperlink r:id="rId161">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162">
        <w:r>
          <w:rPr>
            <w:color w:val="0563C1"/>
            <w:u w:val="single"/>
          </w:rPr>
          <w:t>Source</w:t>
        </w:r>
      </w:hyperlink>
      <w:r>
        <w:t xml:space="preserve"> | </w:t>
      </w:r>
      <w:hyperlink r:id="rId163">
        <w:r>
          <w:rPr>
            <w:color w:val="0563C1"/>
            <w:u w:val="single"/>
          </w:rPr>
          <w:t>Full-text access</w:t>
        </w:r>
      </w:hyperlink>
    </w:p>
    <w:p>
      <w:pPr>
        <w:pStyle w:val="Normal"/>
        <w:widowControl/>
        <w:spacing w:after="120"/>
      </w:pPr>
      <w:r>
        <w:t xml:space="preserve"/>
      </w:r>
      <w:r>
        <w:t xml:space="preserve">[V16-3]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164">
        <w:r>
          <w:rPr>
            <w:color w:val="0563C1"/>
            <w:u w:val="single"/>
          </w:rPr>
          <w:t>Source</w:t>
        </w:r>
      </w:hyperlink>
      <w:r>
        <w:t xml:space="preserve"> | </w:t>
      </w:r>
      <w:hyperlink r:id="rId165">
        <w:r>
          <w:rPr>
            <w:color w:val="0563C1"/>
            <w:u w:val="single"/>
          </w:rPr>
          <w:t>Full-text access</w:t>
        </w:r>
      </w:hyperlink>
    </w:p>
    <w:p>
      <w:pPr>
        <w:pStyle w:val="Normal"/>
        <w:widowControl/>
        <w:spacing w:after="120"/>
      </w:pPr>
      <w:r>
        <w:t xml:space="preserve"/>
      </w:r>
      <w:r>
        <w:t xml:space="preserve">[V16-4] Dueland, Svein. Survival Following Liver Transplantation for Patients With Nonresectable Liver-only Colorectal Metastases. Annals of Surgery. 2020; 271(2):212–218. </w:t>
      </w:r>
      <w:hyperlink r:id="rId166">
        <w:r>
          <w:rPr>
            <w:color w:val="0563C1"/>
            <w:u w:val="single"/>
          </w:rPr>
          <w:t>Source</w:t>
        </w:r>
      </w:hyperlink>
      <w:r>
        <w:t xml:space="preserve"> | </w:t>
      </w:r>
      <w:hyperlink r:id="rId167">
        <w:r>
          <w:rPr>
            <w:color w:val="0563C1"/>
            <w:u w:val="single"/>
          </w:rPr>
          <w:t>Full-text access</w:t>
        </w:r>
      </w:hyperlink>
    </w:p>
    <w:p>
      <w:pPr>
        <w:pStyle w:val="Normal"/>
        <w:widowControl/>
        <w:spacing w:after="120"/>
      </w:pPr>
      <w:r>
        <w:t xml:space="preserve"/>
      </w:r>
      <w:r>
        <w:t xml:space="preserve">[V16-5] Gorji, Leva; Brown, Zachary J.; Limkemann, Ashley; et al. Liver Transplant as a Treatment of Primary and Secondary Liver Neoplasms. JAMA Surgery. 2024; 159(2):211. </w:t>
      </w:r>
      <w:hyperlink r:id="rId168">
        <w:r>
          <w:rPr>
            <w:color w:val="0563C1"/>
            <w:u w:val="single"/>
          </w:rPr>
          <w:t>Source</w:t>
        </w:r>
      </w:hyperlink>
      <w:r>
        <w:t xml:space="preserve"> | </w:t>
      </w:r>
      <w:hyperlink r:id="rId169">
        <w:r>
          <w:rPr>
            <w:color w:val="0563C1"/>
            <w:u w:val="single"/>
          </w:rPr>
          <w:t>Full-text access</w:t>
        </w:r>
      </w:hyperlink>
    </w:p>
    <w:p>
      <w:pPr>
        <w:pStyle w:val="Normal"/>
        <w:widowControl/>
        <w:spacing w:after="120"/>
      </w:pPr>
      <w:r>
        <w:t xml:space="preserve"/>
      </w:r>
      <w:r>
        <w:t xml:space="preserve">[V16-6] Dove, Lorna; Chadha, Ryan M.; Lai, Jennifer C.; et al. AASLD AST Practice Guideline on adult liver transplantation: Candidate evaluation. Hepatology. 2026; 83(6):1609-1645. </w:t>
      </w:r>
      <w:hyperlink r:id="rId170">
        <w:r>
          <w:rPr>
            <w:color w:val="0563C1"/>
            <w:u w:val="single"/>
          </w:rPr>
          <w:t>Source</w:t>
        </w:r>
      </w:hyperlink>
      <w:r>
        <w:t xml:space="preserve"> | </w:t>
      </w:r>
      <w:hyperlink r:id="rId171">
        <w:r>
          <w:rPr>
            <w:color w:val="0563C1"/>
            <w:u w:val="single"/>
          </w:rPr>
          <w:t>Full-text access</w:t>
        </w:r>
      </w:hyperlink>
    </w:p>
    <w:p>
      <w:pPr>
        <w:pStyle w:val="Normal"/>
        <w:widowControl/>
        <w:spacing w:after="120"/>
      </w:pPr>
      <w:r>
        <w:t xml:space="preserve"/>
      </w:r>
      <w:r>
        <w:t xml:space="preserve">[V16-7] Ueberroth, Benjamin E; Kriss, Michael; Burton, James R; et al. Liver transplantation for colorectal cancer with liver metastases. The Oncologist. 2025; 30(1). </w:t>
      </w:r>
      <w:hyperlink r:id="rId172">
        <w:r>
          <w:rPr>
            <w:color w:val="0563C1"/>
            <w:u w:val="single"/>
          </w:rPr>
          <w:t>Source</w:t>
        </w:r>
      </w:hyperlink>
      <w:r>
        <w:t xml:space="preserve"> | </w:t>
      </w:r>
      <w:hyperlink r:id="rId173">
        <w:r>
          <w:rPr>
            <w:color w:val="0563C1"/>
            <w:u w:val="single"/>
          </w:rPr>
          <w:t>Full-text access</w:t>
        </w:r>
      </w:hyperlink>
    </w:p>
    <w:p>
      <w:pPr>
        <w:pStyle w:val="Normal"/>
        <w:widowControl/>
        <w:spacing w:after="120"/>
      </w:pPr>
      <w:r>
        <w:t xml:space="preserve"/>
      </w:r>
      <w:r>
        <w:t xml:space="preserve">[V16-8] Kataoka, Kozo; Mauer, Murielle; Shiozawa, Manabu; et al. Diagnostic Accuracy of Imaging in Assessing Nonviability of Disappearing Colorectal Liver Metastasis. JAMA Surgery. 2025. </w:t>
      </w:r>
      <w:hyperlink r:id="rId174">
        <w:r>
          <w:rPr>
            <w:color w:val="0563C1"/>
            <w:u w:val="single"/>
          </w:rPr>
          <w:t>Source</w:t>
        </w:r>
      </w:hyperlink>
      <w:r>
        <w:t xml:space="preserve"> | </w:t>
      </w:r>
      <w:hyperlink r:id="rId175">
        <w:r>
          <w:rPr>
            <w:color w:val="0563C1"/>
            <w:u w:val="single"/>
          </w:rPr>
          <w:t>Full-text access</w:t>
        </w:r>
      </w:hyperlink>
    </w:p>
    <w:p>
      <w:pPr>
        <w:pStyle w:val="Normal"/>
        <w:widowControl/>
        <w:spacing w:after="120"/>
      </w:pPr>
      <w:r>
        <w:t xml:space="preserve"/>
      </w:r>
      <w:r>
        <w:t xml:space="preserve">[V16-9] Oba, Atsushi; Mise, Yoshihiro; Ito, Hiromichi; et al. Clinical implications of disappearing colorectal liver metastases have changed in the era of hepatocyte-specific MRI and contrast-enhanced intraoperative ultrasonography. HPB. 2018; 20(8):708-714. </w:t>
      </w:r>
      <w:hyperlink r:id="rId176">
        <w:r>
          <w:rPr>
            <w:color w:val="0563C1"/>
            <w:u w:val="single"/>
          </w:rPr>
          <w:t>Source</w:t>
        </w:r>
      </w:hyperlink>
      <w:r>
        <w:t xml:space="preserve"> | </w:t>
      </w:r>
      <w:hyperlink r:id="rId177">
        <w:r>
          <w:rPr>
            <w:color w:val="0563C1"/>
            <w:u w:val="single"/>
          </w:rPr>
          <w:t>Full-text access</w:t>
        </w:r>
      </w:hyperlink>
    </w:p>
    <w:p>
      <w:pPr>
        <w:pStyle w:val="Normal"/>
        <w:widowControl/>
        <w:spacing w:after="120"/>
      </w:pPr>
      <w:r>
        <w:t xml:space="preserve"/>
      </w:r>
      <w:r>
        <w:t xml:space="preserve">[V16-10] Wehrle, Chase J; Fujiki, Masato; Schlegel, Andrea; et al. Intensive locoregional therapy before liver transplantation for colorectal cancer liver metastasis: A novel pretransplant protocol. Liver transplantation : official publication of the American Association for the Study of Liver Diseases and the International Liver Transplantation Society. 2024; 30(12):1238-1249. </w:t>
      </w:r>
      <w:hyperlink r:id="rId178">
        <w:r>
          <w:rPr>
            <w:color w:val="0563C1"/>
            <w:u w:val="single"/>
          </w:rPr>
          <w:t>Source</w:t>
        </w:r>
      </w:hyperlink>
      <w:r>
        <w:t xml:space="preserve"> | </w:t>
      </w:r>
      <w:hyperlink r:id="rId179">
        <w:r>
          <w:rPr>
            <w:color w:val="0563C1"/>
            <w:u w:val="single"/>
          </w:rPr>
          <w:t>Full-text access</w:t>
        </w:r>
      </w:hyperlink>
    </w:p>
    <w:p>
      <w:pPr>
        <w:pStyle w:val="Normal"/>
        <w:widowControl/>
        <w:spacing w:after="120"/>
      </w:pPr>
      <w:r>
        <w:t xml:space="preserve"/>
      </w:r>
      <w:r>
        <w:t xml:space="preserve">[V16-11] Wehrle, Chase J; Chávez-Villa, Mariana; Byrne, Matthew; et al. Pretransplant metabolic tumor volume predicts recurrence following liver transplantation for colorectal metastasis: A multicenter study. Liver transplantation : official publication of the American Association for the Study of Liver Diseases and the International Liver Transplantation Society. 2025; 31(3):298-310. </w:t>
      </w:r>
      <w:hyperlink r:id="rId180">
        <w:r>
          <w:rPr>
            <w:color w:val="0563C1"/>
            <w:u w:val="single"/>
          </w:rPr>
          <w:t>Source</w:t>
        </w:r>
      </w:hyperlink>
      <w:r>
        <w:t xml:space="preserve"> | </w:t>
      </w:r>
      <w:hyperlink r:id="rId181">
        <w:r>
          <w:rPr>
            <w:color w:val="0563C1"/>
            <w:u w:val="single"/>
          </w:rPr>
          <w:t>Full-text access</w:t>
        </w:r>
      </w:hyperlink>
    </w:p>
    <w:p>
      <w:pPr>
        <w:pStyle w:val="Normal"/>
        <w:widowControl/>
        <w:spacing w:after="120"/>
      </w:pPr>
      <w:r>
        <w:t xml:space="preserve"/>
      </w:r>
      <w:r>
        <w:t xml:space="preserve">[V16-12] Grut, Harald; Line, Pål-Dag; Syversveen, Trygve; et al. Metabolic tumor volume predicts long-term survival after transplantation for unresectable colorectal liver metastases: 15 years of experience from the SECA study. Annals of nuclear medicine. 2022; 36(12):1073-1081. </w:t>
      </w:r>
      <w:hyperlink r:id="rId182">
        <w:r>
          <w:rPr>
            <w:color w:val="0563C1"/>
            <w:u w:val="single"/>
          </w:rPr>
          <w:t>Source</w:t>
        </w:r>
      </w:hyperlink>
      <w:r>
        <w:t xml:space="preserve"> | </w:t>
      </w:r>
      <w:hyperlink r:id="rId183">
        <w:r>
          <w:rPr>
            <w:color w:val="0563C1"/>
            <w:u w:val="single"/>
          </w:rPr>
          <w:t>Full-text access</w:t>
        </w:r>
      </w:hyperlink>
    </w:p>
    <w:p>
      <w:pPr>
        <w:pStyle w:val="Normal"/>
        <w:widowControl/>
        <w:spacing w:after="120"/>
      </w:pPr>
      <w:r>
        <w:t xml:space="preserve"/>
      </w:r>
      <w:r>
        <w:t xml:space="preserve">[V16-13] Bonney, Glenn K; Chew, Claire Alexandra; Lodge, Peter; et al. Liver transplantation for non-resectable colorectal liver metastases: the International Hepato-Pancreato-Biliary Association consensus guidelines. The lancet. Gastroenterology &amp; hepatology. 2021; 6(11):933-946. </w:t>
      </w:r>
      <w:hyperlink r:id="rId184">
        <w:r>
          <w:rPr>
            <w:color w:val="0563C1"/>
            <w:u w:val="single"/>
          </w:rPr>
          <w:t>Source</w:t>
        </w:r>
      </w:hyperlink>
      <w:r>
        <w:t xml:space="preserve"> | </w:t>
      </w:r>
      <w:hyperlink r:id="rId185">
        <w:r>
          <w:rPr>
            <w:color w:val="0563C1"/>
            <w:u w:val="single"/>
          </w:rPr>
          <w:t>Full-text access</w:t>
        </w:r>
      </w:hyperlink>
    </w:p>
    <w:p>
      <w:pPr>
        <w:pStyle w:val="Normal"/>
        <w:widowControl/>
        <w:spacing w:after="120"/>
      </w:pPr>
      <w:r>
        <w:t xml:space="preserve"/>
      </w:r>
      <w:r>
        <w:t xml:space="preserve">[V16-14] Adam, René; Badrudin, David; Chiche, Laurence; et al. Safety and feasibility of chemotherapy followed by liver transplantation for patients with definitely unresectable colorectal liver metastases: insights from the TransMet randomised clinical trial. eClinicalMedicine. 2024; 72:102608. </w:t>
      </w:r>
      <w:hyperlink r:id="rId186">
        <w:r>
          <w:rPr>
            <w:color w:val="0563C1"/>
            <w:u w:val="single"/>
          </w:rPr>
          <w:t>Source</w:t>
        </w:r>
      </w:hyperlink>
      <w:r>
        <w:t xml:space="preserve"> | </w:t>
      </w:r>
      <w:hyperlink r:id="rId187">
        <w:r>
          <w:rPr>
            <w:color w:val="0563C1"/>
            <w:u w:val="single"/>
          </w:rPr>
          <w:t>Full-text access</w:t>
        </w:r>
      </w:hyperlink>
    </w:p>
    <w:p>
      <w:pPr>
        <w:pStyle w:val="Normal"/>
        <w:widowControl/>
        <w:spacing w:after="120"/>
      </w:pPr>
      <w:r>
        <w:t xml:space="preserve"/>
      </w:r>
      <w:r>
        <w:t xml:space="preserve">[V16-15] Dueland, Svein; Smedman, Tor M.; Syversveen, Trygve; et al. Liver Transplantation for Nonresectable Colorectal Liver Metastases: Ten-year Follow-up and Assessment of Curative Rate in the SECA-II Study. Annals of Surgery. 2026. </w:t>
      </w:r>
      <w:hyperlink r:id="rId188">
        <w:r>
          <w:rPr>
            <w:color w:val="0563C1"/>
            <w:u w:val="single"/>
          </w:rPr>
          <w:t>Source</w:t>
        </w:r>
      </w:hyperlink>
      <w:r>
        <w:t xml:space="preserve"> | </w:t>
      </w:r>
      <w:hyperlink r:id="rId189">
        <w:r>
          <w:rPr>
            <w:color w:val="0563C1"/>
            <w:u w:val="single"/>
          </w:rPr>
          <w:t>Full-text access</w:t>
        </w:r>
      </w:hyperlink>
    </w:p>
    <w:p>
      <w:pPr>
        <w:pStyle w:val="Normal"/>
        <w:widowControl/>
        <w:spacing w:after="120"/>
      </w:pPr>
      <w:r>
        <w:t xml:space="preserve"/>
      </w:r>
      <w:r>
        <w:t xml:space="preserve">[V16-16] Strickler JH; Cercek A; Siena S; et al. Tucatinib plus trastuzumab for chemotherapy-refractory, HER2 + , RAS wild-type metastatic colorectal cancer (MOUNTAINEER): final analysis.. Nature communications. 2026; 17(1):1068. </w:t>
      </w:r>
      <w:hyperlink r:id="rId190">
        <w:r>
          <w:rPr>
            <w:color w:val="0563C1"/>
            <w:u w:val="single"/>
          </w:rPr>
          <w:t>Source</w:t>
        </w:r>
      </w:hyperlink>
      <w:r>
        <w:t xml:space="preserve"> | </w:t>
      </w:r>
      <w:hyperlink r:id="rId191">
        <w:r>
          <w:rPr>
            <w:color w:val="0563C1"/>
            <w:u w:val="single"/>
          </w:rPr>
          <w:t>Full-text access</w:t>
        </w:r>
      </w:hyperlink>
    </w:p>
    <w:p>
      <w:pPr>
        <w:pStyle w:val="Normal"/>
        <w:widowControl/>
        <w:spacing w:after="120"/>
      </w:pPr>
      <w:r>
        <w:t xml:space="preserve"/>
      </w:r>
      <w:r>
        <w:t xml:space="preserve">[V16-17] Prager GW; Taieb J; Fakih M; et al. Trifluridine-Tipiracil and Bevacizumab in Refractory Metastatic Colorectal Cancer.. The New England journal of medicine. 2023; 388(18):1657-1667. </w:t>
      </w:r>
      <w:hyperlink r:id="rId192">
        <w:r>
          <w:rPr>
            <w:color w:val="0563C1"/>
            <w:u w:val="single"/>
          </w:rPr>
          <w:t>Source</w:t>
        </w:r>
      </w:hyperlink>
      <w:r>
        <w:t xml:space="preserve"> | </w:t>
      </w:r>
      <w:hyperlink r:id="rId193">
        <w:r>
          <w:rPr>
            <w:color w:val="0563C1"/>
            <w:u w:val="single"/>
          </w:rPr>
          <w:t>Full-text access</w:t>
        </w:r>
      </w:hyperlink>
    </w:p>
    <w:p>
      <w:pPr>
        <w:pStyle w:val="Normal"/>
        <w:widowControl/>
        <w:spacing w:after="120"/>
      </w:pPr>
      <w:r>
        <w:t xml:space="preserve"/>
      </w:r>
      <w:r>
        <w:t xml:space="preserve">[V16-18] Dasari A; Lonardi S; Garcia-Carbonero R; et al. Fruquintinib versus placebo in patients with refractory metastatic colorectal cancer (FRESCO-2): an international, multicentre, randomised, double-blind, phase 3 study.. Lancet (London, England). 2023; 402(10395):41-53. </w:t>
      </w:r>
      <w:hyperlink r:id="rId194">
        <w:r>
          <w:rPr>
            <w:color w:val="0563C1"/>
            <w:u w:val="single"/>
          </w:rPr>
          <w:t>Source</w:t>
        </w:r>
      </w:hyperlink>
      <w:r>
        <w:t xml:space="preserve"> | </w:t>
      </w:r>
      <w:hyperlink r:id="rId195">
        <w:r>
          <w:rPr>
            <w:color w:val="0563C1"/>
            <w:u w:val="single"/>
          </w:rPr>
          <w:t>Full-text access</w:t>
        </w:r>
      </w:hyperlink>
    </w:p>
    <w:p>
      <w:pPr>
        <w:pStyle w:val="Normal"/>
        <w:widowControl/>
        <w:spacing w:after="120"/>
      </w:pPr>
      <w:r>
        <w:t xml:space="preserve"/>
      </w:r>
      <w:r>
        <w:t xml:space="preserve">[V16-19] Te, Helen S.; Agopian, Vatche G.; Demetris, Anthony J.; et al. AASLD AST Practice Guideline on adult liver transplantation: Diagnosis and management of graft-related complications. Liver Transplantation. 2025; 32(3):444-490. </w:t>
      </w:r>
      <w:hyperlink r:id="rId196">
        <w:r>
          <w:rPr>
            <w:color w:val="0563C1"/>
            <w:u w:val="single"/>
          </w:rPr>
          <w:t>Source</w:t>
        </w:r>
      </w:hyperlink>
      <w:r>
        <w:t xml:space="preserve"> | </w:t>
      </w:r>
      <w:hyperlink r:id="rId197">
        <w:r>
          <w:rPr>
            <w:color w:val="0563C1"/>
            <w:u w:val="single"/>
          </w:rPr>
          <w:t>Full-text access</w:t>
        </w:r>
      </w:hyperlink>
    </w:p>
    <w:p>
      <w:pPr>
        <w:pStyle w:val="Normal"/>
        <w:widowControl/>
        <w:spacing w:after="120"/>
      </w:pPr>
      <w:r>
        <w:t xml:space="preserve"/>
      </w:r>
      <w:r>
        <w:t xml:space="preserve">[V16-20] Novartis Pharmaceuticals Corporation. Zortress (everolimus) US prescribing information, updated 16 September 2026. DailyMed. 2026. </w:t>
      </w:r>
      <w:hyperlink r:id="rId198">
        <w:r>
          <w:rPr>
            <w:color w:val="0563C1"/>
            <w:u w:val="single"/>
          </w:rPr>
          <w:t>Source</w:t>
        </w:r>
      </w:hyperlink>
      <w:r>
        <w:t xml:space="preserve"> | </w:t>
      </w:r>
      <w:hyperlink r:id="rId199">
        <w:r>
          <w:rPr>
            <w:color w:val="0563C1"/>
            <w:u w:val="single"/>
          </w:rPr>
          <w:t>Full-text access</w:t>
        </w:r>
      </w:hyperlink>
    </w:p>
    <w:p>
      <w:pPr>
        <w:pStyle w:val="Normal"/>
        <w:widowControl/>
        <w:spacing w:after="120"/>
      </w:pPr>
      <w:r>
        <w:t xml:space="preserve"/>
      </w:r>
      <w:r>
        <w:t xml:space="preserve">[V16-21] Nashan, Björn. mTOR Inhibition and Clinical Transplantation. Transplantation. 2018; 102(2S):S19-S26. </w:t>
      </w:r>
      <w:hyperlink r:id="rId200">
        <w:r>
          <w:rPr>
            <w:color w:val="0563C1"/>
            <w:u w:val="single"/>
          </w:rPr>
          <w:t>Source</w:t>
        </w:r>
      </w:hyperlink>
      <w:r>
        <w:t xml:space="preserve"> | </w:t>
      </w:r>
      <w:hyperlink r:id="rId201">
        <w:r>
          <w:rPr>
            <w:color w:val="0563C1"/>
            <w:u w:val="single"/>
          </w:rPr>
          <w:t>Full-text access</w:t>
        </w:r>
      </w:hyperlink>
    </w:p>
    <w:p>
      <w:pPr>
        <w:pStyle w:val="Normal"/>
        <w:widowControl/>
        <w:spacing w:after="120"/>
      </w:pPr>
      <w:r>
        <w:t xml:space="preserve"/>
      </w:r>
      <w:r>
        <w:t xml:space="preserve">[V16-22] Wehrle, Chase J; Raj, Roma; Aykun, Nihal; et al. Circulating Tumor DNA in Colorectal Cancer Liver Metastasis: Analysis of Patients Receiving Liver Resection and Transplant. JCO clinical cancer informatics. 2023; 7:e2300111. </w:t>
      </w:r>
      <w:hyperlink r:id="rId202">
        <w:r>
          <w:rPr>
            <w:color w:val="0563C1"/>
            <w:u w:val="single"/>
          </w:rPr>
          <w:t>Source</w:t>
        </w:r>
      </w:hyperlink>
      <w:r>
        <w:t xml:space="preserve"> | </w:t>
      </w:r>
      <w:hyperlink r:id="rId203">
        <w:r>
          <w:rPr>
            <w:color w:val="0563C1"/>
            <w:u w:val="single"/>
          </w:rPr>
          <w:t>Full-text access</w:t>
        </w:r>
      </w:hyperlink>
    </w:p>
    <w:p>
      <w:pPr>
        <w:pStyle w:val="Normal"/>
        <w:widowControl/>
        <w:spacing w:after="120"/>
      </w:pPr>
      <w:r>
        <w:t xml:space="preserve"/>
      </w:r>
      <w:r>
        <w:t xml:space="preserve">[V16-23] Abecassis, M.M.; Fisher, R.A.; Olthoff, K.M.; et al. Complications of Living Donor Hepatic Lobectomy—A Comprehensive Report. American Journal of Transplantation. 2012; 12(5):1208-1217. </w:t>
      </w:r>
      <w:hyperlink r:id="rId204">
        <w:r>
          <w:rPr>
            <w:color w:val="0563C1"/>
            <w:u w:val="single"/>
          </w:rPr>
          <w:t>Source</w:t>
        </w:r>
      </w:hyperlink>
      <w:r>
        <w:t xml:space="preserve"> | </w:t>
      </w:r>
      <w:hyperlink r:id="rId205">
        <w:r>
          <w:rPr>
            <w:color w:val="0563C1"/>
            <w:u w:val="single"/>
          </w:rPr>
          <w:t>Full-text access</w:t>
        </w:r>
      </w:hyperlink>
    </w:p>
    <w:p>
      <w:pPr>
        <w:pStyle w:val="Normal"/>
        <w:widowControl/>
        <w:spacing w:after="120"/>
      </w:pPr>
      <w:r>
        <w:t xml:space="preserve"/>
      </w:r>
      <w:r>
        <w:t xml:space="preserve">[V16-24] DiMartini, A.; Dew, M.A.; Liu, Q.; et al. Social and Financial Outcomes of Living Liver Donation: A Prospective Investigation Within the Adult-to-Adult Living Donor Liver Transplantation Cohort Study 2 (A2ALL-2). American Journal of Transplantation. 2017; 17(4):1081-1096. </w:t>
      </w:r>
      <w:hyperlink r:id="rId206">
        <w:r>
          <w:rPr>
            <w:color w:val="0563C1"/>
            <w:u w:val="single"/>
          </w:rPr>
          <w:t>Source</w:t>
        </w:r>
      </w:hyperlink>
      <w:r>
        <w:t xml:space="preserve"> | </w:t>
      </w:r>
      <w:hyperlink r:id="rId207">
        <w:r>
          <w:rPr>
            <w:color w:val="0563C1"/>
            <w:u w:val="single"/>
          </w:rPr>
          <w:t>Full-text access</w:t>
        </w:r>
      </w:hyperlink>
    </w:p>
    <w:p>
      <w:pPr>
        <w:pStyle w:val="Normal"/>
        <w:widowControl/>
        <w:spacing w:after="120"/>
      </w:pPr>
      <w:r>
        <w:t xml:space="preserve"/>
      </w:r>
      <w:r>
        <w:t xml:space="preserve">[V16-25] Xiao, Jieling; Zeng, Rebecca Wenling; Lim, Wen Hui; et al. The incidence of adverse outcome in donors after living donor liver transplantation: A meta-analysis of 60,829 donors. Liver Transplantation. 2024; 30(5):493-504. </w:t>
      </w:r>
      <w:hyperlink r:id="rId208">
        <w:r>
          <w:rPr>
            <w:color w:val="0563C1"/>
            <w:u w:val="single"/>
          </w:rPr>
          <w:t>Source</w:t>
        </w:r>
      </w:hyperlink>
      <w:r>
        <w:t xml:space="preserve"> | </w:t>
      </w:r>
      <w:hyperlink r:id="rId209">
        <w:r>
          <w:rPr>
            <w:color w:val="0563C1"/>
            <w:u w:val="single"/>
          </w:rPr>
          <w:t>Full-text access</w:t>
        </w:r>
      </w:hyperlink>
    </w:p>
    <w:p>
      <w:pPr>
        <w:pStyle w:val="Normal"/>
        <w:widowControl/>
        <w:spacing w:after="120"/>
      </w:pPr>
      <w:r>
        <w:t xml:space="preserve"/>
      </w:r>
      <w:r>
        <w:t xml:space="preserve">[V16-26] Smedman, T M; Line, P-D; Hagness, M; et al. Liver transplantation for unresectable colorectal liver metastases in patients and donors with extended criteria (SECA-II arm D study). BJS open. 2020; 4(3):467-477. </w:t>
      </w:r>
      <w:hyperlink r:id="rId210">
        <w:r>
          <w:rPr>
            <w:color w:val="0563C1"/>
            <w:u w:val="single"/>
          </w:rPr>
          <w:t>Source</w:t>
        </w:r>
      </w:hyperlink>
      <w:r>
        <w:t xml:space="preserve"> | </w:t>
      </w:r>
      <w:hyperlink r:id="rId211">
        <w:r>
          <w:rPr>
            <w:color w:val="0563C1"/>
            <w:u w:val="single"/>
          </w:rPr>
          <w:t>Full-text access</w:t>
        </w:r>
      </w:hyperlink>
    </w:p>
    <w:p>
      <w:pPr>
        <w:pStyle w:val="Normal"/>
        <w:widowControl/>
        <w:spacing w:after="120"/>
      </w:pPr>
      <w:r>
        <w:t xml:space="preserve"/>
      </w:r>
      <w:r>
        <w:t xml:space="preserve">[V16-27] Dueland, Svein; Smedman, Tor Magnus; Syversveen, Trygve; et al. Long-Term Survival, Prognostic Factors, and Selection of Patients With Colorectal Cancer for Liver Transplant: A Nonrandomized Controlled Trial. JAMA surgery. 2023; 158(9):e232932. </w:t>
      </w:r>
      <w:hyperlink r:id="rId212">
        <w:r>
          <w:rPr>
            <w:color w:val="0563C1"/>
            <w:u w:val="single"/>
          </w:rPr>
          <w:t>Source</w:t>
        </w:r>
      </w:hyperlink>
      <w:r>
        <w:t xml:space="preserve"> | </w:t>
      </w:r>
      <w:hyperlink r:id="rId213">
        <w:r>
          <w:rPr>
            <w:color w:val="0563C1"/>
            <w:u w:val="single"/>
          </w:rPr>
          <w:t>Full-text access</w:t>
        </w:r>
      </w:hyperlink>
    </w:p>
    <w:p>
      <w:pPr>
        <w:pStyle w:val="Normal"/>
        <w:widowControl/>
        <w:spacing w:after="120"/>
      </w:pPr>
      <w:r>
        <w:t xml:space="preserve"/>
      </w:r>
      <w:r>
        <w:t xml:space="preserve">[V16-28] Hernandez-Alejandro, Roberto; Ruffolo, Luis I; Sasaki, Kazunari; et al. Recipient and Donor Outcomes After Living-Donor Liver Transplant for Unresectable Colorectal Liver Metastases. JAMA surgery. 2022; 157(6):524-530. </w:t>
      </w:r>
      <w:hyperlink r:id="rId214">
        <w:r>
          <w:rPr>
            <w:color w:val="0563C1"/>
            <w:u w:val="single"/>
          </w:rPr>
          <w:t>Source</w:t>
        </w:r>
      </w:hyperlink>
      <w:r>
        <w:t xml:space="preserve"> | </w:t>
      </w:r>
      <w:hyperlink r:id="rId215">
        <w:r>
          <w:rPr>
            <w:color w:val="0563C1"/>
            <w:u w:val="single"/>
          </w:rPr>
          <w:t>Full-text access</w:t>
        </w:r>
      </w:hyperlink>
    </w:p>
    <w:p>
      <w:pPr>
        <w:pStyle w:val="Normal"/>
        <w:widowControl/>
        <w:spacing w:after="120"/>
      </w:pPr>
      <w:r>
        <w:t xml:space="preserve"/>
      </w:r>
      <w:r>
        <w:t xml:space="preserve">[V16-29] Hagness, Morten; Foss, Aksel; Egge, Tor Skatvedt; et al. Patterns of recurrence after liver transplantation for nonresectable liver metastases from colorectal cancer. Annals of surgical oncology. 2013; 21(4):1323-9. </w:t>
      </w:r>
      <w:hyperlink r:id="rId216">
        <w:r>
          <w:rPr>
            <w:color w:val="0563C1"/>
            <w:u w:val="single"/>
          </w:rPr>
          <w:t>Source</w:t>
        </w:r>
      </w:hyperlink>
      <w:r>
        <w:t xml:space="preserve"> | Local PDF not available in this update</w:t>
      </w:r>
    </w:p>
    <w:p>
      <w:pPr>
        <w:pStyle w:val="Normal"/>
        <w:widowControl/>
        <w:spacing w:after="120"/>
      </w:pPr>
      <w:r>
        <w:t xml:space="preserve"/>
      </w:r>
      <w:r>
        <w:t xml:space="preserve">[V16-30] Dueland. PET-uptake in liver metastases as method to predict tumor biological behavior in patients transplanted for colorectal liver metastases developing lung recurrence. Cancers. 2022. </w:t>
      </w:r>
      <w:hyperlink r:id="rId217">
        <w:r>
          <w:rPr>
            <w:color w:val="0563C1"/>
            <w:u w:val="single"/>
          </w:rPr>
          <w:t>Source</w:t>
        </w:r>
      </w:hyperlink>
      <w:r>
        <w:t xml:space="preserve"> | Local PDF not available in this update</w:t>
      </w:r>
    </w:p>
    <w:p>
      <w:pPr>
        <w:pStyle w:val="Normal"/>
        <w:widowControl/>
        <w:spacing w:after="120"/>
      </w:pPr>
      <w:r>
        <w:t xml:space="preserve"/>
      </w:r>
      <w:r>
        <w:t xml:space="preserve">[V16-31] Fukumitsu. Living-donor liver transplantation for non-resectable colorectal liver metastases: protocol for a multicentric, single-arm study. BMJ open. 2024. </w:t>
      </w:r>
      <w:hyperlink r:id="rId218">
        <w:r>
          <w:rPr>
            <w:color w:val="0563C1"/>
            <w:u w:val="single"/>
          </w:rPr>
          <w:t>Source</w:t>
        </w:r>
      </w:hyperlink>
      <w:r>
        <w:t xml:space="preserve"> | Local PDF not available in this update</w:t>
      </w:r>
    </w:p>
    <w:p>
      <w:pPr>
        <w:pStyle w:val="Normal"/>
        <w:widowControl/>
        <w:spacing w:after="120"/>
      </w:pPr>
      <w:r>
        <w:t xml:space="preserve"/>
      </w:r>
      <w:r>
        <w:t xml:space="preserve">[V16-32] Oslo University Hospital. A randomized clinical trial comparing overall survival in selected patients with colorectal carcinoma treated by liver transplantation or chemotherapy (SECA-III). ClinicalTrials.gov NCT03494946. 2016. </w:t>
      </w:r>
      <w:hyperlink r:id="rId219">
        <w:r>
          <w:rPr>
            <w:color w:val="0563C1"/>
            <w:u w:val="single"/>
          </w:rPr>
          <w:t>Source</w:t>
        </w:r>
      </w:hyperlink>
      <w:r>
        <w:t xml:space="preserve"> | Local PDF not available in this update</w:t>
      </w:r>
    </w:p>
    <w:p>
      <w:pPr>
        <w:pStyle w:val="Normal"/>
        <w:widowControl/>
        <w:spacing w:after="120"/>
      </w:pPr>
      <w:r>
        <w:t xml:space="preserve"/>
      </w:r>
      <w:r>
        <w:t xml:space="preserve">[V16-33] Milosevic, M; Edwards, J; Tsang, D; et al. Pulmonary Metastasectomy in Colorectal Cancer: updated analysis of 93 randomized patients - control survival is much better than previously assumed. Colorectal disease : the official journal of the Association of Coloproctology of Great Britain and Ireland. 2020; 22(10):1314-1324. </w:t>
      </w:r>
      <w:hyperlink r:id="rId220">
        <w:r>
          <w:rPr>
            <w:color w:val="0563C1"/>
            <w:u w:val="single"/>
          </w:rPr>
          <w:t>Source</w:t>
        </w:r>
      </w:hyperlink>
      <w:r>
        <w:t xml:space="preserve"> | Local PDF not available in this update</w:t>
      </w:r>
    </w:p>
    <w:p>
      <w:pPr>
        <w:pStyle w:val="Normal"/>
        <w:widowControl/>
        <w:spacing w:after="120"/>
      </w:pPr>
      <w:r>
        <w:t xml:space="preserve"/>
      </w:r>
      <w:r>
        <w:t xml:space="preserve">[V16-34] Grut, H; Solberg, S; Seierstad, T; et al. Growth rates of pulmonary metastases after liver transplantation for unresectable colorectal liver metastases. The British journal of surgery. 2017; 105(3):295-301. </w:t>
      </w:r>
      <w:hyperlink r:id="rId221">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CRLM-B5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9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rsidR="00584615">
      <w:type w:val="continuous"/>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731EE2"/>
    <w:multiLevelType w:val="hybridMultilevel"/>
    <w:tmpl w:val="F5404430"/>
    <w:lvl w:ilvl="0" w:tplc="4E52252A">
      <w:start w:val="1"/>
      <w:numFmt w:val="decimal"/>
      <w:lvlText w:val="%1."/>
      <w:lvlJc w:val="left"/>
      <w:pPr>
        <w:spacing w:before="0" w:after="0"/>
        <w:ind w:left="720" w:hanging="360"/>
      </w:pPr>
    </w:lvl>
    <w:lvl w:ilvl="1" w:tplc="4782C134">
      <w:numFmt w:val="decimal"/>
      <w:lvlText w:val=""/>
      <w:lvlJc w:val="left"/>
    </w:lvl>
    <w:lvl w:ilvl="2" w:tplc="8C7E5D8A">
      <w:numFmt w:val="decimal"/>
      <w:lvlText w:val=""/>
      <w:lvlJc w:val="left"/>
    </w:lvl>
    <w:lvl w:ilvl="3" w:tplc="D436A04C">
      <w:numFmt w:val="decimal"/>
      <w:lvlText w:val=""/>
      <w:lvlJc w:val="left"/>
    </w:lvl>
    <w:lvl w:ilvl="4" w:tplc="21A04742">
      <w:numFmt w:val="decimal"/>
      <w:lvlText w:val=""/>
      <w:lvlJc w:val="left"/>
    </w:lvl>
    <w:lvl w:ilvl="5" w:tplc="237CD40A">
      <w:numFmt w:val="decimal"/>
      <w:lvlText w:val=""/>
      <w:lvlJc w:val="left"/>
    </w:lvl>
    <w:lvl w:ilvl="6" w:tplc="2E585434">
      <w:numFmt w:val="decimal"/>
      <w:lvlText w:val=""/>
      <w:lvlJc w:val="left"/>
    </w:lvl>
    <w:lvl w:ilvl="7" w:tplc="C99275CC">
      <w:numFmt w:val="decimal"/>
      <w:lvlText w:val=""/>
      <w:lvlJc w:val="left"/>
    </w:lvl>
    <w:lvl w:ilvl="8" w:tplc="ADA29F54">
      <w:numFmt w:val="decimal"/>
      <w:lvlText w:val=""/>
      <w:lvlJc w:val="left"/>
    </w:lvl>
  </w:abstractNum>
  <w:abstractNum w:abstractNumId="1" w15:restartNumberingAfterBreak="0">
    <w:nsid w:val="2F825611"/>
    <w:multiLevelType w:val="hybridMultilevel"/>
    <w:tmpl w:val="2CD08502"/>
    <w:lvl w:ilvl="0" w:tplc="1C741052">
      <w:start w:val="1"/>
      <w:numFmt w:val="bullet"/>
      <w:lvlText w:val="●"/>
      <w:lvlJc w:val="left"/>
      <w:pPr>
        <w:ind w:left="720" w:hanging="360"/>
      </w:pPr>
    </w:lvl>
    <w:lvl w:ilvl="1" w:tplc="66D21AB8">
      <w:start w:val="1"/>
      <w:numFmt w:val="bullet"/>
      <w:lvlText w:val="○"/>
      <w:lvlJc w:val="left"/>
      <w:pPr>
        <w:ind w:left="1440" w:hanging="360"/>
      </w:pPr>
    </w:lvl>
    <w:lvl w:ilvl="2" w:tplc="703A0068">
      <w:start w:val="1"/>
      <w:numFmt w:val="bullet"/>
      <w:lvlText w:val="■"/>
      <w:lvlJc w:val="left"/>
      <w:pPr>
        <w:ind w:left="2160" w:hanging="360"/>
      </w:pPr>
    </w:lvl>
    <w:lvl w:ilvl="3" w:tplc="02281D6E">
      <w:start w:val="1"/>
      <w:numFmt w:val="bullet"/>
      <w:lvlText w:val="●"/>
      <w:lvlJc w:val="left"/>
      <w:pPr>
        <w:ind w:left="2880" w:hanging="360"/>
      </w:pPr>
    </w:lvl>
    <w:lvl w:ilvl="4" w:tplc="66D6AA06">
      <w:start w:val="1"/>
      <w:numFmt w:val="bullet"/>
      <w:lvlText w:val="○"/>
      <w:lvlJc w:val="left"/>
      <w:pPr>
        <w:ind w:left="3600" w:hanging="360"/>
      </w:pPr>
    </w:lvl>
    <w:lvl w:ilvl="5" w:tplc="15C4676A">
      <w:start w:val="1"/>
      <w:numFmt w:val="bullet"/>
      <w:lvlText w:val="■"/>
      <w:lvlJc w:val="left"/>
      <w:pPr>
        <w:ind w:left="4320" w:hanging="360"/>
      </w:pPr>
    </w:lvl>
    <w:lvl w:ilvl="6" w:tplc="A9268944">
      <w:start w:val="1"/>
      <w:numFmt w:val="bullet"/>
      <w:lvlText w:val="●"/>
      <w:lvlJc w:val="left"/>
      <w:pPr>
        <w:ind w:left="5040" w:hanging="360"/>
      </w:pPr>
    </w:lvl>
    <w:lvl w:ilvl="7" w:tplc="59A46504">
      <w:start w:val="1"/>
      <w:numFmt w:val="bullet"/>
      <w:lvlText w:val="●"/>
      <w:lvlJc w:val="left"/>
      <w:pPr>
        <w:ind w:left="5760" w:hanging="360"/>
      </w:pPr>
    </w:lvl>
    <w:lvl w:ilvl="8" w:tplc="D62ABFF0">
      <w:start w:val="1"/>
      <w:numFmt w:val="bullet"/>
      <w:lvlText w:val="●"/>
      <w:lvlJc w:val="left"/>
      <w:pPr>
        <w:ind w:left="6480" w:hanging="360"/>
      </w:pPr>
    </w:lvl>
  </w:abstractNum>
  <w:num w:numId="1" w16cid:durableId="469636105">
    <w:abstractNumId w:val="1"/>
    <w:lvlOverride w:ilvl="0">
      <w:startOverride w:val="1"/>
    </w:lvlOverride>
  </w:num>
  <w:num w:numId="2" w16cid:durableId="1594389239">
    <w:abstractNumId w:val="0"/>
    <w:lvlOverride w:ilvl="0">
      <w:startOverride w:val="1"/>
    </w:lvlOverride>
  </w:num>
  <w:abstractNum w:abstractNumId="2">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2"/>
  </w:num>
  <w:abstractNum w:abstractNumId="3">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584615"/>
    <w:rsid w:val="00584615"/>
    <w:rsid w:val="007357E4"/>
    <w:rsid w:val="00F264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FD8F3A3"/>
  <w15:docId w15:val="{161943B8-DA62-2840-B9E3-92DB815AC9E2}"/>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eetings.asco.org/abstracts-presentations/262594" TargetMode="External"/><Relationship Id="rId4" Type="http://schemas.openxmlformats.org/officeDocument/2006/relationships/webSettings" Target="webSettings.xml"/><Relationship Id="rId8" Type="http://schemas.openxmlformats.org/officeDocument/2006/relationships/hyperlink" Target="https://doi.org/10.1097/HEP.0000000000001644" TargetMode="External"/><Relationship Id="rId9" Type="http://schemas.openxmlformats.org/officeDocument/2006/relationships/hyperlink" Target="https://drliuhao.github.io/mh-liver-pathways/evidence-libraries/" TargetMode="External"/><Relationship Id="rId10" Type="http://schemas.openxmlformats.org/officeDocument/2006/relationships/hyperlink" Target="https://doi.org/10.1200/CCI.23.00111" TargetMode="External"/><Relationship Id="rId11" Type="http://schemas.openxmlformats.org/officeDocument/2006/relationships/hyperlink" Target="https://drliuhao.github.io/mh-liver-pathways/evidence-libraries/" TargetMode="External"/><Relationship Id="rId12" Type="http://schemas.openxmlformats.org/officeDocument/2006/relationships/hyperlink" Target="https://doi.org/10.1111/j.1600-6143.2011.03972.x" TargetMode="External"/><Relationship Id="rId13" Type="http://schemas.openxmlformats.org/officeDocument/2006/relationships/hyperlink" Target="https://drliuhao.github.io/mh-liver-pathways/evidence-libraries/" TargetMode="External"/><Relationship Id="rId14" Type="http://schemas.openxmlformats.org/officeDocument/2006/relationships/hyperlink" Target="https://doi.org/10.1111/ajt.14055" TargetMode="External"/><Relationship Id="rId15" Type="http://schemas.openxmlformats.org/officeDocument/2006/relationships/hyperlink" Target="https://drliuhao.github.io/mh-liver-pathways/evidence-libraries/" TargetMode="External"/><Relationship Id="rId16" Type="http://schemas.openxmlformats.org/officeDocument/2006/relationships/hyperlink" Target="https://doi.org/10.1097/LVT.0000000000000303" TargetMode="External"/><Relationship Id="rId17" Type="http://schemas.openxmlformats.org/officeDocument/2006/relationships/hyperlink" Target="https://drliuhao.github.io/mh-liver-pathways/evidence-libraries/" TargetMode="External"/><Relationship Id="rId18" Type="http://schemas.openxmlformats.org/officeDocument/2006/relationships/hyperlink" Target="https://doi.org/10.1001/jamasurg.2025.3600" TargetMode="External"/><Relationship Id="rId19" Type="http://schemas.openxmlformats.org/officeDocument/2006/relationships/hyperlink" Target="https://drliuhao.github.io/mh-liver-pathways/evidence-libraries/" TargetMode="External"/><Relationship Id="rId20" Type="http://schemas.openxmlformats.org/officeDocument/2006/relationships/hyperlink" Target="https://doi.org/10.1007/s12149-022-01796-8" TargetMode="External"/><Relationship Id="rId21" Type="http://schemas.openxmlformats.org/officeDocument/2006/relationships/hyperlink" Target="https://drliuhao.github.io/mh-liver-pathways/evidence-libraries/" TargetMode="External"/><Relationship Id="rId22" Type="http://schemas.openxmlformats.org/officeDocument/2006/relationships/hyperlink" Target="https://doi.org/10.1016/j.hpb.2018.02.377" TargetMode="External"/><Relationship Id="rId23" Type="http://schemas.openxmlformats.org/officeDocument/2006/relationships/hyperlink" Target="https://drliuhao.github.io/mh-liver-pathways/evidence-libraries/" TargetMode="External"/><Relationship Id="rId24" Type="http://schemas.openxmlformats.org/officeDocument/2006/relationships/hyperlink" Target="https://doi.org/10.1097/LVT.0000000000000535" TargetMode="External"/><Relationship Id="rId25" Type="http://schemas.openxmlformats.org/officeDocument/2006/relationships/hyperlink" Target="https://drliuhao.github.io/mh-liver-pathways/evidence-libraries/" TargetMode="External"/><Relationship Id="rId26" Type="http://schemas.openxmlformats.org/officeDocument/2006/relationships/hyperlink" Target="https://doi.org/10.1097/SLA.0000000000003404" TargetMode="External"/><Relationship Id="rId27" Type="http://schemas.openxmlformats.org/officeDocument/2006/relationships/hyperlink" Target="https://drliuhao.github.io/mh-liver-pathways/evidence-libraries/" TargetMode="External"/><Relationship Id="rId28" Type="http://schemas.openxmlformats.org/officeDocument/2006/relationships/hyperlink" Target="https://doi.org/10.1097/SLA.0000000000007200" TargetMode="External"/><Relationship Id="rId29" Type="http://schemas.openxmlformats.org/officeDocument/2006/relationships/hyperlink" Target="https://drliuhao.github.io/mh-liver-pathways/evidence-libraries/" TargetMode="External"/><Relationship Id="rId30" Type="http://schemas.openxmlformats.org/officeDocument/2006/relationships/hyperlink" Target="https://jamanetwork.com/journals/jamasurgery/fullarticle/10.1001/jamasurg.2023.6083?utm_source=openevidence&amp;utm_medium=referral" TargetMode="External"/><Relationship Id="rId31" Type="http://schemas.openxmlformats.org/officeDocument/2006/relationships/hyperlink" Target="https://drliuhao.github.io/mh-liver-pathways/evidence-libraries/" TargetMode="External"/><Relationship Id="rId32" Type="http://schemas.openxmlformats.org/officeDocument/2006/relationships/hyperlink" Target="https://pubmed.ncbi.nlm.nih.gov/39834127" TargetMode="External"/><Relationship Id="rId33" Type="http://schemas.openxmlformats.org/officeDocument/2006/relationships/hyperlink" Target="https://drliuhao.github.io/mh-liver-pathways/evidence-libraries/" TargetMode="External"/><Relationship Id="rId34" Type="http://schemas.openxmlformats.org/officeDocument/2006/relationships/hyperlink" Target="https://pubmed.ncbi.nlm.nih.gov/38721015" TargetMode="External"/><Relationship Id="rId35" Type="http://schemas.openxmlformats.org/officeDocument/2006/relationships/hyperlink" Target="https://drliuhao.github.io/mh-liver-pathways/evidence-libraries/" TargetMode="External"/><Relationship Id="rId36" Type="http://schemas.openxmlformats.org/officeDocument/2006/relationships/hyperlink" Target="https://doi.org/10.1097/lvt.0000000000000715" TargetMode="External"/><Relationship Id="rId37" Type="http://schemas.openxmlformats.org/officeDocument/2006/relationships/hyperlink" Target="https://drliuhao.github.io/mh-liver-pathways/evidence-libraries/" TargetMode="External"/><Relationship Id="rId38" Type="http://schemas.openxmlformats.org/officeDocument/2006/relationships/hyperlink" Target="https://doi.org/10.1097/LVT.0000000000000417"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www.hrsa.gov/sites/default/files/hrsa/optn/optn_policies.pdf"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www.hrsa.gov/sites/default/files/hrsa/optn/adult-meld-exception-transplant-oncology-review-guidance.pdf"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doi.org/10.1016/S0140-6736(24)01595-2"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doi.org/10.1097/SLA.0000000000003404"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jamanetwork.com/journals/jamasurgery/fullarticle/10.1001/jamasurg.2023.6083?utm_source=openevidence&amp;utm_medium=referral"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oi.org/10.1097/HEP.0000000000001644"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pubmed.ncbi.nlm.nih.gov/39834127"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doi.org/10.1001/jamasurg.2025.3600"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doi.org/10.1016/j.hpb.2018.02.377" TargetMode="External"/><Relationship Id="rId60" Type="http://schemas.openxmlformats.org/officeDocument/2006/relationships/hyperlink" Target="https://drliuhao.github.io/mh-liver-pathways/evidence-libraries/" TargetMode="External"/><Relationship Id="rId61" Type="http://schemas.openxmlformats.org/officeDocument/2006/relationships/hyperlink" Target="https://doi.org/10.1097/LVT.0000000000000417" TargetMode="External"/><Relationship Id="rId62" Type="http://schemas.openxmlformats.org/officeDocument/2006/relationships/hyperlink" Target="https://drliuhao.github.io/mh-liver-pathways/evidence-libraries/" TargetMode="External"/><Relationship Id="rId63" Type="http://schemas.openxmlformats.org/officeDocument/2006/relationships/hyperlink" Target="https://doi.org/10.1097/LVT.0000000000000535" TargetMode="External"/><Relationship Id="rId64" Type="http://schemas.openxmlformats.org/officeDocument/2006/relationships/hyperlink" Target="https://drliuhao.github.io/mh-liver-pathways/evidence-libraries/" TargetMode="External"/><Relationship Id="rId65" Type="http://schemas.openxmlformats.org/officeDocument/2006/relationships/hyperlink" Target="https://doi.org/10.1007/s12149-022-01796-8"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oi.org/10.1016/S2468-1253(21)00219-3"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pubmed.ncbi.nlm.nih.gov/38721015"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doi.org/10.1097/SLA.0000000000007200"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doi.org/10.1097/lvt.0000000000000715" TargetMode="External"/><Relationship Id="rId74" Type="http://schemas.openxmlformats.org/officeDocument/2006/relationships/hyperlink" Target="https://drliuhao.github.io/mh-liver-pathways/evidence-libraries/" TargetMode="External"/><Relationship Id="rId75" Type="http://schemas.openxmlformats.org/officeDocument/2006/relationships/hyperlink" Target="https://dailymed.nlm.nih.gov/dailymed/drugInfo.cfm?setid=e082a024-7850-400b-a5c2-2a140612562a"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pubmed.ncbi.nlm.nih.gov/28230639"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oi.org/10.1200/CCI.23.00111"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oi.org/10.1111/j.1600-6143.2011.03972.x"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doi.org/10.1111/ajt.14055"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doi.org/10.1097/LVT.0000000000000303"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doi.org/10.1038/s41467-025-67824-z" TargetMode="External"/><Relationship Id="rId89" Type="http://schemas.openxmlformats.org/officeDocument/2006/relationships/hyperlink" Target="https://drliuhao.github.io/mh-liver-pathways/evidence-libraries/" TargetMode="External"/><Relationship Id="rId90" Type="http://schemas.openxmlformats.org/officeDocument/2006/relationships/hyperlink" Target="https://doi.org/10.1056/NEJMoa2214963"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doi.org/10.1016/S0140-6736(23)00772-9"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www.hrsa.gov/sites/default/files/hrsa/optn/optn_policies.pdf"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www.hrsa.gov/sites/default/files/hrsa/optn/adult-meld-exception-transplant-oncology-review-guidance.pdf"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oi.org/10.1016/S0140-6736(24)01595-2"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oi.org/10.1097/SLA.0000000000003404"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jamanetwork.com/journals/jamasurgery/fullarticle/10.1001/jamasurg.2023.6083?utm_source=openevidence&amp;utm_medium=referral" TargetMode="External"/><Relationship Id="rId103" Type="http://schemas.openxmlformats.org/officeDocument/2006/relationships/hyperlink" Target="https://drliuhao.github.io/mh-liver-pathways/evidence-libraries/" TargetMode="External"/><Relationship Id="rId104" Type="http://schemas.openxmlformats.org/officeDocument/2006/relationships/hyperlink" Target="https://doi.org/10.1097/HEP.0000000000001644" TargetMode="External"/><Relationship Id="rId105" Type="http://schemas.openxmlformats.org/officeDocument/2006/relationships/hyperlink" Target="https://drliuhao.github.io/mh-liver-pathways/evidence-libraries/" TargetMode="External"/><Relationship Id="rId106" Type="http://schemas.openxmlformats.org/officeDocument/2006/relationships/hyperlink" Target="https://pubmed.ncbi.nlm.nih.gov/39834127"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001/jamasurg.2025.3600"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oi.org/10.1016/j.hpb.2018.02.377"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oi.org/10.1097/LVT.0000000000000417"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1097/LVT.0000000000000535"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007/s12149-022-01796-8"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016/S2468-1253(21)00219-3"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pubmed.ncbi.nlm.nih.gov/38721015"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doi.org/10.1097/SLA.0000000000007200"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doi.org/10.1097/lvt.0000000000000715"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dailymed.nlm.nih.gov/dailymed/drugInfo.cfm?setid=e082a024-7850-400b-a5c2-2a140612562a"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pubmed.ncbi.nlm.nih.gov/28230639"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doi.org/10.1200/CCI.23.00111"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doi.org/10.1111/j.1600-6143.2011.03972.x"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doi.org/10.1111/ajt.14055" TargetMode="External"/><Relationship Id="rId135" Type="http://schemas.openxmlformats.org/officeDocument/2006/relationships/hyperlink" Target="https://drliuhao.github.io/mh-liver-pathways/evidence-libraries/" TargetMode="External"/><Relationship Id="rId136" Type="http://schemas.openxmlformats.org/officeDocument/2006/relationships/hyperlink" Target="https://doi.org/10.1097/LVT.0000000000000303" TargetMode="External"/><Relationship Id="rId137" Type="http://schemas.openxmlformats.org/officeDocument/2006/relationships/hyperlink" Target="https://drliuhao.github.io/mh-liver-pathways/evidence-libraries/" TargetMode="External"/><Relationship Id="rId138" Type="http://schemas.openxmlformats.org/officeDocument/2006/relationships/hyperlink" Target="https://doi.org/10.1038/s41467-025-67824-z" TargetMode="External"/><Relationship Id="rId139" Type="http://schemas.openxmlformats.org/officeDocument/2006/relationships/hyperlink" Target="https://drliuhao.github.io/mh-liver-pathways/evidence-libraries/" TargetMode="External"/><Relationship Id="rId140" Type="http://schemas.openxmlformats.org/officeDocument/2006/relationships/hyperlink" Target="https://doi.org/10.1056/NEJMoa2214963" TargetMode="External"/><Relationship Id="rId141" Type="http://schemas.openxmlformats.org/officeDocument/2006/relationships/hyperlink" Target="https://drliuhao.github.io/mh-liver-pathways/evidence-libraries/" TargetMode="External"/><Relationship Id="rId142" Type="http://schemas.openxmlformats.org/officeDocument/2006/relationships/hyperlink" Target="https://doi.org/10.1016/S0140-6736(23)00772-9" TargetMode="External"/><Relationship Id="rId143" Type="http://schemas.openxmlformats.org/officeDocument/2006/relationships/hyperlink" Target="https://drliuhao.github.io/mh-liver-pathways/evidence-libraries/" TargetMode="External"/><Relationship Id="rId144" Type="http://schemas.openxmlformats.org/officeDocument/2006/relationships/hyperlink" Target="https://doi.org/10.1016/S0140-6736(24)01595-2" TargetMode="External"/><Relationship Id="rId145" Type="http://schemas.openxmlformats.org/officeDocument/2006/relationships/hyperlink" Target="https://drliuhao.github.io/mh-liver-pathways/evidence-libraries/" TargetMode="External"/><Relationship Id="rId146" Type="http://schemas.openxmlformats.org/officeDocument/2006/relationships/hyperlink" Target="https://doi.org/10.1016/S2468-1253(21)00219-3" TargetMode="External"/><Relationship Id="rId147" Type="http://schemas.openxmlformats.org/officeDocument/2006/relationships/hyperlink" Target="https://drliuhao.github.io/mh-liver-pathways/evidence-libraries/" TargetMode="External"/><Relationship Id="rId148" Type="http://schemas.openxmlformats.org/officeDocument/2006/relationships/hyperlink" Target="https://doi.org/10.1002/bjs5.50278" TargetMode="External"/><Relationship Id="rId149" Type="http://schemas.openxmlformats.org/officeDocument/2006/relationships/hyperlink" Target="https://drliuhao.github.io/mh-liver-pathways/evidence-libraries/" TargetMode="External"/><Relationship Id="rId150" Type="http://schemas.openxmlformats.org/officeDocument/2006/relationships/hyperlink" Target="https://doi.org/10.1001/jamasurg.2023.2932" TargetMode="External"/><Relationship Id="rId151" Type="http://schemas.openxmlformats.org/officeDocument/2006/relationships/hyperlink" Target="https://drliuhao.github.io/mh-liver-pathways/evidence-libraries/" TargetMode="External"/><Relationship Id="rId152" Type="http://schemas.openxmlformats.org/officeDocument/2006/relationships/hyperlink" Target="https://doi.org/10.1001/jamasurg.2022.0300" TargetMode="External"/><Relationship Id="rId153" Type="http://schemas.openxmlformats.org/officeDocument/2006/relationships/hyperlink" Target="https://drliuhao.github.io/mh-liver-pathways/evidence-libraries/" TargetMode="External"/><Relationship Id="rId154" Type="http://schemas.openxmlformats.org/officeDocument/2006/relationships/hyperlink" Target="https://doi.org/10.1245/s10434-013-3449-9" TargetMode="External"/><Relationship Id="rId155" Type="http://schemas.openxmlformats.org/officeDocument/2006/relationships/hyperlink" Target="https://pmc.ncbi.nlm.nih.gov/articles/PMC9599638/" TargetMode="External"/><Relationship Id="rId156" Type="http://schemas.openxmlformats.org/officeDocument/2006/relationships/hyperlink" Target="https://pmc.ncbi.nlm.nih.gov/articles/PMC11580313/" TargetMode="External"/><Relationship Id="rId157" Type="http://schemas.openxmlformats.org/officeDocument/2006/relationships/hyperlink" Target="https://clinicaltrials.gov/study/NCT03494946" TargetMode="External"/><Relationship Id="rId158" Type="http://schemas.openxmlformats.org/officeDocument/2006/relationships/hyperlink" Target="https://doi.org/10.1111/codi.15113" TargetMode="External"/><Relationship Id="rId159" Type="http://schemas.openxmlformats.org/officeDocument/2006/relationships/hyperlink" Target="https://doi.org/10.1002/bjs.10651" TargetMode="External"/><Relationship Id="rId160" Type="http://schemas.openxmlformats.org/officeDocument/2006/relationships/hyperlink" Target="https://www.hrsa.gov/sites/default/files/hrsa/optn/optn_policies.pdf" TargetMode="External"/><Relationship Id="rId161" Type="http://schemas.openxmlformats.org/officeDocument/2006/relationships/hyperlink" Target="https://drliuhao.github.io/mh-liver-pathways/evidence-libraries/" TargetMode="External"/><Relationship Id="rId162" Type="http://schemas.openxmlformats.org/officeDocument/2006/relationships/hyperlink" Target="https://www.hrsa.gov/sites/default/files/hrsa/optn/adult-meld-exception-transplant-oncology-review-guidance.pdf" TargetMode="External"/><Relationship Id="rId163" Type="http://schemas.openxmlformats.org/officeDocument/2006/relationships/hyperlink" Target="https://drliuhao.github.io/mh-liver-pathways/evidence-libraries/" TargetMode="External"/><Relationship Id="rId164" Type="http://schemas.openxmlformats.org/officeDocument/2006/relationships/hyperlink" Target="https://doi.org/10.1016/S0140-6736(24)01595-2" TargetMode="External"/><Relationship Id="rId165" Type="http://schemas.openxmlformats.org/officeDocument/2006/relationships/hyperlink" Target="https://drliuhao.github.io/mh-liver-pathways/evidence-libraries/" TargetMode="External"/><Relationship Id="rId166" Type="http://schemas.openxmlformats.org/officeDocument/2006/relationships/hyperlink" Target="https://doi.org/10.1097/SLA.0000000000003404" TargetMode="External"/><Relationship Id="rId167" Type="http://schemas.openxmlformats.org/officeDocument/2006/relationships/hyperlink" Target="https://drliuhao.github.io/mh-liver-pathways/evidence-libraries/" TargetMode="External"/><Relationship Id="rId168" Type="http://schemas.openxmlformats.org/officeDocument/2006/relationships/hyperlink" Target="https://jamanetwork.com/journals/jamasurgery/fullarticle/10.1001/jamasurg.2023.6083?utm_source=openevidence&amp;utm_medium=referral" TargetMode="External"/><Relationship Id="rId169" Type="http://schemas.openxmlformats.org/officeDocument/2006/relationships/hyperlink" Target="https://drliuhao.github.io/mh-liver-pathways/evidence-libraries/" TargetMode="External"/><Relationship Id="rId170" Type="http://schemas.openxmlformats.org/officeDocument/2006/relationships/hyperlink" Target="https://doi.org/10.1097/HEP.0000000000001644" TargetMode="External"/><Relationship Id="rId171" Type="http://schemas.openxmlformats.org/officeDocument/2006/relationships/hyperlink" Target="https://drliuhao.github.io/mh-liver-pathways/evidence-libraries/" TargetMode="External"/><Relationship Id="rId172" Type="http://schemas.openxmlformats.org/officeDocument/2006/relationships/hyperlink" Target="https://pubmed.ncbi.nlm.nih.gov/39834127" TargetMode="External"/><Relationship Id="rId173" Type="http://schemas.openxmlformats.org/officeDocument/2006/relationships/hyperlink" Target="https://drliuhao.github.io/mh-liver-pathways/evidence-libraries/" TargetMode="External"/><Relationship Id="rId174" Type="http://schemas.openxmlformats.org/officeDocument/2006/relationships/hyperlink" Target="https://doi.org/10.1001/jamasurg.2025.3600" TargetMode="External"/><Relationship Id="rId175" Type="http://schemas.openxmlformats.org/officeDocument/2006/relationships/hyperlink" Target="https://drliuhao.github.io/mh-liver-pathways/evidence-libraries/" TargetMode="External"/><Relationship Id="rId176" Type="http://schemas.openxmlformats.org/officeDocument/2006/relationships/hyperlink" Target="https://doi.org/10.1016/j.hpb.2018.02.377" TargetMode="External"/><Relationship Id="rId177" Type="http://schemas.openxmlformats.org/officeDocument/2006/relationships/hyperlink" Target="https://drliuhao.github.io/mh-liver-pathways/evidence-libraries/" TargetMode="External"/><Relationship Id="rId178" Type="http://schemas.openxmlformats.org/officeDocument/2006/relationships/hyperlink" Target="https://doi.org/10.1097/LVT.0000000000000417" TargetMode="External"/><Relationship Id="rId179" Type="http://schemas.openxmlformats.org/officeDocument/2006/relationships/hyperlink" Target="https://drliuhao.github.io/mh-liver-pathways/evidence-libraries/" TargetMode="External"/><Relationship Id="rId180" Type="http://schemas.openxmlformats.org/officeDocument/2006/relationships/hyperlink" Target="https://doi.org/10.1097/LVT.0000000000000535" TargetMode="External"/><Relationship Id="rId181" Type="http://schemas.openxmlformats.org/officeDocument/2006/relationships/hyperlink" Target="https://drliuhao.github.io/mh-liver-pathways/evidence-libraries/" TargetMode="External"/><Relationship Id="rId182" Type="http://schemas.openxmlformats.org/officeDocument/2006/relationships/hyperlink" Target="https://doi.org/10.1007/s12149-022-01796-8" TargetMode="External"/><Relationship Id="rId183" Type="http://schemas.openxmlformats.org/officeDocument/2006/relationships/hyperlink" Target="https://drliuhao.github.io/mh-liver-pathways/evidence-libraries/" TargetMode="External"/><Relationship Id="rId184" Type="http://schemas.openxmlformats.org/officeDocument/2006/relationships/hyperlink" Target="https://doi.org/10.1016/S2468-1253(21)00219-3" TargetMode="External"/><Relationship Id="rId185" Type="http://schemas.openxmlformats.org/officeDocument/2006/relationships/hyperlink" Target="https://drliuhao.github.io/mh-liver-pathways/evidence-libraries/" TargetMode="External"/><Relationship Id="rId186" Type="http://schemas.openxmlformats.org/officeDocument/2006/relationships/hyperlink" Target="https://pubmed.ncbi.nlm.nih.gov/38721015" TargetMode="External"/><Relationship Id="rId187" Type="http://schemas.openxmlformats.org/officeDocument/2006/relationships/hyperlink" Target="https://drliuhao.github.io/mh-liver-pathways/evidence-libraries/" TargetMode="External"/><Relationship Id="rId188" Type="http://schemas.openxmlformats.org/officeDocument/2006/relationships/hyperlink" Target="https://doi.org/10.1097/SLA.0000000000007200" TargetMode="External"/><Relationship Id="rId189" Type="http://schemas.openxmlformats.org/officeDocument/2006/relationships/hyperlink" Target="https://drliuhao.github.io/mh-liver-pathways/evidence-libraries/" TargetMode="External"/><Relationship Id="rId190" Type="http://schemas.openxmlformats.org/officeDocument/2006/relationships/hyperlink" Target="https://doi.org/10.1038/s41467-025-67824-z" TargetMode="External"/><Relationship Id="rId191" Type="http://schemas.openxmlformats.org/officeDocument/2006/relationships/hyperlink" Target="https://drliuhao.github.io/mh-liver-pathways/evidence-libraries/" TargetMode="External"/><Relationship Id="rId192" Type="http://schemas.openxmlformats.org/officeDocument/2006/relationships/hyperlink" Target="https://doi.org/10.1056/NEJMoa2214963" TargetMode="External"/><Relationship Id="rId193" Type="http://schemas.openxmlformats.org/officeDocument/2006/relationships/hyperlink" Target="https://drliuhao.github.io/mh-liver-pathways/evidence-libraries/" TargetMode="External"/><Relationship Id="rId194" Type="http://schemas.openxmlformats.org/officeDocument/2006/relationships/hyperlink" Target="https://doi.org/10.1016/S0140-6736(23)00772-9" TargetMode="External"/><Relationship Id="rId195" Type="http://schemas.openxmlformats.org/officeDocument/2006/relationships/hyperlink" Target="https://drliuhao.github.io/mh-liver-pathways/evidence-libraries/" TargetMode="External"/><Relationship Id="rId196" Type="http://schemas.openxmlformats.org/officeDocument/2006/relationships/hyperlink" Target="https://doi.org/10.1097/lvt.0000000000000715" TargetMode="External"/><Relationship Id="rId197" Type="http://schemas.openxmlformats.org/officeDocument/2006/relationships/hyperlink" Target="https://drliuhao.github.io/mh-liver-pathways/evidence-libraries/" TargetMode="External"/><Relationship Id="rId198" Type="http://schemas.openxmlformats.org/officeDocument/2006/relationships/hyperlink" Target="https://dailymed.nlm.nih.gov/dailymed/drugInfo.cfm?setid=e082a024-7850-400b-a5c2-2a140612562a" TargetMode="External"/><Relationship Id="rId199" Type="http://schemas.openxmlformats.org/officeDocument/2006/relationships/hyperlink" Target="https://drliuhao.github.io/mh-liver-pathways/evidence-libraries/" TargetMode="External"/><Relationship Id="rId200" Type="http://schemas.openxmlformats.org/officeDocument/2006/relationships/hyperlink" Target="https://pubmed.ncbi.nlm.nih.gov/28230639" TargetMode="External"/><Relationship Id="rId201" Type="http://schemas.openxmlformats.org/officeDocument/2006/relationships/hyperlink" Target="https://drliuhao.github.io/mh-liver-pathways/evidence-libraries/" TargetMode="External"/><Relationship Id="rId202" Type="http://schemas.openxmlformats.org/officeDocument/2006/relationships/hyperlink" Target="https://doi.org/10.1200/CCI.23.00111" TargetMode="External"/><Relationship Id="rId203" Type="http://schemas.openxmlformats.org/officeDocument/2006/relationships/hyperlink" Target="https://drliuhao.github.io/mh-liver-pathways/evidence-libraries/" TargetMode="External"/><Relationship Id="rId204" Type="http://schemas.openxmlformats.org/officeDocument/2006/relationships/hyperlink" Target="https://doi.org/10.1111/j.1600-6143.2011.03972.x" TargetMode="External"/><Relationship Id="rId205" Type="http://schemas.openxmlformats.org/officeDocument/2006/relationships/hyperlink" Target="https://drliuhao.github.io/mh-liver-pathways/evidence-libraries/" TargetMode="External"/><Relationship Id="rId206" Type="http://schemas.openxmlformats.org/officeDocument/2006/relationships/hyperlink" Target="https://doi.org/10.1111/ajt.14055" TargetMode="External"/><Relationship Id="rId207" Type="http://schemas.openxmlformats.org/officeDocument/2006/relationships/hyperlink" Target="https://drliuhao.github.io/mh-liver-pathways/evidence-libraries/" TargetMode="External"/><Relationship Id="rId208" Type="http://schemas.openxmlformats.org/officeDocument/2006/relationships/hyperlink" Target="https://doi.org/10.1097/LVT.0000000000000303" TargetMode="External"/><Relationship Id="rId209" Type="http://schemas.openxmlformats.org/officeDocument/2006/relationships/hyperlink" Target="https://drliuhao.github.io/mh-liver-pathways/evidence-libraries/" TargetMode="External"/><Relationship Id="rId210" Type="http://schemas.openxmlformats.org/officeDocument/2006/relationships/hyperlink" Target="https://doi.org/10.1002/bjs5.50278" TargetMode="External"/><Relationship Id="rId211" Type="http://schemas.openxmlformats.org/officeDocument/2006/relationships/hyperlink" Target="https://drliuhao.github.io/mh-liver-pathways/evidence-libraries/" TargetMode="External"/><Relationship Id="rId212" Type="http://schemas.openxmlformats.org/officeDocument/2006/relationships/hyperlink" Target="https://doi.org/10.1001/jamasurg.2023.2932" TargetMode="External"/><Relationship Id="rId213" Type="http://schemas.openxmlformats.org/officeDocument/2006/relationships/hyperlink" Target="https://drliuhao.github.io/mh-liver-pathways/evidence-libraries/" TargetMode="External"/><Relationship Id="rId214" Type="http://schemas.openxmlformats.org/officeDocument/2006/relationships/hyperlink" Target="https://doi.org/10.1001/jamasurg.2022.0300" TargetMode="External"/><Relationship Id="rId215" Type="http://schemas.openxmlformats.org/officeDocument/2006/relationships/hyperlink" Target="https://drliuhao.github.io/mh-liver-pathways/evidence-libraries/" TargetMode="External"/><Relationship Id="rId216" Type="http://schemas.openxmlformats.org/officeDocument/2006/relationships/hyperlink" Target="https://doi.org/10.1245/s10434-013-3449-9" TargetMode="External"/><Relationship Id="rId217" Type="http://schemas.openxmlformats.org/officeDocument/2006/relationships/hyperlink" Target="https://pmc.ncbi.nlm.nih.gov/articles/PMC9599638/" TargetMode="External"/><Relationship Id="rId218" Type="http://schemas.openxmlformats.org/officeDocument/2006/relationships/hyperlink" Target="https://pmc.ncbi.nlm.nih.gov/articles/PMC11580313/" TargetMode="External"/><Relationship Id="rId219" Type="http://schemas.openxmlformats.org/officeDocument/2006/relationships/hyperlink" Target="https://clinicaltrials.gov/study/NCT03494946" TargetMode="External"/><Relationship Id="rId220" Type="http://schemas.openxmlformats.org/officeDocument/2006/relationships/hyperlink" Target="https://doi.org/10.1111/codi.15113" TargetMode="External"/><Relationship Id="rId221" Type="http://schemas.openxmlformats.org/officeDocument/2006/relationships/hyperlink" Target="https://doi.org/10.1002/bjs.106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6050</Words>
  <Characters>34487</Characters>
  <Application>Microsoft Office Word</Application>
  <DocSecurity>0</DocSecurity>
  <Lines>287</Lines>
  <Paragraphs>80</Paragraphs>
  <ScaleCrop>false</ScaleCrop>
  <Company/>
  <LinksUpToDate>false</LinksUpToDate>
  <CharactersWithSpaces>40457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Liu, Hao</cp:lastModifiedBy>
  <cp:revision>2</cp:revision>
  <dcterms:created xsi:type="dcterms:W3CDTF">2026-07-15T22:53:00Z</dcterms:created>
  <dcterms:modified xsi:type="dcterms:W3CDTF">2026-10-29T14:21:25Z</dcterms:modified>
  <dc:title>UTHealth Houston / Memorial Hermann — Colorectal liver metastases Standard / Guidance-Aligned Transplant Protocol V8</dc:title>
  <dc:subject>Non-standard NLRB pathway under December 2025 transplant-oncology guidance</dc:subject>
  <dc:description>V2 generated 2026-07-23 17:53:12 CDT; evidence corrections documented in 04_review_summary/OpenEvidence_Protocol_Audit_2026-07-23.md.</dc:description>
</cp:coreProperties>
</file>