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keepNext/>
        <w:widowControl/>
      </w:pPr>
      <w:r>
        <w:t xml:space="preserve">UTHealth Houston and Memorial Hermann High Risk Liver Transplant Protocol for Colorectal Liver Metastases</w:t>
      </w:r>
    </w:p>
    <w:p>
      <w:pPr>
        <w:pStyle w:val="Normal"/>
        <w:widowControl/>
      </w:pPr>
      <w:r>
        <w:t xml:space="preserve">Distinguish a TransMet-like clinical population and current US nonstandard-exception guidance from specific proposed expansions. The central clinical requirement is persistent inability to achieve durable complete clearance by nontransplant treatment, not simply lesion number or an abnormal biomarker.</w:t>
      </w:r>
    </w:p>
    <w:p>
      <w:pPr>
        <w:spacing w:after="120"/>
      </w:pPr>
      <w:r>
        <w:rPr>
          <w:i/>
          <w:sz w:val="18"/>
        </w:rPr>
        <w:t xml:space="preserve">Standardized document set, 29 October 2026: this is the full-content document for the high-risk transplant protocol. Questions for consensus: CRLM_6_High_Risk_Transplant_Questions.docx. Decision discussion for all settings: CRLM_7_Decision_Discussion.docx. Web page: https://drliuhao.github.io/mh-liver-pathways/transplant/crlm/#high-risk</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evidence basis</w:t>
      </w:r>
    </w:p>
    <w:p>
      <w:pPr>
        <w:pStyle w:val="Normal"/>
        <w:widowControl/>
      </w:pPr>
      <w:r>
        <w:t xml:space="preserve">TransMet randomized 94 patients, 47 per arm. Five-year intention-to-treat OS from randomization was 56.6% with LT plus chemotherapy versus 12.6% with chemotherapy alone, HR 0.37 (95% CI 0.21–0.65). Thirty-eight assigned to LT received a graft, 36 were in the LT per-protocol analysis, and two control crossovers produced a 40-recipient safety population. These denominators must remain separate.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Recurrence affected 26/36 per-protocol recipients. Serious adverse events affected 32/40 safety-population recipients and three required retransplantation. Median time to LT after randomization was approximately 50.5 days; accelerated access was part of the trial strategy. A center with different access cannot assume identical outcomes. Recurrence salvage may prolong survival but does not make recurrence harmless or uniformly curable.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The former high-risk protocol relied on a conference abstract for multiple selection rules. It no longer accepts R1 margins, BRAF non-V600E mutation, unrestricted chemotherapy lines, MTV at or below 70 cm3, ctDNA clearance or 12–18 treatment cycles as validated transplant gates. Any expansion requires its own rationale and prospective rule.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Heading2"/>
        <w:keepNext/>
        <w:widowControl/>
      </w:pPr>
      <w:r>
        <w:t xml:space="preserve">2 Patient selection and workup</w:t>
      </w:r>
    </w:p>
    <w:p>
      <w:pPr>
        <w:pStyle w:val="Heading3"/>
        <w:keepNext/>
        <w:widowControl/>
      </w:pPr>
      <w:r>
        <w:t xml:space="preserve">2.1 Confirm the primary and original disease</w:t>
      </w:r>
    </w:p>
    <w:p>
      <w:pPr>
        <w:pStyle w:val="Normal"/>
        <w:widowControl/>
        <w:numPr>
          <w:ilvl w:val="0"/>
          <w:numId w:val="3"/>
        </w:numPr>
      </w:pPr>
      <w:r>
        <w:t xml:space="preserve">Obtain colorectal primary pathology, operative/margin and nodal reports, all prior liver-resection/ablation reports and the pretreatment lesion map. Confirm adenocarcinoma and document RAS/BRAF and mismatch-repair/microsatellite status.</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Order or review chest/abdomen/pelvis CT, high-quality liver MRI when needed for lesion mapping, CEA with units/date, colonoscopy status and PET according to the intended selection/allocation pathway. Review ECOG, frailty, cardiopulmonary risk, renal function and chemotherapy-related marrow or liver injury.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Ni01XTwvRGlzcGxheVRleHQ+PHJlY29yZD48cmVjLW51bWJlcj41PC9yZWMtbnVtYmVyPjxmb3JlaWduLWtleXM+PGtleSBhcHA9IkVOIiBkYi1pZD0iNGE3ZWQxMTMtMzUwNi01ZTAyLWE4YWEtM2FjNTc3MTUwMTY0IiB0aW1lc3RhbXA9IjE3OTMyODM2ODU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Age and performance limits used in a particular trial are not universal national rules. Fitness or age expansions still need explicit benefit/risk assessment; do not open ECOG 2 or heavily pretreated cohorts simply because they were listed in an abstract.</w:t>
      </w:r>
    </w:p>
    <w:p>
      <w:pPr>
        <w:pStyle w:val="Heading3"/>
        <w:keepNext/>
        <w:widowControl/>
      </w:pPr>
      <w:r>
        <w:t xml:space="preserve">2.2 Certify persistent unresectability</w:t>
      </w:r>
    </w:p>
    <w:p>
      <w:pPr>
        <w:pStyle w:val="Normal"/>
        <w:widowControl/>
        <w:numPr>
          <w:ilvl w:val="0"/>
          <w:numId w:val="3"/>
        </w:numPr>
      </w:pPr>
      <w:r>
        <w:t xml:space="preserve">HPB surgery, radiology and an ablation/HAI-capable team must review a lesion-by-lesion map. For every baseline site, record current visibility, suspected viability, prior resection/ablation, vascular relationship and whether complete clearance is possible. Record future remnant volume/function and the specific reason a one-stage, staged, hypertrophy-assisted or combined resection/ablation approach cannot provide durable clearance.</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U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Repeat this assessment after meaningful treatment response and before LT activation. A prior hepatectomy, bilobar distribution, many lesions or KRAS mutation alone does not establish permanent unresectability or automatically force a high-risk pathway.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pPr>
      <w:r>
        <w:t xml:space="preserve">In an HAI cohort, 23 of 483 patients met modified transplant-selection criteria and 18 underwent resection. Five-year OS was approximately 53% from HAI initiation. This supports renewed conversion review, not equivalence with LT or a requirement that every patient receive HAI.</w:t>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U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Heading3"/>
        <w:keepNext/>
        <w:widowControl/>
      </w:pPr>
      <w:bookmarkStart w:id="1" w:name="CRLM_B1"/>
      <w:r>
        <w:t xml:space="preserve">CRLM-B1 — What exactly proves persistent unresectability?</w:t>
      </w:r>
      <w:bookmarkEnd w:id="1"/>
    </w:p>
    <w:p>
      <w:pPr>
        <w:pStyle w:val="Heading3"/>
        <w:keepNext/>
        <w:widowControl/>
      </w:pPr>
      <w:r>
        <w:t xml:space="preserve">Question and comparison</w:t>
      </w:r>
    </w:p>
    <w:p>
      <w:pPr>
        <w:pStyle w:val="Normal"/>
        <w:widowControl/>
        <w:spacing w:before="60" w:after="20"/>
      </w:pPr>
      <w:r>
        <w:t xml:space="preserve">In an otherwise transplant-eligible patient with liver-only CRLM, what evidence should establish persistent unresectability after modern systemic therapy, versus an achievable resection/ablation/conversion strategy?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8">
              <w:r>
                <w:rPr>
                  <w:color w:val="77230C"/>
                  <w:sz w:val="20"/>
                  <w:u w:val="single"/>
                </w:rPr>
                <w:t>Primary source</w:t>
              </w:r>
            </w:hyperlink>
            <w:r>
              <w:t xml:space="preserve"> | </w:t>
            </w:r>
            <w:hyperlink r:id="rId9">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U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10">
              <w:r>
                <w:rPr>
                  <w:color w:val="77230C"/>
                  <w:sz w:val="20"/>
                  <w:u w:val="single"/>
                </w:rPr>
                <w:t>Primary source</w:t>
              </w:r>
            </w:hyperlink>
            <w:r>
              <w:t xml:space="preserve"> | </w:t>
            </w:r>
            <w:hyperlink r:id="rId11">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2020 · SECA-II</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Ni03XTwvRGlzcGxheVRleHQ+PHJlY29yZD48cmVjLW51bWJlcj43PC9yZWMtbnVtYmVyPjxmb3JlaWduLWtleXM+PGtleSBhcHA9IkVOIiBkYi1pZD0iNGE3ZWQxMTMtMzUwNi01ZTAyLWE4YWEtM2FjNTc3MTUwMTY0IiB0aW1lc3RhbXA9IjE3OTMyODM2ODU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Prospective single-centre, single-arm study, 15 transplanted April 2012–November 2016. R0 primary, ECOG 0–1, no current or prior extrahepatic metastasis/local relapse, liver-only unresectable disease. At least 10% chemotherapy shrinkage; before treatment no lesion &gt;10 cm; when &gt;30 lesions, all &lt;5 cm and at least 30% shrinkage. Less than 10% chemotherapy response could be supplemented by at least 20% response to DEB-IRI or Y90. Table 1 requires at least one year from CRC diagnosis to listing, not merely an elapsed year by transplantation.</w:t>
            </w:r>
          </w:p>
          <w:p>
            <w:pPr>
              <w:pStyle w:val="Normal"/>
              <w:widowControl/>
              <w:spacing w:before="60" w:after="20"/>
            </w:pPr>
            <w:hyperlink r:id="rId12">
              <w:r>
                <w:rPr>
                  <w:color w:val="77230C"/>
                  <w:sz w:val="20"/>
                  <w:u w:val="single"/>
                </w:rPr>
                <w:t>Primary source</w:t>
              </w:r>
            </w:hyperlink>
            <w:r>
              <w:t xml:space="preserve"> | </w:t>
            </w:r>
            <w:hyperlink r:id="rId13">
              <w:r>
                <w:rPr>
                  <w:color w:val="77230C"/>
                  <w:sz w:val="20"/>
                  <w:u w:val="single"/>
                </w:rPr>
                <w:t>Full-text PDF</w:t>
              </w:r>
            </w:hyperlink>
          </w:p>
          <w:p>
            <w:pPr>
              <w:pStyle w:val="Normal"/>
              <w:widowControl/>
              <w:spacing w:before="60" w:after="20"/>
            </w:pPr>
            <w:r>
              <w:t xml:space="preserve">Locator: Printed pp 212–218; eligibility Table 1 p 213; outcomes and complications p 214; relapse Table 4 and cohort comparison Table 5 p 216.</w:t>
            </w:r>
          </w:p>
          <w:p>
            <w:pPr>
              <w:pStyle w:val="Normal"/>
              <w:widowControl/>
              <w:spacing w:before="60" w:after="20"/>
            </w:pPr>
            <w:r>
              <w:t xml:space="preserve">Review depth: Complete seven-page published main article read, including methods, Tables 1–5, figures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Fifteen transplanted; no wait-list dropout, median wait 29 days (7–148). OS and DFS start at LT. Median follow-up among living patients 36 months (5–60); five-year estimates have very few at risk. Median diagnosis-to-LT 24.0 months and primary resection-to-LT 22.6 months. One-, three- and five-year OS 100%, 83%, 83%; median DFS 13.7 months; one-, two-, three-year DFS 53%, 44%, 35%. Eight recurrences, six initially/only pulmonary. Five patients underwent six lung resections. Median interval detection-to-lung resection 21.4 months illustrates selection and slow growth, not a required waiting interval. Eleven of 15 were NED at last follow-up: seven never relapsed and four after salvage. Three-year NED 76.4% is not the same endpoint as DFS. Grade IIIa–IVa complications in seven of 15 (47%); no adjuvant chemotherapy. Two deaths from recurrence at 26 months.</w:t>
            </w:r>
          </w:p>
          <w:p>
            <w:pPr>
              <w:pStyle w:val="Normal"/>
              <w:widowControl/>
              <w:spacing w:before="60" w:after="20"/>
            </w:pPr>
            <w:r>
              <w:rPr>
                <w:b/>
              </w:rPr>
              <w:t xml:space="preserve">Do not infer: </w:t>
            </w:r>
            <w:r>
              <w:t xml:space="preserve">Highly selected recipients, no randomised comparator or all-evaluated denominator; favourable Oslo scores 0–1, CEA 1–30 and largest pre-LT lesions 3–47 mm. The comparison with expected chemotherapy survival is historical/selected and should not be used as a causal effect estimate. SECA-II long-term report expands and overlaps this cohort; do not count as an independent replication. Single old-era immunosuppression protocol is not a validated best regimen. Supplement access: No separate supplemental file is cited in the main paper.</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U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14">
              <w:r>
                <w:rPr>
                  <w:color w:val="77230C"/>
                  <w:sz w:val="20"/>
                  <w:u w:val="single"/>
                </w:rPr>
                <w:t>Primary source</w:t>
              </w:r>
            </w:hyperlink>
            <w:r>
              <w:t xml:space="preserve"> | </w:t>
            </w:r>
            <w:hyperlink r:id="rId15">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16">
              <w:r>
                <w:rPr>
                  <w:color w:val="77230C"/>
                  <w:sz w:val="20"/>
                  <w:u w:val="single"/>
                </w:rPr>
                <w:t>Primary source</w:t>
              </w:r>
            </w:hyperlink>
            <w:r>
              <w:t xml:space="preserve"> | </w:t>
            </w:r>
            <w:hyperlink r:id="rId17">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2LTldPC9EaXNwbGF5VGV4dD48cmVjb3JkPjxyZWMtbnVtYmVyPjk8L3JlYy1udW1iZXI+PGZvcmVpZ24ta2V5cz48a2V5IGFwcD0iRU4iIGRiLWlkPSI0YTdlZDExMy0zNTA2LTVlMDItYThhYS0zYWM1NzcxNTAxNjQiIHRpbWVzdGFtcD0iMTc5MzI4MzY4NS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CIRSE consensus standards for portal-vein embolization and liver venous deprivation, 2024; not a transplant-versus-resection comparative trial.</w:t>
            </w:r>
          </w:p>
          <w:p>
            <w:pPr>
              <w:pStyle w:val="Normal"/>
              <w:widowControl/>
              <w:spacing w:before="60" w:after="20"/>
            </w:pPr>
            <w:hyperlink r:id="rId18">
              <w:r>
                <w:rPr>
                  <w:color w:val="77230C"/>
                  <w:sz w:val="20"/>
                  <w:u w:val="single"/>
                </w:rPr>
                <w:t>Primary source</w:t>
              </w:r>
            </w:hyperlink>
            <w:r>
              <w:t xml:space="preserve"> | </w:t>
            </w:r>
            <w:hyperlink r:id="rId19">
              <w:r>
                <w:rPr>
                  <w:color w:val="77230C"/>
                  <w:sz w:val="20"/>
                  <w:u w:val="single"/>
                </w:rPr>
                <w:t>Full-text PDF</w:t>
              </w:r>
            </w:hyperlink>
          </w:p>
          <w:p>
            <w:pPr>
              <w:pStyle w:val="Normal"/>
              <w:widowControl/>
              <w:spacing w:before="60" w:after="20"/>
            </w:pPr>
            <w:r>
              <w:t xml:space="preserve">Locator: Cardiovasc Intervent Radiol 2024;47:1025–1036; complete PDF patient selection/FLR assessment.</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Frequently used planning benchmarks are approximately &gt;20% normal parenchyma, &gt;30% chemotherapy-exposed/injured liver and &gt;40% cirrhosis. These are resection-risk benchmarks, not an LT eligibility test or a guarantee of safe resection.</w:t>
            </w:r>
          </w:p>
          <w:p>
            <w:pPr>
              <w:pStyle w:val="Normal"/>
              <w:widowControl/>
              <w:spacing w:before="60" w:after="20"/>
            </w:pPr>
            <w:r>
              <w:rPr>
                <w:b/>
              </w:rPr>
              <w:t xml:space="preserve">Do not infer: </w:t>
            </w:r>
            <w:r>
              <w:t xml:space="preserve">Volume cannot substitute for function, and the relevant injury severity differs by patient. Failure of a numerical FLR threshold alone does not establish persistent oncological unresectability if PVE/LVD, staged or parenchymal-sparing treatment remains feasible.</w:t>
            </w:r>
          </w:p>
        </w:tc>
      </w:tr>
    </w:tbl>
    <w:p>
      <w:pPr>
        <w:pStyle w:val="Heading3"/>
        <w:keepNext/>
        <w:widowControl/>
      </w:pPr>
      <w:r>
        <w:t xml:space="preserve">Synthesis and evidence that challenges the proposal</w:t>
      </w:r>
    </w:p>
    <w:p>
      <w:pPr>
        <w:pStyle w:val="Normal"/>
        <w:widowControl/>
        <w:spacing w:before="60" w:after="20"/>
      </w:pPr>
      <w:r>
        <w:t xml:space="preserve">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 SECA-II follow-up is an expanded overlapping cohort, not independent replication. The original Table 1 requires one year from colorectal-cancer diagnosis to listing; this study criterion must not replace the separate current NLRB CRLM-diagnosis-to-exception rule.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U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Ni03XTwvRGlzcGxheVRleHQ+PHJlY29yZD48cmVjLW51bWJlcj43PC9yZWMtbnVtYmVyPjxmb3JlaWduLWtleXM+PGtleSBhcHA9IkVOIiBkYi1pZD0iNGE3ZWQxMTMtMzUwNi01ZTAyLWE4YWEtM2FjNTc3MTUwMTY0IiB0aW1lc3RhbXA9IjE3OTMyODM2ODU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U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2LTldPC9EaXNwbGF5VGV4dD48cmVjb3JkPjxyZWMtbnVtYmVyPjk8L3JlYy1udW1iZXI+PGZvcmVpZ24ta2V5cz48a2V5IGFwcD0iRU4iIGRiLWlkPSI0YTdlZDExMy0zNTA2LTVlMDItYThhYS0zYWM1NzcxNTAxNjQiIHRpbWVzdGFtcD0iMTc5MzI4MzY4NS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spacing w:before="60" w:after="20"/>
      </w:pPr>
      <w:r>
        <w:t xml:space="preserve">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pStyle w:val="Normal"/>
        <w:widowControl/>
        <w:spacing w:before="60" w:after="20"/>
      </w:pPr>
      <w:r>
        <w:rPr>
          <w:b/>
        </w:rPr>
        <w:t xml:space="preserve">Certainty / applicability: </w:t>
      </w:r>
      <w:r>
        <w:t xml:space="preserve">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pStyle w:val="Heading3"/>
        <w:keepNext/>
        <w:widowControl/>
      </w:pPr>
      <w:r>
        <w:t xml:space="preserve">Where each proposed threshold comes from</w:t>
      </w:r>
    </w:p>
    <w:p>
      <w:pPr>
        <w:pStyle w:val="Normal"/>
        <w:widowControl/>
        <w:numPr>
          <w:ilvl w:val="0"/>
          <w:numId w:val="3"/>
        </w:numPr>
        <w:spacing w:before="60" w:after="20"/>
      </w:pPr>
      <w:r>
        <w:t xml:space="preserve">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“at least two expert liver surgeons”</w:t>
            </w:r>
          </w:p>
          <w:p>
            <w:pPr>
              <w:pStyle w:val="Normal"/>
              <w:widowControl/>
              <w:spacing w:before="60" w:after="20"/>
            </w:pPr>
            <w:r>
              <w:t xml:space="preserve">Published PDF p3 / journal p1109, Procedures</w:t>
            </w:r>
          </w:p>
          <w:p>
            <w:pPr>
              <w:pStyle w:val="Normal"/>
              <w:widowControl/>
              <w:spacing w:before="60" w:after="20"/>
            </w:pPr>
            <w:hyperlink r:id="rId20">
              <w:r>
                <w:rPr>
                  <w:color w:val="77230C"/>
                  <w:sz w:val="20"/>
                  <w:u w:val="single"/>
                </w:rPr>
                <w:t>Source</w:t>
              </w:r>
            </w:hyperlink>
            <w:r>
              <w:t xml:space="preserve"> | </w:t>
            </w:r>
            <w:hyperlink r:id="rId2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Independent expert unresectability assessment was part of the trial, not inferred from tumor count.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2LTldPC9EaXNwbGF5VGV4dD48cmVjb3JkPjxyZWMtbnVtYmVyPjk8L3JlYy1udW1iZXI+PGZvcmVpZ24ta2V5cz48a2V5IGFwcD0iRU4iIGRiLWlkPSI0YTdlZDExMy0zNTA2LTVlMDItYThhYS0zYWM1NzcxNTAxNjQiIHRpbWVzdGFtcD0iMTc5MzI4MzY4NS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“does not estimate the function and regenerative capacity of FLR”</w:t>
            </w:r>
          </w:p>
          <w:p>
            <w:pPr>
              <w:pStyle w:val="Normal"/>
              <w:widowControl/>
              <w:spacing w:before="60" w:after="20"/>
            </w:pPr>
            <w:r>
              <w:t xml:space="preserve">CIRSE 2024, Indications and Contra-Indications; thresholds in Table 2</w:t>
            </w:r>
          </w:p>
          <w:p>
            <w:pPr>
              <w:pStyle w:val="Normal"/>
              <w:widowControl/>
              <w:spacing w:before="60" w:after="20"/>
            </w:pPr>
            <w:hyperlink r:id="rId22">
              <w:r>
                <w:rPr>
                  <w:color w:val="77230C"/>
                  <w:sz w:val="20"/>
                  <w:u w:val="single"/>
                </w:rPr>
                <w:t>Source</w:t>
              </w:r>
            </w:hyperlink>
            <w:r>
              <w:t xml:space="preserve"> | </w:t>
            </w:r>
            <w:hyperlink r:id="rId2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CT volume alone does not establish function. Table 2 gives &gt;20%, &gt;30% and &gt;40% suggested resection thresholds for normal, chemotherapy-exposed and cirrhotic/cholestatic liver respectively.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expert HPB certifications of persistent unresectability, not a lesion-count shortcut.</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2LTldPC9EaXNwbGF5VGV4dD48cmVjb3JkPjxyZWMtbnVtYmVyPjk8L3JlYy1udW1iZXI+PGZvcmVpZ24ta2V5cz48a2V5IGFwcD0iRU4iIGRiLWlkPSI0YTdlZDExMy0zNTA2LTVlMDItYThhYS0zYWM1NzcxNTAxNjQiIHRpbWVzdGFtcD0iMTc5MzI4MzY4NS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U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Ni03XTwvRGlzcGxheVRleHQ+PHJlY29yZD48cmVjLW51bWJlcj43PC9yZWMtbnVtYmVyPjxmb3JlaWduLWtleXM+PGtleSBhcHA9IkVOIiBkYi1pZD0iNGE3ZWQxMTMtMzUwNi01ZTAyLWE4YWEtM2FjNTc3MTUwMTY0IiB0aW1lc3RhbXA9IjE3OTMyODM2ODU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U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S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Proposed gate: two HPB surgeons, including one who is not the proposed transplant surgeon, agree that complete nontransplant clearance is infeasible.</w:t>
      </w:r>
    </w:p>
    <w:p>
      <w:pPr>
        <w:pStyle w:val="Normal"/>
        <w:widowControl/>
        <w:numPr>
          <w:ilvl w:val="1"/>
          <w:numId w:val="3"/>
        </w:numPr>
        <w:spacing w:before="60" w:after="20"/>
      </w:pPr>
      <w:r>
        <w:t xml:space="preserve">Include radiology, oncology and an ablation/HAI-capable clinician; disagreement is HOLD with independent external review.</w:t>
      </w:r>
    </w:p>
    <w:p>
      <w:pPr>
        <w:pStyle w:val="Normal"/>
        <w:widowControl/>
        <w:numPr>
          <w:ilvl w:val="0"/>
          <w:numId w:val="3"/>
        </w:numPr>
      </w:pPr>
      <w:r>
        <w:t xml:space="preserve">Review parenchymal-sparing, staged, combined resection/ablation and hypertrophy-assisted options.</w:t>
      </w:r>
    </w:p>
    <w:p>
      <w:pPr>
        <w:pStyle w:val="Normal"/>
        <w:widowControl/>
        <w:numPr>
          <w:ilvl w:val="1"/>
          <w:numId w:val="3"/>
        </w:numPr>
        <w:spacing w:before="60" w:after="20"/>
      </w:pPr>
      <w:r>
        <w:t xml:space="preserve">Use FLR benchmarks of about 20% in normal liver, 30% in chemotherapy-injured liver and 40% in cirrhosis to assess resection—not as automatic LT criteria.</w:t>
      </w:r>
    </w:p>
    <w:p>
      <w:pPr>
        <w:pStyle w:val="Normal"/>
        <w:widowControl/>
        <w:numPr>
          <w:ilvl w:val="1"/>
          <w:numId w:val="3"/>
        </w:numPr>
        <w:spacing w:before="60" w:after="20"/>
      </w:pPr>
      <w:r>
        <w:t xml:space="preserve">Assess function, inflow, outflow and biliary drainage as well as volume.</w:t>
      </w:r>
    </w:p>
    <w:p>
      <w:pPr>
        <w:pStyle w:val="Normal"/>
        <w:widowControl/>
        <w:numPr>
          <w:ilvl w:val="0"/>
          <w:numId w:val="3"/>
        </w:numPr>
      </w:pPr>
      <w:r>
        <w:t xml:space="preserve">Renew certification after meaningful response or material treatment change and within 30 days before LT activation.</w:t>
      </w:r>
    </w:p>
    <w:p>
      <w:pPr>
        <w:pStyle w:val="Normal"/>
        <w:widowControl/>
        <w:numPr>
          <w:ilvl w:val="1"/>
          <w:numId w:val="3"/>
        </w:numPr>
        <w:spacing w:before="60" w:after="20"/>
      </w:pPr>
      <w:r>
        <w:t xml:space="preserve">Restage approximately every eight weeks on active treatment.</w:t>
      </w:r>
    </w:p>
    <w:p>
      <w:pPr>
        <w:pStyle w:val="Normal"/>
        <w:widowControl/>
        <w:numPr>
          <w:ilvl w:val="1"/>
          <w:numId w:val="3"/>
        </w:numPr>
        <w:spacing w:before="60" w:after="20"/>
      </w:pPr>
      <w:r>
        <w:t xml:space="preserve">Consider HAI conversion when appropriate; do not mandate HAI treatment for every patient.</w:t>
      </w:r>
    </w:p>
    <w:p>
      <w:pPr>
        <w:pStyle w:val="Normal"/>
        <w:widowControl/>
        <w:numPr>
          <w:ilvl w:val="0"/>
          <w:numId w:val="3"/>
        </w:numPr>
      </w:pPr>
      <w:r>
        <w:t xml:space="preserve">Before induction/incision, the responsible transplant team must review and document the final staging report, not merely that the scan was performed; a pending or newly discordant result is HOLD.</w:t>
      </w:r>
    </w:p>
    <w:p>
      <w:pPr>
        <w:pStyle w:val="Normal"/>
        <w:widowControl/>
        <w:numPr>
          <w:ilvl w:val="1"/>
          <w:numId w:val="3"/>
        </w:numPr>
        <w:spacing w:before="60" w:after="20"/>
      </w:pPr>
      <w:r>
        <w:t xml:space="preserve">This is a proposed local safety process, informed by an inadvertently transplanted progression case in SECA-II.</w:t>
      </w:r>
    </w:p>
    <w:p>
      <w:pPr>
        <w:pStyle w:val="Normal"/>
        <w:widowControl/>
        <w:spacing w:before="60" w:after="20"/>
      </w:pPr>
      <w:r>
        <w:rPr>
          <w:b/>
        </w:rPr>
        <w:t xml:space="preserve">Why retain or change it: </w:t>
      </w:r>
      <w:r>
        <w:t xml:space="preserve">Retain an OPEN two-expert certification requirement, one reviewer independent of the transplant operating team. The form must record original/current lesion map; feasible R0/complete ablation plan or reason impossible; FLR volume AND functional/parenchymal assessment; vascular inflow/outflow and biliary drainage; parenchymal-sparing, staged and hypertrophy options; and a documented HAIP/conversion opinion where clinically accessible. A feasible safe curative non-LT plan returns to that pathway. Do not require every modality to fail or administer treatment solely to create eligibility. Institutional decision remains blank.</w:t>
      </w:r>
    </w:p>
    <w:p>
      <w:pPr>
        <w:pStyle w:val="Heading3"/>
        <w:keepNext/>
        <w:widowControl/>
      </w:pPr>
      <w:r>
        <w:t xml:space="preserve">Information required before the decision</w:t>
      </w:r>
    </w:p>
    <w:p>
      <w:pPr>
        <w:pStyle w:val="Normal"/>
        <w:widowControl/>
        <w:spacing w:before="60" w:after="20"/>
      </w:pPr>
      <w:r>
        <w:t xml:space="preserve">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pStyle w:val="Normal"/>
        <w:widowControl/>
        <w:spacing w:before="60" w:after="20"/>
      </w:pPr>
      <w:r>
        <w:rPr>
          <w:b/>
        </w:rPr>
        <w:t xml:space="preserve">Clinical versus allocation: </w:t>
      </w:r>
      <w:r>
        <w:t xml:space="preserve">Persistent unresectability is a clinical finding; the separate NLRB molecular, timing, imaging and response requirements still apply if exception review is pursued.</w:t>
      </w:r>
    </w:p>
    <w:p>
      <w:pPr>
        <w:pStyle w:val="Normal"/>
        <w:widowControl/>
        <w:spacing w:before="60" w:after="20"/>
      </w:pPr>
      <w:r>
        <w:rPr>
          <w:b/>
        </w:rPr>
        <w:t xml:space="preserve">Roadmap / protocol reconciliation: </w:t>
      </w:r>
      <w:r>
        <w:t xml:space="preserve">Use the CRLM roadmap’s conversion and resection/ablation/HAI options before assigning the transplant route.</w:t>
      </w:r>
    </w:p>
    <w:p>
      <w:pPr>
        <w:pStyle w:val="Normal"/>
        <w:widowControl/>
        <w:spacing w:before="60" w:after="20"/>
      </w:pPr>
      <w:hyperlink r:id="rId24">
        <w:r>
          <w:rPr>
            <w:color w:val="77230C"/>
            <w:sz w:val="20"/>
            <w:u w:val="single"/>
          </w:rPr>
          <w:t>Meeting record: CRLM-B1</w:t>
        </w:r>
      </w:hyperlink>
      <w:r>
        <w:t xml:space="preserve">  |  </w:t>
      </w:r>
      <w:hyperlink r:id="rId2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2.3 Disappearing lesions and radiographic NED</w:t>
      </w:r>
    </w:p>
    <w:p>
      <w:pPr>
        <w:pStyle w:val="Normal"/>
        <w:widowControl/>
        <w:numPr>
          <w:ilvl w:val="0"/>
          <w:numId w:val="3"/>
        </w:numPr>
      </w:pPr>
      <w:r>
        <w:t xml:space="preserve">Keep original sites on the disease map after radiographic disappearance. PET negativity or absent enhancement does not prove sterilization; correlate MRI/CT, treatment timing and the feasibility of treating the original sites.</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pPr>
      <w:r>
        <w:t xml:space="preserve">A selected 14-explant series found viable tumor in 11 explants and in 4/7 patients classified as complete radiographic response. Some patients were transplanted for treatment-related liver failure rather than persistent active unresectable cancer. These rationales must not be combined.</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Classify the indication explicitly as residual unresectable disease, uncertain occult residual risk/radiographic NED, or documented irreversible treatment-related liver failure. NED is neither proof of cure nor an automatic indication for oncologic LT.</w:t>
      </w:r>
    </w:p>
    <w:p>
      <w:pPr>
        <w:pStyle w:val="Heading3"/>
        <w:keepNext/>
        <w:widowControl/>
      </w:pPr>
      <w:bookmarkStart w:id="2" w:name="CRLM_B2"/>
      <w:r>
        <w:t xml:space="preserve">CRLM-B2 — How do we handle PET-negative/disappearing lesions or radiographic NED?</w:t>
      </w:r>
      <w:bookmarkEnd w:id="2"/>
    </w:p>
    <w:p>
      <w:pPr>
        <w:pStyle w:val="Heading3"/>
        <w:keepNext/>
        <w:widowControl/>
      </w:pPr>
      <w:r>
        <w:t xml:space="preserve">Question and comparison</w:t>
      </w:r>
    </w:p>
    <w:p>
      <w:pPr>
        <w:pStyle w:val="Normal"/>
        <w:widowControl/>
        <w:spacing w:before="60" w:after="20"/>
      </w:pPr>
      <w:r>
        <w:t xml:space="preserve">When treated CRLM disappears or becomes PET-negative, what counts as persistent disease, and should LT be considered for radiographic NED or irreversible treatment-related liver failure?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Retrospective radiology–explant study of 14 selected LT recipients; eight indications were unresectable disease and six treatment-associated liver failure/biliary complications.</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Ann Surg 2023;278:e1026–e1034; full PDF methods, radiology/explant correlation tables, Results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Explant contained viable carcinoma in 11/14; nine had additional lesions not accounted for on pre-LT imaging. Four of seven imaging complete responders still had viable tumour. The three pathological complete responders were all in the liver-failure indication group.</w:t>
            </w:r>
          </w:p>
          <w:p>
            <w:pPr>
              <w:pStyle w:val="Normal"/>
              <w:widowControl/>
              <w:spacing w:before="60" w:after="20"/>
            </w:pPr>
            <w:r>
              <w:rPr>
                <w:b/>
              </w:rPr>
              <w:t xml:space="preserve">Do not infer: </w:t>
            </w:r>
            <w:r>
              <w:t xml:space="preserve">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tc>
      </w:tr>
      <w:tr>
        <w:trPr/>
        <w:tc>
          <w:tcPr>
            <w:tcW w:w="3400" w:type="dxa"/>
            <w:tcMar>
              <w:top w:w="90" w:type="dxa"/>
              <w:left w:w="90" w:type="dxa"/>
              <w:bottom w:w="90" w:type="dxa"/>
              <w:right w:w="90" w:type="dxa"/>
            </w:tcMar>
          </w:tcPr>
          <w:p>
            <w:pPr>
              <w:pStyle w:val="Normal"/>
              <w:widowControl/>
              <w:spacing w:before="60" w:after="20"/>
            </w:pPr>
            <w:r>
              <w:rPr>
                <w:b/>
              </w:rPr>
              <w:t xml:space="preserve">Kataoka 2025 · DREAM</w:t>
            </w:r>
            <w:r>
              <w:t xml:space="preserve"> </w:t>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YtMTFdPC9EaXNwbGF5VGV4dD48cmVjb3JkPjxyZWMtbnVtYmVyPjExPC9yZWMtbnVtYmVyPjxmb3JlaWduLWtleXM+PGtleSBhcHA9IkVOIiBkYi1pZD0iNGE3ZWQxMTMtMzUwNi01ZTAyLWE4YWEtM2FjNTc3MTUwMTY0IiB0aW1lc3RhbXA9IjE3OTMyODM2ODU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Prospective international diagnostic study at 21 centres. 233 registered with initially borderline/unresectable CLM; 112 considered suitable for conversion surgery after chemotherapy and enrolled, 109 operated. WHO 0–1, with resectable extrahepatic disease allowed. R0 feasibility with functional vascular/biliary anatomy and ≥30% future liver remnant was this study's definition, not a universal LT criterion. CT disappearance = DLM; disappearance on CT and multiparametric MRI = cDLM.</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Methods pp 1213–1214; patient table p 1215; flowchart and outcomes p 1216; NPV Figure 2 p 1217; survival Figure 4 and limitations p 1218.</w:t>
            </w:r>
          </w:p>
          <w:p>
            <w:pPr>
              <w:pStyle w:val="Normal"/>
              <w:widowControl/>
              <w:spacing w:before="60" w:after="20"/>
            </w:pPr>
            <w:r>
              <w:t xml:space="preserve">Review depth: All nine PDF pages read. Complete primary study pp 1212–1220, including references; final page also begins a separate invited commentary whose continuation is not included and was not treated as complete.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203 cDLMs in 54 patients; 152 evaluable cDLMs in 44 patients (88 resected, 64 left). Fifty-one cDLMs excluded, including death before two years, missing/out-of-window MRI, ablation or pathology data. Median follow-up 26.1 months after surgery. Survival time zero is initial hepatic surgery. Primary endpoint combines pathology at surgery and lack of site recurrence at two years; these are not identical gold standards. Nonviability NPV for CT+MRI disappearance 95/152 =62.5% (90% CI 50.8–74.2), below prespecified 85%; CT-only DLM NPV 52.9%. Resected cDLMs: 50/88 nonviable, leaving 38/88 with residual viable disease. Left cDLMs: 45/64 without site recurrence at two years, 19/64 with recurrence. With CEUS and cDLM: 42/57 lesions invisible on CEUS were nonviable/no two-year site recurrence (73.7%; 90% CI 55.0–92.3), still imperfect. No equivalence to Oba's expert-centre results. Among 45 patients without extrahepatic disease and R0/R1 resection, all cDLMs removed (19) versus some left (26): DFS HR 0.92 (95% CI 0.48–1.77), OS HR 0.80 (0.21–3.08). Underpowered nonrandom comparison, not proof that resection is useless. Among 109 surgeries, grade ≥IIIa early complications 12/109 (11.0%), late complications 4/109 (3.7%); no postoperative mortality. Postoperative chemotherapy in 46/109.</w:t>
            </w:r>
          </w:p>
          <w:p>
            <w:pPr>
              <w:pStyle w:val="Normal"/>
              <w:widowControl/>
              <w:spacing w:before="60" w:after="20"/>
            </w:pPr>
            <w:r>
              <w:rPr>
                <w:b/>
              </w:rPr>
              <w:t xml:space="preserve">Do not infer: </w:t>
            </w:r>
            <w:r>
              <w:t xml:space="preserve">No central imaging review completed; mixed MRI contrast agents and intraoperative ultrasound practice. Selection and verification bias from conversion-only population and exclusions; per-lesion within-patient correlation was addressed statistically but clinical selection remained. Not powered for survival benefit, no adjustment of survival comparisons; trial discussion of possible LT is hypothesis, not direct evidence. Supplement 1 imaging/pathology guidelines, additional tables/figures and Supplement 2 data-sharing statement are not in this download. Supplement access: Main study complete; Supplement 1 and Supplement 2 absent. Separate invited commentary only begins on the last page.</w:t>
            </w:r>
          </w:p>
        </w:tc>
      </w:tr>
      <w:tr>
        <w:trPr/>
        <w:tc>
          <w:tcPr>
            <w:tcW w:w="3400" w:type="dxa"/>
            <w:tcMar>
              <w:top w:w="90" w:type="dxa"/>
              <w:left w:w="90" w:type="dxa"/>
              <w:bottom w:w="90" w:type="dxa"/>
              <w:right w:w="90" w:type="dxa"/>
            </w:tcMar>
          </w:tcPr>
          <w:p>
            <w:pPr>
              <w:pStyle w:val="Normal"/>
              <w:widowControl/>
              <w:spacing w:before="60" w:after="20"/>
            </w:pPr>
            <w:r>
              <w:rPr>
                <w:b/>
              </w:rPr>
              <w:t xml:space="preserve">Oba 2018 · disappearing lesions</w:t>
            </w:r>
            <w:r>
              <w:t xml:space="preserve"> </w:t>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Ni0xMl08L0Rpc3BsYXlUZXh0PjxyZWNvcmQ+PHJlYy1udW1iZXI+MTI8L3JlYy1udW1iZXI+PGZvcmVpZ24ta2V5cz48a2V5IGFwcD0iRU4iIGRiLWlkPSI0YTdlZDExMy0zNTA2LTVlMDItYThhYS0zYWM1NzcxNTAxNjQiIHRpbWVzdGFtcD0iMTc5MzI4MzY4NS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Single-centre diagnostic/surgical cohort: 392 hepatectomy patients, 228 treated with preoperative chemotherapy, 184 with CT, EOB-MRI and contrast-enhanced intraoperative ultrasound (CE-IOUS). Fifty-nine patients had 275 CT-disappearing liver metastases; median original size 8 mm. Ninety-eight percent had partial response and 75% received postoperative chemotherapy. This was not an LT cohort.</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Printed pp 708–714; methods pp 709–710; Figure 2 p 711; Table 2 p 712; limitations p 713.</w:t>
            </w:r>
          </w:p>
          <w:p>
            <w:pPr>
              <w:pStyle w:val="Normal"/>
              <w:widowControl/>
              <w:spacing w:before="60" w:after="20"/>
            </w:pPr>
            <w:r>
              <w:t xml:space="preserve">Review depth: Complete seven-page main paper read, including methods, results, tables, figure text/captions,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Lesion-level reference standard: pathology for resected lesions and subsequent site recurrence for unresected lesions. Unresected-site follow-up median 27 months (range 9–72), not a transplant survival endpoint. EOB-MRI detected 71 of 275 lesions, 65 viable. EOB-MRI plus CE-IOUS detected 165 lesions, 127 viable. Of 110 lesions undetected by both methods, 68 were resected with three viable; 42 were left in situ with six site recurrences. Table 2: combined sensitivity 127/136 (93%), negative predictive value 101/110 (92%).</w:t>
            </w:r>
          </w:p>
          <w:p>
            <w:pPr>
              <w:pStyle w:val="Normal"/>
              <w:widowControl/>
              <w:spacing w:before="60" w:after="20"/>
            </w:pPr>
            <w:r>
              <w:rPr>
                <w:b/>
              </w:rPr>
              <w:t xml:space="preserve">Do not infer: </w:t>
            </w:r>
            <w:r>
              <w:t xml:space="preserve">Unblinded imaging, operator-dependent ultrasound, different pathology and recurrence reference standards. Pathological sections 3–10 mm apart can miss residual cancer; postoperative chemotherapy can suppress recurrence. Japanese perflubutane protocol and expertise are not a mandate for an unavailable US contrast agent. Does not establish a survival benefit from blind resection of every old site or from LT; no comparative operative-harm estimate. Supplement access: No separate supplement included or identified in the main paper; earlier imaging-method papers were not re-reviewed.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S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bl>
    <w:p>
      <w:pPr>
        <w:pStyle w:val="Heading3"/>
        <w:keepNext/>
        <w:widowControl/>
      </w:pPr>
      <w:r>
        <w:t xml:space="preserve">Synthesis and evidence that challenges the proposal</w:t>
      </w:r>
    </w:p>
    <w:p>
      <w:pPr>
        <w:pStyle w:val="Normal"/>
        <w:widowControl/>
        <w:spacing w:before="60" w:after="20"/>
      </w:pPr>
      <w:r>
        <w:t xml:space="preserve">CT/MRI/PET disappearance lowers but does not eliminate residual cancer risk; it does not by itself establish persistent unresectability or transplant benefit. DREAM and Oba support original-site mapping and expert MRI/IOUS review while showing that detection accuracy and the benefit of removing every invisible site are separate questions. Wehrle is a selected PET/CEA-defined minimal-disease/treatment-injury experience, not a proven anatomical-NED LT indication: 27 were evaluated, 16 entered, nine were transplanted, six progressed and one died from treatment-associated liver failure. The paper's chemotherapy and NED definitions contain internal inconsistencies. Residual suspicious disease, radiographic NED with preserved function and irreversible treatment-related liver failure must remain separate dispositions.</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YtMTFdPC9EaXNwbGF5VGV4dD48cmVjb3JkPjxyZWMtbnVtYmVyPjExPC9yZWMtbnVtYmVyPjxmb3JlaWduLWtleXM+PGtleSBhcHA9IkVOIiBkYi1pZD0iNGE3ZWQxMTMtMzUwNi01ZTAyLWE4YWEtM2FjNTc3MTUwMTY0IiB0aW1lc3RhbXA9IjE3OTMyODM2ODU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Ni0xMl08L0Rpc3BsYXlUZXh0PjxyZWNvcmQ+PHJlYy1udW1iZXI+MTI8L3JlYy1udW1iZXI+PGZvcmVpZ24ta2V5cz48a2V5IGFwcD0iRU4iIGRiLWlkPSI0YTdlZDExMy0zNTA2LTVlMDItYThhYS0zYWM1NzcxNTAxNjQiIHRpbWVzdGFtcD0iMTc5MzI4MzY4NS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S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spacing w:before="60" w:after="20"/>
      </w:pPr>
      <w:r>
        <w:t xml:space="preserve">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pStyle w:val="Normal"/>
        <w:widowControl/>
        <w:spacing w:before="60" w:after="20"/>
      </w:pPr>
      <w:r>
        <w:rPr>
          <w:b/>
        </w:rPr>
        <w:t xml:space="preserve">Certainty / applicability: </w:t>
      </w:r>
      <w:r>
        <w:t xml:space="preserve">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pStyle w:val="Heading3"/>
        <w:keepNext/>
        <w:widowControl/>
      </w:pPr>
      <w:r>
        <w:t xml:space="preserve">Where each proposed threshold comes from</w:t>
      </w:r>
    </w:p>
    <w:p>
      <w:pPr>
        <w:pStyle w:val="Normal"/>
        <w:widowControl/>
        <w:numPr>
          <w:ilvl w:val="0"/>
          <w:numId w:val="3"/>
        </w:numPr>
        <w:spacing w:before="60" w:after="20"/>
      </w:pPr>
      <w:r>
        <w:t xml:space="preserve">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“4 (57.1%) of the 7 patients who demonstrated complete radiographic response harbored viable carcinoma on explant pathology.”</w:t>
            </w:r>
          </w:p>
          <w:p>
            <w:pPr>
              <w:pStyle w:val="Normal"/>
              <w:widowControl/>
              <w:spacing w:before="60" w:after="20"/>
            </w:pPr>
            <w:r>
              <w:t xml:space="preserve">Published PDF p1 / journal pe1026, abstract Results</w:t>
            </w:r>
          </w:p>
          <w:p>
            <w:pPr>
              <w:pStyle w:val="Normal"/>
              <w:widowControl/>
              <w:spacing w:before="60" w:after="20"/>
            </w:pPr>
            <w:hyperlink r:id="rId36">
              <w:r>
                <w:rPr>
                  <w:color w:val="77230C"/>
                  <w:sz w:val="20"/>
                  <w:u w:val="single"/>
                </w:rPr>
                <w:t>Source</w:t>
              </w:r>
            </w:hyperlink>
            <w:r>
              <w:t xml:space="preserve"> | </w:t>
            </w:r>
            <w:hyperlink r:id="rId3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Imaging can miss viable tumor; this selected series does not prove comparative benefit from transplanting all NED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activate LT solely for presumed microscopic disease in radiographic NED; separate residual cancer from treatment-related liver failure.</w:t>
      </w:r>
      <w:r>
        <w:t xml:space="preserve"> </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2LTEwXTwvRGlzcGxheVRleHQ+PHJlY29yZD48cmVjLW51bWJlcj4xMDwvcmVjLW51bWJlcj48Zm9yZWlnbi1rZXlzPjxrZXkgYXBwPSJFTiIgZGItaWQ9IjRhN2VkMTEzLTM1MDYtNWUwMi1hOGFhLTNhYzU3NzE1MDE2NCIgdGltZXN0YW1wPSIxNzkzMjgzNjg1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YtMTFdPC9EaXNwbGF5VGV4dD48cmVjb3JkPjxyZWMtbnVtYmVyPjExPC9yZWMtbnVtYmVyPjxmb3JlaWduLWtleXM+PGtleSBhcHA9IkVOIiBkYi1pZD0iNGE3ZWQxMTMtMzUwNi01ZTAyLWE4YWEtM2FjNTc3MTUwMTY0IiB0aW1lc3RhbXA9IjE3OTMyODM2ODU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Ni0xMl08L0Rpc3BsYXlUZXh0PjxyZWNvcmQ+PHJlYy1udW1iZXI+MTI8L3JlYy1udW1iZXI+PGZvcmVpZ24ta2V5cz48a2V5IGFwcD0iRU4iIGRiLWlkPSI0YTdlZDExMy0zNTA2LTVlMDItYThhYS0zYWM1NzcxNTAxNjQiIHRpbWVzdGFtcD0iMTc5MzI4MzY4NS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S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Residual unresectable disease: convincing viable/suspicious disease on appropriate cross-sectional imaging may proceed to B1 review even if PET is negative.</w:t>
      </w:r>
    </w:p>
    <w:p>
      <w:pPr>
        <w:pStyle w:val="Normal"/>
        <w:widowControl/>
        <w:numPr>
          <w:ilvl w:val="1"/>
          <w:numId w:val="3"/>
        </w:numPr>
        <w:spacing w:before="60" w:after="20"/>
      </w:pPr>
      <w:r>
        <w:t xml:space="preserve">PET negativity alone does not prove cure.</w:t>
      </w:r>
    </w:p>
    <w:p>
      <w:pPr>
        <w:pStyle w:val="Normal"/>
        <w:widowControl/>
        <w:numPr>
          <w:ilvl w:val="0"/>
          <w:numId w:val="3"/>
        </w:numPr>
      </w:pPr>
      <w:r>
        <w:t xml:space="preserve">Radiographic NED/occult-residual-risk: no convincing remaining disease on high-quality staging.</w:t>
      </w:r>
    </w:p>
    <w:p>
      <w:pPr>
        <w:pStyle w:val="Normal"/>
        <w:widowControl/>
        <w:numPr>
          <w:ilvl w:val="1"/>
          <w:numId w:val="3"/>
        </w:numPr>
        <w:spacing w:before="60" w:after="20"/>
      </w:pPr>
      <w:r>
        <w:t xml:space="preserve">Maintain the original lesion map, continue appropriate oncology care and reassess in about eight weeks; LT for presumed microscopic risk requires a separately approved NED study.</w:t>
      </w:r>
    </w:p>
    <w:p>
      <w:pPr>
        <w:pStyle w:val="Normal"/>
        <w:widowControl/>
        <w:numPr>
          <w:ilvl w:val="0"/>
          <w:numId w:val="3"/>
        </w:numPr>
      </w:pPr>
      <w:r>
        <w:t xml:space="preserve">Irreversible treatment-related liver failure: evaluate a separate liver-failure indication with independent hepatology and oncologic-suitability review.</w:t>
      </w:r>
    </w:p>
    <w:p>
      <w:pPr>
        <w:pStyle w:val="Normal"/>
        <w:widowControl/>
        <w:numPr>
          <w:ilvl w:val="1"/>
          <w:numId w:val="3"/>
        </w:numPr>
        <w:spacing w:before="60" w:after="20"/>
      </w:pPr>
      <w:r>
        <w:t xml:space="preserve">Do not relabel it active unresectable cancer.</w:t>
      </w:r>
    </w:p>
    <w:p>
      <w:pPr>
        <w:pStyle w:val="Normal"/>
        <w:widowControl/>
        <w:numPr>
          <w:ilvl w:val="1"/>
          <w:numId w:val="3"/>
        </w:numPr>
        <w:spacing w:before="60" w:after="20"/>
      </w:pPr>
      <w:r>
        <w:t xml:space="preserve">Do not stop effective treatment to provoke recurrence or biopsy every scar.</w:t>
      </w:r>
    </w:p>
    <w:p>
      <w:pPr>
        <w:pStyle w:val="Normal"/>
        <w:widowControl/>
        <w:numPr>
          <w:ilvl w:val="0"/>
          <w:numId w:val="3"/>
        </w:numPr>
      </w:pPr>
      <w:r>
        <w:t xml:space="preserve">Keep all original lesion sites mapped.</w:t>
      </w:r>
    </w:p>
    <w:p>
      <w:pPr>
        <w:pStyle w:val="Normal"/>
        <w:widowControl/>
        <w:numPr>
          <w:ilvl w:val="1"/>
          <w:numId w:val="3"/>
        </w:numPr>
        <w:spacing w:before="60" w:after="20"/>
      </w:pPr>
      <w:r>
        <w:t xml:space="preserve">Disappearance does not establish eradication, but uncertain microscopic viability alone does not establish persistent unresectability or transplant benefit; diagnostic accuracy and treatment benefit are different questions.</w:t>
      </w:r>
    </w:p>
    <w:p>
      <w:pPr>
        <w:pStyle w:val="Normal"/>
        <w:widowControl/>
        <w:numPr>
          <w:ilvl w:val="0"/>
          <w:numId w:val="3"/>
        </w:numPr>
      </w:pPr>
      <w:r>
        <w:t xml:space="preserve">Do not escalate treatment with the purpose of causing liver failure or making LT necessary.</w:t>
      </w:r>
    </w:p>
    <w:p>
      <w:pPr>
        <w:pStyle w:val="Normal"/>
        <w:widowControl/>
        <w:numPr>
          <w:ilvl w:val="1"/>
          <w:numId w:val="3"/>
        </w:numPr>
        <w:spacing w:before="60" w:after="20"/>
      </w:pPr>
      <w:r>
        <w:t xml:space="preserve">At each treatment change, document hepatic reserve, expected oncologic benefit, foreseeable liver injury and whether toxicity requires holding therapy; include pre-LT fatal/nonfatal harms in the all-entered denominator.</w:t>
      </w:r>
    </w:p>
    <w:p>
      <w:pPr>
        <w:pStyle w:val="Normal"/>
        <w:widowControl/>
        <w:spacing w:before="60" w:after="20"/>
      </w:pPr>
      <w:r>
        <w:rPr>
          <w:b/>
        </w:rPr>
        <w:t xml:space="preserve">Why retain or change it: </w:t>
      </w:r>
      <w:r>
        <w:t xml:space="preserve">Retain three separate OPEN dispositions. (1) Residual suspicious lesions or original-site anatomy that still prevents safe complete clearance: return to B1 expert certification, with imaging uncertainty documented. (2) True radiographic NED and preserved liver function: no automatic oncologic LT activation; multidisciplinary surveillance/non-LT care, with any future NED-LT study unopened and separately justified. (3) Irreversible liver failure/biliary injury after appropriate treatment: independent hepatology/transplant assessment of native-liver indication and cancer-recurrence risk, not reclassification as proven persistent viable CRLM. Do not biopsy every scar or stop effective therapy to provoke measurable disease. Decision remains blank.</w:t>
      </w:r>
    </w:p>
    <w:p>
      <w:pPr>
        <w:pStyle w:val="Heading3"/>
        <w:keepNext/>
        <w:widowControl/>
      </w:pPr>
      <w:r>
        <w:t xml:space="preserve">Information required before the decision</w:t>
      </w:r>
    </w:p>
    <w:p>
      <w:pPr>
        <w:pStyle w:val="Normal"/>
        <w:widowControl/>
        <w:spacing w:before="60" w:after="20"/>
      </w:pPr>
      <w:r>
        <w:t xml:space="preserve">Expert comparison of pretreatment and current liver MRI/CT; systemic staging; treatment dates and PET interpretation; liver reserve; separate adjudication of NED versus suspicious residual sites.</w:t>
      </w:r>
    </w:p>
    <w:p>
      <w:pPr>
        <w:pStyle w:val="Normal"/>
        <w:widowControl/>
        <w:spacing w:before="60" w:after="20"/>
      </w:pPr>
      <w:r>
        <w:rPr>
          <w:b/>
        </w:rPr>
        <w:t xml:space="preserve">Clinical versus allocation: </w:t>
      </w:r>
      <w:r>
        <w:t xml:space="preserve">A separate liver-failure indication does not automatically meet the CRLM exception pathway. Obtain case-specific clinical and allocation adjudication.</w:t>
      </w:r>
    </w:p>
    <w:p>
      <w:pPr>
        <w:pStyle w:val="Normal"/>
        <w:widowControl/>
        <w:spacing w:before="60" w:after="20"/>
      </w:pPr>
      <w:r>
        <w:rPr>
          <w:b/>
        </w:rPr>
        <w:t xml:space="preserve">Roadmap / protocol reconciliation: </w:t>
      </w:r>
      <w:r>
        <w:t xml:space="preserve">Preserve disappearing-lesion mapping and conversion assessment in the CRLM roadmap; do not manufacture measurable disease for eligibility.</w:t>
      </w:r>
    </w:p>
    <w:p>
      <w:pPr>
        <w:pStyle w:val="Normal"/>
        <w:widowControl/>
        <w:spacing w:before="60" w:after="20"/>
      </w:pPr>
      <w:hyperlink r:id="rId38">
        <w:r>
          <w:rPr>
            <w:color w:val="77230C"/>
            <w:sz w:val="20"/>
            <w:u w:val="single"/>
          </w:rPr>
          <w:t>Meeting record: CRLM-B2</w:t>
        </w:r>
      </w:hyperlink>
      <w:r>
        <w:t xml:space="preserve">  |  </w:t>
      </w:r>
      <w:hyperlink r:id="rId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3 Guidance aligned criteria and proposed expansions</w:t>
      </w:r>
    </w:p>
    <w:p>
      <w:pPr>
        <w:pStyle w:val="Normal"/>
        <w:widowControl/>
        <w:numPr>
          <w:ilvl w:val="0"/>
          <w:numId w:val="3"/>
        </w:numPr>
      </w:pPr>
      <w:r>
        <w:t xml:space="preserve">Current NLRB guidance requires BRAF wild type and microsatellite stability; KRAS mutation is not an automatic exclusion. Primary resection requires negative margins and no local recurrence. A non-V600E BRAF mutation is not silently equivalent to BRAF wild type.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Record at least 12 months from CRLM diagnosis to the initial exception request, not simply from primary resection, and the specified stability/regression interval of at least six months. The guidance includes additional timing conditions for synchronous disease. These are access criteria to document, not instructions to delay clinically indicated primary treatment.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For the guidance route, document that no pretreatment liver lesion exceeded 10 cm, required therapy was delivered, and CT/MRI plus PET show no extrahepatic disease or local relapse within one month before the initial request. Colonoscopy must meet the guidance window. The guidance also specifies a chemotherapy pause of at least four weeks before pretransplant PET; oncology must assess safety and scheduling rather than interrupt effective therapy automatically.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The initial CEA exclusion is above 80 micrograms/L, whereas extension wording requires below 80. An exact value of 80 therefore needs explicit clarification. Guidance defines progression as more than 10% diameter growth or a new lesion despite referencing RECIST 1.1; do not silently substitute conventional RECIST progression.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R1 primary margins, extrahepatic disease after primary resection outside the primary nodal field, BRAF-mutant or MSI-H disease, progression and unmet timing criteria are outside the specified guidance. Cleared lung or distant nodal disease requires a separate research rationale; it is not covered by response alone.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SECA-II arm D reported only ten extended-criteria recipients, with median DFS approximately four months and OS approximately 18 months. This cautions against relaxing several features together; it does not estimate the effect of each individual deviation.</w:t>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Heading3"/>
        <w:keepNext/>
        <w:widowControl/>
      </w:pPr>
      <w:bookmarkStart w:id="3" w:name="CRLM_B3"/>
      <w:r>
        <w:t xml:space="preserve">CRLM-B3 — Which molecular or extrahepatic expansions should be studied?</w:t>
      </w:r>
      <w:bookmarkEnd w:id="3"/>
    </w:p>
    <w:p>
      <w:pPr>
        <w:pStyle w:val="Heading3"/>
        <w:keepNext/>
        <w:widowControl/>
      </w:pPr>
      <w:r>
        <w:t xml:space="preserve">Question and comparison</w:t>
      </w:r>
    </w:p>
    <w:p>
      <w:pPr>
        <w:pStyle w:val="Normal"/>
        <w:widowControl/>
        <w:spacing w:before="60" w:after="20"/>
      </w:pPr>
      <w:r>
        <w:t xml:space="preserve">Which molecular, extrahepatic, CEA, response-duration and metabolic criteria can safely expand CRLM LT eligibility, and which are merely prognostic or allocation constraints?</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Grut 2022 · MTV</w:t>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YtMTVdPC9EaXNwbGF5VGV4dD48cmVjb3JkPjxyZWMtbnVtYmVyPjE1PC9yZWMtbnVtYmVyPjxmb3JlaWduLWtleXM+PGtleSBhcHA9IkVOIiBkYi1pZD0iNGE3ZWQxMTMtMzUwNi01ZTAyLWE4YWEtM2FjNTc3MTUwMTY0IiB0aW1lc3RhbXA9IjE3OTMyODM2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Retrospective pooled prognostic analysis of 40 already-transplanted SECA recipients: 23 SECA-I and 17 SECA-II (November 2006–August 2018). ECOG 0–1, radically resected primary, liver-only unresectable metastases. Different trial criteria allowed progression in SECA-I, but not SECA-II.</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Printed pp 1074–1075 Methods and ROC; Tables 1–2 pp 1075–1076; recurrence p 1077; limitations and scan timing p 1079.</w:t>
            </w:r>
          </w:p>
          <w:p>
            <w:pPr>
              <w:pStyle w:val="Normal"/>
              <w:widowControl/>
              <w:spacing w:before="60" w:after="20"/>
            </w:pPr>
            <w:r>
              <w:t xml:space="preserve">Review depth: Complete nine-page published paper read, including Methods, all tables/figures,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LT to 22 December 2021, postrecurrence survival from relapse. Twenty-six MTV &lt;70 cm³ and 14 &gt;70; the exact equality boundary was not specified. ROC-derived cutpoint 66.09 rounded to 70. TLG ROC cutpoint 238.80, not 260. Five-/ten-year OS 76%/50% for low MTV versus 21%/7% for high MTV (P&lt;0.001). Median DFS 16 versus 4 months; all 14 high-MTV and 19/26 low-MTV recipients recurred. Five-/ten-year postrecurrence survival 57%/37% versus 14%/7%. No randomized comparison or incremental benefit analysis. High-MTV group had progression in 79% versus 19%, CEA median 95 versus 3, larger lesions 83 versus 29 mm and substantially more second/third-line treatment: strong confounding by biology. PET was performed after a reported chemotherapy pause of four to six weeks. Among 20 scanned &lt;90 days before LT, MTV was strongly associated with OS; among 20 scanned &gt;90 days, P=0.093. Timing subgroup findings do not prove an optimal universal interval.</w:t>
            </w:r>
          </w:p>
          <w:p>
            <w:pPr>
              <w:pStyle w:val="Normal"/>
              <w:widowControl/>
              <w:spacing w:before="60" w:after="20"/>
            </w:pPr>
            <w:r>
              <w:rPr>
                <w:b/>
              </w:rPr>
              <w:t xml:space="preserve">Do not infer: </w:t>
            </w:r>
            <w:r>
              <w:t xml:space="preserve">Threshold derived and assessed in the same small overlapping SECA cohort; no multivariable isolation of MTV and no untreated comparator. TLG separated the identical patients, so it is not independent validation or an additive test. The paper reports no PET-attributable harms; withholding chemotherapy four to six weeks was study practice, not a universally safe requirement. A zero MTV indicates below-threshold FDG uptake, not histological clearance. Supplement access: No separate supplement cited.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2025 · PET</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Ni0xNl08L0Rpc3BsYXlUZXh0PjxyZWNvcmQ+PHJlYy1udW1iZXI+MTY8L3JlYy1udW1iZXI+PGZvcmVpZ24ta2V5cz48a2V5IGFwcD0iRU4iIGRiLWlkPSI0YTdlZDExMy0zNTA2LTVlMDItYThhYS0zYWM1NzcxNTAxNjQiIHRpbWVzdGFtcD0iMTc5MzI4MzY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Retrospective two-US-centre study of 26 recipients (24 LDLT), 2017–2023; all Oslo score 0–2. Five had PET MTV ≥70 cm3 and 21 had lower MTV. No nontransplanted comparator.</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PDF pp 4–6: methods, results and Table 1; pp 7–8: Table 2/explant viability; pp 10–11: chemotherapy timing and limitations.</w:t>
            </w:r>
          </w:p>
          <w:p>
            <w:pPr>
              <w:pStyle w:val="Normal"/>
              <w:widowControl/>
              <w:spacing w:before="60" w:after="20"/>
            </w:pPr>
            <w:r>
              <w:t xml:space="preserve">Review depth: Complete 13-page main paper read, including methods, Tables 1–2, figures/captions,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recipient follow-up 21 months (IQR 11–36); PET within four months of LT, median 1.9 months. Chemotherapy-to-PET interval median 20 days (IQR 0–30), unlike the Oslo four-to-six-week interruption. One-/two-year survival percentages use mature denominators 18/13. Recurrence occurred in four of five high-MTV recipients versus four of 21 low-MTV recipients; two cancer deaths. One-/two-year RFS 15/18 (83%) and 8/13 (62%); OS 18/18 (100%) and 11/13 (85%). Nineteen of 26 explants were viable. All 11 PET-avid cases were viable; eight of 15 nonavid cases were also viable (53.3%). Eight of 19 viable and none of seven nonviable explants recurred. High-MTV patients also had more poorly differentiated tumours (80% versus 14.3%) and higher CEA (35 versus 3.3), without multivariable adjustment.</w:t>
            </w:r>
          </w:p>
          <w:p>
            <w:pPr>
              <w:pStyle w:val="Normal"/>
              <w:widowControl/>
              <w:spacing w:before="60" w:after="20"/>
            </w:pPr>
            <w:r>
              <w:rPr>
                <w:b/>
              </w:rPr>
              <w:t xml:space="preserve">Do not infer: </w:t>
            </w:r>
            <w:r>
              <w:t xml:space="preserve">Reported HR 2.42 with CI 2.2–62.2 is internally inconsistent; do not repair or reuse it without author clarification. Several count/percentage/table inconsistencies: 19/26 incorrectly labelled 69.2%; LDLT subgroup totals conflict; MTV IQR and cohort-centre totals differ. Use explicit raw counts and flag uncertainty. Recent chemotherapy can suppress FDG avidity. PET negativity is not pathological nonviability. Data-derived Youden MTV 1.6 is exploratory, not an alternative eligibility threshold. Small recipient-only cohort with possible overlap with other US series; cannot establish incremental transplant benefit or efficacy of reducing MTV. Supplement access: Supplementary Figures S1/S2 at http://links.lww.com/LVT/A684 are not included or 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2023 · ctDNA</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spacing w:before="60" w:after="20"/>
            </w:pPr>
            <w:r>
              <w:t xml:space="preserve">Exploratory January–August 2022 CRLM series: 52 patients, described as 34 preoperative and 18 postoperative tests; nine paired pre/postoperative samples. Twenty-nine operations comprised 24 resections and five LT. Guardant360 tumour-agnostic 83-gene assay.</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PDF p 3: Results/Table 1; pp 4–5: paired cohort/Table 2; p 6: Figure 4; p 7: donor-derived/nononcologic DNA; p 8: limitations; p 10: appendix.</w:t>
            </w:r>
          </w:p>
          <w:p>
            <w:pPr>
              <w:pStyle w:val="Normal"/>
              <w:widowControl/>
              <w:spacing w:before="60" w:after="20"/>
            </w:pPr>
            <w:r>
              <w:t xml:space="preserve">Review depth: Complete ten-page paper read, including methods, Tables 1–2, figures, discussion and Appendix 1.</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four LT recipients had paired samples. Postoperative draws ranged from nine to 191 days and preoperative draws from one to 146 days. Mean postoperative follow-up 271 days overall; paired-LT follow-up mean 574 days (160–1160). These are not uniform landmark analyses. All nine paired patients had preoperative ctDNA; three remained positive postoperatively. Three of four paired LT recipients cleared ctDNA; none of the four recurred during reported follow-up. The Results describe 14 positive plus six negative postoperative tests, totaling 20, despite stating a postoperative cohort of 18; the associated eight of 14 versus zero of six recurrence comparison must not be presented as a reliable LT risk estimate. One post-LT NOTCH1-positive patient was NED at 4.5 years; newly detected variants may be donor-derived or nononcologic.</w:t>
            </w:r>
          </w:p>
          <w:p>
            <w:pPr>
              <w:pStyle w:val="Normal"/>
              <w:widowControl/>
              <w:spacing w:before="60" w:after="20"/>
            </w:pPr>
            <w:r>
              <w:rPr>
                <w:b/>
              </w:rPr>
              <w:t xml:space="preserve">Do not infer: </w:t>
            </w:r>
            <w:r>
              <w:t xml:space="preserve">Mixed resection/LT population, very small LT subset, discretionary testing, inconsistent postoperative denominator and variable sample timing. Paired-test P values differ between abstract, body and Table 2; avoid a definitive numerical significance claim. No validated ctDNA threshold for listing, delisting, surveillance escalation or transplant benefit. Tumour mutational burden was not significantly associated with response (P=.1035); no TMB eligibility cutoff. No assay safety problem was established; the important risks are false reassurance and inappropriate exclusion or treatment based on unvalidated results. Supplement access: Appendix 1 is included. No separately supplied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pStyle w:val="Heading3"/>
        <w:keepNext/>
        <w:widowControl/>
      </w:pPr>
      <w:r>
        <w:t xml:space="preserve">Synthesis and evidence that challenges the proposal</w:t>
      </w:r>
    </w:p>
    <w:p>
      <w:pPr>
        <w:pStyle w:val="Normal"/>
        <w:widowControl/>
        <w:spacing w:before="60" w:after="20"/>
      </w:pPr>
      <w:r>
        <w:t xml:space="preserve">BRAF-wild-type, controlled liver-only disease with a cleared primary has the strongest treatment evidence. RAS-mutant disease was allowed in TransMet (17/47 assigned LT; the final Table 1 reports combined RAS, not KRAS alone),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 The 40-patient PET study's approximately 70-cm3 MTV threshold was ROC-derived (66.09 rounded) in overlapping Oslo recipients; its TLG threshold was 238.8, not a universal 260. US PET results are confounded by treatment timing and adverse tumour factors, with an internally inconsistent HR/CI. The ctDNA study has only four paired LT recipients and a postoperative denominator conflict. None establishes a ctDNA-negative or PET-negative requirement, a causal PET-downstaging target, or safe molecular/extrahepatic expansion.</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YtMTVdPC9EaXNwbGF5VGV4dD48cmVjb3JkPjxyZWMtbnVtYmVyPjE1PC9yZWMtbnVtYmVyPjxmb3JlaWduLWtleXM+PGtleSBhcHA9IkVOIiBkYi1pZD0iNGE3ZWQxMTMtMzUwNi01ZTAyLWE4YWEtM2FjNTc3MTUwMTY0IiB0aW1lc3RhbXA9IjE3OTMyODM2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Ni0xNl08L0Rpc3BsYXlUZXh0PjxyZWNvcmQ+PHJlYy1udW1iZXI+MTY8L3JlYy1udW1iZXI+PGZvcmVpZ24ta2V5cz48a2V5IGFwcD0iRU4iIGRiLWlkPSI0YTdlZDExMy0zNTA2LTVlMDItYThhYS0zYWM1NzcxNTAxNjQiIHRpbWVzdGFtcD0iMTc5MzI4MzY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spacing w:before="60" w:after="20"/>
      </w:pPr>
      <w:r>
        <w:t xml:space="preserve">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pStyle w:val="Normal"/>
        <w:widowControl/>
        <w:spacing w:before="60" w:after="20"/>
      </w:pPr>
      <w:r>
        <w:rPr>
          <w:b/>
        </w:rPr>
        <w:t xml:space="preserve">Certainty / applicability: </w:t>
      </w:r>
      <w:r>
        <w:t xml:space="preserve">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pStyle w:val="Heading3"/>
        <w:keepNext/>
        <w:widowControl/>
      </w:pPr>
      <w:r>
        <w:t xml:space="preserve">Where each proposed threshold comes from</w:t>
      </w:r>
    </w:p>
    <w:p>
      <w:pPr>
        <w:pStyle w:val="Normal"/>
        <w:widowControl/>
        <w:numPr>
          <w:ilvl w:val="0"/>
          <w:numId w:val="3"/>
        </w:numPr>
        <w:spacing w:before="60" w:after="20"/>
      </w:pPr>
      <w:r>
        <w:t xml:space="preserve">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“BRAF wild type, microsatellite stable”</w:t>
            </w:r>
          </w:p>
          <w:p>
            <w:pPr>
              <w:pStyle w:val="Normal"/>
              <w:widowControl/>
              <w:spacing w:before="60" w:after="20"/>
            </w:pPr>
            <w:r>
              <w:t xml:space="preserve">December 2025 oncology guidance p9, initial CRLM exception criteria</w:t>
            </w:r>
          </w:p>
          <w:p>
            <w:pPr>
              <w:pStyle w:val="Normal"/>
              <w:widowControl/>
              <w:spacing w:before="60" w:after="20"/>
            </w:pPr>
            <w:hyperlink r:id="rId58">
              <w:r>
                <w:rPr>
                  <w:color w:val="77230C"/>
                  <w:sz w:val="20"/>
                  <w:u w:val="single"/>
                </w:rPr>
                <w:t>Source</w:t>
              </w:r>
            </w:hyperlink>
            <w:r>
              <w:t xml:space="preserve"> | </w:t>
            </w:r>
            <w:hyperlink r:id="rId5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Molecular guidance is more specific than simply “favorable biology”; KRAS is not stated as a blanket exclusion.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“Median disease-free and overall survival was 4 and 18 months respectively.”</w:t>
            </w:r>
          </w:p>
          <w:p>
            <w:pPr>
              <w:pStyle w:val="Normal"/>
              <w:widowControl/>
              <w:spacing w:before="60" w:after="20"/>
            </w:pPr>
            <w:r>
              <w:t xml:space="preserve">Published PDF p1 / journal p467, abstract Results</w:t>
            </w:r>
          </w:p>
          <w:p>
            <w:pPr>
              <w:pStyle w:val="Normal"/>
              <w:widowControl/>
              <w:spacing w:before="60" w:after="20"/>
            </w:pPr>
            <w:hyperlink r:id="rId60">
              <w:r>
                <w:rPr>
                  <w:color w:val="77230C"/>
                  <w:sz w:val="20"/>
                  <w:u w:val="single"/>
                </w:rPr>
                <w:t>Source</w:t>
              </w:r>
            </w:hyperlink>
            <w:r>
              <w:t xml:space="preserve"> | </w:t>
            </w:r>
            <w:hyperlink r:id="rId6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Poor outcomes after multiple simultaneous relaxations caution against broad expansion; the study does not isolate any one criterion’s causal effect.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open molecular/extrahepatic expansions initially; permit KRAS-mutant disease when all other selected criteria are met.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YtMTVdPC9EaXNwbGF5VGV4dD48cmVjb3JkPjxyZWMtbnVtYmVyPjE1PC9yZWMtbnVtYmVyPjxmb3JlaWduLWtleXM+PGtleSBhcHA9IkVOIiBkYi1pZD0iNGE3ZWQxMTMtMzUwNi01ZTAyLWE4YWEtM2FjNTc3MTUwMTY0IiB0aW1lc3RhbXA9IjE3OTMyODM2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Ni0xNl08L0Rpc3BsYXlUZXh0PjxyZWNvcmQ+PHJlYy1udW1iZXI+MTY8L3JlYy1udW1iZXI+PGZvcmVpZ24ta2V5cz48a2V5IGFwcD0iRU4iIGRiLWlkPSI0YTdlZDExMy0zNTA2LTVlMDItYThhYS0zYWM1NzcxNTAxNjQiIHRpbWVzdGFtcD0iMTc5MzI4MzY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Initial proposed exclusions: BRAF-mutant disease, MSI-H/dMMR disease, R1 primary margins, prior post-primary extrahepatic metastases, pretreatment liver lesion &gt;10 cm, or progression despite treatment.</w:t>
      </w:r>
    </w:p>
    <w:p>
      <w:pPr>
        <w:pStyle w:val="Normal"/>
        <w:widowControl/>
        <w:numPr>
          <w:ilvl w:val="1"/>
          <w:numId w:val="3"/>
        </w:numPr>
        <w:spacing w:before="60" w:after="20"/>
      </w:pPr>
      <w:r>
        <w:t xml:space="preserve">Preserve these as separate research questions; do not combine several relaxations.</w:t>
      </w:r>
    </w:p>
    <w:p>
      <w:pPr>
        <w:pStyle w:val="Normal"/>
        <w:widowControl/>
        <w:numPr>
          <w:ilvl w:val="0"/>
          <w:numId w:val="3"/>
        </w:numPr>
      </w:pPr>
      <w:r>
        <w:t xml:space="preserve">Proposed CEA gate: strictly &lt;80 ng/mL, including initial activation.</w:t>
      </w:r>
    </w:p>
    <w:p>
      <w:pPr>
        <w:pStyle w:val="Normal"/>
        <w:widowControl/>
        <w:numPr>
          <w:ilvl w:val="1"/>
          <w:numId w:val="3"/>
        </w:numPr>
        <w:spacing w:before="60" w:after="20"/>
      </w:pPr>
      <w:r>
        <w:t xml:space="preserve">Repeat a borderline/unexpected result and review the trajectory; a falling value still ≥80 does not clear this local rule.</w:t>
      </w:r>
    </w:p>
    <w:p>
      <w:pPr>
        <w:pStyle w:val="Normal"/>
        <w:widowControl/>
        <w:numPr>
          <w:ilvl w:val="0"/>
          <w:numId w:val="3"/>
        </w:numPr>
      </w:pPr>
      <w:r>
        <w:t xml:space="preserve">Require ≥6 months of documented control and the applicable ≥12-month CRLM-diagnosis interval.</w:t>
      </w:r>
    </w:p>
    <w:p>
      <w:pPr>
        <w:pStyle w:val="Normal"/>
        <w:widowControl/>
        <w:numPr>
          <w:ilvl w:val="1"/>
          <w:numId w:val="3"/>
        </w:numPr>
        <w:spacing w:before="60" w:after="20"/>
      </w:pPr>
      <w:r>
        <w:t xml:space="preserve">Report ordinary RECIST separately from the NLRB &gt;10% wording; new lesions or concerning growth are HOLD pending central measurement review.</w:t>
      </w:r>
    </w:p>
    <w:p>
      <w:pPr>
        <w:pStyle w:val="Normal"/>
        <w:widowControl/>
        <w:numPr>
          <w:ilvl w:val="0"/>
          <w:numId w:val="3"/>
        </w:numPr>
      </w:pPr>
      <w:r>
        <w:t xml:space="preserve">Confirmed progression resets the proposed six-month control clock after subsequent effective treatment; one improved scan is insufficient.</w:t>
      </w:r>
    </w:p>
    <w:p>
      <w:pPr>
        <w:pStyle w:val="Normal"/>
        <w:widowControl/>
        <w:numPr>
          <w:ilvl w:val="1"/>
          <w:numId w:val="3"/>
        </w:numPr>
        <w:spacing w:before="60" w:after="20"/>
      </w:pPr>
      <w:r>
        <w:t xml:space="preserve">Use the actual application imaging/CEA windows.</w:t>
      </w:r>
    </w:p>
    <w:p>
      <w:pPr>
        <w:pStyle w:val="Normal"/>
        <w:widowControl/>
        <w:numPr>
          <w:ilvl w:val="1"/>
          <w:numId w:val="3"/>
        </w:numPr>
        <w:spacing w:before="60" w:after="20"/>
      </w:pPr>
      <w:r>
        <w:t xml:space="preserve">Do not delay indicated primary surgery to manufacture eligibility.</w:t>
      </w:r>
    </w:p>
    <w:p>
      <w:pPr>
        <w:pStyle w:val="Normal"/>
        <w:widowControl/>
        <w:numPr>
          <w:ilvl w:val="0"/>
          <w:numId w:val="3"/>
        </w:numPr>
      </w:pPr>
      <w:r>
        <w:t xml:space="preserve">Treat PET MTV/TLG and ctDNA as adjunctive or research measurements, not independent listing/delisting or permanent exclusion rules.</w:t>
      </w:r>
    </w:p>
    <w:p>
      <w:pPr>
        <w:pStyle w:val="Normal"/>
        <w:widowControl/>
        <w:numPr>
          <w:ilvl w:val="1"/>
          <w:numId w:val="3"/>
        </w:numPr>
        <w:spacing w:before="60" w:after="20"/>
      </w:pPr>
      <w:r>
        <w:t xml:space="preserve">Record assay/PET timing relative to treatment, repeat or adjudicate discordant results and use conventional staging/clinical review.</w:t>
      </w:r>
    </w:p>
    <w:p>
      <w:pPr>
        <w:pStyle w:val="Normal"/>
        <w:widowControl/>
        <w:numPr>
          <w:ilvl w:val="1"/>
          <w:numId w:val="3"/>
        </w:numPr>
        <w:spacing w:before="60" w:after="20"/>
      </w:pPr>
      <w:r>
        <w:t xml:space="preserve">Do not interrupt beneficial chemotherapy solely to reproduce a published PET interval.</w:t>
      </w:r>
    </w:p>
    <w:p>
      <w:pPr>
        <w:pStyle w:val="Normal"/>
        <w:widowControl/>
        <w:spacing w:before="60" w:after="20"/>
      </w:pPr>
      <w:r>
        <w:rPr>
          <w:b/>
        </w:rPr>
        <w:t xml:space="preserve">Why retain or change it: </w:t>
      </w:r>
      <w:r>
        <w:t xml:space="preserve">Keep initial clinical/research activation restricted: no BRAF mutation, MSI-H/dMMR, R1 primary, prior post-primary extrahepatic metastasis, active progression, or pretreatment largest lesion &gt;10 cm under this pathway. KRAS alone is not an absolute stop; document full molecular profile, sidedness and adverse co-mutations as risk. Use CEA strictly &lt;80 for initial and renewal local workflow, with unexpected values repeated and trajectory reviewed; do not call the strict inequality a universal evidence-based biological boundary. Require ≥12 months since CRLM diagnosis and ≥6 months of control to align exception review; reassess a new progression event explicitly, rather than silently reusing an old response interval. Do not open several deviations together. Decision remains blank.</w:t>
      </w:r>
    </w:p>
    <w:p>
      <w:pPr>
        <w:pStyle w:val="Heading3"/>
        <w:keepNext/>
        <w:widowControl/>
      </w:pPr>
      <w:r>
        <w:t xml:space="preserve">Information required before the decision</w:t>
      </w:r>
    </w:p>
    <w:p>
      <w:pPr>
        <w:pStyle w:val="Normal"/>
        <w:widowControl/>
        <w:spacing w:before="60" w:after="20"/>
      </w:pPr>
      <w:r>
        <w:t xml:space="preserve">Primary R0 pathology; BRAF, RAS and MMR/MSI; original maximum lesion diameter; complete EHD history; dated CEA; dated response and primary/CRLM diagnosis; current staging.</w:t>
      </w:r>
    </w:p>
    <w:p>
      <w:pPr>
        <w:pStyle w:val="Normal"/>
        <w:widowControl/>
        <w:spacing w:before="60" w:after="20"/>
      </w:pPr>
      <w:r>
        <w:rPr>
          <w:b/>
        </w:rPr>
        <w:t xml:space="preserve">Clinical versus allocation: </w:t>
      </w:r>
      <w:r>
        <w:t xml:space="preserve">National guidance, study criteria and local choices remain separate. Confirm current NLRB wording at application and do not substitute RECIST for an expressly different guidance threshold.</w:t>
      </w:r>
    </w:p>
    <w:p>
      <w:pPr>
        <w:pStyle w:val="Normal"/>
        <w:widowControl/>
        <w:spacing w:before="60" w:after="20"/>
      </w:pPr>
      <w:r>
        <w:rPr>
          <w:b/>
        </w:rPr>
        <w:t xml:space="preserve">Roadmap / protocol reconciliation: </w:t>
      </w:r>
      <w:r>
        <w:t xml:space="preserve">Use the CRLM roadmap’s biomarker-matched treatments and primary-tumor management. MSI-H response to immunotherapy does not by itself validate LT.</w:t>
      </w:r>
    </w:p>
    <w:p>
      <w:pPr>
        <w:pStyle w:val="Normal"/>
        <w:widowControl/>
        <w:spacing w:before="60" w:after="20"/>
      </w:pPr>
      <w:hyperlink r:id="rId62">
        <w:r>
          <w:rPr>
            <w:color w:val="77230C"/>
            <w:sz w:val="20"/>
            <w:u w:val="single"/>
          </w:rPr>
          <w:t>Meeting record: CRLM-B3</w:t>
        </w:r>
      </w:hyperlink>
      <w:r>
        <w:t xml:space="preserve">  |  </w:t>
      </w:r>
      <w:hyperlink r:id="rId6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4 Pretransplant treatment and response assessment</w:t>
      </w:r>
    </w:p>
    <w:p>
      <w:pPr>
        <w:pStyle w:val="Normal"/>
        <w:widowControl/>
        <w:numPr>
          <w:ilvl w:val="0"/>
          <w:numId w:val="3"/>
        </w:numPr>
      </w:pPr>
      <w:r>
        <w:t xml:space="preserve">Medical oncology selects systemic therapy using molecular profile, primary sidedness, prior response, organ function and the colorectal roadmap. Record delivered regimen/lines and cumulative toxicity. There is no transplant-validated minimum of 12–18 cycles and no mandate for multimodality treatment solely to reach LT.</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Consider HAI, resection, ablation or other liver-directed options when they offer disease control or complete clearance. Before arterial intervention, document hepatic arterial anatomy and a possible future reconstruction strategy. Avoid a plan in which intentionally excessive treatment creates the liver failure used to justify LT.</w:t>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OPEN proposed local monitoring: CT/MRI approximately every eight weeks during active therapy, CEA at oncology reviews, reassessment of functional/liver reserve and repeat two-surgeon HPB review after meaningful response and within 30 days before LT activation. PET quantification and ctDNA are not independent eligibility tests.</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Ni0xNl08L0Rpc3BsYXlUZXh0PjxyZWNvcmQ+PHJlYy1udW1iZXI+MTY8L3JlYy1udW1iZXI+PGZvcmVpZ24ta2V5cz48a2V5IGFwcD0iRU4iIGRiLWlkPSI0YTdlZDExMy0zNTA2LTVlMDItYThhYS0zYWM1NzcxNTAxNjQiIHRpbWVzdGFtcD0iMTc5MzI4MzY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Advance to final selection only if disease remains controlled, no extrahepatic/local recurrence is found, persistent unresectability is independently confirmed, medical fitness remains acceptable, and the chosen clinical or approved study stratum plus allocation route is documented.</w:t>
      </w:r>
    </w:p>
    <w:p>
      <w:pPr>
        <w:pStyle w:val="Normal"/>
        <w:widowControl/>
        <w:numPr>
          <w:ilvl w:val="0"/>
          <w:numId w:val="3"/>
        </w:numPr>
      </w:pPr>
      <w:r>
        <w:t xml:space="preserve">Hold for indeterminate lesions, NED without a clear LT rationale, discordant biomarkers, unresolved primary margins, unreviewed treatment toxicity or an unapproved expansion. Progression, confirmed extrahepatic/local recurrence or prohibitive medical risk stops the guidance-aligned route.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If a molecular subgroup is receiving ICI, retain the separate graft-risk assessment and drug chronology. Activity of immunotherapy in MSI-H CRC does not establish an LT indication or safe post-LT exposure.</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xOTwvUmVjTnVtPjxEaXNwbGF5VGV4dD5bVjE2LTE5XTwvRGlzcGxheVRleHQ+PHJlY29yZD48cmVjLW51bWJlcj4xOTwvcmVjLW51bWJlcj48Zm9yZWlnbi1rZXlzPjxrZXkgYXBwPSJFTiIgZGItaWQ9IjRhN2VkMTEzLTM1MDYtNWUwMi1hOGFhLTNhYzU3NzE1MDE2NCIgdGltZXN0YW1wPSIxNzkzMjgzNjg2Ij4xOT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Heading3"/>
        <w:widowControl/>
        <w:keepNext/>
      </w:pPr>
      <w:r>
        <w:t xml:space="preserve">Systemic treatment evidence and transplant boundaries</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4"/>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t xml:space="preserve"> </w:t>
      </w:r>
      <w:r>
        <w:fldChar w:fldCharType="begin"/>
      </w:r>
      <w:r>
        <w:instrText xml:space="preserve"> ADDIN EN.CITE </w:instrText>
      </w:r>
      <w:r>
        <w:fldChar w:fldCharType="begin">
          <w:fldData>PEVuZE5vdGU+PENpdGU+PEF1dGhvcj5TdHJpY2tsZXIgSkg8L0F1dGhvcj48WWVhcj4yMDI2PC9ZZWFyPjxSZWNOdW0+MjA8L1JlY051bT48RGlzcGxheVRleHQ+W1YxNi0yMF08L0Rpc3BsYXlUZXh0PjxyZWNvcmQ+PHJlYy1udW1iZXI+MjA8L3JlYy1udW1iZXI+PGZvcmVpZ24ta2V5cz48a2V5IGFwcD0iRU4iIGRiLWlkPSI0YTdlZDExMy0zNTA2LTVlMDItYThhYS0zYWM1NzcxNTAxNjQiIHRpbWVzdGFtcD0iMTc5MzI4MzY4NiI+MjA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r>
        <w:br/>
      </w:r>
      <w:hyperlink r:id="rId153">
        <w:r>
          <w:rPr>
            <w:color w:val="0563C1"/>
            <w:u w:val="single"/>
          </w:rPr>
          <w:t>Source</w:t>
        </w:r>
      </w:hyperlink>
      <w:r>
        <w:t xml:space="preserve"> · </w:t>
      </w:r>
      <w:hyperlink r:id="rId154">
        <w:r>
          <w:rPr>
            <w:color w:val="0563C1"/>
            <w:u w:val="single"/>
          </w:rPr>
          <w:t>PDF</w:t>
        </w:r>
      </w:hyperlink>
    </w:p>
    <w:p>
      <w:pPr>
        <w:pStyle w:val="Heading4"/>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t xml:space="preserve"> </w:t>
      </w:r>
      <w:r>
        <w:fldChar w:fldCharType="begin"/>
      </w:r>
      <w:r>
        <w:instrText xml:space="preserve"> ADDIN EN.CITE </w:instrText>
      </w:r>
      <w:r>
        <w:fldChar w:fldCharType="begin">
          <w:fldData>PEVuZE5vdGU+PENpdGU+PEF1dGhvcj5QcmFnZXIgR1c8L0F1dGhvcj48WWVhcj4yMDIzPC9ZZWFyPjxSZWNOdW0+MjE8L1JlY051bT48RGlzcGxheVRleHQ+W1YxNi0yMV08L0Rpc3BsYXlUZXh0PjxyZWNvcmQ+PHJlYy1udW1iZXI+MjE8L3JlYy1udW1iZXI+PGZvcmVpZ24ta2V5cz48a2V5IGFwcD0iRU4iIGRiLWlkPSI0YTdlZDExMy0zNTA2LTVlMDItYThhYS0zYWM1NzcxNTAxNjQiIHRpbWVzdGFtcD0iMTc5MzI4MzY4NiI+MjE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r>
        <w:br/>
      </w:r>
      <w:hyperlink r:id="rId155">
        <w:r>
          <w:rPr>
            <w:color w:val="0563C1"/>
            <w:u w:val="single"/>
          </w:rPr>
          <w:t>Source</w:t>
        </w:r>
      </w:hyperlink>
      <w:r>
        <w:t xml:space="preserve"> · </w:t>
      </w:r>
      <w:hyperlink r:id="rId156">
        <w:r>
          <w:rPr>
            <w:color w:val="0563C1"/>
            <w:u w:val="single"/>
          </w:rPr>
          <w:t>PDF</w:t>
        </w:r>
      </w:hyperlink>
    </w:p>
    <w:p>
      <w:pPr>
        <w:pStyle w:val="Heading4"/>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t xml:space="preserve"> </w:t>
      </w:r>
      <w:r>
        <w:fldChar w:fldCharType="begin"/>
      </w:r>
      <w:r>
        <w:instrText xml:space="preserve"> ADDIN EN.CITE </w:instrText>
      </w:r>
      <w:r>
        <w:fldChar w:fldCharType="begin">
          <w:fldData>PEVuZE5vdGU+PENpdGU+PEF1dGhvcj5EYXNhcmkgQTwvQXV0aG9yPjxZZWFyPjIwMjM8L1llYXI+PFJlY051bT4yMjwvUmVjTnVtPjxEaXNwbGF5VGV4dD5bVjE2LTIyXTwvRGlzcGxheVRleHQ+PHJlY29yZD48cmVjLW51bWJlcj4yMjwvcmVjLW51bWJlcj48Zm9yZWlnbi1rZXlzPjxrZXkgYXBwPSJFTiIgZGItaWQ9IjRhN2VkMTEzLTM1MDYtNWUwMi1hOGFhLTNhYzU3NzE1MDE2NCIgdGltZXN0YW1wPSIxNzkzMjgzNjg2Ij4yMj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br/>
      </w:r>
      <w:hyperlink r:id="rId157">
        <w:r>
          <w:rPr>
            <w:color w:val="0563C1"/>
            <w:u w:val="single"/>
          </w:rPr>
          <w:t>Source</w:t>
        </w:r>
      </w:hyperlink>
      <w:r>
        <w:t xml:space="preserve"> · </w:t>
      </w:r>
      <w:hyperlink r:id="rId158">
        <w:r>
          <w:rPr>
            <w:color w:val="0563C1"/>
            <w:u w:val="single"/>
          </w:rPr>
          <w:t>PDF</w:t>
        </w:r>
      </w:hyperlink>
    </w:p>
    <w:p>
      <w:pPr>
        <w:pStyle w:val="Normal"/>
        <w:widowControl/>
        <w:spacing w:after="120"/>
      </w:pPr>
      <w:r>
        <w:t xml:space="preserve">Treatment comparisons and detailed regimen evidence: </w:t>
      </w:r>
      <w:hyperlink r:id="rId152">
        <w:r>
          <w:rPr>
            <w:color w:val="0563C1"/>
            <w:u w:val="single"/>
          </w:rPr>
          <w:t>Cross-tumor systemic matrix</w:t>
        </w:r>
      </w:hyperlink>
    </w:p>
    <w:p>
      <w:pPr>
        <w:pStyle w:val="Heading2"/>
        <w:keepNext/>
        <w:widowControl/>
      </w:pPr>
      <w:r>
        <w:t xml:space="preserve">5 Listing and surgical procedure</w:t>
      </w:r>
    </w:p>
    <w:p>
      <w:pPr>
        <w:pStyle w:val="Normal"/>
        <w:widowControl/>
        <w:numPr>
          <w:ilvl w:val="0"/>
          <w:numId w:val="3"/>
        </w:numPr>
      </w:pPr>
      <w:r>
        <w:t xml:space="preserve">NLRB CRLM guidance recommends consideration of MMaT minus 20 with a floor of 15. It is not a standardized exception, guaranteed score or the same priority intervention as TransMet. Keep the approved exception, calculated MELD and expected wait separately documented.</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Ni01XTwvRGlzcGxheVRleHQ+PHJlY29yZD48cmVjLW51bWJlcj41PC9yZWMtbnVtYmVyPjxmb3JlaWduLWtleXM+PGtleSBhcHA9IkVOIiBkYi1pZD0iNGE3ZWQxMTMtMzUwNi01ZTAyLWE4YWEtM2FjNTc3MTUwMTY0IiB0aW1lc3RhbXA9IjE3OTMyODM2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Ni01XTwvRGlzcGxheVRleHQ+PHJlY29yZD48cmVjLW51bWJlcj41PC9yZWMtbnVtYmVyPjxmb3JlaWduLWtleXM+PGtleSBhcHA9IkVOIiBkYi1pZD0iNGE3ZWQxMTMtMzUwNi01ZTAyLWE4YWEtM2FjNTc3MTUwMTY0IiB0aW1lc3RhbXA9IjE3OTMyODM2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Q8L1JlY051bT48RGlzcGxheVRleHQ+W1YxNi0yNF08L0Rpc3BsYXlUZXh0PjxyZWNvcmQ+PHJlYy1udW1iZXI+MjQ8L3JlYy1udW1iZXI+PGZvcmVpZ24ta2V5cz48a2V5IGFwcD0iRU4iIGRiLWlkPSI0YTdlZDExMy0zNTA2LTVlMDItYThhYS0zYWM1NzcxNTAxNjQiIHRpbWVzdGFtcD0iMTc5MzI4MzY4NiI+Mj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U8L1JlY051bT48RGlzcGxheVRleHQ+W1YxNi0yNV08L0Rpc3BsYXlUZXh0PjxyZWNvcmQ+PHJlYy1udW1iZXI+MjU8L3JlYy1udW1iZXI+PGZvcmVpZ24ta2V5cz48a2V5IGFwcD0iRU4iIGRiLWlkPSI0YTdlZDExMy0zNTA2LTVlMDItYThhYS0zYWM1NzcxNTAxNjQiIHRpbWVzdGFtcD0iMTc5MzI4MzY4NiI+Mj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Q8L1JlY051bT48RGlzcGxheVRleHQ+W1YxNi0yNF08L0Rpc3BsYXlUZXh0PjxyZWNvcmQ+PHJlYy1udW1iZXI+MjQ8L3JlYy1udW1iZXI+PGZvcmVpZ24ta2V5cz48a2V5IGFwcD0iRU4iIGRiLWlkPSI0YTdlZDExMy0zNTA2LTVlMDItYThhYS0zYWM1NzcxNTAxNjQiIHRpbWVzdGFtcD0iMTc5MzI4MzY4NiI+Mj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U8L1JlY051bT48RGlzcGxheVRleHQ+W1YxNi0yNV08L0Rpc3BsYXlUZXh0PjxyZWNvcmQ+PHJlYy1udW1iZXI+MjU8L3JlYy1udW1iZXI+PGZvcmVpZ24ta2V5cz48a2V5IGFwcD0iRU4iIGRiLWlkPSI0YTdlZDExMy0zNTA2LTVlMDItYThhYS0zYWM1NzcxNTAxNjQiIHRpbWVzdGFtcD0iMTc5MzI4MzY4NiI+Mj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64">
        <w:r>
          <w:rPr>
            <w:color w:val="77230C"/>
            <w:sz w:val="20"/>
            <w:u w:val="single"/>
          </w:rPr>
          <w:t>Meeting record: ALLOC-B1</w:t>
        </w:r>
      </w:hyperlink>
      <w:r>
        <w:t xml:space="preserve">  |  </w:t>
      </w:r>
      <w:hyperlink r:id="rId6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U8L1JlY051bT48RGlzcGxheVRleHQ+W1YxNi0yNV08L0Rpc3BsYXlUZXh0PjxyZWNvcmQ+PHJlYy1udW1iZXI+MjU8L3JlYy1udW1iZXI+PGZvcmVpZ24ta2V5cz48a2V5IGFwcD0iRU4iIGRiLWlkPSI0YTdlZDExMy0zNTA2LTVlMDItYThhYS0zYWM1NzcxNTAxNjQiIHRpbWVzdGFtcD0iMTc5MzI4MzY4NiI+Mj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jY8L1JlY051bT48RGlzcGxheVRleHQ+W1YxNi0yNl08L0Rpc3BsYXlUZXh0PjxyZWNvcmQ+PHJlYy1udW1iZXI+MjY8L3JlYy1udW1iZXI+PGZvcmVpZ24ta2V5cz48a2V5IGFwcD0iRU4iIGRiLWlkPSI0YTdlZDExMy0zNTA2LTVlMDItYThhYS0zYWM1NzcxNTAxNjQiIHRpbWVzdGFtcD0iMTc5MzI4MzY4NiI+MjY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I3PC9SZWNOdW0+PERpc3BsYXlUZXh0PltWMTYtMjddPC9EaXNwbGF5VGV4dD48cmVjb3JkPjxyZWMtbnVtYmVyPjI3PC9yZWMtbnVtYmVyPjxmb3JlaWduLWtleXM+PGtleSBhcHA9IkVOIiBkYi1pZD0iNGE3ZWQxMTMtMzUwNi01ZTAyLWE4YWEtM2FjNTc3MTUwMTY0IiB0aW1lc3RhbXA9IjE3OTMyODM2ODYiPjI3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yODwvUmVjTnVtPjxEaXNwbGF5VGV4dD5bVjE2LTI4XTwvRGlzcGxheVRleHQ+PHJlY29yZD48cmVjLW51bWJlcj4yODwvcmVjLW51bWJlcj48Zm9yZWlnbi1rZXlzPjxrZXkgYXBwPSJFTiIgZGItaWQ9IjRhN2VkMTEzLTM1MDYtNWUwMi1hOGFhLTNhYzU3NzE1MDE2NCIgdGltZXN0YW1wPSIxNzkzMjgzNjg2Ij4yOD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U8L1JlY051bT48RGlzcGxheVRleHQ+W1YxNi0yNV08L0Rpc3BsYXlUZXh0PjxyZWNvcmQ+PHJlYy1udW1iZXI+MjU8L3JlYy1udW1iZXI+PGZvcmVpZ24ta2V5cz48a2V5IGFwcD0iRU4iIGRiLWlkPSI0YTdlZDExMy0zNTA2LTVlMDItYThhYS0zYWM1NzcxNTAxNjQiIHRpbWVzdGFtcD0iMTc5MzI4MzY4NiI+Mj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jY8L1JlY051bT48RGlzcGxheVRleHQ+W1YxNi0yNl08L0Rpc3BsYXlUZXh0PjxyZWNvcmQ+PHJlYy1udW1iZXI+MjY8L3JlYy1udW1iZXI+PGZvcmVpZ24ta2V5cz48a2V5IGFwcD0iRU4iIGRiLWlkPSI0YTdlZDExMy0zNTA2LTVlMDItYThhYS0zYWM1NzcxNTAxNjQiIHRpbWVzdGFtcD0iMTc5MzI4MzY4NiI+MjY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I3PC9SZWNOdW0+PERpc3BsYXlUZXh0PltWMTYtMjddPC9EaXNwbGF5VGV4dD48cmVjb3JkPjxyZWMtbnVtYmVyPjI3PC9yZWMtbnVtYmVyPjxmb3JlaWduLWtleXM+PGtleSBhcHA9IkVOIiBkYi1pZD0iNGE3ZWQxMTMtMzUwNi01ZTAyLWE4YWEtM2FjNTc3MTUwMTY0IiB0aW1lc3RhbXA9IjE3OTMyODM2ODYiPjI3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yODwvUmVjTnVtPjxEaXNwbGF5VGV4dD5bVjE2LTI4XTwvRGlzcGxheVRleHQ+PHJlY29yZD48cmVjLW51bWJlcj4yODwvcmVjLW51bWJlcj48Zm9yZWlnbi1rZXlzPjxrZXkgYXBwPSJFTiIgZGItaWQ9IjRhN2VkMTEzLTM1MDYtNWUwMi1hOGFhLTNhYzU3NzE1MDE2NCIgdGltZXN0YW1wPSIxNzkzMjgzNjg2Ij4yOD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66">
        <w:r>
          <w:rPr>
            <w:color w:val="77230C"/>
            <w:sz w:val="20"/>
            <w:u w:val="single"/>
          </w:rPr>
          <w:t>Meeting record: ALLOC-B2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k8L1JlY051bT48RGlzcGxheVRleHQ+W1YxNi0yOV08L0Rpc3BsYXlUZXh0PjxyZWNvcmQ+PHJlYy1udW1iZXI+Mjk8L3JlYy1udW1iZXI+PGZvcmVpZ24ta2V5cz48a2V5IGFwcD0iRU4iIGRiLWlkPSI0YTdlZDExMy0zNTA2LTVlMDItYThhYS0zYWM1NzcxNTAxNjQiIHRpbWVzdGFtcD0iMTc5MzI4MzY4NiI+Mjk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A8L1JlY051bT48RGlzcGxheVRleHQ+W1YxNi0zMF08L0Rpc3BsYXlUZXh0PjxyZWNvcmQ+PHJlYy1udW1iZXI+MzA8L3JlYy1udW1iZXI+PGZvcmVpZ24ta2V5cz48a2V5IGFwcD0iRU4iIGRiLWlkPSI0YTdlZDExMy0zNTA2LTVlMDItYThhYS0zYWM1NzcxNTAxNjQiIHRpbWVzdGFtcD0iMTc5MzI4MzY4NiI+MzA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xPC9SZWNOdW0+PERpc3BsYXlUZXh0PltWMTYtMzFdPC9EaXNwbGF5VGV4dD48cmVjb3JkPjxyZWMtbnVtYmVyPjMxPC9yZWMtbnVtYmVyPjxmb3JlaWduLWtleXM+PGtleSBhcHA9IkVOIiBkYi1pZD0iNGE3ZWQxMTMtMzUwNi01ZTAyLWE4YWEtM2FjNTc3MTUwMTY0IiB0aW1lc3RhbXA9IjE3OTMyODM2ODYiPjMx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YTdlZDExMy0zNTA2LTVlMDItYThhYS0zYWM1NzcxNTAxNj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k8L1JlY051bT48RGlzcGxheVRleHQ+W1YxNi0yOV08L0Rpc3BsYXlUZXh0PjxyZWNvcmQ+PHJlYy1udW1iZXI+Mjk8L3JlYy1udW1iZXI+PGZvcmVpZ24ta2V5cz48a2V5IGFwcD0iRU4iIGRiLWlkPSI0YTdlZDExMy0zNTA2LTVlMDItYThhYS0zYWM1NzcxNTAxNjQiIHRpbWVzdGFtcD0iMTc5MzI4MzY4NiI+Mjk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A8L1JlY051bT48RGlzcGxheVRleHQ+W1YxNi0zMF08L0Rpc3BsYXlUZXh0PjxyZWNvcmQ+PHJlYy1udW1iZXI+MzA8L3JlYy1udW1iZXI+PGZvcmVpZ24ta2V5cz48a2V5IGFwcD0iRU4iIGRiLWlkPSI0YTdlZDExMy0zNTA2LTVlMDItYThhYS0zYWM1NzcxNTAxNjQiIHRpbWVzdGFtcD0iMTc5MzI4MzY4NiI+MzA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xPC9SZWNOdW0+PERpc3BsYXlUZXh0PltWMTYtMzFdPC9EaXNwbGF5VGV4dD48cmVjb3JkPjxyZWMtbnVtYmVyPjMxPC9yZWMtbnVtYmVyPjxmb3JlaWduLWtleXM+PGtleSBhcHA9IkVOIiBkYi1pZD0iNGE3ZWQxMTMtMzUwNi01ZTAyLWE4YWEtM2FjNTc3MTUwMTY0IiB0aW1lc3RhbXA9IjE3OTMyODM2ODYiPjMx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68">
        <w:r>
          <w:rPr>
            <w:color w:val="77230C"/>
            <w:sz w:val="20"/>
            <w:u w:val="single"/>
          </w:rPr>
          <w:t>Meeting record: ALLOC-B3</w:t>
        </w:r>
      </w:hyperlink>
      <w:r>
        <w:t xml:space="preserve">  |  </w:t>
      </w:r>
      <w:hyperlink r:id="rId6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numPr>
          <w:ilvl w:val="0"/>
          <w:numId w:val="3"/>
        </w:numPr>
      </w:pPr>
      <w:r>
        <w:t xml:space="preserve">Before LT, reconfirm staging and inspect for unexpected extrahepatic disease. Obtain pathology of suspicious findings; malignant extrahepatic disease stops this protocol operation. Complete native hepatectomy and map viable and nonviable sites on explant.</w:t>
      </w:r>
    </w:p>
    <w:p>
      <w:pPr>
        <w:pStyle w:val="Normal"/>
        <w:widowControl/>
        <w:numPr>
          <w:ilvl w:val="0"/>
          <w:numId w:val="3"/>
        </w:numPr>
      </w:pPr>
      <w:r>
        <w:t xml:space="preserve">Living-donor RAPID or another auxiliary/two-stage operation is not a default alternative when a whole graft is unavailable. It requires a separate surgical study, graft-growth/functional criteria, small-for-size and interval-progression safeguards, and independent donor assessment. The old 2–3-week completion schedule is not an automatic operative order.</w:t>
      </w:r>
    </w:p>
    <w:p>
      <w:pPr>
        <w:pStyle w:val="Heading2"/>
        <w:keepNext/>
        <w:widowControl/>
      </w:pPr>
      <w:r>
        <w:t xml:space="preserve">6 Immunosuppression and adjuvant therapy</w:t>
      </w:r>
    </w:p>
    <w:p>
      <w:pPr>
        <w:pStyle w:val="Normal"/>
        <w:widowControl/>
        <w:numPr>
          <w:ilvl w:val="0"/>
          <w:numId w:val="3"/>
        </w:numPr>
      </w:pPr>
      <w:r>
        <w:t xml:space="preserve">Use an approved transplant regimen with individual renal, infection, rejection and oncologic assessment. mTOR conversion and tacrolimus minimization may be considered after appropriate healing and vascular assessment, but no high-risk CRLM recurrence-prevention regimen or universal trough target is established.</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Ni01XTwvRGlzcGxheVRleHQ+PHJlY29yZD48cmVjLW51bWJlcj41PC9yZWMtbnVtYmVyPjxmb3JlaWduLWtleXM+PGtleSBhcHA9IkVOIiBkYi1pZD0iNGE3ZWQxMTMtMzUwNi01ZTAyLWE4YWEtM2FjNTc3MTUwMTY0IiB0aW1lc3RhbXA9IjE3OTMyODM2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No routine post-LT adjuvant chemotherapy standard is adopted here. Any such plan must specify regimen, recovery requirements, duration and graft/marrow/interaction monitoring in an approved study or individualized MDT decision. Four-week ctDNA status must not alone start, stop or extend chemotherapy.</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Heading2"/>
        <w:keepNext/>
        <w:widowControl/>
      </w:pPr>
      <w:r>
        <w:t xml:space="preserve">7 Post transplant surveillance</w:t>
      </w:r>
    </w:p>
    <w:p>
      <w:pPr>
        <w:pStyle w:val="Normal"/>
        <w:widowControl/>
        <w:numPr>
          <w:ilvl w:val="0"/>
          <w:numId w:val="3"/>
        </w:numPr>
      </w:pPr>
      <w:r>
        <w:t xml:space="preserve">Proposed local schedule for approval: chest/abdomen/pelvis imaging and CEA every three months for years one to three, then every six months through year five, with subsequent follow-up individualized. Choose liver MRI where appropriate; assess kidney function and cumulative imaging burden.</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Use PET for an unresolved clinical or imaging question, not automatically every six months. Obtain colonoscopic surveillance through the colorectal team based on prior examination and resection history.</w:t>
      </w:r>
    </w:p>
    <w:p>
      <w:pPr>
        <w:pStyle w:val="Normal"/>
        <w:widowControl/>
        <w:numPr>
          <w:ilvl w:val="0"/>
          <w:numId w:val="3"/>
        </w:numPr>
      </w:pPr>
      <w:r>
        <w:t xml:space="preserve">ctDNA remains a research/risk adjunct. Confirm a new positive result and perform directed restaging/MDT review; do not initiate empiric therapy with negative imaging solely because ctDNA is detected.</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Heading2"/>
        <w:keepNext/>
        <w:widowControl/>
      </w:pPr>
      <w:r>
        <w:t xml:space="preserve">8 Recurrence management</w:t>
      </w:r>
    </w:p>
    <w:p>
      <w:pPr>
        <w:pStyle w:val="Normal"/>
        <w:widowControl/>
        <w:numPr>
          <w:ilvl w:val="0"/>
          <w:numId w:val="3"/>
        </w:numPr>
      </w:pPr>
      <w:r>
        <w:t xml:space="preserve">Restage and discuss each recurrence in the colorectal/transplant MDT. Selected limited pulmonary or other recurrences may be treated with resection, ablation or radiation; systemic treatment depends on disease burden, biology, prior exposure, graft function and patient priorities.</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Record recurrence-treatment morbidity, further recurrence, time without treatment and survival after recurrence. Local salvage does not imply cure or justify accepting uncontrolled disease before LT.</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Heading3"/>
        <w:keepNext/>
        <w:widowControl/>
      </w:pPr>
      <w:bookmarkStart w:id="7" w:name="CRLM_B4"/>
      <w:r>
        <w:t xml:space="preserve">CRLM-B4 — How much recurrence/graft use is acceptable for the observed survival benefit?</w:t>
      </w:r>
      <w:bookmarkEnd w:id="7"/>
    </w:p>
    <w:p>
      <w:pPr>
        <w:pStyle w:val="Heading3"/>
        <w:keepNext/>
        <w:widowControl/>
      </w:pPr>
      <w:r>
        <w:t xml:space="preserve">Question and comparison</w:t>
      </w:r>
    </w:p>
    <w:p>
      <w:pPr>
        <w:pStyle w:val="Normal"/>
        <w:widowControl/>
        <w:spacing w:before="60" w:after="20"/>
      </w:pPr>
      <w:r>
        <w:t xml:space="preserve">How should expected survival, recurrence treatment, graft use and non-LT alternatives determine whether a high-risk CRLM transplant strategy is worthwhile?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pStyle w:val="Heading3"/>
        <w:keepNext/>
        <w:widowControl/>
      </w:pPr>
      <w:r>
        <w:t xml:space="preserve">Synthesis and evidence that challenges the proposal</w:t>
      </w:r>
    </w:p>
    <w:p>
      <w:pPr>
        <w:pStyle w:val="Normal"/>
        <w:widowControl/>
        <w:spacing w:before="60" w:after="20"/>
      </w:pPr>
      <w:r>
        <w:t xml:space="preserve">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 Add treatment-related deaths before grafting and long-term nononcologic graft risks: Wehrle had one treatment-associated pre-LT death among 16 entrants, and expanded SECA-II included fatal early hepatic-artery thrombosis. Durable postrecurrence survival is not a validated cure fraction; late cancer deaths continued beyond five years.</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spacing w:before="60" w:after="20"/>
      </w:pPr>
      <w:r>
        <w:t xml:space="preserve">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pStyle w:val="Normal"/>
        <w:widowControl/>
        <w:spacing w:before="60" w:after="20"/>
      </w:pPr>
      <w:r>
        <w:rPr>
          <w:b/>
        </w:rPr>
        <w:t xml:space="preserve">Certainty / applicability: </w:t>
      </w:r>
      <w:r>
        <w:t xml:space="preserve">Moderate-to-high for a survival advantage in selected TransMet patients; low for an individual numerical benefit model, long-wait extrapolation, high-risk graft strategies or predetermined retransplant policy. Long-term SECA-II is informative but small and uncontrolled.</w:t>
      </w:r>
    </w:p>
    <w:p>
      <w:pPr>
        <w:pStyle w:val="Heading3"/>
        <w:keepNext/>
        <w:widowControl/>
      </w:pPr>
      <w:r>
        <w:t xml:space="preserve">Where each proposed threshold comes from</w:t>
      </w:r>
    </w:p>
    <w:p>
      <w:pPr>
        <w:pStyle w:val="Normal"/>
        <w:widowControl/>
        <w:numPr>
          <w:ilvl w:val="0"/>
          <w:numId w:val="3"/>
        </w:numPr>
        <w:spacing w:before="60" w:after="20"/>
      </w:pPr>
      <w:r>
        <w:t xml:space="preserve">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“three (8%) of 36 patients who received a transplant were retransplanted”</w:t>
            </w:r>
          </w:p>
          <w:p>
            <w:pPr>
              <w:pStyle w:val="Normal"/>
              <w:widowControl/>
              <w:spacing w:before="60" w:after="20"/>
            </w:pPr>
            <w:r>
              <w:t xml:space="preserve">Published PDF p9 / journal p1115, Results</w:t>
            </w:r>
          </w:p>
          <w:p>
            <w:pPr>
              <w:pStyle w:val="Normal"/>
              <w:widowControl/>
              <w:spacing w:before="60" w:after="20"/>
            </w:pPr>
            <w:hyperlink r:id="rId84">
              <w:r>
                <w:rPr>
                  <w:color w:val="77230C"/>
                  <w:sz w:val="20"/>
                  <w:u w:val="single"/>
                </w:rPr>
                <w:t>Source</w:t>
              </w:r>
            </w:hyperlink>
            <w:r>
              <w:t xml:space="preserve"> | </w:t>
            </w:r>
            <w:hyperlink r:id="rId8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Additional graft use is real. The 36 per-protocol recipients differ from the 40-recipient safety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Accept that recurrence may coexist with meaningful survival benefit, but plan one graft and account for recurrence treatment and all additional graft use.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Ni04XTwvRGlzcGxheVRleHQ+PHJlY29yZD48cmVjLW51bWJlcj44PC9yZWMtbnVtYmVyPjxmb3JlaWduLWtleXM+PGtleSBhcHA9IkVOIiBkYi1pZD0iNGE3ZWQxMTMtMzUwNi01ZTAyLWE4YWEtM2FjNTc3MTUwMTY0IiB0aW1lc3RhbXA9IjE3OTMyODM2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Ni02XTwvRGlzcGxheVRleHQ+PHJlY29yZD48cmVjLW51bWJlcj42PC9yZWMtbnVtYmVyPjxmb3JlaWduLWtleXM+PGtleSBhcHA9IkVOIiBkYi1pZD0iNGE3ZWQxMTMtMzUwNi01ZTAyLWE4YWEtM2FjNTc3MTUwMTY0IiB0aW1lc3RhbXA9IjE3OTMyODM2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Ni0xM108L0Rpc3BsYXlUZXh0PjxyZWNvcmQ+PHJlYy1udW1iZXI+MTM8L3JlYy1udW1iZXI+PGZvcmVpZ24ta2V5cz48a2V5IGFwcD0iRU4iIGRiLWlkPSI0YTdlZDExMy0zNTA2LTVlMDItYThhYS0zYWM1NzcxNTAxNjQiIHRpbWVzdGFtcD0iMTc5MzI4MzY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YTdlZDExMy0zNTA2LTVlMDItYThhYS0zYWM1NzcxNTAxNj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YtMThdPC9EaXNwbGF5VGV4dD48cmVjb3JkPjxyZWMtbnVtYmVyPjE4PC9yZWMtbnVtYmVyPjxmb3JlaWduLWtleXM+PGtleSBhcHA9IkVOIiBkYi1pZD0iNGE3ZWQxMTMtMzUwNi01ZTAyLWE4YWEtM2FjNTc3MTUwMTY0IiB0aW1lc3RhbXA9IjE3OTMyODM2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Proposed activation gate: a patient-specific benefit comparison against accessible non-LT care, feasible recurrence-treatment options, and a realistic local wait/treatment plan.</w:t>
      </w:r>
    </w:p>
    <w:p>
      <w:pPr>
        <w:pStyle w:val="Normal"/>
        <w:widowControl/>
        <w:numPr>
          <w:ilvl w:val="1"/>
          <w:numId w:val="3"/>
        </w:numPr>
        <w:spacing w:before="60" w:after="20"/>
      </w:pPr>
      <w:r>
        <w:t xml:space="preserve">Reassess about every eight weeks while waiting; no unsupported maximum-wait exclusion is imposed.</w:t>
      </w:r>
    </w:p>
    <w:p>
      <w:pPr>
        <w:pStyle w:val="Normal"/>
        <w:widowControl/>
        <w:numPr>
          <w:ilvl w:val="0"/>
          <w:numId w:val="3"/>
        </w:numPr>
      </w:pPr>
      <w:r>
        <w:t xml:space="preserve">Plan one graft per recipient; no planned retransplantation for oncologic recurrence.</w:t>
      </w:r>
    </w:p>
    <w:p>
      <w:pPr>
        <w:pStyle w:val="Normal"/>
        <w:widowControl/>
        <w:numPr>
          <w:ilvl w:val="1"/>
          <w:numId w:val="3"/>
        </w:numPr>
        <w:spacing w:before="60" w:after="20"/>
      </w:pPr>
      <w:r>
        <w:t xml:space="preserve">Rescue of early nononcologic graft failure remains a separate standard transplant/allocation decision and is never promised or withheld by this rule.</w:t>
      </w:r>
    </w:p>
    <w:p>
      <w:pPr>
        <w:pStyle w:val="Normal"/>
        <w:widowControl/>
        <w:numPr>
          <w:ilvl w:val="0"/>
          <w:numId w:val="3"/>
        </w:numPr>
      </w:pPr>
      <w:r>
        <w:t xml:space="preserve">No low recurrence-rate/RFS cutoff is substituted for survival or quality-of-life benefit.</w:t>
      </w:r>
    </w:p>
    <w:p>
      <w:pPr>
        <w:pStyle w:val="Normal"/>
        <w:widowControl/>
        <w:numPr>
          <w:ilvl w:val="1"/>
          <w:numId w:val="3"/>
        </w:numPr>
        <w:spacing w:before="60" w:after="20"/>
      </w:pPr>
      <w:r>
        <w:t xml:space="preserve">Record all-screened outcomes, recurrence treatment burden, time off therapy, graft loss/retransplantation and functional recovery.</w:t>
      </w:r>
    </w:p>
    <w:p>
      <w:pPr>
        <w:pStyle w:val="Normal"/>
        <w:widowControl/>
        <w:numPr>
          <w:ilvl w:val="1"/>
          <w:numId w:val="3"/>
        </w:numPr>
        <w:spacing w:before="60" w:after="20"/>
      </w:pPr>
      <w:r>
        <w:t xml:space="preserve">Apply the one-event early safety pause in ALLOC-B4 to newly activated experimental cohorts.</w:t>
      </w:r>
    </w:p>
    <w:p>
      <w:pPr>
        <w:pStyle w:val="Normal"/>
        <w:widowControl/>
        <w:numPr>
          <w:ilvl w:val="0"/>
          <w:numId w:val="3"/>
        </w:numPr>
      </w:pPr>
      <w:r>
        <w:t xml:space="preserve">Report treatment-related hepatic failure, wait-list death, early graft failure and retransplantation alongside recurrence/salvage and overall survival.</w:t>
      </w:r>
    </w:p>
    <w:p>
      <w:pPr>
        <w:pStyle w:val="Normal"/>
        <w:widowControl/>
        <w:numPr>
          <w:ilvl w:val="1"/>
          <w:numId w:val="3"/>
        </w:numPr>
        <w:spacing w:before="60" w:after="20"/>
      </w:pPr>
      <w:r>
        <w:t xml:space="preserve">Do not describe long NED follow-up as a validated cure proportion.</w:t>
      </w:r>
    </w:p>
    <w:p>
      <w:pPr>
        <w:pStyle w:val="Normal"/>
        <w:widowControl/>
        <w:spacing w:before="60" w:after="20"/>
      </w:pPr>
      <w:r>
        <w:rPr>
          <w:b/>
        </w:rPr>
        <w:t xml:space="preserve">Why retain or change it: </w:t>
      </w:r>
      <w:r>
        <w:t xml:space="preserve">Keep OPEN a one-planned-graft strategy, with no planned oncologic retransplantation. Emergency graft rescue must be an independent transplant/allocation decision rather than automatic denial or promise. Before activation document the feasible non-LT sequence, expected wait and bridging plan, anticipated recurrence salvage options, recipient/graft risk, and donor-specific burden where applicable. Track all screened/enrolled patients from common eligibility, not only recipients; report ITT-like survival, recurrence sites/treatment, grafts per patient, donor outcomes and QoL. A safety event triggers review under the separate allocation governance plan; it is not a literature-derived stopping boundary. Decision remains blank.</w:t>
      </w:r>
    </w:p>
    <w:p>
      <w:pPr>
        <w:pStyle w:val="Heading3"/>
        <w:keepNext/>
        <w:widowControl/>
      </w:pPr>
      <w:r>
        <w:t xml:space="preserve">Information required before the decision</w:t>
      </w:r>
    </w:p>
    <w:p>
      <w:pPr>
        <w:pStyle w:val="Normal"/>
        <w:widowControl/>
        <w:spacing w:before="60" w:after="20"/>
      </w:pPr>
      <w:r>
        <w:t xml:space="preserve">Contemporary comparator; current fitness/control; recurrence options; local access estimate; patient priorities; graft-use and follow-up plan.</w:t>
      </w:r>
    </w:p>
    <w:p>
      <w:pPr>
        <w:pStyle w:val="Normal"/>
        <w:widowControl/>
        <w:spacing w:before="60" w:after="20"/>
      </w:pPr>
      <w:r>
        <w:rPr>
          <w:b/>
        </w:rPr>
        <w:t xml:space="preserve">Clinical versus allocation: </w:t>
      </w:r>
      <w:r>
        <w:t xml:space="preserve">Do not promise trial survival where waiting/access differ materially. Count all grafts and downstream allocation consequences, including LDLT recipients who later need DDLT.</w:t>
      </w:r>
    </w:p>
    <w:p>
      <w:pPr>
        <w:pStyle w:val="Normal"/>
        <w:widowControl/>
        <w:spacing w:before="60" w:after="20"/>
      </w:pPr>
      <w:r>
        <w:rPr>
          <w:b/>
        </w:rPr>
        <w:t xml:space="preserve">Roadmap / protocol reconciliation: </w:t>
      </w:r>
      <w:r>
        <w:t xml:space="preserve">Use the CRLM roadmap for recurrence and non-LT alternatives; compare real local options rather than historical chemotherapy alone.</w:t>
      </w:r>
    </w:p>
    <w:p>
      <w:pPr>
        <w:pStyle w:val="Normal"/>
        <w:widowControl/>
        <w:spacing w:before="60" w:after="20"/>
      </w:pPr>
      <w:hyperlink r:id="rId86">
        <w:r>
          <w:rPr>
            <w:color w:val="77230C"/>
            <w:sz w:val="20"/>
            <w:u w:val="single"/>
          </w:rPr>
          <w:t>Meeting record: CRLM-B4</w:t>
        </w:r>
      </w:hyperlink>
      <w:r>
        <w:t xml:space="preserve">  |  </w:t>
      </w:r>
      <w:hyperlink r:id="rId8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9 Data collection and outcomes</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8" w:name="ALLOC_B4"/>
      <w:r>
        <w:t xml:space="preserve">ALLOC-B4 — What data are required before expansion?</w:t>
      </w:r>
      <w:bookmarkEnd w:id="8"/>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jY8L1JlY051bT48RGlzcGxheVRleHQ+W1YxNi0yNl08L0Rpc3BsYXlUZXh0PjxyZWNvcmQ+PHJlYy1udW1iZXI+MjY8L3JlYy1udW1iZXI+PGZvcmVpZ24ta2V5cz48a2V5IGFwcD0iRU4iIGRiLWlkPSI0YTdlZDExMy0zNTA2LTVlMDItYThhYS0zYWM1NzcxNTAxNjQiIHRpbWVzdGFtcD0iMTc5MzI4MzY4NiI+MjY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zMjwvUmVjTnVtPjxEaXNwbGF5VGV4dD5bVjE2LTMyXTwvRGlzcGxheVRleHQ+PHJlY29yZD48cmVjLW51bWJlcj4zMjwvcmVjLW51bWJlcj48Zm9yZWlnbi1rZXlzPjxrZXkgYXBwPSJFTiIgZGItaWQ9IjRhN2VkMTEzLTM1MDYtNWUwMi1hOGFhLTNhYzU3NzE1MDE2NCIgdGltZXN0YW1wPSIxNzkzMjgzNjg2Ij4zM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Q8L1JlY051bT48RGlzcGxheVRleHQ+W1YxNi0yNF08L0Rpc3BsYXlUZXh0PjxyZWNvcmQ+PHJlYy1udW1iZXI+MjQ8L3JlYy1udW1iZXI+PGZvcmVpZ24ta2V5cz48a2V5IGFwcD0iRU4iIGRiLWlkPSI0YTdlZDExMy0zNTA2LTVlMDItYThhYS0zYWM1NzcxNTAxNjQiIHRpbWVzdGFtcD0iMTc5MzI4MzY4NiI+Mj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MzPC9SZWNOdW0+PERpc3BsYXlUZXh0PltWMTYtMzNdPC9EaXNwbGF5VGV4dD48cmVjb3JkPjxyZWMtbnVtYmVyPjMzPC9yZWMtbnVtYmVyPjxmb3JlaWduLWtleXM+PGtleSBhcHA9IkVOIiBkYi1pZD0iNGE3ZWQxMTMtMzUwNi01ZTAyLWE4YWEtM2FjNTc3MTUwMTY0IiB0aW1lc3RhbXA9IjE3OTMyODM2ODYiPjMz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zNDwvUmVjTnVtPjxEaXNwbGF5VGV4dD5bVjE2LTM0XTwvRGlzcGxheVRleHQ+PHJlY29yZD48cmVjLW51bWJlcj4zNDwvcmVjLW51bWJlcj48Zm9yZWlnbi1rZXlzPjxrZXkgYXBwPSJFTiIgZGItaWQ9IjRhN2VkMTEzLTM1MDYtNWUwMi1hOGFhLTNhYzU3NzE1MDE2NCIgdGltZXN0YW1wPSIxNzkzMjgzNjg2Ij4zN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[V16-34]</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jY8L1JlY051bT48RGlzcGxheVRleHQ+W1YxNi0yNl08L0Rpc3BsYXlUZXh0PjxyZWNvcmQ+PHJlYy1udW1iZXI+MjY8L3JlYy1udW1iZXI+PGZvcmVpZ24ta2V5cz48a2V5IGFwcD0iRU4iIGRiLWlkPSI0YTdlZDExMy0zNTA2LTVlMDItYThhYS0zYWM1NzcxNTAxNjQiIHRpbWVzdGFtcD0iMTc5MzI4MzY4NiI+MjY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zMjwvUmVjTnVtPjxEaXNwbGF5VGV4dD5bVjE2LTMyXTwvRGlzcGxheVRleHQ+PHJlY29yZD48cmVjLW51bWJlcj4zMjwvcmVjLW51bWJlcj48Zm9yZWlnbi1rZXlzPjxrZXkgYXBwPSJFTiIgZGItaWQ9IjRhN2VkMTEzLTM1MDYtNWUwMi1hOGFhLTNhYzU3NzE1MDE2NCIgdGltZXN0YW1wPSIxNzkzMjgzNjg2Ij4zM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Q8L1JlY051bT48RGlzcGxheVRleHQ+W1YxNi0yNF08L0Rpc3BsYXlUZXh0PjxyZWNvcmQ+PHJlYy1udW1iZXI+MjQ8L3JlYy1udW1iZXI+PGZvcmVpZ24ta2V5cz48a2V5IGFwcD0iRU4iIGRiLWlkPSI0YTdlZDExMy0zNTA2LTVlMDItYThhYS0zYWM1NzcxNTAxNjQiIHRpbWVzdGFtcD0iMTc5MzI4MzY4NiI+Mj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MzwvUmVjTnVtPjxEaXNwbGF5VGV4dD5bVjE2LTIzXTwvRGlzcGxheVRleHQ+PHJlY29yZD48cmVjLW51bWJlcj4yMzwvcmVjLW51bWJlcj48Zm9yZWlnbi1rZXlzPjxrZXkgYXBwPSJFTiIgZGItaWQ9IjRhN2VkMTEzLTM1MDYtNWUwMi1hOGFhLTNhYzU3NzE1MDE2NCIgdGltZXN0YW1wPSIxNzkzMjgzNjg2Ij4y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MzPC9SZWNOdW0+PERpc3BsYXlUZXh0PltWMTYtMzNdPC9EaXNwbGF5VGV4dD48cmVjb3JkPjxyZWMtbnVtYmVyPjMzPC9yZWMtbnVtYmVyPjxmb3JlaWduLWtleXM+PGtleSBhcHA9IkVOIiBkYi1pZD0iNGE3ZWQxMTMtMzUwNi01ZTAyLWE4YWEtM2FjNTc3MTUwMTY0IiB0aW1lc3RhbXA9IjE3OTMyODM2ODYiPjMz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zNDwvUmVjTnVtPjxEaXNwbGF5VGV4dD5bVjE2LTM0XTwvRGlzcGxheVRleHQ+PHJlY29yZD48cmVjLW51bWJlcj4zNDwvcmVjLW51bWJlcj48Zm9yZWlnbi1rZXlzPjxrZXkgYXBwPSJFTiIgZGItaWQ9IjRhN2VkMTEzLTM1MDYtNWUwMi1hOGFhLTNhYzU3NzE1MDE2NCIgdGltZXN0YW1wPSIxNzkzMjgzNjg2Ij4zN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[V16-34]</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88">
        <w:r>
          <w:rPr>
            <w:color w:val="77230C"/>
            <w:sz w:val="20"/>
            <w:u w:val="single"/>
          </w:rPr>
          <w:t>Meeting record: ALLOC-B4</w:t>
        </w:r>
      </w:hyperlink>
      <w:r>
        <w:t xml:space="preserve">  |  </w:t>
      </w:r>
      <w:hyperlink r:id="rId8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10 Correlative studies and unresolved decisions</w:t>
      </w:r>
    </w:p>
    <w:p>
      <w:pPr>
        <w:pStyle w:val="Normal"/>
        <w:widowControl/>
        <w:numPr>
          <w:ilvl w:val="0"/>
          <w:numId w:val="3"/>
        </w:numPr>
      </w:pPr>
      <w:r>
        <w:t xml:space="preserve">Keep ctDNA, PET metabolic volume, explant genomics and pharmacokinetics in prespecified research modules. Record assay/platform, timing and missingness; a cohort-derived cutoff is a hypothesis until externally validated.</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Ni0xN108L0Rpc3BsYXlUZXh0PjxyZWNvcmQ+PHJlYy1udW1iZXI+MTc8L3JlYy1udW1iZXI+PGZvcmVpZ24ta2V5cz48a2V5IGFwcD0iRU4iIGRiLWlkPSI0YTdlZDExMy0zNTA2LTVlMDItYThhYS0zYWM1NzcxNTAxNjQiIHRpbWVzdGFtcD0iMTc5MzI4MzY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Ni0xNl08L0Rpc3BsYXlUZXh0PjxyZWNvcmQ+PHJlYy1udW1iZXI+MTY8L3JlYy1udW1iZXI+PGZvcmVpZ24ta2V5cz48a2V5IGFwcD0iRU4iIGRiLWlkPSI0YTdlZDExMy0zNTA2LTVlMDItYThhYS0zYWM1NzcxNTAxNjQiIHRpbWVzdGFtcD0iMTc5MzI4MzY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Normal"/>
        <w:widowControl/>
      </w:pPr>
      <w:r>
        <w:t xml:space="preserve">Resolve CRLM-B1–B4 and ALLOC-B1–B4. The prior A-versus-B comparison table was removed because it contradicted the main text and treated unvalidated rules as accepted practice. Decisions require exact final wording, responsible owners, date and approval status.</w:t>
      </w:r>
    </w:p>
    <w:p>
      <w:pPr>
        <w:pStyle w:val="Normal"/>
        <w:widowControl/>
      </w:pPr>
      <w:r>
        <w:t xml:space="preserve">Evidence review record: </w:t>
      </w:r>
      <w:hyperlink r:id="rId90">
        <w:r>
          <w:rPr>
            <w:color w:val="77230C"/>
            <w:sz w:val="20"/>
            <w:u w:val="single"/>
          </w:rPr>
          <w:t>Five analyst comments and reconciliation</w:t>
        </w:r>
      </w:hyperlink>
      <w:r>
        <w:t xml:space="preserve">  |  </w:t>
      </w:r>
      <w:hyperlink r:id="rId91">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High-risk and expanded-cohort clarification. Previously treated extrahepatic disease is not admitted by any cohort in this protocol unless a stratum below says otherwise; every such stratum is proposed, not active.</w:t>
      </w:r>
    </w:p>
    <w:p>
      <w:pPr>
        <w:pStyle w:val="Heading2"/>
        <w:widowControl/>
        <w:keepNext/>
      </w:pPr>
      <w:bookmarkStart w:id="16010" w:name="CRLM_B5"/>
      <w:r>
        <w:t xml:space="preserve">CRLM-B5 — Previously treated extrahepatic disease</w:t>
      </w:r>
      <w:bookmarkEnd w:id="16010"/>
    </w:p>
    <w:p>
      <w:pPr>
        <w:pStyle w:val="Normal"/>
        <w:widowControl/>
        <w:spacing w:after="120"/>
      </w:pPr>
      <w:r>
        <w:t xml:space="preserve">Status: Closed; lung-only study stratum proposed. OPEN proposal for multidisciplinary review; not activated.</w:t>
      </w:r>
    </w:p>
    <w:p>
      <w:pPr>
        <w:pStyle w:val="Normal"/>
        <w:widowControl/>
        <w:spacing w:after="120"/>
      </w:pPr>
      <w:r>
        <w:t xml:space="preserve">Question: Should a lung-only study stratum be opened for completely treated pulmonary metastases, and if so with which interval and biology limits? All other previously treated extrahepatic sites stay closed.</w:t>
      </w:r>
    </w:p>
    <w:p>
      <w:pPr>
        <w:pStyle w:val="Normal"/>
        <w:widowControl/>
        <w:spacing w:after="120"/>
      </w:pPr>
      <w:r>
        <w:t xml:space="preserve">Proposed position (OPEN): Keep previously treated extrahepatic disease closed in the CRLM transplant pathway. IHPBA Statement 9 finds no evidence to support transplantation for patients who initially present with or later develop extrahepatic metastases, and TransMet excluded previous or concomitant extrahepatic disease. Propose one narrow study stratum (not active) for limited, completely treated lung-only metastases; every other site stays closed.</w:t>
      </w:r>
    </w:p>
    <w:p>
      <w:pPr>
        <w:pStyle w:val="Heading3"/>
        <w:widowControl/>
        <w:keepNext/>
      </w:pPr>
      <w:r>
        <w:t xml:space="preserve">Proposed rules</w:t>
      </w:r>
    </w:p>
    <w:p>
      <w:pPr>
        <w:pStyle w:val="Normal"/>
        <w:widowControl/>
        <w:spacing w:after="120"/>
        <w:numPr>
          <w:ilvl w:val="0"/>
          <w:numId w:val="5"/>
        </w:numPr>
      </w:pPr>
      <w:r>
        <w:t xml:space="preserve">Default: extrahepatic metastasis after primary resection (including nodes outside the primary field), metastasis removed with the primary, and local relapse are outside the pathway, even after resection, ablation, radiotherapy or complete response. Response to systemic therapy alone never counts as clearance.</w:t>
      </w:r>
    </w:p>
    <w:p>
      <w:pPr>
        <w:pStyle w:val="Normal"/>
        <w:widowControl/>
        <w:spacing w:after="120"/>
        <w:numPr>
          <w:ilvl w:val="0"/>
          <w:numId w:val="5"/>
        </w:numPr>
      </w:pPr>
      <w:r>
        <w:t xml:space="preserve">Proposed lung-only study stratum (needs its own protocol, IRB and a living-donor or individually reviewed allocation route): at most three lung metastases, each completely treated with curative intent, no thoracic nodal involvement, and no recurrence for ≥12 months after the last lung treatment (SECA-III excludes resection of lung or hilar-node metastases within the last year and of other non-hepatic metastases within 2 years; the Japanese protocol uses &gt;6 months recurrence-free). The meeting must choose the interval.</w:t>
      </w:r>
    </w:p>
    <w:p>
      <w:pPr>
        <w:pStyle w:val="Normal"/>
        <w:widowControl/>
        <w:spacing w:after="120"/>
        <w:numPr>
          <w:ilvl w:val="0"/>
          <w:numId w:val="5"/>
        </w:numPr>
      </w:pPr>
      <w:r>
        <w:t xml:space="preserve">The stratum adds no other relaxation: every CRLM-B3 limit applies, and favorable biology is required (low Oslo or Fong score; low liver metabolic tumor volume). Chest CT and PET-CT within one month.</w:t>
      </w:r>
    </w:p>
    <w:p>
      <w:pPr>
        <w:pStyle w:val="Normal"/>
        <w:widowControl/>
        <w:spacing w:after="120"/>
        <w:numPr>
          <w:ilvl w:val="0"/>
          <w:numId w:val="5"/>
        </w:numPr>
      </w:pPr>
      <w:r>
        <w:t xml:space="preserve">Hilar nodes: frozen section of hilar nodes before implantation, and before donor hepatectomy in living donation. A positive node ends the transplant.</w:t>
      </w:r>
    </w:p>
    <w:p>
      <w:pPr>
        <w:pStyle w:val="Normal"/>
        <w:widowControl/>
        <w:spacing w:after="120"/>
        <w:numPr>
          <w:ilvl w:val="0"/>
          <w:numId w:val="5"/>
        </w:numPr>
      </w:pPr>
      <w:r>
        <w:t xml:space="preserve">Closed with no stratum: nodal disease outside the primary field; peritoneal, ovarian, adrenal, bone, brain or other non-lung sites; local relapse; more than three lung lesions; thoracic nodes; recurrence after lung treatment.</w:t>
      </w:r>
    </w:p>
    <w:p>
      <w:pPr>
        <w:pStyle w:val="Normal"/>
        <w:widowControl/>
        <w:spacing w:after="120"/>
      </w:pPr>
      <w:r>
        <w:t xml:space="preserve">Why: Lung-limited disease is the most indolent extrahepatic pattern, and post-transplant lung recurrence is often resectable, but outcome data for transplantation after treated extrahepatic disease are limited to two SECA-II recipients (a lung metastasis resected 8 years earlier, recurrence-free; an ovarian metastasis removed 14 months earlier, lung relapse at 5 months). In the Oslo series, hilar node metastasis on frozen section at laparotomy was the commonest extrahepatic reason for not transplanting (7 of 10).</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TransMet 2024</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Randomized trial, 94 patients. Excluded “previous or concomitant extrahepatic metastases or local recurrence” (Methods); every transplant preceded by exploration with frozen section of suspicious nodes.</w:t>
            </w:r>
          </w:p>
        </w:tc>
        <w:tc>
          <w:tcPr>
            <w:tcW w:w="3743" w:type="dxa"/>
            <w:vAlign w:val="top"/>
            <w:shd w:fill="F1F5F8"/>
          </w:tcPr>
          <w:p>
            <w:pPr>
              <w:pStyle w:val="Normal"/>
              <w:widowControl/>
              <w:spacing w:after="55" w:line="240" w:lineRule="auto"/>
              <w:keepNext w:val="0"/>
              <w:keepLines/>
            </w:pPr>
            <w:r>
              <w:rPr>
                <w:sz w:val="21"/>
                <w:szCs w:val="21"/>
              </w:rPr>
              <w:t xml:space="preserve">Results: 5-year survival 56.6% vs 12.6% (HR 0.37); recurrence mainly in the lung, with curative-intent salvage in 12 of 26.</w:t>
            </w:r>
          </w:p>
          <w:p>
            <w:pPr>
              <w:pStyle w:val="Normal"/>
              <w:widowControl/>
              <w:spacing w:after="55" w:line="240" w:lineRule="auto"/>
              <w:keepNext w:val="0"/>
              <w:keepLines/>
            </w:pPr>
            <w:r>
              <w:rPr>
                <w:sz w:val="21"/>
                <w:szCs w:val="21"/>
              </w:rPr>
              <w:t xml:space="preserve">Limits: Benefit cannot be transferred to previously treated extrahepatic disease.</w:t>
            </w:r>
          </w:p>
          <w:p>
            <w:pPr>
              <w:pStyle w:val="Normal"/>
              <w:widowControl/>
              <w:spacing w:after="55" w:line="240" w:lineRule="auto"/>
              <w:keepNext w:val="0"/>
              <w:keepLines/>
            </w:pPr>
            <w:r>
              <w:rPr>
                <w:sz w:val="21"/>
                <w:szCs w:val="21"/>
              </w:rPr>
              <w:t xml:space="preserve">Lancet 2024; Methods (Participants),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GE3ZWQxMTMtMzUwNi01ZTAyLWE4YWEtM2FjNTc3MTUwMTY0IiB0aW1lc3RhbXA9IjE3OTMyODM2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225">
              <w:r>
                <w:rPr>
                  <w:color w:val="0563C1"/>
                  <w:u w:val="single"/>
                </w:rPr>
                <w:t>Source</w:t>
              </w:r>
            </w:hyperlink>
            <w:r>
              <w:t xml:space="preserve"> · </w:t>
            </w:r>
            <w:hyperlink r:id="rId226">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IHPBA 2021 consensus</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2021 international Delphi consensus. Statement 9: no evidence supports transplantation for patients who initially present with or subsequently develop extrahepatic metastases; node-positive patients excluded; no lung exception or nodule-size rule.</w:t>
            </w:r>
          </w:p>
        </w:tc>
        <w:tc>
          <w:tcPr>
            <w:tcW w:w="3743" w:type="dxa"/>
            <w:vAlign w:val="top"/>
            <w:shd w:fill="FFFFFF"/>
          </w:tcPr>
          <w:p>
            <w:pPr>
              <w:pStyle w:val="Normal"/>
              <w:widowControl/>
              <w:spacing w:after="55" w:line="240" w:lineRule="auto"/>
              <w:keepNext w:val="0"/>
              <w:keepLines/>
            </w:pPr>
            <w:r>
              <w:rPr>
                <w:sz w:val="21"/>
                <w:szCs w:val="21"/>
              </w:rPr>
              <w:t xml:space="preserve">Results: Statement 41: isolated pulmonary recurrence after transplantation should be considered for resection.</w:t>
            </w:r>
          </w:p>
          <w:p>
            <w:pPr>
              <w:pStyle w:val="Normal"/>
              <w:widowControl/>
              <w:spacing w:after="55" w:line="240" w:lineRule="auto"/>
              <w:keepNext w:val="0"/>
              <w:keepLines/>
            </w:pPr>
            <w:r>
              <w:rPr>
                <w:sz w:val="21"/>
                <w:szCs w:val="21"/>
              </w:rPr>
              <w:t xml:space="preserve">Limits: Expert consensus.</w:t>
            </w:r>
          </w:p>
          <w:p>
            <w:pPr>
              <w:pStyle w:val="Normal"/>
              <w:widowControl/>
              <w:spacing w:after="55" w:line="240" w:lineRule="auto"/>
              <w:keepNext w:val="0"/>
              <w:keepLines/>
            </w:pPr>
            <w:r>
              <w:rPr>
                <w:sz w:val="21"/>
                <w:szCs w:val="21"/>
              </w:rPr>
              <w:t xml:space="preserve">Lancet Gastroenterol Hepatol 2021; Statements 9–12, 41.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Cb25uZXk8L0F1dGhvcj48WWVhcj4yMDIxPC9ZZWFyPjxSZWNOdW0+NDwvUmVjTnVtPjxEaXNwbGF5VGV4dD5bVjE2LTRdPC9EaXNwbGF5VGV4dD48cmVjb3JkPjxyZWMtbnVtYmVyPjQ8L3JlYy1udW1iZXI+PGZvcmVpZ24ta2V5cz48a2V5IGFwcD0iRU4iIGRiLWlkPSI0YTdlZDExMy0zNTA2LTVlMDItYThhYS0zYWM1NzcxNTAxNjQiIHRpbWVzdGFtcD0iMTc5MzI4MzY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RnVsbCB0ZXh0IHJlYWQgZm9yIHRoZSBWMTYgZXh0cmFoZXBhdGljLWRpc2Vhc2UgcmV2aWV3IChjb21wbGV0ZSBtYWluIHRleHQ7IHJlbGV2YW50IGNvbXBsZXRlIHNlY3Rpb25zIGZvciBsb25nIGd1aWRlbGluZXMpLi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br/>
            </w:r>
            <w:hyperlink r:id="rId227">
              <w:r>
                <w:rPr>
                  <w:color w:val="0563C1"/>
                  <w:u w:val="single"/>
                </w:rPr>
                <w:t>Source</w:t>
              </w:r>
            </w:hyperlink>
            <w:r>
              <w:t xml:space="preserve"> · </w:t>
            </w:r>
            <w:hyperlink r:id="rId228">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SECA-II arm D (Smedman 2020)</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SECA-II arm D, 10 recipients. Protocol allowed resectable lung lesions &lt;15 mm and prior nodal or local relapse treated &gt;1 year earlier.</w:t>
            </w:r>
          </w:p>
        </w:tc>
        <w:tc>
          <w:tcPr>
            <w:tcW w:w="3743" w:type="dxa"/>
            <w:vAlign w:val="top"/>
            <w:shd w:fill="F1F5F8"/>
          </w:tcPr>
          <w:p>
            <w:pPr>
              <w:pStyle w:val="Normal"/>
              <w:widowControl/>
              <w:spacing w:after="55" w:line="240" w:lineRule="auto"/>
              <w:keepNext w:val="0"/>
              <w:keepLines/>
            </w:pPr>
            <w:r>
              <w:rPr>
                <w:sz w:val="21"/>
                <w:szCs w:val="21"/>
              </w:rPr>
              <w:t xml:space="preserve">Results: Only 1 recipient had a previously resected lung metastasis (8 years earlier) and was recurrence-free; a second had an ovarian metastasis removed with the primary 14 months earlier and relapsed in the lung at 5 months; the arm’s median survival of 18 months reflects other high-risk features.</w:t>
            </w:r>
          </w:p>
          <w:p>
            <w:pPr>
              <w:pStyle w:val="Normal"/>
              <w:widowControl/>
              <w:spacing w:after="55" w:line="240" w:lineRule="auto"/>
              <w:keepNext w:val="0"/>
              <w:keepLines/>
            </w:pPr>
            <w:r>
              <w:rPr>
                <w:sz w:val="21"/>
                <w:szCs w:val="21"/>
              </w:rPr>
              <w:t xml:space="preserve">Limits: Protocol precedent only, not outcome evidence about lung disease.</w:t>
            </w:r>
          </w:p>
          <w:p>
            <w:pPr>
              <w:pStyle w:val="Normal"/>
              <w:widowControl/>
              <w:spacing w:after="55" w:line="240" w:lineRule="auto"/>
              <w:keepNext w:val="0"/>
              <w:keepLines/>
            </w:pPr>
            <w:r>
              <w:rPr>
                <w:sz w:val="21"/>
                <w:szCs w:val="21"/>
              </w:rPr>
              <w:t xml:space="preserve">BJS Open 2020; Table 1–2,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bWVkbWFuPC9BdXRob3I+PFllYXI+MjAyMDwvWWVhcj48UmVjTnVtPjE0PC9SZWNOdW0+PERpc3BsYXlUZXh0PltWMTYtMTRdPC9EaXNwbGF5VGV4dD48cmVjb3JkPjxyZWMtbnVtYmVyPjE0PC9yZWMtbnVtYmVyPjxmb3JlaWduLWtleXM+PGtleSBhcHA9IkVOIiBkYi1pZD0iNGE3ZWQxMTMtMzUwNi01ZTAyLWE4YWEtM2FjNTc3MTUwMTY0IiB0aW1lc3RhbXA9IjE3OTMyODM2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br/>
            </w:r>
            <w:hyperlink r:id="rId229">
              <w:r>
                <w:rPr>
                  <w:color w:val="0563C1"/>
                  <w:u w:val="single"/>
                </w:rPr>
                <w:t>Source</w:t>
              </w:r>
            </w:hyperlink>
            <w:r>
              <w:t xml:space="preserve"> · </w:t>
            </w:r>
            <w:hyperlink r:id="rId230">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Dueland 2023 · Oslo long-term</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Oslo pooled cohort, 72 listed, 61 transplanted. PET-CT before transplant; prior extrahepatic disease not analysed.</w:t>
            </w:r>
          </w:p>
        </w:tc>
        <w:tc>
          <w:tcPr>
            <w:tcW w:w="3743" w:type="dxa"/>
            <w:vAlign w:val="top"/>
            <w:shd w:fill="FFFFFF"/>
          </w:tcPr>
          <w:p>
            <w:pPr>
              <w:pStyle w:val="Normal"/>
              <w:widowControl/>
              <w:spacing w:after="55" w:line="240" w:lineRule="auto"/>
              <w:keepNext w:val="0"/>
              <w:keepLines/>
            </w:pPr>
            <w:r>
              <w:rPr>
                <w:sz w:val="21"/>
                <w:szCs w:val="21"/>
              </w:rPr>
              <w:t xml:space="preserve">Results: 10 of 72 not transplanted for extrahepatic disease, 7 with hilar node metastasis on frozen section at laparotomy; intention-to-treat 5-year survival 42.6%.</w:t>
            </w:r>
          </w:p>
          <w:p>
            <w:pPr>
              <w:pStyle w:val="Normal"/>
              <w:widowControl/>
              <w:spacing w:after="55" w:line="240" w:lineRule="auto"/>
              <w:keepNext w:val="0"/>
              <w:keepLines/>
            </w:pPr>
            <w:r>
              <w:rPr>
                <w:sz w:val="21"/>
                <w:szCs w:val="21"/>
              </w:rPr>
              <w:t xml:space="preserve">Limits: No control group.</w:t>
            </w:r>
          </w:p>
          <w:p>
            <w:pPr>
              <w:pStyle w:val="Normal"/>
              <w:widowControl/>
              <w:spacing w:after="55" w:line="240" w:lineRule="auto"/>
              <w:keepNext w:val="0"/>
              <w:keepLines/>
            </w:pPr>
            <w:r>
              <w:rPr>
                <w:sz w:val="21"/>
                <w:szCs w:val="21"/>
              </w:rPr>
              <w:t xml:space="preserve">JAMA Surg 2023;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AxL2phbWFzdXJnLjIwMjMuMjkzMj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br/>
            </w:r>
            <w:hyperlink r:id="rId231">
              <w:r>
                <w:rPr>
                  <w:color w:val="0563C1"/>
                  <w:u w:val="single"/>
                </w:rPr>
                <w:t>Source</w:t>
              </w:r>
            </w:hyperlink>
            <w:r>
              <w:t xml:space="preserve"> · </w:t>
            </w:r>
            <w:hyperlink r:id="rId232">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Hernandez-Alejandro 2022 · North American LDLT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North American living-donor series, 10 transplanted. Liver-confined disease.</w:t>
            </w:r>
          </w:p>
        </w:tc>
        <w:tc>
          <w:tcPr>
            <w:tcW w:w="3743" w:type="dxa"/>
            <w:vAlign w:val="top"/>
            <w:shd w:fill="F1F5F8"/>
          </w:tcPr>
          <w:p>
            <w:pPr>
              <w:pStyle w:val="Normal"/>
              <w:widowControl/>
              <w:spacing w:after="55" w:line="240" w:lineRule="auto"/>
              <w:keepNext w:val="0"/>
              <w:keepLines/>
            </w:pPr>
            <w:r>
              <w:rPr>
                <w:sz w:val="21"/>
                <w:szCs w:val="21"/>
              </w:rPr>
              <w:t xml:space="preserve">Results: 1 of 10 had PET-negative portal nodal metastasis and recurred in the peritoneum at 121 days.</w:t>
            </w:r>
          </w:p>
          <w:p>
            <w:pPr>
              <w:pStyle w:val="Normal"/>
              <w:widowControl/>
              <w:spacing w:after="55" w:line="240" w:lineRule="auto"/>
              <w:keepNext w:val="0"/>
              <w:keepLines/>
            </w:pPr>
            <w:r>
              <w:rPr>
                <w:sz w:val="21"/>
                <w:szCs w:val="21"/>
              </w:rPr>
              <w:t xml:space="preserve">Limits: Ten patients; eTable unavailable.</w:t>
            </w:r>
          </w:p>
          <w:p>
            <w:pPr>
              <w:pStyle w:val="Normal"/>
              <w:widowControl/>
              <w:spacing w:after="55" w:line="240" w:lineRule="auto"/>
              <w:keepNext w:val="0"/>
              <w:keepLines/>
            </w:pPr>
            <w:r>
              <w:rPr>
                <w:sz w:val="21"/>
                <w:szCs w:val="21"/>
              </w:rPr>
              <w:t xml:space="preserve">JAMA Surg 2022; Table 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MDEvamFtYXN1cmcuMjAyMi4wMzAwPC91cmw+PC9yZWxhdGVkLXVybHM+PHBkZi11cmxzLz48L3VybHM+PC9yZWNvcmQ+PC9DaXRlPjwvRW5kTm90ZT4=</w:fldData>
              </w:fldChar>
            </w:r>
            <w:r>
              <w:instrText xml:space="preserve"> ADDIN EN.CITE.DATA </w:instrText>
            </w:r>
            <w:r>
              <w:fldChar w:fldCharType="end"/>
            </w:r>
            <w:r>
              <w:fldChar w:fldCharType="separate"/>
            </w:r>
            <w:r>
              <w:t xml:space="preserve">[V16-36]</w:t>
            </w:r>
            <w:r>
              <w:fldChar w:fldCharType="end"/>
            </w:r>
            <w:r>
              <w:br/>
            </w:r>
            <w:hyperlink r:id="rId233">
              <w:r>
                <w:rPr>
                  <w:color w:val="0563C1"/>
                  <w:u w:val="single"/>
                </w:rPr>
                <w:t>Source</w:t>
              </w:r>
            </w:hyperlink>
            <w:r>
              <w:t xml:space="preserve"> · </w:t>
            </w:r>
            <w:hyperlink r:id="rId234">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Hagness 2014 · SECA-I recurrence</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SECA-I, 21 recipients. Liver-only disease required.</w:t>
            </w:r>
          </w:p>
        </w:tc>
        <w:tc>
          <w:tcPr>
            <w:tcW w:w="3743" w:type="dxa"/>
            <w:vAlign w:val="top"/>
            <w:shd w:fill="FFFFFF"/>
          </w:tcPr>
          <w:p>
            <w:pPr>
              <w:pStyle w:val="Normal"/>
              <w:widowControl/>
              <w:spacing w:after="55" w:line="240" w:lineRule="auto"/>
              <w:keepNext w:val="0"/>
              <w:keepLines/>
            </w:pPr>
            <w:r>
              <w:rPr>
                <w:sz w:val="21"/>
                <w:szCs w:val="21"/>
              </w:rPr>
              <w:t xml:space="preserve">Results: On retrospective review, 7 had untreated lung metastases already present at transplant; no statistical test reported.</w:t>
            </w:r>
          </w:p>
          <w:p>
            <w:pPr>
              <w:pStyle w:val="Normal"/>
              <w:widowControl/>
              <w:spacing w:after="55" w:line="240" w:lineRule="auto"/>
              <w:keepNext w:val="0"/>
              <w:keepLines/>
            </w:pPr>
            <w:r>
              <w:rPr>
                <w:sz w:val="21"/>
                <w:szCs w:val="21"/>
              </w:rPr>
              <w:t xml:space="preserve">Limits: Not evidence that treated lung disease is safe.</w:t>
            </w:r>
          </w:p>
          <w:p>
            <w:pPr>
              <w:pStyle w:val="Normal"/>
              <w:widowControl/>
              <w:spacing w:after="55" w:line="240" w:lineRule="auto"/>
              <w:keepNext w:val="0"/>
              <w:keepLines/>
            </w:pPr>
            <w:r>
              <w:rPr>
                <w:sz w:val="21"/>
                <w:szCs w:val="21"/>
              </w:rPr>
              <w:t xml:space="preserve">Ann Surg Oncol 2014;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EzLTM0NDktOTwvdXJsPjwvcmVsYXRlZC11cmxzPjwvdXJscz48L3JlY29yZD48L0NpdGU+PC9FbmROb3RlPg==</w:fldData>
              </w:fldChar>
            </w:r>
            <w:r>
              <w:instrText xml:space="preserve"> ADDIN EN.CITE.DATA </w:instrText>
            </w:r>
            <w:r>
              <w:fldChar w:fldCharType="end"/>
            </w:r>
            <w:r>
              <w:fldChar w:fldCharType="separate"/>
            </w:r>
            <w:r>
              <w:t xml:space="preserve">[V16-37]</w:t>
            </w:r>
            <w:r>
              <w:fldChar w:fldCharType="end"/>
            </w:r>
            <w:r>
              <w:br/>
            </w:r>
            <w:hyperlink r:id="rId235">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Dueland 2022 · lung resection after 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Oslo, 14 recipients with resected lung relapse after transplant. Post-transplant setting.</w:t>
            </w:r>
          </w:p>
        </w:tc>
        <w:tc>
          <w:tcPr>
            <w:tcW w:w="3743" w:type="dxa"/>
            <w:vAlign w:val="top"/>
            <w:shd w:fill="F1F5F8"/>
          </w:tcPr>
          <w:p>
            <w:pPr>
              <w:pStyle w:val="Normal"/>
              <w:widowControl/>
              <w:spacing w:after="55" w:line="240" w:lineRule="auto"/>
              <w:keepNext w:val="0"/>
              <w:keepLines/>
            </w:pPr>
            <w:r>
              <w:rPr>
                <w:sz w:val="21"/>
                <w:szCs w:val="21"/>
              </w:rPr>
              <w:t xml:space="preserve">Results: 10-year survival 64.5% from first lung resection; 85.7% with liver metabolic tumor volume &lt;70 cm³ vs 25.0% above.</w:t>
            </w:r>
          </w:p>
          <w:p>
            <w:pPr>
              <w:pStyle w:val="Normal"/>
              <w:widowControl/>
              <w:spacing w:after="55" w:line="240" w:lineRule="auto"/>
              <w:keepNext w:val="0"/>
              <w:keepLines/>
            </w:pPr>
            <w:r>
              <w:rPr>
                <w:sz w:val="21"/>
                <w:szCs w:val="21"/>
              </w:rPr>
              <w:t xml:space="preserve">Limits: Selected patients; does not address pre-transplant disease.</w:t>
            </w:r>
          </w:p>
          <w:p>
            <w:pPr>
              <w:pStyle w:val="Normal"/>
              <w:widowControl/>
              <w:spacing w:after="55" w:line="240" w:lineRule="auto"/>
              <w:keepNext w:val="0"/>
              <w:keepLines/>
            </w:pPr>
            <w:r>
              <w:rPr>
                <w:sz w:val="21"/>
                <w:szCs w:val="21"/>
              </w:rPr>
              <w:t xml:space="preserve">Cancers 2022; Results 3.1.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wbWMubmNiaS5ubG0ubmloLmdvdi9hcnRpY2xlcy9QTUM5NTk5NjM4LzwvdXJsPjwvcmVsYXRlZC11cmxzPjwvdXJscz48L3JlY29yZD48L0NpdGU+PC9FbmROb3RlPg==</w:fldData>
              </w:fldChar>
            </w:r>
            <w:r>
              <w:instrText xml:space="preserve"> ADDIN EN.CITE.DATA </w:instrText>
            </w:r>
            <w:r>
              <w:fldChar w:fldCharType="end"/>
            </w:r>
            <w:r>
              <w:fldChar w:fldCharType="separate"/>
            </w:r>
            <w:r>
              <w:t xml:space="preserve">[V16-38]</w:t>
            </w:r>
            <w:r>
              <w:fldChar w:fldCharType="end"/>
            </w:r>
            <w:r>
              <w:br/>
            </w:r>
            <w:hyperlink r:id="rId236">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Fukumitsu 2024 · Japanese LDLT protocol</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Japanese living-donor protocol. Admits ≤3 lung metastases without recurrence for &gt;6 months after treatment; no size limit.</w:t>
            </w:r>
          </w:p>
        </w:tc>
        <w:tc>
          <w:tcPr>
            <w:tcW w:w="3743" w:type="dxa"/>
            <w:vAlign w:val="top"/>
            <w:shd w:fill="FFFFFF"/>
          </w:tcPr>
          <w:p>
            <w:pPr>
              <w:pStyle w:val="Normal"/>
              <w:widowControl/>
              <w:spacing w:after="55" w:line="240" w:lineRule="auto"/>
              <w:keepNext w:val="0"/>
              <w:keepLines/>
            </w:pPr>
            <w:r>
              <w:rPr>
                <w:sz w:val="21"/>
                <w:szCs w:val="21"/>
              </w:rPr>
              <w:t xml:space="preserve">Results: Protocol only.</w:t>
            </w:r>
          </w:p>
          <w:p>
            <w:pPr>
              <w:pStyle w:val="Normal"/>
              <w:widowControl/>
              <w:spacing w:after="55" w:line="240" w:lineRule="auto"/>
              <w:keepNext w:val="0"/>
              <w:keepLines/>
            </w:pPr>
            <w:r>
              <w:rPr>
                <w:sz w:val="21"/>
                <w:szCs w:val="21"/>
              </w:rPr>
              <w:t xml:space="preserve">Limits: No outcomes.</w:t>
            </w:r>
          </w:p>
          <w:p>
            <w:pPr>
              <w:pStyle w:val="Normal"/>
              <w:widowControl/>
              <w:spacing w:after="55" w:line="240" w:lineRule="auto"/>
              <w:keepNext w:val="0"/>
              <w:keepLines/>
            </w:pPr>
            <w:r>
              <w:rPr>
                <w:sz w:val="21"/>
                <w:szCs w:val="21"/>
              </w:rPr>
              <w:t xml:space="preserve">BMJ Open 2024; eligibility.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cG1jLm5jYmkubmxtLm5paC5nb3YvYXJ0aWNsZXMvUE1DMTE1ODAzMTMvPC91cmw+PC9yZWxhdGVkLXVybHM+PC91cmxzPjwvcmVjb3JkPjwvQ2l0ZT48L0VuZE5vdGU+</w:fldData>
              </w:fldChar>
            </w:r>
            <w:r>
              <w:instrText xml:space="preserve"> ADDIN EN.CITE.DATA </w:instrText>
            </w:r>
            <w:r>
              <w:fldChar w:fldCharType="end"/>
            </w:r>
            <w:r>
              <w:fldChar w:fldCharType="separate"/>
            </w:r>
            <w:r>
              <w:t xml:space="preserve">[V16-39]</w:t>
            </w:r>
            <w:r>
              <w:fldChar w:fldCharType="end"/>
            </w:r>
            <w:r>
              <w:br/>
            </w:r>
            <w:hyperlink r:id="rId237">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SECA-III registration (NCT03494946)</w:t>
            </w:r>
          </w:p>
          <w:p>
            <w:pPr>
              <w:pStyle w:val="Normal"/>
              <w:widowControl/>
              <w:spacing w:after="55" w:line="240" w:lineRule="auto"/>
              <w:keepNext w:val="0"/>
              <w:keepLines/>
            </w:pPr>
            <w:r>
              <w:rPr>
                <w:sz w:val="21"/>
                <w:szCs w:val="21"/>
              </w:rPr>
              <w:t xml:space="preserve"/>
            </w:r>
          </w:p>
        </w:tc>
        <w:tc>
          <w:tcPr>
            <w:tcW w:w="3582" w:type="dxa"/>
            <w:vAlign w:val="top"/>
            <w:shd w:fill="F1F5F8"/>
          </w:tcPr>
          <w:p>
            <w:pPr>
              <w:pStyle w:val="Normal"/>
              <w:widowControl/>
              <w:spacing w:after="55" w:line="240" w:lineRule="auto"/>
              <w:keepNext w:val="0"/>
              <w:keepLines/>
            </w:pPr>
            <w:r>
              <w:rPr>
                <w:sz w:val="21"/>
                <w:szCs w:val="21"/>
              </w:rPr>
              <w:t xml:space="preserve">SECA-III randomized trial registration. Resectable lung lesions &lt;15 mm allowed. Excluded: resection of lung or hilar-node metastases within 1 year, of local relapse or other non-hepatic metastasis within 2 years, and any previous bone, CNS or thoracic or abdominal nodal metastasis.</w:t>
            </w:r>
          </w:p>
        </w:tc>
        <w:tc>
          <w:tcPr>
            <w:tcW w:w="3743" w:type="dxa"/>
            <w:vAlign w:val="top"/>
            <w:shd w:fill="F1F5F8"/>
          </w:tcPr>
          <w:p>
            <w:pPr>
              <w:pStyle w:val="Normal"/>
              <w:widowControl/>
              <w:spacing w:after="55" w:line="240" w:lineRule="auto"/>
              <w:keepNext w:val="0"/>
              <w:keepLines/>
            </w:pPr>
            <w:r>
              <w:rPr>
                <w:sz w:val="21"/>
                <w:szCs w:val="21"/>
              </w:rPr>
              <w:t xml:space="preserve">Results: Recruiting.</w:t>
            </w:r>
          </w:p>
          <w:p>
            <w:pPr>
              <w:pStyle w:val="Normal"/>
              <w:widowControl/>
              <w:spacing w:after="55" w:line="240" w:lineRule="auto"/>
              <w:keepNext w:val="0"/>
              <w:keepLines/>
            </w:pPr>
            <w:r>
              <w:rPr>
                <w:sz w:val="21"/>
                <w:szCs w:val="21"/>
              </w:rPr>
              <w:t xml:space="preserve">Limits: No results.</w:t>
            </w:r>
          </w:p>
          <w:p>
            <w:pPr>
              <w:pStyle w:val="Normal"/>
              <w:widowControl/>
              <w:spacing w:after="55" w:line="240" w:lineRule="auto"/>
              <w:keepNext w:val="0"/>
              <w:keepLines/>
            </w:pPr>
            <w:r>
              <w:rPr>
                <w:sz w:val="21"/>
                <w:szCs w:val="21"/>
              </w:rPr>
              <w:t xml:space="preserve">ClinicalTrials.gov NCT03494946.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</w:fldData>
              </w:fldChar>
            </w:r>
            <w:r>
              <w:instrText xml:space="preserve"> ADDIN EN.CITE.DATA </w:instrText>
            </w:r>
            <w:r>
              <w:fldChar w:fldCharType="end"/>
            </w:r>
            <w:r>
              <w:fldChar w:fldCharType="separate"/>
            </w:r>
            <w:r>
              <w:t xml:space="preserve">[V16-40]</w:t>
            </w:r>
            <w:r>
              <w:fldChar w:fldCharType="end"/>
            </w:r>
            <w:r>
              <w:br/>
            </w:r>
            <w:hyperlink r:id="rId238">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PulMiCC 2020</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Randomized trial of lung metastasectomy, 93 patients (29% after liver resection). No other sites than treated liver metastases.</w:t>
            </w:r>
          </w:p>
        </w:tc>
        <w:tc>
          <w:tcPr>
            <w:tcW w:w="3743" w:type="dxa"/>
            <w:vAlign w:val="top"/>
            <w:shd w:fill="FFFFFF"/>
          </w:tcPr>
          <w:p>
            <w:pPr>
              <w:pStyle w:val="Normal"/>
              <w:widowControl/>
              <w:spacing w:after="55" w:line="240" w:lineRule="auto"/>
              <w:keepNext w:val="0"/>
              <w:keepLines/>
            </w:pPr>
            <w:r>
              <w:rPr>
                <w:sz w:val="21"/>
                <w:szCs w:val="21"/>
              </w:rPr>
              <w:t xml:space="preserve">Results: Adjusted HR 0.87 (0.51–1.48); 5-year survival 29.6% without metastasectomy vs 36.4% with.</w:t>
            </w:r>
          </w:p>
          <w:p>
            <w:pPr>
              <w:pStyle w:val="Normal"/>
              <w:widowControl/>
              <w:spacing w:after="55" w:line="240" w:lineRule="auto"/>
              <w:keepNext w:val="0"/>
              <w:keepLines/>
            </w:pPr>
            <w:r>
              <w:rPr>
                <w:sz w:val="21"/>
                <w:szCs w:val="21"/>
              </w:rPr>
              <w:t xml:space="preserve">Limits: Closed at 31% of target; inconclusive.</w:t>
            </w:r>
          </w:p>
          <w:p>
            <w:pPr>
              <w:pStyle w:val="Normal"/>
              <w:widowControl/>
              <w:spacing w:after="55" w:line="240" w:lineRule="auto"/>
              <w:keepNext w:val="0"/>
              <w:keepLines/>
            </w:pPr>
            <w:r>
              <w:rPr>
                <w:sz w:val="21"/>
                <w:szCs w:val="21"/>
              </w:rPr>
              <w:t xml:space="preserve">Colorectal Dis 2020;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Y29kaS4xNTExMzwvdXJsPjwvcmVsYXRlZC11cmxzPjwvdXJscz48L3JlY29yZD48L0NpdGU+PC9FbmROb3RlPg==</w:fldData>
              </w:fldChar>
            </w:r>
            <w:r>
              <w:instrText xml:space="preserve"> ADDIN EN.CITE.DATA </w:instrText>
            </w:r>
            <w:r>
              <w:fldChar w:fldCharType="end"/>
            </w:r>
            <w:r>
              <w:fldChar w:fldCharType="separate"/>
            </w:r>
            <w:r>
              <w:t xml:space="preserve">[V16-41]</w:t>
            </w:r>
            <w:r>
              <w:fldChar w:fldCharType="end"/>
            </w:r>
            <w:r>
              <w:br/>
            </w:r>
            <w:hyperlink r:id="rId239">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Grut 2018 · lung metastasis growth after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Imaging case-control, 11 recipients. Lung metastases after transplant.</w:t>
            </w:r>
          </w:p>
        </w:tc>
        <w:tc>
          <w:tcPr>
            <w:tcW w:w="3743" w:type="dxa"/>
            <w:vAlign w:val="top"/>
            <w:shd w:fill="F1F5F8"/>
          </w:tcPr>
          <w:p>
            <w:pPr>
              <w:pStyle w:val="Normal"/>
              <w:widowControl/>
              <w:spacing w:after="55" w:line="240" w:lineRule="auto"/>
              <w:keepNext w:val="0"/>
              <w:keepLines/>
            </w:pPr>
            <w:r>
              <w:rPr>
                <w:sz w:val="21"/>
                <w:szCs w:val="21"/>
              </w:rPr>
              <w:t xml:space="preserve">Results: Median doubling time 125 vs 130 days (transplant vs controls).</w:t>
            </w:r>
          </w:p>
          <w:p>
            <w:pPr>
              <w:pStyle w:val="Normal"/>
              <w:widowControl/>
              <w:spacing w:after="55" w:line="240" w:lineRule="auto"/>
              <w:keepNext w:val="0"/>
              <w:keepLines/>
            </w:pPr>
            <w:r>
              <w:rPr>
                <w:sz w:val="21"/>
                <w:szCs w:val="21"/>
              </w:rPr>
              <w:t xml:space="preserve">Limits: Very small.</w:t>
            </w:r>
          </w:p>
          <w:p>
            <w:pPr>
              <w:pStyle w:val="Normal"/>
              <w:widowControl/>
              <w:spacing w:after="55" w:line="240" w:lineRule="auto"/>
              <w:keepNext w:val="0"/>
              <w:keepLines/>
            </w:pPr>
            <w:r>
              <w:rPr>
                <w:sz w:val="21"/>
                <w:szCs w:val="21"/>
              </w:rPr>
              <w:t xml:space="preserve">Br J Surg 2018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</w:fldData>
              </w:fldChar>
            </w:r>
            <w:r>
              <w:instrText xml:space="preserve"> ADDIN EN.CITE.DATA </w:instrText>
            </w:r>
            <w:r>
              <w:fldChar w:fldCharType="end"/>
            </w:r>
            <w:r>
              <w:fldChar w:fldCharType="separate"/>
            </w:r>
            <w:r>
              <w:t xml:space="preserve">[V16-42]</w:t>
            </w:r>
            <w:r>
              <w:fldChar w:fldCharType="end"/>
            </w:r>
            <w:r>
              <w:br/>
            </w:r>
            <w:hyperlink r:id="rId240">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The lung-only signal comes from post-transplant relapse and protocol precedent, not from transplantation after treated lung disease. PulMiCC was inconclusive but found 29.6% 5-year survival without metastasectomy, suggesting that lung metastasectomy may select favorable biology rather than cure it.</w:t>
      </w:r>
    </w:p>
    <w:p>
      <w:pPr>
        <w:pStyle w:val="Normal"/>
        <w:widowControl/>
        <w:spacing w:after="120"/>
      </w:pPr>
      <w:r>
        <w:t xml:space="preserve">Certainty: Very low for transplantation after previously treated extrahepatic disease; low for the indirect inference that lung-limited disease behaves indolently after transplant.</w:t>
      </w:r>
    </w:p>
    <w:p>
      <w:pPr>
        <w:pStyle w:val="Normal"/>
        <w:widowControl/>
        <w:spacing w:after="120"/>
      </w:pPr>
      <w:r>
        <w:t xml:space="preserve">What would change the answer: SECA-III or Japanese protocol results in recipients with treated lung metastases.</w:t>
      </w:r>
    </w:p>
    <w:p>
      <w:pPr>
        <w:pStyle w:val="Normal"/>
        <w:widowControl/>
        <w:spacing w:after="120"/>
      </w:pPr>
      <w:r>
        <w:t xml:space="preserve">Meeting question CRLM-B5,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Treatment-intensive conversion and radiographic disappearance could imply safe eligibility or eradication. </w:t>
      </w:r>
      <w:r>
        <w:rPr>
          <w:b/>
        </w:rPr>
        <w:t xml:space="preserve">Correction and reason: </w:t>
      </w:r>
      <w:r>
        <w:t xml:space="preserve">Added failure-to-reach-LT denominators, the pre-LT death after bilobar Y90 and the distinction between microscopic viability, persistent unresectability and proven transplant benefit.</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CRLM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241">
        <w:r>
          <w:rPr>
            <w:color w:val="0563C1"/>
            <w:u w:val="single"/>
          </w:rPr>
          <w:t>Source</w:t>
        </w:r>
      </w:hyperlink>
      <w:r>
        <w:t xml:space="preserve"> | </w:t>
      </w:r>
      <w:hyperlink r:id="rId242">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243">
        <w:r>
          <w:rPr>
            <w:color w:val="0563C1"/>
            <w:u w:val="single"/>
          </w:rPr>
          <w:t>Source</w:t>
        </w:r>
      </w:hyperlink>
      <w:r>
        <w:t xml:space="preserve"> | </w:t>
      </w:r>
      <w:hyperlink r:id="rId244">
        <w:r>
          <w:rPr>
            <w:color w:val="0563C1"/>
            <w:u w:val="single"/>
          </w:rPr>
          <w:t>Full-text access</w:t>
        </w:r>
      </w:hyperlink>
    </w:p>
    <w:p>
      <w:pPr>
        <w:pStyle w:val="Normal"/>
        <w:widowControl/>
        <w:spacing w:after="120"/>
      </w:pPr>
      <w:r>
        <w:t xml:space="preserve"/>
      </w:r>
      <w:r>
        <w:t xml:space="preserve">[V16-3]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45">
        <w:r>
          <w:rPr>
            <w:color w:val="0563C1"/>
            <w:u w:val="single"/>
          </w:rPr>
          <w:t>Source</w:t>
        </w:r>
      </w:hyperlink>
      <w:r>
        <w:t xml:space="preserve"> | </w:t>
      </w:r>
      <w:hyperlink r:id="rId246">
        <w:r>
          <w:rPr>
            <w:color w:val="0563C1"/>
            <w:u w:val="single"/>
          </w:rPr>
          <w:t>Full-text access</w:t>
        </w:r>
      </w:hyperlink>
    </w:p>
    <w:p>
      <w:pPr>
        <w:pStyle w:val="Normal"/>
        <w:widowControl/>
        <w:spacing w:after="120"/>
      </w:pPr>
      <w:r>
        <w:t xml:space="preserve"/>
      </w:r>
      <w:r>
        <w:t xml:space="preserve">[V16-4] Bonney, Glenn K; Chew, Claire Alexandra; Lodge, Peter; et al. Liver transplantation for non-resectable colorectal liver metastases: the International Hepato-Pancreato-Biliary Association consensus guidelines. The lancet. Gastroenterology &amp; hepatology. 2021; 6(11):933-946. </w:t>
      </w:r>
      <w:hyperlink r:id="rId247">
        <w:r>
          <w:rPr>
            <w:color w:val="0563C1"/>
            <w:u w:val="single"/>
          </w:rPr>
          <w:t>Source</w:t>
        </w:r>
      </w:hyperlink>
      <w:r>
        <w:t xml:space="preserve"> | </w:t>
      </w:r>
      <w:hyperlink r:id="rId248">
        <w:r>
          <w:rPr>
            <w:color w:val="0563C1"/>
            <w:u w:val="single"/>
          </w:rPr>
          <w:t>Full-text access</w:t>
        </w:r>
      </w:hyperlink>
    </w:p>
    <w:p>
      <w:pPr>
        <w:pStyle w:val="Normal"/>
        <w:widowControl/>
        <w:spacing w:after="120"/>
      </w:pPr>
      <w:r>
        <w:t xml:space="preserve"/>
      </w:r>
      <w:r>
        <w:t xml:space="preserve">[V16-5] Dove, Lorna; Chadha, Ryan M.; Lai, Jennifer C.; et al. AASLD AST Practice Guideline on adult liver transplantation: Candidate evaluation. Hepatology. 2026; 83(6):1609-1645. </w:t>
      </w:r>
      <w:hyperlink r:id="rId249">
        <w:r>
          <w:rPr>
            <w:color w:val="0563C1"/>
            <w:u w:val="single"/>
          </w:rPr>
          <w:t>Source</w:t>
        </w:r>
      </w:hyperlink>
      <w:r>
        <w:t xml:space="preserve"> | </w:t>
      </w:r>
      <w:hyperlink r:id="rId250">
        <w:r>
          <w:rPr>
            <w:color w:val="0563C1"/>
            <w:u w:val="single"/>
          </w:rPr>
          <w:t>Full-text access</w:t>
        </w:r>
      </w:hyperlink>
    </w:p>
    <w:p>
      <w:pPr>
        <w:pStyle w:val="Normal"/>
        <w:widowControl/>
        <w:spacing w:after="120"/>
      </w:pPr>
      <w:r>
        <w:t xml:space="preserve"/>
      </w:r>
      <w:r>
        <w:t xml:space="preserve">[V16-6] Chandra, Pratik; Preston, William; Herbert, Rebecca; et al. Transplant-Eligible Colorectal Liver Metastasis Patients Treated with Hepatic Artery Infusion Pump – A Retrospective Cohort Study. Annals of Surgery. 2026. </w:t>
      </w:r>
      <w:hyperlink r:id="rId251">
        <w:r>
          <w:rPr>
            <w:color w:val="0563C1"/>
            <w:u w:val="single"/>
          </w:rPr>
          <w:t>Source</w:t>
        </w:r>
      </w:hyperlink>
      <w:r>
        <w:t xml:space="preserve"> | </w:t>
      </w:r>
      <w:hyperlink r:id="rId252">
        <w:r>
          <w:rPr>
            <w:color w:val="0563C1"/>
            <w:u w:val="single"/>
          </w:rPr>
          <w:t>Full-text access</w:t>
        </w:r>
      </w:hyperlink>
    </w:p>
    <w:p>
      <w:pPr>
        <w:pStyle w:val="Normal"/>
        <w:widowControl/>
        <w:spacing w:after="120"/>
      </w:pPr>
      <w:r>
        <w:t xml:space="preserve"/>
      </w:r>
      <w:r>
        <w:t xml:space="preserve">[V16-7] Dueland, Svein. Survival Following Liver Transplantation for Patients With Nonresectable Liver-only Colorectal Metastases. Annals of Surgery. 2020; 271(2):212–218. </w:t>
      </w:r>
      <w:hyperlink r:id="rId253">
        <w:r>
          <w:rPr>
            <w:color w:val="0563C1"/>
            <w:u w:val="single"/>
          </w:rPr>
          <w:t>Source</w:t>
        </w:r>
      </w:hyperlink>
      <w:r>
        <w:t xml:space="preserve"> | </w:t>
      </w:r>
      <w:hyperlink r:id="rId254">
        <w:r>
          <w:rPr>
            <w:color w:val="0563C1"/>
            <w:u w:val="single"/>
          </w:rPr>
          <w:t>Full-text access</w:t>
        </w:r>
      </w:hyperlink>
    </w:p>
    <w:p>
      <w:pPr>
        <w:pStyle w:val="Normal"/>
        <w:widowControl/>
        <w:spacing w:after="120"/>
      </w:pPr>
      <w:r>
        <w:t xml:space="preserve"/>
      </w:r>
      <w:r>
        <w:t xml:space="preserve">[V16-8] Dueland, Svein; Smedman, Tor M.; Syversveen, Trygve; et al. Liver Transplantation for Nonresectable Colorectal Liver Metastases: Ten-year Follow-up and Assessment of Curative Rate in the SECA-II Study. Annals of Surgery. 2026. </w:t>
      </w:r>
      <w:hyperlink r:id="rId255">
        <w:r>
          <w:rPr>
            <w:color w:val="0563C1"/>
            <w:u w:val="single"/>
          </w:rPr>
          <w:t>Source</w:t>
        </w:r>
      </w:hyperlink>
      <w:r>
        <w:t xml:space="preserve"> | </w:t>
      </w:r>
      <w:hyperlink r:id="rId256">
        <w:r>
          <w:rPr>
            <w:color w:val="0563C1"/>
            <w:u w:val="single"/>
          </w:rPr>
          <w:t>Full-text access</w:t>
        </w:r>
      </w:hyperlink>
    </w:p>
    <w:p>
      <w:pPr>
        <w:pStyle w:val="Normal"/>
        <w:widowControl/>
        <w:spacing w:after="120"/>
      </w:pPr>
      <w:r>
        <w:t xml:space="preserve"/>
      </w:r>
      <w:r>
        <w:t xml:space="preserve">[V16-9] Bilhim, Tiago; Böning, Georg; Guiu, Boris; et al. CIRSE Standards of Practice on Portal Vein Embolization and Double Vein Embolization/Liver Venous Deprivation. CardioVascular and Interventional Radiology. 2024; 47(8):1025-1036. </w:t>
      </w:r>
      <w:hyperlink r:id="rId257">
        <w:r>
          <w:rPr>
            <w:color w:val="0563C1"/>
            <w:u w:val="single"/>
          </w:rPr>
          <w:t>Source</w:t>
        </w:r>
      </w:hyperlink>
      <w:r>
        <w:t xml:space="preserve"> | </w:t>
      </w:r>
      <w:hyperlink r:id="rId258">
        <w:r>
          <w:rPr>
            <w:color w:val="0563C1"/>
            <w:u w:val="single"/>
          </w:rPr>
          <w:t>Full-text access</w:t>
        </w:r>
      </w:hyperlink>
    </w:p>
    <w:p>
      <w:pPr>
        <w:pStyle w:val="Normal"/>
        <w:widowControl/>
        <w:spacing w:after="120"/>
      </w:pPr>
      <w:r>
        <w:t xml:space="preserve"/>
      </w:r>
      <w:r>
        <w:t xml:space="preserve">[V16-10] Chávez-Villa, Mariana; Ruffolo, Luis I.; Al-Judaibi, Bandar M.; et al. The High Incidence of Occult Carcinoma in Total Hepatectomy Specimens of Patients Treated for Unresectable Colorectal Liver Metastases With Liver Transplant. Annals of Surgery. 2023; 278(5):e1026-e1034. </w:t>
      </w:r>
      <w:hyperlink r:id="rId259">
        <w:r>
          <w:rPr>
            <w:color w:val="0563C1"/>
            <w:u w:val="single"/>
          </w:rPr>
          <w:t>Source</w:t>
        </w:r>
      </w:hyperlink>
      <w:r>
        <w:t xml:space="preserve"> | </w:t>
      </w:r>
      <w:hyperlink r:id="rId260">
        <w:r>
          <w:rPr>
            <w:color w:val="0563C1"/>
            <w:u w:val="single"/>
          </w:rPr>
          <w:t>Full-text access</w:t>
        </w:r>
      </w:hyperlink>
    </w:p>
    <w:p>
      <w:pPr>
        <w:pStyle w:val="Normal"/>
        <w:widowControl/>
        <w:spacing w:after="120"/>
      </w:pPr>
      <w:r>
        <w:t xml:space="preserve"/>
      </w:r>
      <w:r>
        <w:t xml:space="preserve">[V16-11] Kataoka, Kozo; Mauer, Murielle; Shiozawa, Manabu; et al. Diagnostic Accuracy of Imaging in Assessing Nonviability of Disappearing Colorectal Liver Metastasis. JAMA Surgery. 2025. </w:t>
      </w:r>
      <w:hyperlink r:id="rId261">
        <w:r>
          <w:rPr>
            <w:color w:val="0563C1"/>
            <w:u w:val="single"/>
          </w:rPr>
          <w:t>Source</w:t>
        </w:r>
      </w:hyperlink>
      <w:r>
        <w:t xml:space="preserve"> | </w:t>
      </w:r>
      <w:hyperlink r:id="rId262">
        <w:r>
          <w:rPr>
            <w:color w:val="0563C1"/>
            <w:u w:val="single"/>
          </w:rPr>
          <w:t>Full-text access</w:t>
        </w:r>
      </w:hyperlink>
    </w:p>
    <w:p>
      <w:pPr>
        <w:pStyle w:val="Normal"/>
        <w:widowControl/>
        <w:spacing w:after="120"/>
      </w:pPr>
      <w:r>
        <w:t xml:space="preserve"/>
      </w:r>
      <w:r>
        <w:t xml:space="preserve">[V16-12] Oba, Atsushi; Mise, Yoshihiro; Ito, Hiromichi; et al. Clinical implications of disappearing colorectal liver metastases have changed in the era of hepatocyte-specific MRI and contrast-enhanced intraoperative ultrasonography. HPB. 2018; 20(8):708-714. </w:t>
      </w:r>
      <w:hyperlink r:id="rId263">
        <w:r>
          <w:rPr>
            <w:color w:val="0563C1"/>
            <w:u w:val="single"/>
          </w:rPr>
          <w:t>Source</w:t>
        </w:r>
      </w:hyperlink>
      <w:r>
        <w:t xml:space="preserve"> | </w:t>
      </w:r>
      <w:hyperlink r:id="rId264">
        <w:r>
          <w:rPr>
            <w:color w:val="0563C1"/>
            <w:u w:val="single"/>
          </w:rPr>
          <w:t>Full-text access</w:t>
        </w:r>
      </w:hyperlink>
    </w:p>
    <w:p>
      <w:pPr>
        <w:pStyle w:val="Normal"/>
        <w:widowControl/>
        <w:spacing w:after="120"/>
      </w:pPr>
      <w:r>
        <w:t xml:space="preserve"/>
      </w:r>
      <w:r>
        <w:t xml:space="preserve">[V16-13] Wehrle, Chase J; Fujiki, Masato; Schlegel, Andrea; et al. Intensive locoregional therapy before liver transplantation for colorectal cancer liver metastasis: A novel pretransplant protocol. Liver transplantation : official publication of the American Association for the Study of Liver Diseases and the International Liver Transplantation Society. 2024; 30(12):1238-1249. </w:t>
      </w:r>
      <w:hyperlink r:id="rId265">
        <w:r>
          <w:rPr>
            <w:color w:val="0563C1"/>
            <w:u w:val="single"/>
          </w:rPr>
          <w:t>Source</w:t>
        </w:r>
      </w:hyperlink>
      <w:r>
        <w:t xml:space="preserve"> | </w:t>
      </w:r>
      <w:hyperlink r:id="rId266">
        <w:r>
          <w:rPr>
            <w:color w:val="0563C1"/>
            <w:u w:val="single"/>
          </w:rPr>
          <w:t>Full-text access</w:t>
        </w:r>
      </w:hyperlink>
    </w:p>
    <w:p>
      <w:pPr>
        <w:pStyle w:val="Normal"/>
        <w:widowControl/>
        <w:spacing w:after="120"/>
      </w:pPr>
      <w:r>
        <w:t xml:space="preserve"/>
      </w:r>
      <w:r>
        <w:t xml:space="preserve">[V16-14] Smedman, T M; Line, P-D; Hagness, M; et al. Liver transplantation for unresectable colorectal liver metastases in patients and donors with extended criteria (SECA-II arm D study). BJS open. 2020; 4(3):467-477. </w:t>
      </w:r>
      <w:hyperlink r:id="rId267">
        <w:r>
          <w:rPr>
            <w:color w:val="0563C1"/>
            <w:u w:val="single"/>
          </w:rPr>
          <w:t>Source</w:t>
        </w:r>
      </w:hyperlink>
      <w:r>
        <w:t xml:space="preserve"> | </w:t>
      </w:r>
      <w:hyperlink r:id="rId268">
        <w:r>
          <w:rPr>
            <w:color w:val="0563C1"/>
            <w:u w:val="single"/>
          </w:rPr>
          <w:t>Full-text access</w:t>
        </w:r>
      </w:hyperlink>
    </w:p>
    <w:p>
      <w:pPr>
        <w:pStyle w:val="Normal"/>
        <w:widowControl/>
        <w:spacing w:after="120"/>
      </w:pPr>
      <w:r>
        <w:t xml:space="preserve"/>
      </w:r>
      <w:r>
        <w:t xml:space="preserve">[V16-15] Grut, Harald; Line, Pål-Dag; Syversveen, Trygve; et al. Metabolic tumor volume predicts long-term survival after transplantation for unresectable colorectal liver metastases: 15 years of experience from the SECA study. Annals of nuclear medicine. 2022; 36(12):1073-1081. </w:t>
      </w:r>
      <w:hyperlink r:id="rId269">
        <w:r>
          <w:rPr>
            <w:color w:val="0563C1"/>
            <w:u w:val="single"/>
          </w:rPr>
          <w:t>Source</w:t>
        </w:r>
      </w:hyperlink>
      <w:r>
        <w:t xml:space="preserve"> | </w:t>
      </w:r>
      <w:hyperlink r:id="rId270">
        <w:r>
          <w:rPr>
            <w:color w:val="0563C1"/>
            <w:u w:val="single"/>
          </w:rPr>
          <w:t>Full-text access</w:t>
        </w:r>
      </w:hyperlink>
    </w:p>
    <w:p>
      <w:pPr>
        <w:pStyle w:val="Normal"/>
        <w:widowControl/>
        <w:spacing w:after="120"/>
      </w:pPr>
      <w:r>
        <w:t xml:space="preserve"/>
      </w:r>
      <w:r>
        <w:t xml:space="preserve">[V16-16] Wehrle, Chase J; Chávez-Villa, Mariana; Byrne, Matthew; et al. Pretransplant metabolic tumor volume predicts recurrence following liver transplantation for colorectal metastasis: A multicenter study. Liver transplantation : official publication of the American Association for the Study of Liver Diseases and the International Liver Transplantation Society. 2025; 31(3):298-310. </w:t>
      </w:r>
      <w:hyperlink r:id="rId271">
        <w:r>
          <w:rPr>
            <w:color w:val="0563C1"/>
            <w:u w:val="single"/>
          </w:rPr>
          <w:t>Source</w:t>
        </w:r>
      </w:hyperlink>
      <w:r>
        <w:t xml:space="preserve"> | </w:t>
      </w:r>
      <w:hyperlink r:id="rId272">
        <w:r>
          <w:rPr>
            <w:color w:val="0563C1"/>
            <w:u w:val="single"/>
          </w:rPr>
          <w:t>Full-text access</w:t>
        </w:r>
      </w:hyperlink>
    </w:p>
    <w:p>
      <w:pPr>
        <w:pStyle w:val="Normal"/>
        <w:widowControl/>
        <w:spacing w:after="120"/>
      </w:pPr>
      <w:r>
        <w:t xml:space="preserve"/>
      </w:r>
      <w:r>
        <w:t xml:space="preserve">[V16-17] Wehrle, Chase J; Raj, Roma; Aykun, Nihal; et al. Circulating Tumor DNA in Colorectal Cancer Liver Metastasis: Analysis of Patients Receiving Liver Resection and Transplant. JCO clinical cancer informatics. 2023; 7:e2300111. </w:t>
      </w:r>
      <w:hyperlink r:id="rId273">
        <w:r>
          <w:rPr>
            <w:color w:val="0563C1"/>
            <w:u w:val="single"/>
          </w:rPr>
          <w:t>Source</w:t>
        </w:r>
      </w:hyperlink>
      <w:r>
        <w:t xml:space="preserve"> | </w:t>
      </w:r>
      <w:hyperlink r:id="rId274">
        <w:r>
          <w:rPr>
            <w:color w:val="0563C1"/>
            <w:u w:val="single"/>
          </w:rPr>
          <w:t>Full-text access</w:t>
        </w:r>
      </w:hyperlink>
    </w:p>
    <w:p>
      <w:pPr>
        <w:pStyle w:val="Normal"/>
        <w:widowControl/>
        <w:spacing w:after="120"/>
      </w:pPr>
      <w:r>
        <w:t xml:space="preserve"/>
      </w:r>
      <w:r>
        <w:t xml:space="preserve">[V16-18] Adam, René; Badrudin, David; Chiche, Laurence; et al. Safety and feasibility of chemotherapy followed by liver transplantation for patients with definitely unresectable colorectal liver metastases: insights from the TransMet randomised clinical trial. eClinicalMedicine. 2024; 72:102608. </w:t>
      </w:r>
      <w:hyperlink r:id="rId275">
        <w:r>
          <w:rPr>
            <w:color w:val="0563C1"/>
            <w:u w:val="single"/>
          </w:rPr>
          <w:t>Source</w:t>
        </w:r>
      </w:hyperlink>
      <w:r>
        <w:t xml:space="preserve"> | </w:t>
      </w:r>
      <w:hyperlink r:id="rId276">
        <w:r>
          <w:rPr>
            <w:color w:val="0563C1"/>
            <w:u w:val="single"/>
          </w:rPr>
          <w:t>Full-text access</w:t>
        </w:r>
      </w:hyperlink>
    </w:p>
    <w:p>
      <w:pPr>
        <w:pStyle w:val="Normal"/>
        <w:widowControl/>
        <w:spacing w:after="120"/>
      </w:pPr>
      <w:r>
        <w:t xml:space="preserve"/>
      </w:r>
      <w:r>
        <w:t xml:space="preserve">[V16-19] Rezaee-Zavareh, Mohammad Saeid; Yeo, Yee Hui; Wang, Tielong; et al. Impact of pre-transplant immune checkpoint inhibitor use on post-transplant outcomes in HCC: A systematic review and individual patient data meta-analysis. Journal of Hepatology. 2025; 82(1):107-119. </w:t>
      </w:r>
      <w:hyperlink r:id="rId277">
        <w:r>
          <w:rPr>
            <w:color w:val="0563C1"/>
            <w:u w:val="single"/>
          </w:rPr>
          <w:t>Source</w:t>
        </w:r>
      </w:hyperlink>
      <w:r>
        <w:t xml:space="preserve"> | </w:t>
      </w:r>
      <w:hyperlink r:id="rId278">
        <w:r>
          <w:rPr>
            <w:color w:val="0563C1"/>
            <w:u w:val="single"/>
          </w:rPr>
          <w:t>Full-text access</w:t>
        </w:r>
      </w:hyperlink>
    </w:p>
    <w:p>
      <w:pPr>
        <w:pStyle w:val="Normal"/>
        <w:widowControl/>
        <w:spacing w:after="120"/>
      </w:pPr>
      <w:r>
        <w:t xml:space="preserve"/>
      </w:r>
      <w:r>
        <w:t xml:space="preserve">[V16-20] Strickler JH; Cercek A; Siena S; et al. Tucatinib plus trastuzumab for chemotherapy-refractory, HER2 + , RAS wild-type metastatic colorectal cancer (MOUNTAINEER): final analysis.. Nature communications. 2026; 17(1):1068. </w:t>
      </w:r>
      <w:hyperlink r:id="rId279">
        <w:r>
          <w:rPr>
            <w:color w:val="0563C1"/>
            <w:u w:val="single"/>
          </w:rPr>
          <w:t>Source</w:t>
        </w:r>
      </w:hyperlink>
      <w:r>
        <w:t xml:space="preserve"> | </w:t>
      </w:r>
      <w:hyperlink r:id="rId280">
        <w:r>
          <w:rPr>
            <w:color w:val="0563C1"/>
            <w:u w:val="single"/>
          </w:rPr>
          <w:t>Full-text access</w:t>
        </w:r>
      </w:hyperlink>
    </w:p>
    <w:p>
      <w:pPr>
        <w:pStyle w:val="Normal"/>
        <w:widowControl/>
        <w:spacing w:after="120"/>
      </w:pPr>
      <w:r>
        <w:t xml:space="preserve"/>
      </w:r>
      <w:r>
        <w:t xml:space="preserve">[V16-21] Prager GW; Taieb J; Fakih M; et al. Trifluridine-Tipiracil and Bevacizumab in Refractory Metastatic Colorectal Cancer.. The New England journal of medicine. 2023; 388(18):1657-1667. </w:t>
      </w:r>
      <w:hyperlink r:id="rId281">
        <w:r>
          <w:rPr>
            <w:color w:val="0563C1"/>
            <w:u w:val="single"/>
          </w:rPr>
          <w:t>Source</w:t>
        </w:r>
      </w:hyperlink>
      <w:r>
        <w:t xml:space="preserve"> | </w:t>
      </w:r>
      <w:hyperlink r:id="rId282">
        <w:r>
          <w:rPr>
            <w:color w:val="0563C1"/>
            <w:u w:val="single"/>
          </w:rPr>
          <w:t>Full-text access</w:t>
        </w:r>
      </w:hyperlink>
    </w:p>
    <w:p>
      <w:pPr>
        <w:pStyle w:val="Normal"/>
        <w:widowControl/>
        <w:spacing w:after="120"/>
      </w:pPr>
      <w:r>
        <w:t xml:space="preserve"/>
      </w:r>
      <w:r>
        <w:t xml:space="preserve">[V16-22] Dasari A; Lonardi S; Garcia-Carbonero R; et al. Fruquintinib versus placebo in patients with refractory metastatic colorectal cancer (FRESCO-2): an international, multicentre, randomised, double-blind, phase 3 study.. Lancet (London, England). 2023; 402(10395):41-53. </w:t>
      </w:r>
      <w:hyperlink r:id="rId283">
        <w:r>
          <w:rPr>
            <w:color w:val="0563C1"/>
            <w:u w:val="single"/>
          </w:rPr>
          <w:t>Source</w:t>
        </w:r>
      </w:hyperlink>
      <w:r>
        <w:t xml:space="preserve"> | </w:t>
      </w:r>
      <w:hyperlink r:id="rId284">
        <w:r>
          <w:rPr>
            <w:color w:val="0563C1"/>
            <w:u w:val="single"/>
          </w:rPr>
          <w:t>Full-text access</w:t>
        </w:r>
      </w:hyperlink>
    </w:p>
    <w:p>
      <w:pPr>
        <w:pStyle w:val="Normal"/>
        <w:widowControl/>
        <w:spacing w:after="120"/>
      </w:pPr>
      <w:r>
        <w:t xml:space="preserve"/>
      </w:r>
      <w:r>
        <w:t xml:space="preserve">[V16-23] Kelly, Morgan E.; Truby, Tianna M.; Lai, Jennifer C.; et al. Three Decades of Living Liver Donor Outcomes: A National Cohort Analysis of Patterns in Mortality and Recovery. Journal of Transplantation. 2026; 2026(1):2545887. </w:t>
      </w:r>
      <w:hyperlink r:id="rId285">
        <w:r>
          <w:rPr>
            <w:color w:val="0563C1"/>
            <w:u w:val="single"/>
          </w:rPr>
          <w:t>Source</w:t>
        </w:r>
      </w:hyperlink>
      <w:r>
        <w:t xml:space="preserve"> | </w:t>
      </w:r>
      <w:hyperlink r:id="rId286">
        <w:r>
          <w:rPr>
            <w:color w:val="0563C1"/>
            <w:u w:val="single"/>
          </w:rPr>
          <w:t>Full-text access</w:t>
        </w:r>
      </w:hyperlink>
    </w:p>
    <w:p>
      <w:pPr>
        <w:pStyle w:val="Normal"/>
        <w:widowControl/>
        <w:spacing w:after="120"/>
      </w:pPr>
      <w:r>
        <w:t xml:space="preserve"/>
      </w:r>
      <w:r>
        <w:t xml:space="preserve">[V16-24] US Department of Health and Human Services. 45 CFR 46.111: Criteria for IRB approval of research. . 2018. </w:t>
      </w:r>
      <w:hyperlink r:id="rId287">
        <w:r>
          <w:rPr>
            <w:color w:val="0563C1"/>
            <w:u w:val="single"/>
          </w:rPr>
          <w:t>Source</w:t>
        </w:r>
      </w:hyperlink>
      <w:r>
        <w:t xml:space="preserve"> | Local PDF not available in this update</w:t>
      </w:r>
    </w:p>
    <w:p>
      <w:pPr>
        <w:pStyle w:val="Normal"/>
        <w:widowControl/>
        <w:spacing w:after="120"/>
      </w:pPr>
      <w:r>
        <w:t xml:space="preserve"/>
      </w:r>
      <w:r>
        <w:t xml:space="preserve">[V16-25] OPTN Ethics Committee. Ethical Principles in the Allocation of Human Organs. . 2015. </w:t>
      </w:r>
      <w:hyperlink r:id="rId288">
        <w:r>
          <w:rPr>
            <w:color w:val="0563C1"/>
            <w:u w:val="single"/>
          </w:rPr>
          <w:t>Source</w:t>
        </w:r>
      </w:hyperlink>
      <w:r>
        <w:t xml:space="preserve"> | Local PDF not available in this update</w:t>
      </w:r>
    </w:p>
    <w:p>
      <w:pPr>
        <w:pStyle w:val="Normal"/>
        <w:widowControl/>
        <w:spacing w:after="120"/>
      </w:pPr>
      <w:r>
        <w:t xml:space="preserve"/>
      </w:r>
      <w:r>
        <w:t xml:space="preserve">[V16-26] Llovet, Josep M; Mauro, Ezequiel; Rimassa, Lorenza; et al. Trial design and end points in hepatocellular carcinoma: an EASL-AASLD-ILCA consensus statement. Nature reviews. Clinical oncology. 2026; 23(8):619-647. </w:t>
      </w:r>
      <w:hyperlink r:id="rId289">
        <w:r>
          <w:rPr>
            <w:color w:val="0563C1"/>
            <w:u w:val="single"/>
          </w:rPr>
          <w:t>Source</w:t>
        </w:r>
      </w:hyperlink>
      <w:r>
        <w:t xml:space="preserve"> | </w:t>
      </w:r>
      <w:hyperlink r:id="rId290">
        <w:r>
          <w:rPr>
            <w:color w:val="0563C1"/>
            <w:u w:val="single"/>
          </w:rPr>
          <w:t>Full-text access</w:t>
        </w:r>
      </w:hyperlink>
    </w:p>
    <w:p>
      <w:pPr>
        <w:pStyle w:val="Normal"/>
        <w:widowControl/>
        <w:spacing w:after="120"/>
      </w:pPr>
      <w:r>
        <w:t xml:space="preserve"/>
      </w:r>
      <w:r>
        <w:t xml:space="preserve">[V16-27] Mazzaferro, Vincenzo; Citterio, Davide; Bhoori, Sherrie; et al. Liver transplantation in hepatocellular carcinoma after tumour downstaging (XXL): a randomised, controlled, phase 2b/3 trial. The Lancet Oncology. 2020; 21(7):947-956. </w:t>
      </w:r>
      <w:hyperlink r:id="rId291">
        <w:r>
          <w:rPr>
            <w:color w:val="0563C1"/>
            <w:u w:val="single"/>
          </w:rPr>
          <w:t>Source</w:t>
        </w:r>
      </w:hyperlink>
      <w:r>
        <w:t xml:space="preserve"> | </w:t>
      </w:r>
      <w:hyperlink r:id="rId292">
        <w:r>
          <w:rPr>
            <w:color w:val="0563C1"/>
            <w:u w:val="single"/>
          </w:rPr>
          <w:t>Full-text access</w:t>
        </w:r>
      </w:hyperlink>
    </w:p>
    <w:p>
      <w:pPr>
        <w:pStyle w:val="Normal"/>
        <w:widowControl/>
        <w:spacing w:after="120"/>
      </w:pPr>
      <w:r>
        <w:t xml:space="preserve"/>
      </w:r>
      <w:r>
        <w:t xml:space="preserve">[V16-28] Allen, Elisa; Taylor, Rhiannon; Gimson, Alexander; et al. Transplant benefit-based offering of deceased donor livers in the United Kingdom. Journal of Hepatology. 2024; 81(3):471-478. </w:t>
      </w:r>
      <w:hyperlink r:id="rId293">
        <w:r>
          <w:rPr>
            <w:color w:val="0563C1"/>
            <w:u w:val="single"/>
          </w:rPr>
          <w:t>Source</w:t>
        </w:r>
      </w:hyperlink>
      <w:r>
        <w:t xml:space="preserve"> | </w:t>
      </w:r>
      <w:hyperlink r:id="rId294">
        <w:r>
          <w:rPr>
            <w:color w:val="0563C1"/>
            <w:u w:val="single"/>
          </w:rPr>
          <w:t>Full-text access</w:t>
        </w:r>
      </w:hyperlink>
    </w:p>
    <w:p>
      <w:pPr>
        <w:pStyle w:val="Normal"/>
        <w:widowControl/>
        <w:spacing w:after="120"/>
      </w:pPr>
      <w:r>
        <w:t xml:space="preserve"/>
      </w:r>
      <w:r>
        <w:t xml:space="preserve">[V16-29] Abecassis, M.M.; Fisher, R.A.; Olthoff, K.M.; et al. Complications of Living Donor Hepatic Lobectomy—A Comprehensive Report. American Journal of Transplantation. 2012; 12(5):1208-1217. </w:t>
      </w:r>
      <w:hyperlink r:id="rId295">
        <w:r>
          <w:rPr>
            <w:color w:val="0563C1"/>
            <w:u w:val="single"/>
          </w:rPr>
          <w:t>Source</w:t>
        </w:r>
      </w:hyperlink>
      <w:r>
        <w:t xml:space="preserve"> | </w:t>
      </w:r>
      <w:hyperlink r:id="rId296">
        <w:r>
          <w:rPr>
            <w:color w:val="0563C1"/>
            <w:u w:val="single"/>
          </w:rPr>
          <w:t>Full-text access</w:t>
        </w:r>
      </w:hyperlink>
    </w:p>
    <w:p>
      <w:pPr>
        <w:pStyle w:val="Normal"/>
        <w:widowControl/>
        <w:spacing w:after="120"/>
      </w:pPr>
      <w:r>
        <w:t xml:space="preserve"/>
      </w:r>
      <w:r>
        <w:t xml:space="preserve">[V16-30] DiMartini, A.; Dew, M.A.; Liu, Q.; et al. Social and Financial Outcomes of Living Liver Donation: A Prospective Investigation Within the Adult-to-Adult Living Donor Liver Transplantation Cohort Study 2 (A2ALL-2). American Journal of Transplantation. 2017; 17(4):1081-1096. </w:t>
      </w:r>
      <w:hyperlink r:id="rId297">
        <w:r>
          <w:rPr>
            <w:color w:val="0563C1"/>
            <w:u w:val="single"/>
          </w:rPr>
          <w:t>Source</w:t>
        </w:r>
      </w:hyperlink>
      <w:r>
        <w:t xml:space="preserve"> | </w:t>
      </w:r>
      <w:hyperlink r:id="rId298">
        <w:r>
          <w:rPr>
            <w:color w:val="0563C1"/>
            <w:u w:val="single"/>
          </w:rPr>
          <w:t>Full-text access</w:t>
        </w:r>
      </w:hyperlink>
    </w:p>
    <w:p>
      <w:pPr>
        <w:pStyle w:val="Normal"/>
        <w:widowControl/>
        <w:spacing w:after="120"/>
      </w:pPr>
      <w:r>
        <w:t xml:space="preserve"/>
      </w:r>
      <w:r>
        <w:t xml:space="preserve">[V16-31] Xiao, Jieling; Zeng, Rebecca Wenling; Lim, Wen Hui; et al. The incidence of adverse outcome in donors after living donor liver transplantation: A meta-analysis of 60,829 donors. Liver Transplantation. 2024; 30(5):493-504. </w:t>
      </w:r>
      <w:hyperlink r:id="rId299">
        <w:r>
          <w:rPr>
            <w:color w:val="0563C1"/>
            <w:u w:val="single"/>
          </w:rPr>
          <w:t>Source</w:t>
        </w:r>
      </w:hyperlink>
      <w:r>
        <w:t xml:space="preserve"> | </w:t>
      </w:r>
      <w:hyperlink r:id="rId300">
        <w:r>
          <w:rPr>
            <w:color w:val="0563C1"/>
            <w:u w:val="single"/>
          </w:rPr>
          <w:t>Full-text access</w:t>
        </w:r>
      </w:hyperlink>
    </w:p>
    <w:p>
      <w:pPr>
        <w:pStyle w:val="Normal"/>
        <w:widowControl/>
        <w:spacing w:after="120"/>
      </w:pPr>
      <w:r>
        <w:t xml:space="preserve"/>
      </w:r>
      <w:r>
        <w:t xml:space="preserve">[V16-32] Eldridge, Sandra M; Chan, Claire L; Campbell, Michael J; et al. CONSORT 2010 statement: extension to randomised pilot and feasibility trials. BMJ. 2016; :i5239. </w:t>
      </w:r>
      <w:hyperlink r:id="rId301">
        <w:r>
          <w:rPr>
            <w:color w:val="0563C1"/>
            <w:u w:val="single"/>
          </w:rPr>
          <w:t>Source</w:t>
        </w:r>
      </w:hyperlink>
      <w:r>
        <w:t xml:space="preserve"> | </w:t>
      </w:r>
      <w:hyperlink r:id="rId302">
        <w:r>
          <w:rPr>
            <w:color w:val="0563C1"/>
            <w:u w:val="single"/>
          </w:rPr>
          <w:t>Full-text access</w:t>
        </w:r>
      </w:hyperlink>
    </w:p>
    <w:p>
      <w:pPr>
        <w:pStyle w:val="Normal"/>
        <w:widowControl/>
        <w:spacing w:after="120"/>
      </w:pPr>
      <w:r>
        <w:t xml:space="preserve"/>
      </w:r>
      <w:r>
        <w:t xml:space="preserve">[V16-33]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303">
        <w:r>
          <w:rPr>
            <w:color w:val="0563C1"/>
            <w:u w:val="single"/>
          </w:rPr>
          <w:t>Source</w:t>
        </w:r>
      </w:hyperlink>
      <w:r>
        <w:t xml:space="preserve"> | </w:t>
      </w:r>
      <w:hyperlink r:id="rId304">
        <w:r>
          <w:rPr>
            <w:color w:val="0563C1"/>
            <w:u w:val="single"/>
          </w:rPr>
          <w:t>Full-text access</w:t>
        </w:r>
      </w:hyperlink>
    </w:p>
    <w:p>
      <w:pPr>
        <w:pStyle w:val="Normal"/>
        <w:widowControl/>
        <w:spacing w:after="120"/>
      </w:pPr>
      <w:r>
        <w:t xml:space="preserve"/>
      </w:r>
      <w:r>
        <w:t xml:space="preserve">[V16-34] Yaqub, Sheraz; Busund, Sondre; Smedman, Tor Magnus; et al. Liver transplantation for locally advanced non-resectable intrahepatic cholangiocarcinoma treated with neoadjuvant therapy: early results from the TESLA trial. British Journal of Surgery. 2025. </w:t>
      </w:r>
      <w:hyperlink r:id="rId305">
        <w:r>
          <w:rPr>
            <w:color w:val="0563C1"/>
            <w:u w:val="single"/>
          </w:rPr>
          <w:t>Source</w:t>
        </w:r>
      </w:hyperlink>
      <w:r>
        <w:t xml:space="preserve"> | </w:t>
      </w:r>
      <w:hyperlink r:id="rId306">
        <w:r>
          <w:rPr>
            <w:color w:val="0563C1"/>
            <w:u w:val="single"/>
          </w:rPr>
          <w:t>Full-text access</w:t>
        </w:r>
      </w:hyperlink>
    </w:p>
    <w:p>
      <w:pPr>
        <w:pStyle w:val="Normal"/>
        <w:widowControl/>
        <w:spacing w:after="120"/>
      </w:pPr>
      <w:r>
        <w:t xml:space="preserve"/>
      </w:r>
      <w:r>
        <w:t xml:space="preserve">[V16-35] Dueland, Svein; Smedman, Tor Magnus; Syversveen, Trygve; et al. Long-Term Survival, Prognostic Factors, and Selection of Patients With Colorectal Cancer for Liver Transplant: A Nonrandomized Controlled Trial. JAMA surgery. 2023; 158(9):e232932. </w:t>
      </w:r>
      <w:hyperlink r:id="rId307">
        <w:r>
          <w:rPr>
            <w:color w:val="0563C1"/>
            <w:u w:val="single"/>
          </w:rPr>
          <w:t>Source</w:t>
        </w:r>
      </w:hyperlink>
      <w:r>
        <w:t xml:space="preserve"> | </w:t>
      </w:r>
      <w:hyperlink r:id="rId308">
        <w:r>
          <w:rPr>
            <w:color w:val="0563C1"/>
            <w:u w:val="single"/>
          </w:rPr>
          <w:t>Full-text access</w:t>
        </w:r>
      </w:hyperlink>
    </w:p>
    <w:p>
      <w:pPr>
        <w:pStyle w:val="Normal"/>
        <w:widowControl/>
        <w:spacing w:after="120"/>
      </w:pPr>
      <w:r>
        <w:t xml:space="preserve"/>
      </w:r>
      <w:r>
        <w:t xml:space="preserve">[V16-36] Hernandez-Alejandro, Roberto; Ruffolo, Luis I; Sasaki, Kazunari; et al. Recipient and Donor Outcomes After Living-Donor Liver Transplant for Unresectable Colorectal Liver Metastases. JAMA surgery. 2022; 157(6):524-530. </w:t>
      </w:r>
      <w:hyperlink r:id="rId309">
        <w:r>
          <w:rPr>
            <w:color w:val="0563C1"/>
            <w:u w:val="single"/>
          </w:rPr>
          <w:t>Source</w:t>
        </w:r>
      </w:hyperlink>
      <w:r>
        <w:t xml:space="preserve"> | </w:t>
      </w:r>
      <w:hyperlink r:id="rId310">
        <w:r>
          <w:rPr>
            <w:color w:val="0563C1"/>
            <w:u w:val="single"/>
          </w:rPr>
          <w:t>Full-text access</w:t>
        </w:r>
      </w:hyperlink>
    </w:p>
    <w:p>
      <w:pPr>
        <w:pStyle w:val="Normal"/>
        <w:widowControl/>
        <w:spacing w:after="120"/>
      </w:pPr>
      <w:r>
        <w:t xml:space="preserve"/>
      </w:r>
      <w:r>
        <w:t xml:space="preserve">[V16-37] Hagness, Morten; Foss, Aksel; Egge, Tor Skatvedt; et al. Patterns of recurrence after liver transplantation for nonresectable liver metastases from colorectal cancer. Annals of surgical oncology. 2013; 21(4):1323-9. </w:t>
      </w:r>
      <w:hyperlink r:id="rId311">
        <w:r>
          <w:rPr>
            <w:color w:val="0563C1"/>
            <w:u w:val="single"/>
          </w:rPr>
          <w:t>Source</w:t>
        </w:r>
      </w:hyperlink>
      <w:r>
        <w:t xml:space="preserve"> | Local PDF not available in this update</w:t>
      </w:r>
    </w:p>
    <w:p>
      <w:pPr>
        <w:pStyle w:val="Normal"/>
        <w:widowControl/>
        <w:spacing w:after="120"/>
      </w:pPr>
      <w:r>
        <w:t xml:space="preserve"/>
      </w:r>
      <w:r>
        <w:t xml:space="preserve">[V16-38] Dueland. PET-uptake in liver metastases as method to predict tumor biological behavior in patients transplanted for colorectal liver metastases developing lung recurrence. Cancers. 2022. </w:t>
      </w:r>
      <w:hyperlink r:id="rId312">
        <w:r>
          <w:rPr>
            <w:color w:val="0563C1"/>
            <w:u w:val="single"/>
          </w:rPr>
          <w:t>Source</w:t>
        </w:r>
      </w:hyperlink>
      <w:r>
        <w:t xml:space="preserve"> | Local PDF not available in this update</w:t>
      </w:r>
    </w:p>
    <w:p>
      <w:pPr>
        <w:pStyle w:val="Normal"/>
        <w:widowControl/>
        <w:spacing w:after="120"/>
      </w:pPr>
      <w:r>
        <w:t xml:space="preserve"/>
      </w:r>
      <w:r>
        <w:t xml:space="preserve">[V16-39] Fukumitsu. Living-donor liver transplantation for non-resectable colorectal liver metastases: protocol for a multicentric, single-arm study. BMJ open. 2024. </w:t>
      </w:r>
      <w:hyperlink r:id="rId313">
        <w:r>
          <w:rPr>
            <w:color w:val="0563C1"/>
            <w:u w:val="single"/>
          </w:rPr>
          <w:t>Source</w:t>
        </w:r>
      </w:hyperlink>
      <w:r>
        <w:t xml:space="preserve"> | Local PDF not available in this update</w:t>
      </w:r>
    </w:p>
    <w:p>
      <w:pPr>
        <w:pStyle w:val="Normal"/>
        <w:widowControl/>
        <w:spacing w:after="120"/>
      </w:pPr>
      <w:r>
        <w:t xml:space="preserve"/>
      </w:r>
      <w:r>
        <w:t xml:space="preserve">[V16-40] Oslo University Hospital. A randomized clinical trial comparing overall survival in selected patients with colorectal carcinoma treated by liver transplantation or chemotherapy (SECA-III). ClinicalTrials.gov NCT03494946. 2016. </w:t>
      </w:r>
      <w:hyperlink r:id="rId314">
        <w:r>
          <w:rPr>
            <w:color w:val="0563C1"/>
            <w:u w:val="single"/>
          </w:rPr>
          <w:t>Source</w:t>
        </w:r>
      </w:hyperlink>
      <w:r>
        <w:t xml:space="preserve"> | Local PDF not available in this update</w:t>
      </w:r>
    </w:p>
    <w:p>
      <w:pPr>
        <w:pStyle w:val="Normal"/>
        <w:widowControl/>
        <w:spacing w:after="120"/>
      </w:pPr>
      <w:r>
        <w:t xml:space="preserve"/>
      </w:r>
      <w:r>
        <w:t xml:space="preserve">[V16-41] Milosevic, M; Edwards, J; Tsang, D; et al. Pulmonary Metastasectomy in Colorectal Cancer: updated analysis of 93 randomized patients - control survival is much better than previously assumed. Colorectal disease : the official journal of the Association of Coloproctology of Great Britain and Ireland. 2020; 22(10):1314-1324. </w:t>
      </w:r>
      <w:hyperlink r:id="rId315">
        <w:r>
          <w:rPr>
            <w:color w:val="0563C1"/>
            <w:u w:val="single"/>
          </w:rPr>
          <w:t>Source</w:t>
        </w:r>
      </w:hyperlink>
      <w:r>
        <w:t xml:space="preserve"> | Local PDF not available in this update</w:t>
      </w:r>
    </w:p>
    <w:p>
      <w:pPr>
        <w:pStyle w:val="Normal"/>
        <w:widowControl/>
        <w:spacing w:after="120"/>
      </w:pPr>
      <w:r>
        <w:t xml:space="preserve"/>
      </w:r>
      <w:r>
        <w:t xml:space="preserve">[V16-42] Grut, H; Solberg, S; Seierstad, T; et al. Growth rates of pulmonary metastases after liver transplantation for unresectable colorectal liver metastases. The British journal of surgery. 2017; 105(3):295-301. </w:t>
      </w:r>
      <w:hyperlink r:id="rId31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CRLM-B5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9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rsidR="00584615">
      <w:type w:val="continuous"/>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731EE2"/>
    <w:multiLevelType w:val="hybridMultilevel"/>
    <w:tmpl w:val="F5404430"/>
    <w:lvl w:ilvl="0" w:tplc="4E52252A">
      <w:start w:val="1"/>
      <w:numFmt w:val="decimal"/>
      <w:lvlText w:val="%1."/>
      <w:lvlJc w:val="left"/>
      <w:pPr>
        <w:spacing w:before="0" w:after="0"/>
        <w:ind w:left="720" w:hanging="360"/>
      </w:pPr>
    </w:lvl>
    <w:lvl w:ilvl="1" w:tplc="4782C134">
      <w:numFmt w:val="decimal"/>
      <w:lvlText w:val=""/>
      <w:lvlJc w:val="left"/>
    </w:lvl>
    <w:lvl w:ilvl="2" w:tplc="8C7E5D8A">
      <w:numFmt w:val="decimal"/>
      <w:lvlText w:val=""/>
      <w:lvlJc w:val="left"/>
    </w:lvl>
    <w:lvl w:ilvl="3" w:tplc="D436A04C">
      <w:numFmt w:val="decimal"/>
      <w:lvlText w:val=""/>
      <w:lvlJc w:val="left"/>
    </w:lvl>
    <w:lvl w:ilvl="4" w:tplc="21A04742">
      <w:numFmt w:val="decimal"/>
      <w:lvlText w:val=""/>
      <w:lvlJc w:val="left"/>
    </w:lvl>
    <w:lvl w:ilvl="5" w:tplc="237CD40A">
      <w:numFmt w:val="decimal"/>
      <w:lvlText w:val=""/>
      <w:lvlJc w:val="left"/>
    </w:lvl>
    <w:lvl w:ilvl="6" w:tplc="2E585434">
      <w:numFmt w:val="decimal"/>
      <w:lvlText w:val=""/>
      <w:lvlJc w:val="left"/>
    </w:lvl>
    <w:lvl w:ilvl="7" w:tplc="C99275CC">
      <w:numFmt w:val="decimal"/>
      <w:lvlText w:val=""/>
      <w:lvlJc w:val="left"/>
    </w:lvl>
    <w:lvl w:ilvl="8" w:tplc="ADA29F54">
      <w:numFmt w:val="decimal"/>
      <w:lvlText w:val=""/>
      <w:lvlJc w:val="left"/>
    </w:lvl>
  </w:abstractNum>
  <w:abstractNum w:abstractNumId="1" w15:restartNumberingAfterBreak="0">
    <w:nsid w:val="2F825611"/>
    <w:multiLevelType w:val="hybridMultilevel"/>
    <w:tmpl w:val="2CD08502"/>
    <w:lvl w:ilvl="0" w:tplc="1C741052">
      <w:start w:val="1"/>
      <w:numFmt w:val="bullet"/>
      <w:lvlText w:val="●"/>
      <w:lvlJc w:val="left"/>
      <w:pPr>
        <w:ind w:left="720" w:hanging="360"/>
      </w:pPr>
    </w:lvl>
    <w:lvl w:ilvl="1" w:tplc="66D21AB8">
      <w:start w:val="1"/>
      <w:numFmt w:val="bullet"/>
      <w:lvlText w:val="○"/>
      <w:lvlJc w:val="left"/>
      <w:pPr>
        <w:ind w:left="1440" w:hanging="360"/>
      </w:pPr>
    </w:lvl>
    <w:lvl w:ilvl="2" w:tplc="703A0068">
      <w:start w:val="1"/>
      <w:numFmt w:val="bullet"/>
      <w:lvlText w:val="■"/>
      <w:lvlJc w:val="left"/>
      <w:pPr>
        <w:ind w:left="2160" w:hanging="360"/>
      </w:pPr>
    </w:lvl>
    <w:lvl w:ilvl="3" w:tplc="02281D6E">
      <w:start w:val="1"/>
      <w:numFmt w:val="bullet"/>
      <w:lvlText w:val="●"/>
      <w:lvlJc w:val="left"/>
      <w:pPr>
        <w:ind w:left="2880" w:hanging="360"/>
      </w:pPr>
    </w:lvl>
    <w:lvl w:ilvl="4" w:tplc="66D6AA06">
      <w:start w:val="1"/>
      <w:numFmt w:val="bullet"/>
      <w:lvlText w:val="○"/>
      <w:lvlJc w:val="left"/>
      <w:pPr>
        <w:ind w:left="3600" w:hanging="360"/>
      </w:pPr>
    </w:lvl>
    <w:lvl w:ilvl="5" w:tplc="15C4676A">
      <w:start w:val="1"/>
      <w:numFmt w:val="bullet"/>
      <w:lvlText w:val="■"/>
      <w:lvlJc w:val="left"/>
      <w:pPr>
        <w:ind w:left="4320" w:hanging="360"/>
      </w:pPr>
    </w:lvl>
    <w:lvl w:ilvl="6" w:tplc="A9268944">
      <w:start w:val="1"/>
      <w:numFmt w:val="bullet"/>
      <w:lvlText w:val="●"/>
      <w:lvlJc w:val="left"/>
      <w:pPr>
        <w:ind w:left="5040" w:hanging="360"/>
      </w:pPr>
    </w:lvl>
    <w:lvl w:ilvl="7" w:tplc="59A46504">
      <w:start w:val="1"/>
      <w:numFmt w:val="bullet"/>
      <w:lvlText w:val="●"/>
      <w:lvlJc w:val="left"/>
      <w:pPr>
        <w:ind w:left="5760" w:hanging="360"/>
      </w:pPr>
    </w:lvl>
    <w:lvl w:ilvl="8" w:tplc="D62ABFF0">
      <w:start w:val="1"/>
      <w:numFmt w:val="bullet"/>
      <w:lvlText w:val="●"/>
      <w:lvlJc w:val="left"/>
      <w:pPr>
        <w:ind w:left="6480" w:hanging="360"/>
      </w:pPr>
    </w:lvl>
  </w:abstractNum>
  <w:num w:numId="1" w16cid:durableId="469636105">
    <w:abstractNumId w:val="1"/>
    <w:lvlOverride w:ilvl="0">
      <w:startOverride w:val="1"/>
    </w:lvlOverride>
  </w:num>
  <w:num w:numId="2" w16cid:durableId="1594389239">
    <w:abstractNumId w:val="0"/>
    <w:lvlOverride w:ilvl="0">
      <w:startOverride w:val="1"/>
    </w:lvlOverride>
  </w:num>
  <w:abstractNum w:abstractNumId="2">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2"/>
  </w:num>
  <w:abstractNum w:abstractNumId="3">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584615"/>
    <w:rsid w:val="00584615"/>
    <w:rsid w:val="007357E4"/>
    <w:rsid w:val="00F26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D8F3A3"/>
  <w15:docId w15:val="{161943B8-DA62-2840-B9E3-92DB815AC9E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etings.asco.org/abstracts-presentations/262594" TargetMode="External"/><Relationship Id="rId4" Type="http://schemas.openxmlformats.org/officeDocument/2006/relationships/webSettings" Target="webSettings.xml"/><Relationship Id="rId8" Type="http://schemas.openxmlformats.org/officeDocument/2006/relationships/hyperlink" Target="https://doi.org/10.1016/S0140-6736(24)01595-2" TargetMode="External"/><Relationship Id="rId9" Type="http://schemas.openxmlformats.org/officeDocument/2006/relationships/hyperlink" Target="https://drliuhao.github.io/mh-liver-pathways/evidence-libraries/" TargetMode="External"/><Relationship Id="rId10" Type="http://schemas.openxmlformats.org/officeDocument/2006/relationships/hyperlink" Target="https://doi.org/10.1097/SLA.0000000000007021" TargetMode="External"/><Relationship Id="rId11" Type="http://schemas.openxmlformats.org/officeDocument/2006/relationships/hyperlink" Target="https://drliuhao.github.io/mh-liver-pathways/evidence-libraries/" TargetMode="External"/><Relationship Id="rId12" Type="http://schemas.openxmlformats.org/officeDocument/2006/relationships/hyperlink" Target="https://doi.org/10.1097/SLA.0000000000003404" TargetMode="External"/><Relationship Id="rId13" Type="http://schemas.openxmlformats.org/officeDocument/2006/relationships/hyperlink" Target="https://drliuhao.github.io/mh-liver-pathways/evidence-libraries/" TargetMode="External"/><Relationship Id="rId14" Type="http://schemas.openxmlformats.org/officeDocument/2006/relationships/hyperlink" Target="https://doi.org/10.1097/SLA.0000000000007200" TargetMode="External"/><Relationship Id="rId15" Type="http://schemas.openxmlformats.org/officeDocument/2006/relationships/hyperlink" Target="https://drliuhao.github.io/mh-liver-pathways/evidence-libraries/" TargetMode="External"/><Relationship Id="rId16" Type="http://schemas.openxmlformats.org/officeDocument/2006/relationships/hyperlink" Target="https://doi.org/10.1016/S2468-1253(21)00219-3" TargetMode="External"/><Relationship Id="rId17" Type="http://schemas.openxmlformats.org/officeDocument/2006/relationships/hyperlink" Target="https://drliuhao.github.io/mh-liver-pathways/evidence-libraries/" TargetMode="External"/><Relationship Id="rId18" Type="http://schemas.openxmlformats.org/officeDocument/2006/relationships/hyperlink" Target="https://doi.org/10.1007/s00270-024-03743-8" TargetMode="External"/><Relationship Id="rId19" Type="http://schemas.openxmlformats.org/officeDocument/2006/relationships/hyperlink" Target="https://drliuhao.github.io/mh-liver-pathways/evidence-libraries/" TargetMode="External"/><Relationship Id="rId20" Type="http://schemas.openxmlformats.org/officeDocument/2006/relationships/hyperlink" Target="https://doi.org/10.1016/S0140-6736(24)01595-2" TargetMode="External"/><Relationship Id="rId21" Type="http://schemas.openxmlformats.org/officeDocument/2006/relationships/hyperlink" Target="https://drliuhao.github.io/mh-liver-pathways/evidence-libraries/" TargetMode="External"/><Relationship Id="rId22" Type="http://schemas.openxmlformats.org/officeDocument/2006/relationships/hyperlink" Target="https://doi.org/10.1007/s00270-024-03743-8" TargetMode="External"/><Relationship Id="rId23" Type="http://schemas.openxmlformats.org/officeDocument/2006/relationships/hyperlink" Target="https://drliuhao.github.io/mh-liver-pathways/evidence-libraries/"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rliuhao.github.io/mh-liver-pathways/evidence-libraries/" TargetMode="External"/><Relationship Id="rId26" Type="http://schemas.openxmlformats.org/officeDocument/2006/relationships/hyperlink" Target="https://doi.org/10.1097/SLA.0000000000005803" TargetMode="External"/><Relationship Id="rId27" Type="http://schemas.openxmlformats.org/officeDocument/2006/relationships/hyperlink" Target="https://drliuhao.github.io/mh-liver-pathways/evidence-libraries/" TargetMode="External"/><Relationship Id="rId28" Type="http://schemas.openxmlformats.org/officeDocument/2006/relationships/hyperlink" Target="https://doi.org/10.1001/jamasurg.2025.3600" TargetMode="External"/><Relationship Id="rId29" Type="http://schemas.openxmlformats.org/officeDocument/2006/relationships/hyperlink" Target="https://drliuhao.github.io/mh-liver-pathways/evidence-libraries/" TargetMode="External"/><Relationship Id="rId30" Type="http://schemas.openxmlformats.org/officeDocument/2006/relationships/hyperlink" Target="https://doi.org/10.1016/j.hpb.2018.02.377"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doi.org/10.1097/LVT.0000000000000417"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doi.org/10.1016/S0140-6736(24)01595-2"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97/SLA.0000000000005803"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oi.org/10.1016/S0140-6736(24)01595-2"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oi.org/10.1097/SLA.0000000000007200"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002/bjs5.50278"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007/s12149-022-01796-8"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97/LVT.0000000000000535"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200/CCI.23.00111"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oi.org/10.1016/S2468-1253(21)00219-3"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www.hrsa.gov/sites/default/files/hrsa/optn/adult-meld-exception-transplant-oncology-review-guidance.pdf"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pubmed.ncbi.nlm.nih.gov/38721015"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www.hrsa.gov/sites/default/files/hrsa/optn/adult-meld-exception-transplant-oncology-review-guidance.pdf"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02/bjs5.50278"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16/S0140-6736(24)01595-2"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97/SLA.0000000000007200"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1002/bjs5.50278"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doi.org/10.1097/SLA.0000000000007021"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oi.org/10.1097/LVT.0000000000000417"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www.hrsa.gov/sites/default/files/hrsa/optn/adult-meld-exception-transplant-oncology-review-guidance.pdf"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pubmed.ncbi.nlm.nih.gov/38721015"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016/S0140-6736(24)01595-2"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www.hrsa.gov/sites/default/files/hrsa/optn/optn_policies.pdf"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www.hrsa.gov/sites/default/files/hrsa/optn/adult-meld-exception-transplant-oncology-review-guidance.pdf"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1016/S0140-6736(24)01595-2"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oi.org/10.1016/S2468-1253(21)00219-3"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oi.org/10.1097/HEP.0000000000001644"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doi.org/10.1097/SLA.0000000000007021"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oi.org/10.1097/SLA.0000000000003404"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doi.org/10.1097/SLA.0000000000007200"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07/s00270-024-03743-8"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97/SLA.0000000000005803"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01/jamasurg.2025.3600"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016/j.hpb.2018.02.377"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097/LVT.0000000000000417"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002/bjs5.50278"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07/s12149-022-01796-8"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doi.org/10.1097/LVT.0000000000000535"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doi.org/10.1200/CCI.23.00111"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pubmed.ncbi.nlm.nih.gov/38721015"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doi.org/10.1016/j.jhep.2024.06.042"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oi.org/10.1155/joot/2545887"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www.ecfr.gov/current/title-45/subtitle-A/subchapter-A/part-46/subpart-A/section-46.111" TargetMode="External"/><Relationship Id="rId133" Type="http://schemas.openxmlformats.org/officeDocument/2006/relationships/hyperlink" Target="https://www.hrsa.gov/optn/professionals/resources/ethical-considerations/ethical-principles-in-the-allocation-of-human-organs" TargetMode="External"/><Relationship Id="rId134" Type="http://schemas.openxmlformats.org/officeDocument/2006/relationships/hyperlink" Target="https://doi.org/10.1038/s41571-026-01160-z"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doi.org/10.1016/S1470-2045(20)30224-2"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doi.org/10.1016/j.jhep.2024.03.020"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111/j.1600-6143.2011.03972.x"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doi.org/10.1111/ajt.14055"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1097/LVT.0000000000000303"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doi.org/10.1136/bmj.i5239"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3389/ti.2024.13641"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academic.oup.com/bjs/article/112/3/znaf054/8083032"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oi.org/10.1038/s41467-025-67824-z"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056/NEJMoa2214963"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oi.org/10.1016/S0140-6736(23)00772-9"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www.hrsa.gov/sites/default/files/hrsa/optn/optn_policies.pdf"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www.hrsa.gov/sites/default/files/hrsa/optn/adult-meld-exception-transplant-oncology-review-guidance.pdf"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doi.org/10.1016/S0140-6736(24)01595-2" TargetMode="External"/><Relationship Id="rId164" Type="http://schemas.openxmlformats.org/officeDocument/2006/relationships/hyperlink" Target="https://drliuhao.github.io/mh-liver-pathways/evidence-libraries/" TargetMode="External"/><Relationship Id="rId165" Type="http://schemas.openxmlformats.org/officeDocument/2006/relationships/hyperlink" Target="https://doi.org/10.1016/S2468-1253(21)00219-3"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097/HEP.0000000000001644"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097/SLA.0000000000007021" TargetMode="External"/><Relationship Id="rId170" Type="http://schemas.openxmlformats.org/officeDocument/2006/relationships/hyperlink" Target="https://drliuhao.github.io/mh-liver-pathways/evidence-libraries/" TargetMode="External"/><Relationship Id="rId171" Type="http://schemas.openxmlformats.org/officeDocument/2006/relationships/hyperlink" Target="https://doi.org/10.1097/SLA.0000000000003404" TargetMode="External"/><Relationship Id="rId172" Type="http://schemas.openxmlformats.org/officeDocument/2006/relationships/hyperlink" Target="https://drliuhao.github.io/mh-liver-pathways/evidence-libraries/" TargetMode="External"/><Relationship Id="rId173" Type="http://schemas.openxmlformats.org/officeDocument/2006/relationships/hyperlink" Target="https://doi.org/10.1097/SLA.0000000000007200" TargetMode="External"/><Relationship Id="rId174" Type="http://schemas.openxmlformats.org/officeDocument/2006/relationships/hyperlink" Target="https://drliuhao.github.io/mh-liver-pathways/evidence-libraries/" TargetMode="External"/><Relationship Id="rId175" Type="http://schemas.openxmlformats.org/officeDocument/2006/relationships/hyperlink" Target="https://doi.org/10.1007/s00270-024-03743-8" TargetMode="External"/><Relationship Id="rId176" Type="http://schemas.openxmlformats.org/officeDocument/2006/relationships/hyperlink" Target="https://drliuhao.github.io/mh-liver-pathways/evidence-libraries/" TargetMode="External"/><Relationship Id="rId177" Type="http://schemas.openxmlformats.org/officeDocument/2006/relationships/hyperlink" Target="https://doi.org/10.1097/SLA.0000000000005803" TargetMode="External"/><Relationship Id="rId178" Type="http://schemas.openxmlformats.org/officeDocument/2006/relationships/hyperlink" Target="https://drliuhao.github.io/mh-liver-pathways/evidence-libraries/" TargetMode="External"/><Relationship Id="rId179" Type="http://schemas.openxmlformats.org/officeDocument/2006/relationships/hyperlink" Target="https://doi.org/10.1001/jamasurg.2025.3600" TargetMode="External"/><Relationship Id="rId180" Type="http://schemas.openxmlformats.org/officeDocument/2006/relationships/hyperlink" Target="https://drliuhao.github.io/mh-liver-pathways/evidence-libraries/" TargetMode="External"/><Relationship Id="rId181" Type="http://schemas.openxmlformats.org/officeDocument/2006/relationships/hyperlink" Target="https://doi.org/10.1016/j.hpb.2018.02.377" TargetMode="External"/><Relationship Id="rId182" Type="http://schemas.openxmlformats.org/officeDocument/2006/relationships/hyperlink" Target="https://drliuhao.github.io/mh-liver-pathways/evidence-libraries/" TargetMode="External"/><Relationship Id="rId183" Type="http://schemas.openxmlformats.org/officeDocument/2006/relationships/hyperlink" Target="https://doi.org/10.1097/LVT.0000000000000417" TargetMode="External"/><Relationship Id="rId184" Type="http://schemas.openxmlformats.org/officeDocument/2006/relationships/hyperlink" Target="https://drliuhao.github.io/mh-liver-pathways/evidence-libraries/" TargetMode="External"/><Relationship Id="rId185" Type="http://schemas.openxmlformats.org/officeDocument/2006/relationships/hyperlink" Target="https://doi.org/10.1002/bjs5.50278" TargetMode="External"/><Relationship Id="rId186" Type="http://schemas.openxmlformats.org/officeDocument/2006/relationships/hyperlink" Target="https://drliuhao.github.io/mh-liver-pathways/evidence-libraries/" TargetMode="External"/><Relationship Id="rId187" Type="http://schemas.openxmlformats.org/officeDocument/2006/relationships/hyperlink" Target="https://doi.org/10.1007/s12149-022-01796-8" TargetMode="External"/><Relationship Id="rId188" Type="http://schemas.openxmlformats.org/officeDocument/2006/relationships/hyperlink" Target="https://drliuhao.github.io/mh-liver-pathways/evidence-libraries/" TargetMode="External"/><Relationship Id="rId189" Type="http://schemas.openxmlformats.org/officeDocument/2006/relationships/hyperlink" Target="https://doi.org/10.1097/LVT.0000000000000535" TargetMode="External"/><Relationship Id="rId190" Type="http://schemas.openxmlformats.org/officeDocument/2006/relationships/hyperlink" Target="https://drliuhao.github.io/mh-liver-pathways/evidence-libraries/" TargetMode="External"/><Relationship Id="rId191" Type="http://schemas.openxmlformats.org/officeDocument/2006/relationships/hyperlink" Target="https://doi.org/10.1200/CCI.23.00111"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pubmed.ncbi.nlm.nih.gov/38721015" TargetMode="External"/><Relationship Id="rId194" Type="http://schemas.openxmlformats.org/officeDocument/2006/relationships/hyperlink" Target="https://drliuhao.github.io/mh-liver-pathways/evidence-libraries/" TargetMode="External"/><Relationship Id="rId195" Type="http://schemas.openxmlformats.org/officeDocument/2006/relationships/hyperlink" Target="https://doi.org/10.1016/j.jhep.2024.06.042" TargetMode="External"/><Relationship Id="rId196" Type="http://schemas.openxmlformats.org/officeDocument/2006/relationships/hyperlink" Target="https://drliuhao.github.io/mh-liver-pathways/evidence-libraries/" TargetMode="External"/><Relationship Id="rId197" Type="http://schemas.openxmlformats.org/officeDocument/2006/relationships/hyperlink" Target="https://doi.org/10.1155/joot/2545887" TargetMode="External"/><Relationship Id="rId198" Type="http://schemas.openxmlformats.org/officeDocument/2006/relationships/hyperlink" Target="https://drliuhao.github.io/mh-liver-pathways/evidence-libraries/" TargetMode="External"/><Relationship Id="rId199" Type="http://schemas.openxmlformats.org/officeDocument/2006/relationships/hyperlink" Target="https://www.ecfr.gov/current/title-45/subtitle-A/subchapter-A/part-46/subpart-A/section-46.111" TargetMode="External"/><Relationship Id="rId200" Type="http://schemas.openxmlformats.org/officeDocument/2006/relationships/hyperlink" Target="https://www.hrsa.gov/optn/professionals/resources/ethical-considerations/ethical-principles-in-the-allocation-of-human-organs" TargetMode="External"/><Relationship Id="rId201" Type="http://schemas.openxmlformats.org/officeDocument/2006/relationships/hyperlink" Target="https://doi.org/10.1038/s41571-026-01160-z" TargetMode="External"/><Relationship Id="rId202" Type="http://schemas.openxmlformats.org/officeDocument/2006/relationships/hyperlink" Target="https://drliuhao.github.io/mh-liver-pathways/evidence-libraries/" TargetMode="External"/><Relationship Id="rId203" Type="http://schemas.openxmlformats.org/officeDocument/2006/relationships/hyperlink" Target="https://doi.org/10.1016/S1470-2045(20)30224-2" TargetMode="External"/><Relationship Id="rId204" Type="http://schemas.openxmlformats.org/officeDocument/2006/relationships/hyperlink" Target="https://drliuhao.github.io/mh-liver-pathways/evidence-libraries/" TargetMode="External"/><Relationship Id="rId205" Type="http://schemas.openxmlformats.org/officeDocument/2006/relationships/hyperlink" Target="https://doi.org/10.1016/j.jhep.2024.03.020" TargetMode="External"/><Relationship Id="rId206" Type="http://schemas.openxmlformats.org/officeDocument/2006/relationships/hyperlink" Target="https://drliuhao.github.io/mh-liver-pathways/evidence-libraries/" TargetMode="External"/><Relationship Id="rId207" Type="http://schemas.openxmlformats.org/officeDocument/2006/relationships/hyperlink" Target="https://doi.org/10.1111/j.1600-6143.2011.03972.x" TargetMode="External"/><Relationship Id="rId208" Type="http://schemas.openxmlformats.org/officeDocument/2006/relationships/hyperlink" Target="https://drliuhao.github.io/mh-liver-pathways/evidence-libraries/" TargetMode="External"/><Relationship Id="rId209" Type="http://schemas.openxmlformats.org/officeDocument/2006/relationships/hyperlink" Target="https://doi.org/10.1111/ajt.14055" TargetMode="External"/><Relationship Id="rId210" Type="http://schemas.openxmlformats.org/officeDocument/2006/relationships/hyperlink" Target="https://drliuhao.github.io/mh-liver-pathways/evidence-libraries/" TargetMode="External"/><Relationship Id="rId211" Type="http://schemas.openxmlformats.org/officeDocument/2006/relationships/hyperlink" Target="https://doi.org/10.1097/LVT.0000000000000303" TargetMode="External"/><Relationship Id="rId212" Type="http://schemas.openxmlformats.org/officeDocument/2006/relationships/hyperlink" Target="https://drliuhao.github.io/mh-liver-pathways/evidence-libraries/" TargetMode="External"/><Relationship Id="rId213" Type="http://schemas.openxmlformats.org/officeDocument/2006/relationships/hyperlink" Target="https://doi.org/10.1136/bmj.i5239" TargetMode="External"/><Relationship Id="rId214" Type="http://schemas.openxmlformats.org/officeDocument/2006/relationships/hyperlink" Target="https://drliuhao.github.io/mh-liver-pathways/evidence-libraries/" TargetMode="External"/><Relationship Id="rId215" Type="http://schemas.openxmlformats.org/officeDocument/2006/relationships/hyperlink" Target="https://doi.org/10.3389/ti.2024.13641" TargetMode="External"/><Relationship Id="rId216" Type="http://schemas.openxmlformats.org/officeDocument/2006/relationships/hyperlink" Target="https://drliuhao.github.io/mh-liver-pathways/evidence-libraries/" TargetMode="External"/><Relationship Id="rId217" Type="http://schemas.openxmlformats.org/officeDocument/2006/relationships/hyperlink" Target="https://academic.oup.com/bjs/article/112/3/znaf054/8083032" TargetMode="External"/><Relationship Id="rId218" Type="http://schemas.openxmlformats.org/officeDocument/2006/relationships/hyperlink" Target="https://drliuhao.github.io/mh-liver-pathways/evidence-libraries/" TargetMode="External"/><Relationship Id="rId219" Type="http://schemas.openxmlformats.org/officeDocument/2006/relationships/hyperlink" Target="https://doi.org/10.1038/s41467-025-67824-z" TargetMode="External"/><Relationship Id="rId220" Type="http://schemas.openxmlformats.org/officeDocument/2006/relationships/hyperlink" Target="https://drliuhao.github.io/mh-liver-pathways/evidence-libraries/" TargetMode="External"/><Relationship Id="rId221" Type="http://schemas.openxmlformats.org/officeDocument/2006/relationships/hyperlink" Target="https://doi.org/10.1056/NEJMoa2214963" TargetMode="External"/><Relationship Id="rId222" Type="http://schemas.openxmlformats.org/officeDocument/2006/relationships/hyperlink" Target="https://drliuhao.github.io/mh-liver-pathways/evidence-libraries/" TargetMode="External"/><Relationship Id="rId223" Type="http://schemas.openxmlformats.org/officeDocument/2006/relationships/hyperlink" Target="https://doi.org/10.1016/S0140-6736(23)00772-9" TargetMode="External"/><Relationship Id="rId224" Type="http://schemas.openxmlformats.org/officeDocument/2006/relationships/hyperlink" Target="https://drliuhao.github.io/mh-liver-pathways/evidence-libraries/" TargetMode="External"/><Relationship Id="rId225" Type="http://schemas.openxmlformats.org/officeDocument/2006/relationships/hyperlink" Target="https://doi.org/10.1016/S0140-6736(24)01595-2" TargetMode="External"/><Relationship Id="rId226" Type="http://schemas.openxmlformats.org/officeDocument/2006/relationships/hyperlink" Target="https://drliuhao.github.io/mh-liver-pathways/evidence-libraries/" TargetMode="External"/><Relationship Id="rId227" Type="http://schemas.openxmlformats.org/officeDocument/2006/relationships/hyperlink" Target="https://doi.org/10.1016/S2468-1253(21)00219-3" TargetMode="External"/><Relationship Id="rId228" Type="http://schemas.openxmlformats.org/officeDocument/2006/relationships/hyperlink" Target="https://drliuhao.github.io/mh-liver-pathways/evidence-libraries/" TargetMode="External"/><Relationship Id="rId229" Type="http://schemas.openxmlformats.org/officeDocument/2006/relationships/hyperlink" Target="https://doi.org/10.1002/bjs5.50278" TargetMode="External"/><Relationship Id="rId230" Type="http://schemas.openxmlformats.org/officeDocument/2006/relationships/hyperlink" Target="https://drliuhao.github.io/mh-liver-pathways/evidence-libraries/" TargetMode="External"/><Relationship Id="rId231" Type="http://schemas.openxmlformats.org/officeDocument/2006/relationships/hyperlink" Target="https://doi.org/10.1001/jamasurg.2023.2932" TargetMode="External"/><Relationship Id="rId232" Type="http://schemas.openxmlformats.org/officeDocument/2006/relationships/hyperlink" Target="https://drliuhao.github.io/mh-liver-pathways/evidence-libraries/" TargetMode="External"/><Relationship Id="rId233" Type="http://schemas.openxmlformats.org/officeDocument/2006/relationships/hyperlink" Target="https://doi.org/10.1001/jamasurg.2022.0300" TargetMode="External"/><Relationship Id="rId234" Type="http://schemas.openxmlformats.org/officeDocument/2006/relationships/hyperlink" Target="https://drliuhao.github.io/mh-liver-pathways/evidence-libraries/" TargetMode="External"/><Relationship Id="rId235" Type="http://schemas.openxmlformats.org/officeDocument/2006/relationships/hyperlink" Target="https://doi.org/10.1245/s10434-013-3449-9" TargetMode="External"/><Relationship Id="rId236" Type="http://schemas.openxmlformats.org/officeDocument/2006/relationships/hyperlink" Target="https://pmc.ncbi.nlm.nih.gov/articles/PMC9599638/" TargetMode="External"/><Relationship Id="rId237" Type="http://schemas.openxmlformats.org/officeDocument/2006/relationships/hyperlink" Target="https://pmc.ncbi.nlm.nih.gov/articles/PMC11580313/" TargetMode="External"/><Relationship Id="rId238" Type="http://schemas.openxmlformats.org/officeDocument/2006/relationships/hyperlink" Target="https://clinicaltrials.gov/study/NCT03494946" TargetMode="External"/><Relationship Id="rId239" Type="http://schemas.openxmlformats.org/officeDocument/2006/relationships/hyperlink" Target="https://doi.org/10.1111/codi.15113" TargetMode="External"/><Relationship Id="rId240" Type="http://schemas.openxmlformats.org/officeDocument/2006/relationships/hyperlink" Target="https://doi.org/10.1002/bjs.10651" TargetMode="External"/><Relationship Id="rId241" Type="http://schemas.openxmlformats.org/officeDocument/2006/relationships/hyperlink" Target="https://www.hrsa.gov/sites/default/files/hrsa/optn/optn_policies.pdf" TargetMode="External"/><Relationship Id="rId242" Type="http://schemas.openxmlformats.org/officeDocument/2006/relationships/hyperlink" Target="https://drliuhao.github.io/mh-liver-pathways/evidence-libraries/" TargetMode="External"/><Relationship Id="rId243" Type="http://schemas.openxmlformats.org/officeDocument/2006/relationships/hyperlink" Target="https://www.hrsa.gov/sites/default/files/hrsa/optn/adult-meld-exception-transplant-oncology-review-guidance.pdf" TargetMode="External"/><Relationship Id="rId244" Type="http://schemas.openxmlformats.org/officeDocument/2006/relationships/hyperlink" Target="https://drliuhao.github.io/mh-liver-pathways/evidence-libraries/" TargetMode="External"/><Relationship Id="rId245" Type="http://schemas.openxmlformats.org/officeDocument/2006/relationships/hyperlink" Target="https://doi.org/10.1016/S0140-6736(24)01595-2" TargetMode="External"/><Relationship Id="rId246" Type="http://schemas.openxmlformats.org/officeDocument/2006/relationships/hyperlink" Target="https://drliuhao.github.io/mh-liver-pathways/evidence-libraries/" TargetMode="External"/><Relationship Id="rId247" Type="http://schemas.openxmlformats.org/officeDocument/2006/relationships/hyperlink" Target="https://doi.org/10.1016/S2468-1253(21)00219-3" TargetMode="External"/><Relationship Id="rId248" Type="http://schemas.openxmlformats.org/officeDocument/2006/relationships/hyperlink" Target="https://drliuhao.github.io/mh-liver-pathways/evidence-libraries/" TargetMode="External"/><Relationship Id="rId249" Type="http://schemas.openxmlformats.org/officeDocument/2006/relationships/hyperlink" Target="https://doi.org/10.1097/HEP.0000000000001644" TargetMode="External"/><Relationship Id="rId250" Type="http://schemas.openxmlformats.org/officeDocument/2006/relationships/hyperlink" Target="https://drliuhao.github.io/mh-liver-pathways/evidence-libraries/" TargetMode="External"/><Relationship Id="rId251" Type="http://schemas.openxmlformats.org/officeDocument/2006/relationships/hyperlink" Target="https://doi.org/10.1097/SLA.0000000000007021" TargetMode="External"/><Relationship Id="rId252" Type="http://schemas.openxmlformats.org/officeDocument/2006/relationships/hyperlink" Target="https://drliuhao.github.io/mh-liver-pathways/evidence-libraries/" TargetMode="External"/><Relationship Id="rId253" Type="http://schemas.openxmlformats.org/officeDocument/2006/relationships/hyperlink" Target="https://doi.org/10.1097/SLA.0000000000003404" TargetMode="External"/><Relationship Id="rId254" Type="http://schemas.openxmlformats.org/officeDocument/2006/relationships/hyperlink" Target="https://drliuhao.github.io/mh-liver-pathways/evidence-libraries/" TargetMode="External"/><Relationship Id="rId255" Type="http://schemas.openxmlformats.org/officeDocument/2006/relationships/hyperlink" Target="https://doi.org/10.1097/SLA.0000000000007200" TargetMode="External"/><Relationship Id="rId256" Type="http://schemas.openxmlformats.org/officeDocument/2006/relationships/hyperlink" Target="https://drliuhao.github.io/mh-liver-pathways/evidence-libraries/" TargetMode="External"/><Relationship Id="rId257" Type="http://schemas.openxmlformats.org/officeDocument/2006/relationships/hyperlink" Target="https://doi.org/10.1007/s00270-024-03743-8" TargetMode="External"/><Relationship Id="rId258" Type="http://schemas.openxmlformats.org/officeDocument/2006/relationships/hyperlink" Target="https://drliuhao.github.io/mh-liver-pathways/evidence-libraries/" TargetMode="External"/><Relationship Id="rId259" Type="http://schemas.openxmlformats.org/officeDocument/2006/relationships/hyperlink" Target="https://doi.org/10.1097/SLA.0000000000005803" TargetMode="External"/><Relationship Id="rId260" Type="http://schemas.openxmlformats.org/officeDocument/2006/relationships/hyperlink" Target="https://drliuhao.github.io/mh-liver-pathways/evidence-libraries/" TargetMode="External"/><Relationship Id="rId261" Type="http://schemas.openxmlformats.org/officeDocument/2006/relationships/hyperlink" Target="https://doi.org/10.1001/jamasurg.2025.3600" TargetMode="External"/><Relationship Id="rId262" Type="http://schemas.openxmlformats.org/officeDocument/2006/relationships/hyperlink" Target="https://drliuhao.github.io/mh-liver-pathways/evidence-libraries/" TargetMode="External"/><Relationship Id="rId263" Type="http://schemas.openxmlformats.org/officeDocument/2006/relationships/hyperlink" Target="https://doi.org/10.1016/j.hpb.2018.02.377" TargetMode="External"/><Relationship Id="rId264" Type="http://schemas.openxmlformats.org/officeDocument/2006/relationships/hyperlink" Target="https://drliuhao.github.io/mh-liver-pathways/evidence-libraries/" TargetMode="External"/><Relationship Id="rId265" Type="http://schemas.openxmlformats.org/officeDocument/2006/relationships/hyperlink" Target="https://doi.org/10.1097/LVT.0000000000000417" TargetMode="External"/><Relationship Id="rId266" Type="http://schemas.openxmlformats.org/officeDocument/2006/relationships/hyperlink" Target="https://drliuhao.github.io/mh-liver-pathways/evidence-libraries/" TargetMode="External"/><Relationship Id="rId267" Type="http://schemas.openxmlformats.org/officeDocument/2006/relationships/hyperlink" Target="https://doi.org/10.1002/bjs5.50278" TargetMode="External"/><Relationship Id="rId268" Type="http://schemas.openxmlformats.org/officeDocument/2006/relationships/hyperlink" Target="https://drliuhao.github.io/mh-liver-pathways/evidence-libraries/" TargetMode="External"/><Relationship Id="rId269" Type="http://schemas.openxmlformats.org/officeDocument/2006/relationships/hyperlink" Target="https://doi.org/10.1007/s12149-022-01796-8" TargetMode="External"/><Relationship Id="rId270" Type="http://schemas.openxmlformats.org/officeDocument/2006/relationships/hyperlink" Target="https://drliuhao.github.io/mh-liver-pathways/evidence-libraries/" TargetMode="External"/><Relationship Id="rId271" Type="http://schemas.openxmlformats.org/officeDocument/2006/relationships/hyperlink" Target="https://doi.org/10.1097/LVT.0000000000000535" TargetMode="External"/><Relationship Id="rId272" Type="http://schemas.openxmlformats.org/officeDocument/2006/relationships/hyperlink" Target="https://drliuhao.github.io/mh-liver-pathways/evidence-libraries/" TargetMode="External"/><Relationship Id="rId273" Type="http://schemas.openxmlformats.org/officeDocument/2006/relationships/hyperlink" Target="https://doi.org/10.1200/CCI.23.00111" TargetMode="External"/><Relationship Id="rId274" Type="http://schemas.openxmlformats.org/officeDocument/2006/relationships/hyperlink" Target="https://drliuhao.github.io/mh-liver-pathways/evidence-libraries/" TargetMode="External"/><Relationship Id="rId275" Type="http://schemas.openxmlformats.org/officeDocument/2006/relationships/hyperlink" Target="https://pubmed.ncbi.nlm.nih.gov/38721015" TargetMode="External"/><Relationship Id="rId276" Type="http://schemas.openxmlformats.org/officeDocument/2006/relationships/hyperlink" Target="https://drliuhao.github.io/mh-liver-pathways/evidence-libraries/" TargetMode="External"/><Relationship Id="rId277" Type="http://schemas.openxmlformats.org/officeDocument/2006/relationships/hyperlink" Target="https://doi.org/10.1016/j.jhep.2024.06.042" TargetMode="External"/><Relationship Id="rId278" Type="http://schemas.openxmlformats.org/officeDocument/2006/relationships/hyperlink" Target="https://drliuhao.github.io/mh-liver-pathways/evidence-libraries/" TargetMode="External"/><Relationship Id="rId279" Type="http://schemas.openxmlformats.org/officeDocument/2006/relationships/hyperlink" Target="https://doi.org/10.1038/s41467-025-67824-z" TargetMode="External"/><Relationship Id="rId280" Type="http://schemas.openxmlformats.org/officeDocument/2006/relationships/hyperlink" Target="https://drliuhao.github.io/mh-liver-pathways/evidence-libraries/" TargetMode="External"/><Relationship Id="rId281" Type="http://schemas.openxmlformats.org/officeDocument/2006/relationships/hyperlink" Target="https://doi.org/10.1056/NEJMoa2214963" TargetMode="External"/><Relationship Id="rId282" Type="http://schemas.openxmlformats.org/officeDocument/2006/relationships/hyperlink" Target="https://drliuhao.github.io/mh-liver-pathways/evidence-libraries/" TargetMode="External"/><Relationship Id="rId283" Type="http://schemas.openxmlformats.org/officeDocument/2006/relationships/hyperlink" Target="https://doi.org/10.1016/S0140-6736(23)00772-9" TargetMode="External"/><Relationship Id="rId284" Type="http://schemas.openxmlformats.org/officeDocument/2006/relationships/hyperlink" Target="https://drliuhao.github.io/mh-liver-pathways/evidence-libraries/" TargetMode="External"/><Relationship Id="rId285" Type="http://schemas.openxmlformats.org/officeDocument/2006/relationships/hyperlink" Target="https://doi.org/10.1155/joot/2545887" TargetMode="External"/><Relationship Id="rId286" Type="http://schemas.openxmlformats.org/officeDocument/2006/relationships/hyperlink" Target="https://drliuhao.github.io/mh-liver-pathways/evidence-libraries/" TargetMode="External"/><Relationship Id="rId287" Type="http://schemas.openxmlformats.org/officeDocument/2006/relationships/hyperlink" Target="https://www.ecfr.gov/current/title-45/subtitle-A/subchapter-A/part-46/subpart-A/section-46.111" TargetMode="External"/><Relationship Id="rId288" Type="http://schemas.openxmlformats.org/officeDocument/2006/relationships/hyperlink" Target="https://www.hrsa.gov/optn/professionals/resources/ethical-considerations/ethical-principles-in-the-allocation-of-human-organs" TargetMode="External"/><Relationship Id="rId289" Type="http://schemas.openxmlformats.org/officeDocument/2006/relationships/hyperlink" Target="https://doi.org/10.1038/s41571-026-01160-z" TargetMode="External"/><Relationship Id="rId290" Type="http://schemas.openxmlformats.org/officeDocument/2006/relationships/hyperlink" Target="https://drliuhao.github.io/mh-liver-pathways/evidence-libraries/" TargetMode="External"/><Relationship Id="rId291" Type="http://schemas.openxmlformats.org/officeDocument/2006/relationships/hyperlink" Target="https://doi.org/10.1016/S1470-2045(20)30224-2" TargetMode="External"/><Relationship Id="rId292" Type="http://schemas.openxmlformats.org/officeDocument/2006/relationships/hyperlink" Target="https://drliuhao.github.io/mh-liver-pathways/evidence-libraries/" TargetMode="External"/><Relationship Id="rId293" Type="http://schemas.openxmlformats.org/officeDocument/2006/relationships/hyperlink" Target="https://doi.org/10.1016/j.jhep.2024.03.020" TargetMode="External"/><Relationship Id="rId294" Type="http://schemas.openxmlformats.org/officeDocument/2006/relationships/hyperlink" Target="https://drliuhao.github.io/mh-liver-pathways/evidence-libraries/" TargetMode="External"/><Relationship Id="rId295" Type="http://schemas.openxmlformats.org/officeDocument/2006/relationships/hyperlink" Target="https://doi.org/10.1111/j.1600-6143.2011.03972.x" TargetMode="External"/><Relationship Id="rId296" Type="http://schemas.openxmlformats.org/officeDocument/2006/relationships/hyperlink" Target="https://drliuhao.github.io/mh-liver-pathways/evidence-libraries/" TargetMode="External"/><Relationship Id="rId297" Type="http://schemas.openxmlformats.org/officeDocument/2006/relationships/hyperlink" Target="https://doi.org/10.1111/ajt.14055" TargetMode="External"/><Relationship Id="rId298" Type="http://schemas.openxmlformats.org/officeDocument/2006/relationships/hyperlink" Target="https://drliuhao.github.io/mh-liver-pathways/evidence-libraries/" TargetMode="External"/><Relationship Id="rId299" Type="http://schemas.openxmlformats.org/officeDocument/2006/relationships/hyperlink" Target="https://doi.org/10.1097/LVT.0000000000000303" TargetMode="External"/><Relationship Id="rId300" Type="http://schemas.openxmlformats.org/officeDocument/2006/relationships/hyperlink" Target="https://drliuhao.github.io/mh-liver-pathways/evidence-libraries/" TargetMode="External"/><Relationship Id="rId301" Type="http://schemas.openxmlformats.org/officeDocument/2006/relationships/hyperlink" Target="https://doi.org/10.1136/bmj.i5239" TargetMode="External"/><Relationship Id="rId302" Type="http://schemas.openxmlformats.org/officeDocument/2006/relationships/hyperlink" Target="https://drliuhao.github.io/mh-liver-pathways/evidence-libraries/" TargetMode="External"/><Relationship Id="rId303" Type="http://schemas.openxmlformats.org/officeDocument/2006/relationships/hyperlink" Target="https://doi.org/10.3389/ti.2024.13641" TargetMode="External"/><Relationship Id="rId304" Type="http://schemas.openxmlformats.org/officeDocument/2006/relationships/hyperlink" Target="https://drliuhao.github.io/mh-liver-pathways/evidence-libraries/" TargetMode="External"/><Relationship Id="rId305" Type="http://schemas.openxmlformats.org/officeDocument/2006/relationships/hyperlink" Target="https://academic.oup.com/bjs/article/112/3/znaf054/8083032" TargetMode="External"/><Relationship Id="rId306" Type="http://schemas.openxmlformats.org/officeDocument/2006/relationships/hyperlink" Target="https://drliuhao.github.io/mh-liver-pathways/evidence-libraries/" TargetMode="External"/><Relationship Id="rId307" Type="http://schemas.openxmlformats.org/officeDocument/2006/relationships/hyperlink" Target="https://doi.org/10.1001/jamasurg.2023.2932" TargetMode="External"/><Relationship Id="rId308" Type="http://schemas.openxmlformats.org/officeDocument/2006/relationships/hyperlink" Target="https://drliuhao.github.io/mh-liver-pathways/evidence-libraries/" TargetMode="External"/><Relationship Id="rId309" Type="http://schemas.openxmlformats.org/officeDocument/2006/relationships/hyperlink" Target="https://doi.org/10.1001/jamasurg.2022.0300" TargetMode="External"/><Relationship Id="rId310" Type="http://schemas.openxmlformats.org/officeDocument/2006/relationships/hyperlink" Target="https://drliuhao.github.io/mh-liver-pathways/evidence-libraries/" TargetMode="External"/><Relationship Id="rId311" Type="http://schemas.openxmlformats.org/officeDocument/2006/relationships/hyperlink" Target="https://doi.org/10.1245/s10434-013-3449-9" TargetMode="External"/><Relationship Id="rId312" Type="http://schemas.openxmlformats.org/officeDocument/2006/relationships/hyperlink" Target="https://pmc.ncbi.nlm.nih.gov/articles/PMC9599638/" TargetMode="External"/><Relationship Id="rId313" Type="http://schemas.openxmlformats.org/officeDocument/2006/relationships/hyperlink" Target="https://pmc.ncbi.nlm.nih.gov/articles/PMC11580313/" TargetMode="External"/><Relationship Id="rId314" Type="http://schemas.openxmlformats.org/officeDocument/2006/relationships/hyperlink" Target="https://clinicaltrials.gov/study/NCT03494946" TargetMode="External"/><Relationship Id="rId315" Type="http://schemas.openxmlformats.org/officeDocument/2006/relationships/hyperlink" Target="https://doi.org/10.1111/codi.15113" TargetMode="External"/><Relationship Id="rId316" Type="http://schemas.openxmlformats.org/officeDocument/2006/relationships/hyperlink" Target="https://doi.org/10.1002/bjs.10651" TargetMode="Externa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6050</Words>
  <Characters>34487</Characters>
  <Application>Microsoft Office Word</Application>
  <DocSecurity>0</DocSecurity>
  <Lines>287</Lines>
  <Paragraphs>80</Paragraphs>
  <ScaleCrop>false</ScaleCrop>
  <Company/>
  <LinksUpToDate>false</LinksUpToDate>
  <CharactersWithSpaces>40457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Liu, Hao</cp:lastModifiedBy>
  <cp:revision>2</cp:revision>
  <dcterms:created xsi:type="dcterms:W3CDTF">2026-07-15T22:53:00Z</dcterms:created>
  <dcterms:modified xsi:type="dcterms:W3CDTF">2026-10-29T14:21:26Z</dcterms:modified>
  <dc:title>UTHealth Houston and Memorial Hermann High Risk Liver Transplant Protocol for Colorectal Liver Metastases V8</dc:title>
  <dc:subject>Investigational CRLM pathway outside NLRB guidance criteria</dc:subject>
  <dc:description>V2 generated 2026-07-23 17:53:12 CDT; evidence corrections documented in 04_review_summary/OpenEvidence_Protocol_Audit_2026-07-23.md.</dc:description>
</cp:coreProperties>
</file>