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 Memorial Hermann — Hepatocellular adenoma Standard / Guidance-Aligned Transplant Protocol V16</w:t>
      </w:r>
    </w:p>
    <w:p>
      <w:pPr>
        <w:pStyle w:val="Normal"/>
        <w:widowControl/>
      </w:pPr>
      <w:r>
        <w:t xml:space="preserve">Complete clinical-operational draft. Standard policy and nonstandard guidance categories are identified separately; local changes require institutional ratification. No experimental pathway is activated by this update.</w:t>
      </w:r>
    </w:p>
    <w:p>
      <w:pPr>
        <w:spacing w:after="120"/>
      </w:pPr>
      <w:r>
        <w:rPr>
          <w:i/>
          <w:sz w:val="18"/>
        </w:rPr>
        <w:t xml:space="preserve">Standardized document set, 29 October 2026: this is the full-content document for the standard transplant pathway. Questions for consensus: HCA_4_Standard_Transplant_Questions.docx. Decision discussion for all settings: HCA_7_Decision_Discussion.docx. Web page: https://drliuhao.github.io/mh-liver-pathways/transplant/hca/</w:t>
      </w:r>
    </w:p>
    <w:p>
      <w:pPr>
        <w:pStyle w:val="Normal"/>
        <w:widowControl/>
      </w:pPr>
      <w:r>
        <w:t xml:space="preserve">Version 16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jMjUxZjMzNy04ZTIwLTViNWMtODQzNC04NjY2Yzg2OTNmMTgiIHRpbWVzdGFtcD0iMTc5MzI4MzY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jMjUxZjMzNy04ZTIwLTViNWMtODQzNC04NjY2Yzg2OTNmMTgiIHRpbWVzdGFtcD0iMTc5MzI4MzY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Clinical pathway and allocation requirements</w:t>
      </w:r>
    </w:p>
    <w:p>
      <w:pPr>
        <w:pStyle w:val="Normal"/>
        <w:widowControl/>
      </w:pPr>
      <w:r>
        <w:t xml:space="preserve">GUIDANCE-ALIGNED RARE-INDICATION NON-STANDARD EXCEPTION. Hepatocellular adenoma (HCA) is not a standardized diagnosis under OPTN Policy 9.5, and liver transplantation is not routine therapy for HCA. The December 2025 transplant-oncology guidance supports Adult Transplant Oncology NLRB consideration for specified high-risk, unresectable, or syndromic presentations. Recommended score: MMaT-3. Approval and extension are not automatic.</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jMjUxZjMzNy04ZTIwLTViNWMtODQzNC04NjY2Yzg2OTNmMTgiIHRpbWVzdGFtcD0iMTc5MzI4MzY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jMjUxZjMzNy04ZTIwLTViNWMtODQzNC04NjY2Yzg2OTNmMTgiIHRpbWVzdGFtcD0iMTc5MzI4MzY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Policy posting checked 24 October 2026: OPTN policy effective 1 October 2026 and transplant-oncology NLRB guidance December 2025. HCC and qualifying pCCA have standardized policy routes; iCCA, CRLM, NET, HEHE and HCA use nonstandard review. NLRB guidance is not OPTN policy or a clinical standard. Clinical candidacy, exception approval, donor clearance and research authorization are separate. Recheck the live source before submission.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jMjUxZjMzNy04ZTIwLTViNWMtODQzNC04NjY2Yzg2OTNmMTgiIHRpbWVzdGFtcD0iMTc5MzI4MzY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jMjUxZjMzNy04ZTIwLTViNWMtODQzNC04NjY2Yzg2OTNmMTgiIHRpbWVzdGFtcD0iMTc5MzI4MzY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Standard care remains risk-factor modification, observation, resection, embolization, or ablation. Transplantation requires multidisciplinary confirmation that these options are unsafe, infeasible, or inadequate and that the expected benefit justifies lifelong immunosuppression and graft use.</w:t>
      </w:r>
    </w:p>
    <w:p>
      <w:pPr>
        <w:pStyle w:val="Heading2"/>
        <w:keepNext/>
        <w:widowControl/>
      </w:pPr>
      <w:r>
        <w:t xml:space="preserve">PROTOCOL: HEPATOCELLULAR ADENOMA / HEPATIC ADENOMATOSIS</w:t>
      </w:r>
    </w:p>
    <w:p>
      <w:pPr>
        <w:pStyle w:val="Heading3"/>
        <w:keepNext/>
        <w:widowControl/>
      </w:pPr>
      <w:r>
        <w:t xml:space="preserve">1. Purpose and scope</w:t>
      </w:r>
    </w:p>
    <w:p>
      <w:pPr>
        <w:pStyle w:val="Normal"/>
        <w:widowControl/>
      </w:pPr>
      <w:r>
        <w:t xml:space="preserve">This protocol defines adult evaluation, disease-specific selection, NLRB exception submission, transplantation, and surveillance for rare HCA presentations in which non-transplant management cannot provide acceptable control. It does not expand transplant eligibility beyond the current guidance categories.</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jMjUxZjMzNy04ZTIwLTViNWMtODQzNC04NjY2Yzg2OTNmMTgiIHRpbWVzdGFtcD0iMTc5MzI4MzY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jMjUxZjMzNy04ZTIwLTViNWMtODQzNC04NjY2Yzg2OTNmMTgiIHRpbWVzdGFtcD0iMTc5MzI4MzY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Heading3"/>
        <w:keepNext/>
        <w:widowControl/>
      </w:pPr>
      <w:r>
        <w:t xml:space="preserve">2. Qualifying guidance routes</w:t>
      </w:r>
    </w:p>
    <w:p>
      <w:pPr>
        <w:pStyle w:val="Normal"/>
        <w:widowControl/>
      </w:pPr>
      <w:r>
        <w:t xml:space="preserve">A candidate must meet at least one route below, with the route named explicitly in the NLRB narrative:</w:t>
      </w:r>
    </w:p>
    <w:p>
      <w:pPr>
        <w:pStyle w:val="Normal"/>
        <w:widowControl/>
        <w:numPr>
          <w:ilvl w:val="0"/>
          <w:numId w:val="3"/>
        </w:numPr>
      </w:pPr>
      <w:r>
        <w:t xml:space="preserve">Syndromic route: adenoma in the presence of glycogen storage disease or Abernethy malformation/congenital portosystemic shunt. The narrative must still explain why transplantation is medically necessary.</w:t>
      </w:r>
    </w:p>
    <w:p>
      <w:pPr>
        <w:pStyle w:val="Normal"/>
        <w:widowControl/>
        <w:numPr>
          <w:ilvl w:val="0"/>
          <w:numId w:val="3"/>
        </w:numPr>
      </w:pPr>
      <w:r>
        <w:t xml:space="preserve">Molecular route: current guidance permits review of unresectable adenoma with beta-catenin mutation. Record sequencing versus surrogate, CTNNB1 exon/codon, diagnostic uncertainty, lesion behavior and available non-LT options. Exon-3 association with borderline/HCC pathology is not a validated individual transformation probability or automatic LT indication; no S45/non-S45 transplant-benefit cutoff is validated. OPEN local selection must justify why risk and unresectability warrant LT despite alternatives.</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jMjUxZjMzNy04ZTIwLTViNWMtODQzNC04NjY2Yzg2OTNmMTgiIHRpbWVzdGFtcD0iMTc5MzI4MzY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UzL2ouZ2FzdHJvLjIwMTYuMTEuMDQy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0MzA5L2FqZy4wMDAwMDAwMDAwMDAyODU3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Adenomatosis route: guidance specifies unresectable adenomatosis with &gt;10 adenomas. ACG may use ≥10 for the clinical definition; exactly 10 does not meet this wording. Number alone does not establish clinical LT benefit. OPEN local proposal additionally requires compelling growth, hemorrhage, malignant-risk/uncertainty, syndromic disease or functional threat after feasible alternatives; these added restrictions are local, not verbatim NLRB criteria.</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jMjUxZjMzNy04ZTIwLTViNWMtODQzNC04NjY2Yzg2OTNmMTgiIHRpbWVzdGFtcD0iMTc5MzI4MzY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0MzA5L2FqZy4wMDAwMDAwMDAwMDAyODU3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UzL2ouZ2FzdHJvLjIwMTYuMTEuMDQy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PHVybD5odHRwczovL2RvaS5vcmcvMTAuMTA5Ny9UWEQuMDAwMDAwMDAwMDAwMTI2N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Progressive/complicated route: adenoma or adenomas meeting all three conditions:</w:t>
      </w:r>
    </w:p>
    <w:p>
      <w:pPr>
        <w:pStyle w:val="Normal"/>
        <w:widowControl/>
        <w:numPr>
          <w:ilvl w:val="1"/>
          <w:numId w:val="3"/>
        </w:numPr>
      </w:pPr>
      <w:r>
        <w:t xml:space="preserve">Unresectable after expert hepatobiliary surgical review.</w:t>
      </w:r>
    </w:p>
    <w:p>
      <w:pPr>
        <w:pStyle w:val="Normal"/>
        <w:widowControl/>
        <w:numPr>
          <w:ilvl w:val="1"/>
          <w:numId w:val="3"/>
        </w:numPr>
      </w:pPr>
      <w:r>
        <w:t xml:space="preserve">Unresponsive to appropriate non-operative management, such as observation after stopping estrogen-containing medications, efforts to maintain an ideal body weight, transarterial embolization, or thermal ablation.</w:t>
      </w:r>
    </w:p>
    <w:p>
      <w:pPr>
        <w:pStyle w:val="Normal"/>
        <w:widowControl/>
        <w:numPr>
          <w:ilvl w:val="1"/>
          <w:numId w:val="3"/>
        </w:numPr>
      </w:pPr>
      <w:r>
        <w:t xml:space="preserve">Progressive or complicated by hemorrhage, rupture, or malignant transformation, with supportive details including lesion size.</w:t>
      </w:r>
    </w:p>
    <w:p>
      <w:pPr>
        <w:pStyle w:val="Heading3"/>
        <w:keepNext/>
        <w:widowControl/>
      </w:pPr>
      <w:r>
        <w:t xml:space="preserve">3. Diagnostic and multidisciplinary confirmation</w:t>
      </w:r>
    </w:p>
    <w:p>
      <w:pPr>
        <w:pStyle w:val="Normal"/>
        <w:widowControl/>
        <w:numPr>
          <w:ilvl w:val="0"/>
          <w:numId w:val="3"/>
        </w:numPr>
      </w:pPr>
      <w:r>
        <w:t xml:space="preserve">Review by transplant hepatology, transplant and hepatobiliary surgery, diagnostic and interventional radiology, and expert liver pathology; include metabolic genetics for glycogen storage disease and vascular expertise for Abernethy malformation.</w:t>
      </w:r>
    </w:p>
    <w:p>
      <w:pPr>
        <w:pStyle w:val="Normal"/>
        <w:widowControl/>
        <w:numPr>
          <w:ilvl w:val="0"/>
          <w:numId w:val="3"/>
        </w:numPr>
      </w:pPr>
      <w:r>
        <w:t xml:space="preserve">Obtain contrast-enhanced liver MRI, preferably with hepatobiliary contrast, documenting all measurable lesions, dominant-lesion size, distribution, vascular relationships, growth, hemorrhage, and resectability.</w:t>
      </w:r>
      <w:r>
        <w:t xml:space="preserve"> </w:t>
      </w:r>
      <w:r>
        <w:t xml:space="preserve"> </w:t>
      </w:r>
      <w:r>
        <w:fldChar w:fldCharType="begin"/>
      </w:r>
      <w:r>
        <w:instrText xml:space="preserve"> ADDIN EN.CITE </w:instrText>
      </w:r>
      <w:r>
        <w:fldChar w:fldCharType="begin">
          <w:fldData>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numPr>
          <w:ilvl w:val="0"/>
          <w:numId w:val="3"/>
        </w:numPr>
      </w:pPr>
      <w:r>
        <w:t xml:space="preserve">Use expert pathology review when tissue is available. Biopsy only when imaging is atypical, malignant transformation is suspected, or molecular subtype will change management; target the dominant or most suspicious lesion.</w:t>
      </w:r>
    </w:p>
    <w:p>
      <w:pPr>
        <w:pStyle w:val="Normal"/>
        <w:widowControl/>
        <w:numPr>
          <w:ilvl w:val="0"/>
          <w:numId w:val="3"/>
        </w:numPr>
      </w:pPr>
      <w:r>
        <w:t xml:space="preserve">For the molecular route, document CTNNB1 mutation and exon when possible. Exon 3 carries the strongest malignant association; the OPTN guidance does not distinguish exon categories.</w:t>
      </w:r>
    </w:p>
    <w:p>
      <w:pPr>
        <w:pStyle w:val="Normal"/>
        <w:widowControl/>
        <w:numPr>
          <w:ilvl w:val="0"/>
          <w:numId w:val="3"/>
        </w:numPr>
      </w:pPr>
      <w:r>
        <w:t xml:space="preserve">Distinguish HCA from well-differentiated HCC and other hepatocellular neoplasms.</w:t>
      </w:r>
    </w:p>
    <w:p>
      <w:pPr>
        <w:pStyle w:val="Normal"/>
        <w:widowControl/>
        <w:numPr>
          <w:ilvl w:val="0"/>
          <w:numId w:val="3"/>
        </w:numPr>
      </w:pPr>
      <w:r>
        <w:t xml:space="preserve">If malignant transformation to HCC is confirmed, complete liver/chest staging, AFP and expert pathology review, then evaluate the HCC pathway on its own criteria. Do not equate imaging diagnostic eligibility with all possible Class 5 routes; a biopsy-proven HCC may qualify if every policy requirement is satisfied.</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jMjUxZjMzNy04ZTIwLTViNWMtODQzNC04NjY2Yzg2OTNmMTgiIHRpbWVzdGFtcD0iMTc5MzI4MzY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Candidate WITH an at-risk background (cirrhosis or chronic hepatitis B): assess against the standardized HCC pathway on its own terms.</w:t>
      </w:r>
    </w:p>
    <w:p>
      <w:pPr>
        <w:pStyle w:val="Normal"/>
        <w:widowControl/>
        <w:numPr>
          <w:ilvl w:val="0"/>
          <w:numId w:val="3"/>
        </w:numPr>
      </w:pPr>
      <w:r>
        <w:t xml:space="preserve">Candidate without cirrhosis: standardized HCC exception is not categorically unavailable. Biopsy is an accepted Class 5 route in Table 9-9; assess every Policy 9.5.I requirement including nonresectability, tumor stage, AFP and absence of spread. Do not assume noncirrhotic imaging alone qualifies. Obtain expert pathology and allocation sign-off; otherwise use separately justified nonstandard review.</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jMjUxZjMzNy04ZTIwLTViNWMtODQzNC04NjY2Yzg2OTNmMTgiIHRpbWVzdGFtcD0iMTc5MzI4MzY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In either case, extrahepatic metastasis or macrovascular invasion excludes the candidate from this protocol. Confirm the current Class 5 imaging criteria and the available submission routes against the live Policy 9.5 posting before the first such submission.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jMjUxZjMzNy04ZTIwLTViNWMtODQzNC04NjY2Yzg2OTNmMTgiIHRpbWVzdGFtcD0iMTc5MzI4MzY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Heading3"/>
        <w:keepNext/>
        <w:widowControl/>
      </w:pPr>
      <w:r>
        <w:t xml:space="preserve">4. Risk modification and non-transplant treatment prerequisites</w:t>
      </w:r>
    </w:p>
    <w:p>
      <w:pPr>
        <w:pStyle w:val="Normal"/>
        <w:widowControl/>
        <w:numPr>
          <w:ilvl w:val="0"/>
          <w:numId w:val="3"/>
        </w:numPr>
      </w:pPr>
      <w:r>
        <w:t xml:space="preserve">Stop estrogen-containing medications and exogenous anabolic-androgen exposure when clinically feasible; provide contraceptive and pregnancy counseling.</w:t>
      </w:r>
    </w:p>
    <w:p>
      <w:pPr>
        <w:pStyle w:val="Normal"/>
        <w:widowControl/>
        <w:numPr>
          <w:ilvl w:val="0"/>
          <w:numId w:val="3"/>
        </w:numPr>
      </w:pPr>
      <w:r>
        <w:t xml:space="preserve">Institute weight-loss and metabolic-risk management when overweight or obesity contributes to disease burden.</w:t>
      </w:r>
    </w:p>
    <w:p>
      <w:pPr>
        <w:pStyle w:val="Normal"/>
        <w:widowControl/>
        <w:numPr>
          <w:ilvl w:val="0"/>
          <w:numId w:val="3"/>
        </w:numPr>
      </w:pPr>
      <w:r>
        <w:t xml:space="preserve">Optimize glycogen storage disease therapy and assess renal, metabolic, and systemic manifestations.</w:t>
      </w:r>
    </w:p>
    <w:p>
      <w:pPr>
        <w:pStyle w:val="Normal"/>
        <w:widowControl/>
        <w:numPr>
          <w:ilvl w:val="0"/>
          <w:numId w:val="3"/>
        </w:numPr>
      </w:pPr>
      <w:r>
        <w:t xml:space="preserve">Define Abernethy anatomy and assess whether shunt closure or another vascular intervention is feasible before transplantation.</w:t>
      </w:r>
    </w:p>
    <w:p>
      <w:pPr>
        <w:pStyle w:val="Normal"/>
        <w:widowControl/>
        <w:numPr>
          <w:ilvl w:val="0"/>
          <w:numId w:val="3"/>
        </w:numPr>
      </w:pPr>
      <w:r>
        <w:t xml:space="preserve">Document the feasibility and outcome of resection, staged resection, embolization, and ablation. An unsafe or clearly futile intervention is not required solely to demonstrate failure; the reason must be documented.</w:t>
      </w:r>
    </w:p>
    <w:p>
      <w:pPr>
        <w:pStyle w:val="Normal"/>
        <w:widowControl/>
        <w:numPr>
          <w:ilvl w:val="0"/>
          <w:numId w:val="3"/>
        </w:numPr>
      </w:pPr>
      <w:r>
        <w:t xml:space="preserve">For non-urgent estrogen- or weight-associated disease, repeat imaging after approximately 6 months of risk-factor modification before declaring progression. Urgent hemorrhage, rupture, or suspected malignancy may require accelerated decision-making.</w:t>
      </w:r>
    </w:p>
    <w:p>
      <w:pPr>
        <w:pStyle w:val="Heading3"/>
        <w:keepNext/>
        <w:widowControl/>
      </w:pPr>
      <w:r>
        <w:t xml:space="preserve">5. Selection and exclusion criteria</w:t>
      </w:r>
    </w:p>
    <w:p>
      <w:pPr>
        <w:pStyle w:val="Normal"/>
        <w:widowControl/>
        <w:numPr>
          <w:ilvl w:val="0"/>
          <w:numId w:val="3"/>
        </w:numPr>
      </w:pPr>
      <w:r>
        <w:t xml:space="preserve">Proceed only when the transplant selection committee concludes that transplantation offers a better risk-benefit profile than surveillance or liver-directed therapy.</w:t>
      </w:r>
    </w:p>
    <w:p>
      <w:pPr>
        <w:pStyle w:val="Normal"/>
        <w:widowControl/>
        <w:numPr>
          <w:ilvl w:val="0"/>
          <w:numId w:val="3"/>
        </w:numPr>
      </w:pPr>
      <w:r>
        <w:t xml:space="preserve">Do not list when disease is safely resectable with an adequate liver remnant.</w:t>
      </w:r>
    </w:p>
    <w:p>
      <w:pPr>
        <w:pStyle w:val="Normal"/>
        <w:widowControl/>
        <w:numPr>
          <w:ilvl w:val="0"/>
          <w:numId w:val="3"/>
        </w:numPr>
      </w:pPr>
      <w:r>
        <w:t xml:space="preserve">Do not list a stable low-risk HCA responding to hormone withdrawal or weight intervention unless another explicit guidance route is independently met and transplantation is justified.</w:t>
      </w:r>
    </w:p>
    <w:p>
      <w:pPr>
        <w:pStyle w:val="Normal"/>
        <w:widowControl/>
        <w:numPr>
          <w:ilvl w:val="0"/>
          <w:numId w:val="3"/>
        </w:numPr>
      </w:pPr>
      <w:r>
        <w:t xml:space="preserve">Do not list when the candidate has no qualifying guidance route or has not undergone adequate hepatobiliary surgical and interventional-radiology assessment.</w:t>
      </w:r>
    </w:p>
    <w:p>
      <w:pPr>
        <w:pStyle w:val="Normal"/>
        <w:widowControl/>
        <w:numPr>
          <w:ilvl w:val="0"/>
          <w:numId w:val="3"/>
        </w:numPr>
      </w:pPr>
      <w:r>
        <w:t xml:space="preserve">Exclude uncontrolled infection, prohibitive comorbidity, active uncontrolled substance-use disorder, or another standard transplant contraindication.</w:t>
      </w:r>
    </w:p>
    <w:p>
      <w:pPr>
        <w:pStyle w:val="Normal"/>
        <w:widowControl/>
        <w:numPr>
          <w:ilvl w:val="0"/>
          <w:numId w:val="3"/>
        </w:numPr>
      </w:pPr>
      <w:r>
        <w:t xml:space="preserve">For confirmed malignant transformation, exclude extrahepatic metastasis or macrovascular invasion from this protocol and route the case through the appropriate malignancy pathway.</w:t>
      </w:r>
    </w:p>
    <w:p>
      <w:pPr>
        <w:pStyle w:val="Heading3"/>
        <w:keepNext/>
        <w:widowControl/>
      </w:pPr>
      <w:r>
        <w:t xml:space="preserve">6. Pretransplant evaluation and waitlist surveillance</w:t>
      </w:r>
    </w:p>
    <w:p>
      <w:pPr>
        <w:pStyle w:val="Normal"/>
        <w:widowControl/>
        <w:numPr>
          <w:ilvl w:val="0"/>
          <w:numId w:val="3"/>
        </w:numPr>
      </w:pPr>
      <w:r>
        <w:t xml:space="preserve">Record HCA number, dominant and aggregate dimensions, bilobar distribution, growth trajectory, hemorrhage/rupture history, symptoms, prior resections, embolizations, ablations, and pathology/molecular results.</w:t>
      </w:r>
    </w:p>
    <w:p>
      <w:pPr>
        <w:pStyle w:val="Normal"/>
        <w:widowControl/>
        <w:numPr>
          <w:ilvl w:val="0"/>
          <w:numId w:val="3"/>
        </w:numPr>
      </w:pPr>
      <w:r>
        <w:t xml:space="preserve">Obtain CBC, comprehensive metabolic panel, INR, liver tests, and AFP when malignant transformation remains a concern. AFP does not exclude HCC when normal.</w:t>
      </w:r>
    </w:p>
    <w:p>
      <w:pPr>
        <w:pStyle w:val="Normal"/>
        <w:widowControl/>
        <w:numPr>
          <w:ilvl w:val="0"/>
          <w:numId w:val="3"/>
        </w:numPr>
      </w:pPr>
      <w:r>
        <w:t xml:space="preserve">For suspected or proven malignant transformation, complete chest and abdominal staging and review the case under the applicable HCC criteria.</w:t>
      </w:r>
    </w:p>
    <w:p>
      <w:pPr>
        <w:pStyle w:val="Normal"/>
        <w:widowControl/>
        <w:numPr>
          <w:ilvl w:val="0"/>
          <w:numId w:val="3"/>
        </w:numPr>
      </w:pPr>
      <w:r>
        <w:t xml:space="preserve">While listed, obtain multiphasic MRI or CT every 3 months, aligned with the 90-day exception-extension cycle. Shorten the interval for active growth, hemorrhage, or suspicious transformation.</w:t>
      </w:r>
    </w:p>
    <w:p>
      <w:pPr>
        <w:pStyle w:val="Normal"/>
        <w:widowControl/>
        <w:numPr>
          <w:ilvl w:val="0"/>
          <w:numId w:val="3"/>
        </w:numPr>
      </w:pPr>
      <w:r>
        <w:t xml:space="preserve">Re-review immediately for a new rupture, major hemorrhage, rapid growth, suspected HCC, or a newly feasible non-transplant option.</w:t>
      </w:r>
    </w:p>
    <w:p>
      <w:pPr>
        <w:pStyle w:val="Heading3"/>
        <w:keepNext/>
        <w:widowControl/>
      </w:pPr>
      <w:r>
        <w:t xml:space="preserve">7. NLRB exception request and extension</w:t>
      </w:r>
    </w:p>
    <w:p>
      <w:pPr>
        <w:pStyle w:val="Normal"/>
        <w:widowControl/>
        <w:numPr>
          <w:ilvl w:val="0"/>
          <w:numId w:val="3"/>
        </w:numPr>
      </w:pPr>
      <w:r>
        <w:t xml:space="preserve">Select the hepatic adenoma diagnosis option and submit a written justification narrative.</w:t>
      </w:r>
    </w:p>
    <w:p>
      <w:pPr>
        <w:pStyle w:val="Normal"/>
        <w:widowControl/>
        <w:numPr>
          <w:ilvl w:val="0"/>
          <w:numId w:val="3"/>
        </w:numPr>
      </w:pPr>
      <w:r>
        <w:t xml:space="preserve">Request MMaT-3 as recommended by the December 2025 guidance; do not describe the score as guaranteed or standardized.</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jMjUxZjMzNy04ZTIwLTViNWMtODQzNC04NjY2Yzg2OTNmMTgiIHRpbWVzdGFtcD0iMTc5MzI4MzY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jMjUxZjMzNy04ZTIwLTViNWMtODQzNC04NjY2Yzg2OTNmMTgiIHRpbWVzdGFtcD0iMTc5MzI4MzY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Name the qualifying route and provide supporting evidence: underlying syndrome or malformation; lesion number and dominant size; CTNNB1 result; resectability determination; risk-factor modification; treatments attempted or contraindicated; serial imaging; hemorrhage, rupture, progression, or malignant transformation; and current transplant suitability.</w:t>
      </w:r>
    </w:p>
    <w:p>
      <w:pPr>
        <w:pStyle w:val="Normal"/>
        <w:widowControl/>
        <w:numPr>
          <w:ilvl w:val="0"/>
          <w:numId w:val="3"/>
        </w:numPr>
      </w:pPr>
      <w:r>
        <w:t xml:space="preserve">Submit exception extensions on the applicable OPTN 90-day schedule with updated disease-specific evidence and continued suitability. Nonstandard oncology extensions require review; do not assume the standardized HCC auto-extension rule applies. Confirm operational deadlines in the live allocation system.</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jMjUxZjMzNy04ZTIwLTViNWMtODQzNC04NjY2Yzg2OTNmMTgiIHRpbWVzdGFtcD0iMTc5MzI4MzY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jMjUxZjMzNy04ZTIwLTViNWMtODQzNC04NjY2Yzg2OTNmMTgiIHRpbWVzdGFtcD0iMTc5MzI4MzY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Heading3"/>
        <w:keepNext/>
        <w:widowControl/>
      </w:pPr>
      <w:r>
        <w:t xml:space="preserve">8. Transplant and pathology management</w:t>
      </w:r>
    </w:p>
    <w:p>
      <w:pPr>
        <w:pStyle w:val="Normal"/>
        <w:widowControl/>
        <w:numPr>
          <w:ilvl w:val="0"/>
          <w:numId w:val="3"/>
        </w:numPr>
      </w:pPr>
      <w:r>
        <w:t xml:space="preserve">Deceased- or living-donor transplantation must comply with current OPTN allocation requirements and institutional donor-source ethics review.</w:t>
      </w:r>
    </w:p>
    <w:p>
      <w:pPr>
        <w:pStyle w:val="Normal"/>
        <w:widowControl/>
        <w:numPr>
          <w:ilvl w:val="0"/>
          <w:numId w:val="3"/>
        </w:numPr>
      </w:pPr>
      <w:r>
        <w:t xml:space="preserve">Use the standard institutional operative and immunosuppression protocols. No tumor-specific immunosuppression regimen is established for benign HCA.</w:t>
      </w:r>
    </w:p>
    <w:p>
      <w:pPr>
        <w:pStyle w:val="Normal"/>
        <w:widowControl/>
        <w:numPr>
          <w:ilvl w:val="0"/>
          <w:numId w:val="3"/>
        </w:numPr>
      </w:pPr>
      <w:r>
        <w:t xml:space="preserve">Perform comprehensive explant mapping and pathology, including lesion count, largest size, subtype, CTNNB1 findings, hemorrhage, necrosis, atypia, and occult HCC.</w:t>
      </w:r>
    </w:p>
    <w:p>
      <w:pPr>
        <w:pStyle w:val="Normal"/>
        <w:widowControl/>
        <w:numPr>
          <w:ilvl w:val="0"/>
          <w:numId w:val="3"/>
        </w:numPr>
      </w:pPr>
      <w:r>
        <w:t xml:space="preserve">If malignant transformation is found, stage the explant and define post-transplant surveillance in the transplant-oncology conference.</w:t>
      </w:r>
    </w:p>
    <w:p>
      <w:pPr>
        <w:pStyle w:val="Heading3"/>
        <w:keepNext/>
        <w:widowControl/>
      </w:pPr>
      <w:r>
        <w:t xml:space="preserve">9. Post-transplant follow-up</w:t>
      </w:r>
    </w:p>
    <w:p>
      <w:pPr>
        <w:pStyle w:val="Normal"/>
        <w:widowControl/>
        <w:numPr>
          <w:ilvl w:val="0"/>
          <w:numId w:val="3"/>
        </w:numPr>
      </w:pPr>
      <w:r>
        <w:t xml:space="preserve">For HCA without malignant transformation, follow standard transplant clinical and graft surveillance; no routine tumor imaging beyond clinically indicated baseline follow-up is mandated.</w:t>
      </w:r>
    </w:p>
    <w:p>
      <w:pPr>
        <w:pStyle w:val="Normal"/>
        <w:widowControl/>
        <w:numPr>
          <w:ilvl w:val="0"/>
          <w:numId w:val="3"/>
        </w:numPr>
      </w:pPr>
      <w:r>
        <w:t xml:space="preserve">For occult or known malignant transformation, use risk-adapted HCC surveillance, typically cross-sectional chest and abdominal imaging every 3 to 6 months for the first 2 years, then every 6 months through year 5, individualized to stage and pathology.</w:t>
      </w:r>
    </w:p>
    <w:p>
      <w:pPr>
        <w:pStyle w:val="Normal"/>
        <w:widowControl/>
        <w:numPr>
          <w:ilvl w:val="0"/>
          <w:numId w:val="3"/>
        </w:numPr>
      </w:pPr>
      <w:r>
        <w:t xml:space="preserve">Continue syndrome-specific follow-up for glycogen storage disease and congenital portosystemic-shunt manifestations that are not corrected completely by transplantation.</w:t>
      </w:r>
    </w:p>
    <w:p>
      <w:pPr>
        <w:pStyle w:val="Heading3"/>
        <w:keepNext/>
        <w:widowControl/>
      </w:pPr>
      <w:r>
        <w:t xml:space="preserve">10. Governance and quality review</w:t>
      </w:r>
    </w:p>
    <w:p>
      <w:pPr>
        <w:pStyle w:val="Normal"/>
        <w:widowControl/>
        <w:numPr>
          <w:ilvl w:val="0"/>
          <w:numId w:val="3"/>
        </w:numPr>
      </w:pPr>
      <w:r>
        <w:t xml:space="preserve">This is a clinical-operational draft, not patient-specific medical advice or final institutional policy.</w:t>
      </w:r>
    </w:p>
    <w:p>
      <w:pPr>
        <w:pStyle w:val="Normal"/>
        <w:widowControl/>
        <w:numPr>
          <w:ilvl w:val="0"/>
          <w:numId w:val="3"/>
        </w:numPr>
      </w:pPr>
      <w:r>
        <w:t xml:space="preserve">Require transplant selection and multidisciplinary benign-liver-tumor review before activation and before every exception submission or extension.</w:t>
      </w:r>
    </w:p>
    <w:p>
      <w:pPr>
        <w:pStyle w:val="Normal"/>
        <w:widowControl/>
        <w:numPr>
          <w:ilvl w:val="0"/>
          <w:numId w:val="3"/>
        </w:numPr>
      </w:pPr>
      <w:r>
        <w:t xml:space="preserve">Track NLRB decisions, waitlist events, donor source, pathology concordance, perioperative morbidity and mortality, graft and patient survival, and malignant transformation.</w:t>
      </w:r>
    </w:p>
    <w:p>
      <w:pPr>
        <w:pStyle w:val="Normal"/>
        <w:widowControl/>
        <w:numPr>
          <w:ilvl w:val="0"/>
          <w:numId w:val="3"/>
        </w:numPr>
      </w:pPr>
      <w:r>
        <w:t xml:space="preserve">Recheck the live OPTN policy and guidance immediately before committee adoption, exception submission, or extension.</w:t>
      </w:r>
    </w:p>
    <w:p>
      <w:pPr>
        <w:pStyle w:val="Heading2"/>
        <w:keepNext/>
        <w:widowControl/>
      </w:pPr>
      <w:r>
        <w:t xml:space="preserve">Full-text evidence update — interpret within the standard boundary</w:t>
      </w:r>
    </w:p>
    <w:p>
      <w:pPr>
        <w:pStyle w:val="Normal"/>
        <w:widowControl/>
      </w:pPr>
      <w:r>
        <w:t xml:space="preserve">The following new full-text findings qualify outcome counseling and operational decisions. Evidence from expanded or experimental cohorts does not enlarge this standard pathway. For proposed boundary changes, use the separately linked OPEN meeting record.</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C1E4F5"/>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C1E4F5"/>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ACG 2024</w:t>
            </w:r>
            <w:r>
              <w:t xml:space="preserve"> </w:t>
            </w:r>
            <w:r>
              <w:t xml:space="preserve"> </w:t>
            </w:r>
            <w:r>
              <w:fldChar w:fldCharType="begin"/>
            </w:r>
            <w:r>
              <w:instrText xml:space="preserve"> ADDIN EN.CITE </w:instrText>
            </w:r>
            <w:r>
              <w:fldChar w:fldCharType="begin">
                <w:fldData>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0MzA5L2FqZy4wMDAwMDAwMDAwMDAyODU3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ACG 2024, HCA recommendations/key concepts 11–18.</w:t>
            </w:r>
          </w:p>
          <w:p>
            <w:pPr>
              <w:pStyle w:val="Normal"/>
              <w:widowControl/>
              <w:spacing w:before="60" w:after="20"/>
            </w:pPr>
            <w:r>
              <w:t xml:space="preserve">Selection: Risk-stratified management and explicit alternative approaches to resection.</w:t>
            </w:r>
          </w:p>
          <w:p>
            <w:pPr>
              <w:pStyle w:val="Normal"/>
              <w:widowControl/>
              <w:spacing w:before="60" w:after="20"/>
            </w:pPr>
            <w:hyperlink r:id="rId23">
              <w:r>
                <w:rPr>
                  <w:color w:val="77230C"/>
                  <w:sz w:val="20"/>
                  <w:u w:val="single"/>
                </w:rPr>
                <w:t>Primary source</w:t>
              </w:r>
            </w:hyperlink>
            <w:r>
              <w:t xml:space="preserve"> | </w:t>
            </w:r>
            <w:hyperlink r:id="rId24">
              <w:r>
                <w:rPr>
                  <w:color w:val="77230C"/>
                  <w:sz w:val="20"/>
                  <w:u w:val="single"/>
                </w:rPr>
                <w:t>Full-text PDF</w:t>
              </w:r>
            </w:hyperlink>
          </w:p>
          <w:p>
            <w:pPr>
              <w:pStyle w:val="Normal"/>
              <w:widowControl/>
              <w:spacing w:before="60" w:after="20"/>
            </w:pPr>
            <w:r>
              <w:t xml:space="preserve">Locator: PDF pp4–5 key concepts, pp10–16 HCA, pp20–22 HEHE; full clinical text through p30 reviewed. Tables/figure captions and reference lists inspected.</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ACG recommends multidisciplinary characterization of uncertain lesions. HCA: MRI cannot reliably subtype beta-catenin lesions or separate them from well-differentiated HCC; suspicious change warrants tissue/MDT evaluation. Selected women with ≥5-cm HCA can have 6–12-month risk-factor modification; suspicion of malignancy should not wait. Resection remains preferred where feasible, with embolization/ablation alternatives when not. LT is reserved for selected unresectable complicated/molecular-risk disease. HEHE key concept 35 permits LT including selected extrahepatic disease.</w:t>
            </w:r>
          </w:p>
          <w:p>
            <w:pPr>
              <w:pStyle w:val="Normal"/>
              <w:widowControl/>
              <w:spacing w:before="60" w:after="20"/>
            </w:pPr>
            <w:r>
              <w:rPr>
                <w:b/>
              </w:rPr>
              <w:t xml:space="preserve">Do not infer: </w:t>
            </w:r>
            <w:r>
              <w:t xml:space="preserve">HCA and HEHE LT statements are ungraded key concepts, not high-certainty GRADE recommendations or allocation policy. ACG cites older OPTN guidance as policy; apply current HRSA/NLRB source separately. ACG ≥10 adenomatosis definition is not interchangeable with NLRB &gt;10. HEHE permissive wording conflicts with the disease-specific EHE consensus; do not erase that disagreement.</w:t>
            </w:r>
          </w:p>
        </w:tc>
      </w:tr>
      <w:tr>
        <w:trPr/>
        <w:tc>
          <w:tcPr>
            <w:tcW w:w="3400" w:type="dxa"/>
            <w:tcMar>
              <w:top w:w="90" w:type="dxa"/>
              <w:left w:w="90" w:type="dxa"/>
              <w:bottom w:w="90" w:type="dxa"/>
              <w:right w:w="90" w:type="dxa"/>
            </w:tcMar>
          </w:tcPr>
          <w:p>
            <w:pPr>
              <w:pStyle w:val="Normal"/>
              <w:widowControl/>
              <w:spacing w:before="60" w:after="20"/>
            </w:pPr>
            <w:r>
              <w:rPr>
                <w:b/>
              </w:rPr>
              <w:t xml:space="preserve">Chiche 2016</w:t>
            </w:r>
            <w:r>
              <w:t xml:space="preserve"> </w:t>
            </w:r>
            <w:r>
              <w:t xml:space="preserve"> </w:t>
            </w:r>
            <w:r>
              <w:fldChar w:fldCharType="begin"/>
            </w:r>
            <w:r>
              <w:instrText xml:space="preserve"> ADDIN EN.CITE </w:instrText>
            </w:r>
            <w:r>
              <w:fldChar w:fldCharType="begin">
                <w:fldData>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Retrospective European transplant series, 49 patients treated in 1986–2013; registry coding checked with centers and additional cases recovered directly. Sixteen had glycogen storage disease and seven vascular abnormalities; 21 had prior hepatic resection. This is a selected recipient cohort, not the natural history of untreated adenomatosis.</w:t>
            </w:r>
          </w:p>
          <w:p>
            <w:pPr>
              <w:pStyle w:val="Normal"/>
              <w:widowControl/>
              <w:spacing w:before="60" w:after="20"/>
            </w:pPr>
            <w:r>
              <w:t xml:space="preserve">Selection: LT indications: histologically confirmed HCC 16, suspected HCC 15, progression 8, hemorrhage 5, symptoms 5. Three living donors. Histology/molecular material available in only 23 patients.</w:t>
            </w:r>
          </w:p>
          <w:p>
            <w:pPr>
              <w:pStyle w:val="Normal"/>
              <w:widowControl/>
              <w:spacing w:before="60" w:after="20"/>
            </w:pPr>
            <w:hyperlink r:id="rId25">
              <w:r>
                <w:rPr>
                  <w:color w:val="77230C"/>
                  <w:sz w:val="20"/>
                  <w:u w:val="single"/>
                </w:rPr>
                <w:t>Primary source</w:t>
              </w:r>
            </w:hyperlink>
            <w:r>
              <w:t xml:space="preserve"> | </w:t>
            </w:r>
            <w:hyperlink r:id="rId26">
              <w:r>
                <w:rPr>
                  <w:color w:val="77230C"/>
                  <w:sz w:val="20"/>
                  <w:u w:val="single"/>
                </w:rPr>
                <w:t>Full-text PDF</w:t>
              </w:r>
            </w:hyperlink>
          </w:p>
          <w:p>
            <w:pPr>
              <w:pStyle w:val="Normal"/>
              <w:widowControl/>
              <w:spacing w:before="60" w:after="20"/>
            </w:pPr>
            <w:r>
              <w:t xml:space="preserve">Locator: PDF pp1–2/j516–517 identity and methods; pp3–5/j518–520 selection and outcomes; p6/j521 Table 3 pre-LT/explant distinction; pp7–9/j522–524 discussion and proposed criteria.</w:t>
            </w:r>
          </w:p>
          <w:p>
            <w:pPr>
              <w:pStyle w:val="Normal"/>
              <w:widowControl/>
              <w:spacing w:before="60" w:after="20"/>
            </w:pPr>
            <w:r>
              <w:t xml:space="preserve">Review depth: Complete 11-page published main article read, including all clinical text, methods, results, Tables 1–7, discussion and references; current Downloads copy identity verified by DOI/title. No external supplement was used.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Only 1/15 patients transplanted for suspected HCC had HCC confirmed. Seventeen patients had malignant transformation confirmed before and/or after LT; Table 3 includes previously removed HCC and negative or unavailable explant findings, so 17 is not an unambiguous explant-positive denominator. Three HCC recurrences were reported, all fatal; 41/49 were alive and well at final report. These are crude reported counts, not fixed-time Kaplan–Meier estimates. Harms: Three deaths within 90 days and five retransplantations. Prior surgery and vascular abnormalities increased technical complexity; 3/49 and 5/49 are observed event proportions, not contemporary risk predictions.</w:t>
            </w:r>
          </w:p>
          <w:p>
            <w:pPr>
              <w:pStyle w:val="Normal"/>
              <w:widowControl/>
              <w:spacing w:before="60" w:after="20"/>
            </w:pPr>
            <w:r>
              <w:rPr>
                <w:b/>
              </w:rPr>
              <w:t xml:space="preserve">Do not infer: </w:t>
            </w:r>
            <w:r>
              <w:t xml:space="preserve">No non-LT comparator; coding errors, missing molecular data, long historical era and recipient selection. The narrative calls 17 malignant explants, but Table 3 distinguishes pre-LT HCC from explant findings; retain the numerator of three recurrences without implying that all 17 explants were HCC-positive. The authors' major-or-three-minor criteria are a proposed center algorithm, not validated criteria or current allocation policy. Endpoint/time origin: Forty-nine transplanted patients; no complete listing or referral denominator. Median reported duration of survival 108 months, range 0–316; variable follow-up. Outcomes are conditional on receiving LT.</w:t>
            </w:r>
          </w:p>
        </w:tc>
      </w:tr>
      <w:tr>
        <w:trPr/>
        <w:tc>
          <w:tcPr>
            <w:tcW w:w="3400" w:type="dxa"/>
            <w:tcMar>
              <w:top w:w="90" w:type="dxa"/>
              <w:left w:w="90" w:type="dxa"/>
              <w:bottom w:w="90" w:type="dxa"/>
              <w:right w:w="90" w:type="dxa"/>
            </w:tcMar>
          </w:tcPr>
          <w:p>
            <w:pPr>
              <w:pStyle w:val="Normal"/>
              <w:widowControl/>
              <w:spacing w:before="60" w:after="20"/>
            </w:pPr>
            <w:r>
              <w:rPr>
                <w:b/>
              </w:rPr>
              <w:t xml:space="preserve">Haring 2019</w:t>
            </w:r>
            <w:r>
              <w:t xml:space="preserve"> </w:t>
            </w:r>
            <w:r>
              <w:t xml:space="preserve"> </w:t>
            </w:r>
            <w:r>
              <w:fldChar w:fldCharType="begin"/>
            </w:r>
            <w:r>
              <w:instrText xml:space="preserve"> ADDIN EN.CITE </w:instrText>
            </w:r>
            <w:r>
              <w:fldChar w:fldCharType="begin">
                <w:fldData>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bGl2LjE0MDc0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Retrospective hormone-withdrawal cohort, n=78.</w:t>
            </w:r>
          </w:p>
          <w:p>
            <w:pPr>
              <w:pStyle w:val="Normal"/>
              <w:widowControl/>
              <w:spacing w:before="60" w:after="20"/>
            </w:pPr>
            <w:r>
              <w:t xml:space="preserve">Selection: Stopped oral contraception; RECIST diameter response of largest HCA.</w:t>
            </w:r>
          </w:p>
          <w:p>
            <w:pPr>
              <w:pStyle w:val="Normal"/>
              <w:widowControl/>
              <w:spacing w:before="60" w:after="20"/>
            </w:pPr>
            <w:hyperlink r:id="rId27">
              <w:r>
                <w:rPr>
                  <w:color w:val="77230C"/>
                  <w:sz w:val="20"/>
                  <w:u w:val="single"/>
                </w:rPr>
                <w:t>Primary source</w:t>
              </w:r>
            </w:hyperlink>
            <w:r>
              <w:t xml:space="preserve"> | </w:t>
            </w:r>
            <w:hyperlink r:id="rId28">
              <w:r>
                <w:rPr>
                  <w:color w:val="77230C"/>
                  <w:sz w:val="20"/>
                  <w:u w:val="single"/>
                </w:rPr>
                <w:t>Full-text PDF</w:t>
              </w:r>
            </w:hyperlink>
          </w:p>
          <w:p>
            <w:pPr>
              <w:pStyle w:val="Normal"/>
              <w:widowControl/>
              <w:spacing w:before="60" w:after="20"/>
            </w:pPr>
            <w:r>
              <w:t xml:space="preserve">Locator: PDF pp2–7, cohort flow, Tables 1–4 and Discussion.</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Selected 78 women observed after OCP cessation: after median 1.3 years, 4 complete responses, 29 partial responses, 44 stable and 1 progression (a 10-to-16-mm lesion). Thus 77/78 were stable/regressing. Fourteen of 39 initially ≥50-mm HCAs became &lt;50 mm. No HCA-related hemorrhage/transformation was observed during follow-up; 18 later interventions included 15 resections and two major postoperative complications.</w:t>
            </w:r>
          </w:p>
          <w:p>
            <w:pPr>
              <w:pStyle w:val="Normal"/>
              <w:widowControl/>
              <w:spacing w:before="60" w:after="20"/>
            </w:pPr>
            <w:r>
              <w:rPr>
                <w:b/>
              </w:rPr>
              <w:t xml:space="preserve">Do not infer: </w:t>
            </w:r>
            <w:r>
              <w:t xml:space="preserve">Excluded men, GSD/MODY, prior hemorrhage and early interventions; 63% had unknown molecular subtype. This does not establish safety for high-risk lesions or justify mandatory prolonged waiting. Authors explicitly could not recommend a specific extended observation duration.</w:t>
            </w:r>
          </w:p>
        </w:tc>
      </w:tr>
      <w:tr>
        <w:trPr/>
        <w:tc>
          <w:tcPr>
            <w:tcW w:w="3400" w:type="dxa"/>
            <w:tcMar>
              <w:top w:w="90" w:type="dxa"/>
              <w:left w:w="90" w:type="dxa"/>
              <w:bottom w:w="90" w:type="dxa"/>
              <w:right w:w="90" w:type="dxa"/>
            </w:tcMar>
          </w:tcPr>
          <w:p>
            <w:pPr>
              <w:pStyle w:val="Normal"/>
              <w:widowControl/>
              <w:spacing w:before="60" w:after="20"/>
            </w:pPr>
            <w:r>
              <w:rPr>
                <w:b/>
              </w:rPr>
              <w:t xml:space="preserve">Nault 2017</w:t>
            </w:r>
            <w:r>
              <w:t xml:space="preserve"> </w:t>
            </w:r>
            <w:r>
              <w:t xml:space="preserve"> </w:t>
            </w:r>
            <w:r>
              <w:fldChar w:fldCharType="begin"/>
            </w:r>
            <w:r>
              <w:instrText xml:space="preserve"> ADDIN EN.CITE </w:instrText>
            </w:r>
            <w:r>
              <w:fldChar w:fldCharType="begin">
                <w:fldData>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UzL2ouZ2FzdHJvLjIwMTYuMTEuMDQy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Molecular study: 533 adenomas from 411 patients across 28 centers.</w:t>
            </w:r>
          </w:p>
          <w:p>
            <w:pPr>
              <w:pStyle w:val="Normal"/>
              <w:widowControl/>
              <w:spacing w:before="60" w:after="20"/>
            </w:pPr>
            <w:r>
              <w:t xml:space="preserve">Selection: Tissue-based classification, predominantly women; not a prospective population natural-history sample.</w:t>
            </w:r>
          </w:p>
          <w:p>
            <w:pPr>
              <w:pStyle w:val="Normal"/>
              <w:widowControl/>
              <w:spacing w:before="60" w:after="20"/>
            </w:pPr>
            <w:hyperlink r:id="rId29">
              <w:r>
                <w:rPr>
                  <w:color w:val="77230C"/>
                  <w:sz w:val="20"/>
                  <w:u w:val="single"/>
                </w:rPr>
                <w:t>Primary source</w:t>
              </w:r>
            </w:hyperlink>
            <w:r>
              <w:t xml:space="preserve"> | </w:t>
            </w:r>
            <w:hyperlink r:id="rId30">
              <w:r>
                <w:rPr>
                  <w:color w:val="77230C"/>
                  <w:sz w:val="20"/>
                  <w:u w:val="single"/>
                </w:rPr>
                <w:t>Full-text PDF</w:t>
              </w:r>
            </w:hyperlink>
          </w:p>
          <w:p>
            <w:pPr>
              <w:pStyle w:val="Normal"/>
              <w:widowControl/>
              <w:spacing w:before="60" w:after="20"/>
            </w:pPr>
            <w:r>
              <w:t xml:space="preserve">Locator: Main paper pp880–894; molecular classification, clinical-risk analysis, multitumor analysis and included supplementary figures.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Molecular/pathology cohort: 533 HCAs from 411 patients, 92% resected; 36 borderline and 15 HCC-transformed lesions. CTNNB1 exon 3 associated with the combined borderline/HCC endpoint (OR 9.3, 95% CI 4.4–20), not a prospective absolute transformation risk. Intertumor molecular heterogeneity occurred in 21/73 patients with multiple sampled tumors; exon 3 was in the largest tumor in 8/9 relevant cases.</w:t>
            </w:r>
          </w:p>
          <w:p>
            <w:pPr>
              <w:pStyle w:val="Normal"/>
              <w:widowControl/>
              <w:spacing w:before="60" w:after="20"/>
            </w:pPr>
            <w:r>
              <w:rPr>
                <w:b/>
              </w:rPr>
              <w:t xml:space="preserve">Do not infer: </w:t>
            </w:r>
            <w:r>
              <w:t xml:space="preserve">Highly selected tissue cohort, no LT-benefit comparison and no validated transplant cutoff for an individual exon or S45 substitution. Number of tumors alone did not determine complications. Do not convert association, a composite endpoint, or an upper subgroup percentage into individual lifetime cancer probability.</w:t>
            </w:r>
          </w:p>
        </w:tc>
      </w:tr>
      <w:tr>
        <w:trPr/>
        <w:tc>
          <w:tcPr>
            <w:tcW w:w="3400" w:type="dxa"/>
            <w:tcMar>
              <w:top w:w="90" w:type="dxa"/>
              <w:left w:w="90" w:type="dxa"/>
              <w:bottom w:w="90" w:type="dxa"/>
              <w:right w:w="90" w:type="dxa"/>
            </w:tcMar>
          </w:tcPr>
          <w:p>
            <w:pPr>
              <w:pStyle w:val="Normal"/>
              <w:widowControl/>
              <w:spacing w:before="60" w:after="20"/>
            </w:pPr>
            <w:r>
              <w:rPr>
                <w:b/>
              </w:rPr>
              <w:t xml:space="preserve">van Rosmalen 2019</w:t>
            </w:r>
            <w:r>
              <w:t xml:space="preserve"> </w:t>
            </w:r>
            <w:r>
              <w:t xml:space="preserve"> </w:t>
            </w:r>
            <w:r>
              <w:fldChar w:fldCharType="begin"/>
            </w:r>
            <w:r>
              <w:instrText xml:space="preserve"> ADDIN EN.CITE </w:instrText>
            </w:r>
            <w:r>
              <w:fldChar w:fldCharType="begin">
                <w:fldData>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PHVybD5odHRwczovL2RvaS5vcmcvMTAuMTAwMi9ianMuMTEyMTM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Six-center retrospective embolization cohort, n=59; 23 bleeding and 36 nonbleeding.</w:t>
            </w:r>
          </w:p>
          <w:p>
            <w:pPr>
              <w:pStyle w:val="Normal"/>
              <w:widowControl/>
              <w:spacing w:before="60" w:after="20"/>
            </w:pPr>
            <w:r>
              <w:t xml:space="preserve">Selection: Median lesion 76 mm; 57/59 women.</w:t>
            </w:r>
          </w:p>
          <w:p>
            <w:pPr>
              <w:pStyle w:val="Normal"/>
              <w:widowControl/>
              <w:spacing w:before="60" w:after="20"/>
            </w:pPr>
            <w:hyperlink r:id="rId31">
              <w:r>
                <w:rPr>
                  <w:color w:val="77230C"/>
                  <w:sz w:val="20"/>
                  <w:u w:val="single"/>
                </w:rPr>
                <w:t>Primary source</w:t>
              </w:r>
            </w:hyperlink>
            <w:r>
              <w:t xml:space="preserve"> | </w:t>
            </w:r>
            <w:hyperlink r:id="rId32">
              <w:r>
                <w:rPr>
                  <w:color w:val="77230C"/>
                  <w:sz w:val="20"/>
                  <w:u w:val="single"/>
                </w:rPr>
                <w:t>Full-text PDF</w:t>
              </w:r>
            </w:hyperlink>
          </w:p>
          <w:p>
            <w:pPr>
              <w:pStyle w:val="Normal"/>
              <w:widowControl/>
              <w:spacing w:before="60" w:after="20"/>
            </w:pPr>
            <w:r>
              <w:t xml:space="preserve">Locator: PDF pp2–7, Tables 1–3, safety/efficacy Results and Discussion.</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Multicenter 59-patient TAE cohort: 23 bleeding and 36 nonbleeding HCAs. Median size 76 mm before TAE, 48 mm at first follow-up (median 5.5 months), 45 mm at last follow-up (27.4 months; changing evaluable denominators). Six patients (10%) had major SIR-D complications; 20/59 later had surgery. One patient died three months after emergency TAE following hemorrhagic shock and aspiration pneumonia.</w:t>
            </w:r>
          </w:p>
          <w:p>
            <w:pPr>
              <w:pStyle w:val="Normal"/>
              <w:widowControl/>
              <w:spacing w:before="60" w:after="20"/>
            </w:pPr>
            <w:r>
              <w:rPr>
                <w:b/>
              </w:rPr>
              <w:t xml:space="preserve">Do not infer: </w:t>
            </w:r>
            <w:r>
              <w:t xml:space="preserve">Retrospective selection, no randomized comparison, and mortality attribution uncertain. Do not say zero deaths or infer that shrinkage eliminates malignant potential. The two beta-catenin cases are insufficient oncologic reassurance. TAE review is not a requirement to expose an unsuitable patient to TAE.</w:t>
            </w:r>
          </w:p>
        </w:tc>
      </w:tr>
      <w:tr>
        <w:trPr/>
        <w:tc>
          <w:tcPr>
            <w:tcW w:w="3400" w:type="dxa"/>
            <w:tcMar>
              <w:top w:w="90" w:type="dxa"/>
              <w:left w:w="90" w:type="dxa"/>
              <w:bottom w:w="90" w:type="dxa"/>
              <w:right w:w="90" w:type="dxa"/>
            </w:tcMar>
          </w:tcPr>
          <w:p>
            <w:pPr>
              <w:pStyle w:val="Normal"/>
              <w:widowControl/>
              <w:spacing w:before="60" w:after="20"/>
            </w:pPr>
            <w:r>
              <w:rPr>
                <w:b/>
              </w:rPr>
              <w:t xml:space="preserve">Ziogas 2022</w:t>
            </w:r>
            <w:r>
              <w:t xml:space="preserve"> </w:t>
            </w:r>
            <w:r>
              <w:t xml:space="preserve"> </w:t>
            </w:r>
            <w:r>
              <w:fldChar w:fldCharType="begin"/>
            </w:r>
            <w:r>
              <w:instrText xml:space="preserve"> ADDIN EN.CITE </w:instrText>
            </w:r>
            <w:r>
              <w:fldChar w:fldCharType="begin">
                <w:fldData>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PHVybD5odHRwczovL2RvaS5vcmcvMTAuMTA5Ny9UWEQuMDAwMDAwMDAwMDAwMTI2N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UNOS 1987–2020: 199 listed; 142 transplanted, including 118 listed for HCA and 24 incidental diagnoses.</w:t>
            </w:r>
          </w:p>
          <w:p>
            <w:pPr>
              <w:pStyle w:val="Normal"/>
              <w:widowControl/>
              <w:spacing w:before="60" w:after="20"/>
            </w:pPr>
            <w:r>
              <w:t xml:space="preserve">Selection: Mixed adults/children; 32/142 children; 89.4% had no HCC; size/count unavailable.</w:t>
            </w:r>
          </w:p>
          <w:p>
            <w:pPr>
              <w:pStyle w:val="Normal"/>
              <w:widowControl/>
              <w:spacing w:before="60" w:after="20"/>
            </w:pPr>
            <w:hyperlink r:id="rId33">
              <w:r>
                <w:rPr>
                  <w:color w:val="77230C"/>
                  <w:sz w:val="20"/>
                  <w:u w:val="single"/>
                </w:rPr>
                <w:t>Primary source</w:t>
              </w:r>
            </w:hyperlink>
            <w:r>
              <w:t xml:space="preserve"> | </w:t>
            </w:r>
            <w:hyperlink r:id="rId34">
              <w:r>
                <w:rPr>
                  <w:color w:val="77230C"/>
                  <w:sz w:val="20"/>
                  <w:u w:val="single"/>
                </w:rPr>
                <w:t>Full-text PDF</w:t>
              </w:r>
            </w:hyperlink>
          </w:p>
          <w:p>
            <w:pPr>
              <w:pStyle w:val="Normal"/>
              <w:widowControl/>
              <w:spacing w:before="60" w:after="20"/>
            </w:pPr>
            <w:r>
              <w:t xml:space="preserve">Locator: PDF pp2–9; UNOS flow, Tables 1–3 and Figures 2–3; systematic-review denominators.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UNOS: 199 listed; 18/199 died or became too sick (9.0% crude waitlist mortality). 142 LT recipients include 118 from the listing cohort and 24 incidental HCA diagnoses; 32/142 were children. Five-year patient survival 86.3% (95% CI 78.5–91.5) and graft survival 80.0% (71.7–86.1). The separate published-case synthesis has five-year survival 95% among 62 cases with complete survival data, not all 99 identified cases.</w:t>
            </w:r>
          </w:p>
          <w:p>
            <w:pPr>
              <w:pStyle w:val="Normal"/>
              <w:widowControl/>
              <w:spacing w:before="60" w:after="20"/>
            </w:pPr>
            <w:r>
              <w:rPr>
                <w:b/>
              </w:rPr>
              <w:t xml:space="preserve">Do not infer: </w:t>
            </w:r>
            <w:r>
              <w:t xml:space="preserve">Registry lacks lesion count, size and molecular detail; mixed adult/pediatric cohort and incidental diagnoses. Case-report publication bias and possible overlap with UNOS; do not pool populations or use these data to validate a genotype, count or waiting threshold. Survival is conditional on reaching LT.</w:t>
            </w:r>
          </w:p>
        </w:tc>
      </w:tr>
    </w:tbl>
    <w:p>
      <w:pPr>
        <w:pStyle w:val="Normal"/>
        <w:widowControl/>
      </w:pPr>
      <w:hyperlink r:id="rId35">
        <w:r>
          <w:rPr>
            <w:color w:val="77230C"/>
            <w:sz w:val="20"/>
            <w:u w:val="single"/>
          </w:rPr>
          <w:t>Separate evidence/alignment meeting record — OPEN boundary decisions</w:t>
        </w:r>
      </w:hyperlink>
    </w:p>
    <w:p>
      <w:pPr>
        <w:pStyle w:val="Normal"/>
        <w:widowControl/>
      </w:pPr>
      <w:r>
        <w:t xml:space="preserve">Evidence review record: </w:t>
      </w:r>
      <w:hyperlink r:id="rId36">
        <w:r>
          <w:rPr>
            <w:color w:val="77230C"/>
            <w:sz w:val="20"/>
            <w:u w:val="single"/>
          </w:rPr>
          <w:t>Five analyst comments and reconciliation</w:t>
        </w:r>
      </w:hyperlink>
      <w:r>
        <w:t xml:space="preserve">  |  </w:t>
      </w:r>
      <w:hyperlink r:id="rId37">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Standard-route clarification. The standardized pathway requires no extrahepatic disease. This section states how previously treated, responded extrahepatic disease is handled, and records the program position proposed for review.</w:t>
      </w:r>
    </w:p>
    <w:p>
      <w:pPr>
        <w:pStyle w:val="Heading2"/>
        <w:widowControl/>
        <w:keepNext/>
      </w:pPr>
      <w:r>
        <w:t xml:space="preserve">Hepatocellular adenoma — not applicable</w:t>
      </w:r>
    </w:p>
    <w:p>
      <w:pPr>
        <w:pStyle w:val="Normal"/>
        <w:widowControl/>
        <w:spacing w:after="120"/>
      </w:pPr>
      <w:r>
        <w:t xml:space="preserve">Not applicable. HCA is benign; extrahepatic disease arises only after malignant transformation (about 3–4% in pooled series, 3.1% series-only), when the HCC route and HCC-B5 apply. The HCA pathway already requires no extrahepatic metastasis and no macrovascular invasion where transformation is confirmed.</w:t>
      </w:r>
      <w:r>
        <w:t xml:space="preserve"> </w:t>
      </w:r>
      <w:r>
        <w:fldChar w:fldCharType="begin"/>
      </w:r>
      <w:r>
        <w:instrText xml:space="preserve"> ADDIN EN.CITE </w:instrText>
      </w:r>
      <w:r>
        <w:fldChar w:fldCharType="begin">
          <w:fldData>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ExMS9qLjE0NzctMjU3NC4yMDEwLjAwMjIyLng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r>
        <w:t xml:space="preserve"> </w:t>
      </w:r>
      <w:r>
        <w:fldChar w:fldCharType="begin"/>
      </w:r>
      <w:r>
        <w:instrText xml:space="preserve"> ADDIN EN.CITE </w:instrText>
      </w:r>
      <w:r>
        <w:fldChar w:fldCharType="begin">
          <w:fldData>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Molecular associations, lesion count and shrinking adenomas could be interpreted as automatic LT indications. </w:t>
      </w:r>
      <w:r>
        <w:rPr>
          <w:b/>
        </w:rPr>
        <w:t xml:space="preserve">Correction and reason: </w:t>
      </w:r>
      <w:r>
        <w:t xml:space="preserve">Separated composite pathology associations from individual risk, patient from graft survival, selected observation populations and TAE harms; retained individualized benefit review.</w:t>
      </w:r>
    </w:p>
    <w:p>
      <w:pPr>
        <w:pStyle w:val="Normal"/>
        <w:keepNext/>
        <w:widowControl/>
        <w:keepLines/>
      </w:pPr>
      <w:r>
        <w:rPr>
          <w:b/>
        </w:rPr>
        <w:t xml:space="preserve">Problem: </w:t>
      </w:r>
      <w:r>
        <w:t xml:space="preserve">Genotype and lesion count could imply automatic clinical need for LT. </w:t>
      </w:r>
      <w:r>
        <w:rPr>
          <w:b/>
        </w:rPr>
        <w:t xml:space="preserve">Correction and reason: </w:t>
      </w:r>
      <w:r>
        <w:t xml:space="preserve">Separated molecular pathology association from individual transformation risk and applied the guidance’s &gt;10—not ≥10—wording.</w:t>
      </w:r>
    </w:p>
    <w:p>
      <w:pPr>
        <w:pStyle w:val="Normal"/>
        <w:keepNext/>
        <w:widowControl/>
        <w:keepLines/>
      </w:pPr>
      <w:r>
        <w:rPr>
          <w:b/>
        </w:rPr>
        <w:t xml:space="preserve">Problem: </w:t>
      </w:r>
      <w:r>
        <w:t xml:space="preserve">Noncirrhotic HCA-derived HCC was routed automatically to nonstandard review. </w:t>
      </w:r>
      <w:r>
        <w:rPr>
          <w:b/>
        </w:rPr>
        <w:t xml:space="preserve">Correction and reason: </w:t>
      </w:r>
      <w:r>
        <w:t xml:space="preserve">Restored biopsy-proven Class 5 assessment under all HCC policy requirements, with expert pathology and allocation review.</w:t>
      </w:r>
    </w:p>
    <w:p>
      <w:pPr>
        <w:pStyle w:val="Normal"/>
        <w:keepNext/>
        <w:widowControl/>
        <w:keepLines/>
      </w:pPr>
      <w:r>
        <w:rPr>
          <w:b/>
        </w:rPr>
        <w:t xml:space="preserve">Problem: </w:t>
      </w:r>
      <w:r>
        <w:t xml:space="preserve">The new full texts were not linked to an updated evidence appraisal. </w:t>
      </w:r>
      <w:r>
        <w:rPr>
          <w:b/>
        </w:rPr>
        <w:t xml:space="preserve">Correction and reason: </w:t>
      </w:r>
      <w:r>
        <w:t xml:space="preserve">Added study-level outcomes, harms, denominators, source-specific limitations and depot links; the detailed paragraph reconciliation is retained in source/standard_body_reconciliation.json.</w:t>
      </w:r>
    </w:p>
    <w:p>
      <w:pPr>
        <w:pStyle w:val="Normal"/>
        <w:keepNext/>
        <w:widowControl/>
        <w:keepLines/>
      </w:pPr>
      <w:r>
        <w:rPr>
          <w:b/>
        </w:rPr>
        <w:t xml:space="preserve">Problem: </w:t>
      </w:r>
      <w:r>
        <w:t xml:space="preserve">Citation fields and source versions needed a consistent rebuild. </w:t>
      </w:r>
      <w:r>
        <w:rPr>
          <w:b/>
        </w:rPr>
        <w:t xml:space="preserve">Correction and reason: </w:t>
      </w:r>
      <w:r>
        <w:t xml:space="preserve">Populated structured EndNote citations and references, individual XML/RIS libraries and actual DOCX/PDF copies. Native Word/EndNote updating remains untested.</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56">
        <w:r>
          <w:rPr>
            <w:color w:val="0563C1"/>
            <w:u w:val="single"/>
          </w:rPr>
          <w:t>Source</w:t>
        </w:r>
      </w:hyperlink>
      <w:r>
        <w:t xml:space="preserve"> | </w:t>
      </w:r>
      <w:hyperlink r:id="rId57">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58">
        <w:r>
          <w:rPr>
            <w:color w:val="0563C1"/>
            <w:u w:val="single"/>
          </w:rPr>
          <w:t>Source</w:t>
        </w:r>
      </w:hyperlink>
      <w:r>
        <w:t xml:space="preserve"> | </w:t>
      </w:r>
      <w:hyperlink r:id="rId59">
        <w:r>
          <w:rPr>
            <w:color w:val="0563C1"/>
            <w:u w:val="single"/>
          </w:rPr>
          <w:t>Full-text access</w:t>
        </w:r>
      </w:hyperlink>
    </w:p>
    <w:p>
      <w:pPr>
        <w:pStyle w:val="Normal"/>
        <w:widowControl/>
        <w:spacing w:after="120"/>
      </w:pPr>
      <w:r>
        <w:t xml:space="preserve"/>
      </w:r>
      <w:r>
        <w:t xml:space="preserve">[V16-3] Nault, Jean-Charles; Couchy, Gabrielle; Balabaud, Charles; et al. Molecular Classification of Hepatocellular Adenoma Associates With Risk Factors, Bleeding, and Malignant Transformation. Gastroenterology. 2017; 152(4):880-894.e6. </w:t>
      </w:r>
      <w:hyperlink r:id="rId60">
        <w:r>
          <w:rPr>
            <w:color w:val="0563C1"/>
            <w:u w:val="single"/>
          </w:rPr>
          <w:t>Source</w:t>
        </w:r>
      </w:hyperlink>
      <w:r>
        <w:t xml:space="preserve"> | </w:t>
      </w:r>
      <w:hyperlink r:id="rId61">
        <w:r>
          <w:rPr>
            <w:color w:val="0563C1"/>
            <w:u w:val="single"/>
          </w:rPr>
          <w:t>Full-text access</w:t>
        </w:r>
      </w:hyperlink>
    </w:p>
    <w:p>
      <w:pPr>
        <w:pStyle w:val="Normal"/>
        <w:widowControl/>
        <w:spacing w:after="120"/>
      </w:pPr>
      <w:r>
        <w:t xml:space="preserve"/>
      </w:r>
      <w:r>
        <w:t xml:space="preserve">[V16-4] Frenette, Catherine; Mendiratta-Lala, Mishal; Salgia, Reena; et al. ACG Clinical Guideline: Focal Liver Lesions. American Journal of Gastroenterology. 2024; 119(7):1235-1271. </w:t>
      </w:r>
      <w:hyperlink r:id="rId62">
        <w:r>
          <w:rPr>
            <w:color w:val="0563C1"/>
            <w:u w:val="single"/>
          </w:rPr>
          <w:t>Source</w:t>
        </w:r>
      </w:hyperlink>
      <w:r>
        <w:t xml:space="preserve"> | </w:t>
      </w:r>
      <w:hyperlink r:id="rId63">
        <w:r>
          <w:rPr>
            <w:color w:val="0563C1"/>
            <w:u w:val="single"/>
          </w:rPr>
          <w:t>Full-text access</w:t>
        </w:r>
      </w:hyperlink>
    </w:p>
    <w:p>
      <w:pPr>
        <w:pStyle w:val="Normal"/>
        <w:widowControl/>
        <w:spacing w:after="120"/>
      </w:pPr>
      <w:r>
        <w:t xml:space="preserve"/>
      </w:r>
      <w:r>
        <w:t xml:space="preserve">[V16-5] Ziogas, Ioannis A.; Tasoudis, Panagiotis T.; Serifis, Nikolaos; et al. Liver Transplantation for Hepatic Adenoma: A UNOS Database Analysis and Systematic Review of the Literature. Transplantation Direct. 2022; 8(2):e1264. </w:t>
      </w:r>
      <w:hyperlink r:id="rId64">
        <w:r>
          <w:rPr>
            <w:color w:val="0563C1"/>
            <w:u w:val="single"/>
          </w:rPr>
          <w:t>Source</w:t>
        </w:r>
      </w:hyperlink>
      <w:r>
        <w:t xml:space="preserve"> | </w:t>
      </w:r>
      <w:hyperlink r:id="rId65">
        <w:r>
          <w:rPr>
            <w:color w:val="0563C1"/>
            <w:u w:val="single"/>
          </w:rPr>
          <w:t>Full-text access</w:t>
        </w:r>
      </w:hyperlink>
    </w:p>
    <w:p>
      <w:pPr>
        <w:pStyle w:val="Normal"/>
        <w:widowControl/>
        <w:spacing w:after="120"/>
      </w:pPr>
      <w:r>
        <w:t xml:space="preserve"/>
      </w:r>
      <w:r>
        <w:t xml:space="preserve">[V16-6] European Association for the Study of the Liver. EASL Clinical Practice Guidelines on the management of benign liver tumours. Journal of Hepatology. 2016; 65(2):386-398. </w:t>
      </w:r>
      <w:hyperlink r:id="rId66">
        <w:r>
          <w:rPr>
            <w:color w:val="0563C1"/>
            <w:u w:val="single"/>
          </w:rPr>
          <w:t>Source</w:t>
        </w:r>
      </w:hyperlink>
      <w:r>
        <w:t xml:space="preserve"> | </w:t>
      </w:r>
      <w:hyperlink r:id="rId67">
        <w:r>
          <w:rPr>
            <w:color w:val="0563C1"/>
            <w:u w:val="single"/>
          </w:rPr>
          <w:t>Full-text access</w:t>
        </w:r>
      </w:hyperlink>
    </w:p>
    <w:p>
      <w:pPr>
        <w:pStyle w:val="Normal"/>
        <w:widowControl/>
        <w:spacing w:after="120"/>
      </w:pPr>
      <w:r>
        <w:t xml:space="preserve"/>
      </w:r>
      <w:r>
        <w:t xml:space="preserve">[V16-7] Chiche, Laurence; David, Anaelle; Adam, René; et al. Liver transplantation for adenomatosis: European experience. Liver Transplantation. 2016; 22(4):516-526. </w:t>
      </w:r>
      <w:hyperlink r:id="rId68">
        <w:r>
          <w:rPr>
            <w:color w:val="0563C1"/>
            <w:u w:val="single"/>
          </w:rPr>
          <w:t>Source</w:t>
        </w:r>
      </w:hyperlink>
      <w:r>
        <w:t xml:space="preserve"> | </w:t>
      </w:r>
      <w:hyperlink r:id="rId69">
        <w:r>
          <w:rPr>
            <w:color w:val="0563C1"/>
            <w:u w:val="single"/>
          </w:rPr>
          <w:t>Full-text access</w:t>
        </w:r>
      </w:hyperlink>
    </w:p>
    <w:p>
      <w:pPr>
        <w:pStyle w:val="Normal"/>
        <w:widowControl/>
        <w:spacing w:after="120"/>
      </w:pPr>
      <w:r>
        <w:t xml:space="preserve"/>
      </w:r>
      <w:r>
        <w:t xml:space="preserve">[V16-8] Haring, Martijn P. D.; Gouw, Annette S. H.; de Haas, Robbert J.; et al. The effect of oral contraceptive pill cessation on hepatocellular adenoma diameter: A retrospective cohort study. Liver International. 2019; 39(5):905-913. </w:t>
      </w:r>
      <w:hyperlink r:id="rId70">
        <w:r>
          <w:rPr>
            <w:color w:val="0563C1"/>
            <w:u w:val="single"/>
          </w:rPr>
          <w:t>Source</w:t>
        </w:r>
      </w:hyperlink>
      <w:r>
        <w:t xml:space="preserve"> | </w:t>
      </w:r>
      <w:hyperlink r:id="rId71">
        <w:r>
          <w:rPr>
            <w:color w:val="0563C1"/>
            <w:u w:val="single"/>
          </w:rPr>
          <w:t>Full-text access</w:t>
        </w:r>
      </w:hyperlink>
    </w:p>
    <w:p>
      <w:pPr>
        <w:pStyle w:val="Normal"/>
        <w:widowControl/>
        <w:spacing w:after="120"/>
      </w:pPr>
      <w:r>
        <w:t xml:space="preserve"/>
      </w:r>
      <w:r>
        <w:t xml:space="preserve">[V16-9] van Rosmalen, B V; Klompenhouwer, A J; de Graeff, J Jaap; et al. Safety and efficacy of transarterial embolization of hepatocellular adenomas. British Journal of Surgery. 2019; 106(10):1362-1371. </w:t>
      </w:r>
      <w:hyperlink r:id="rId72">
        <w:r>
          <w:rPr>
            <w:color w:val="0563C1"/>
            <w:u w:val="single"/>
          </w:rPr>
          <w:t>Source</w:t>
        </w:r>
      </w:hyperlink>
      <w:r>
        <w:t xml:space="preserve"> | </w:t>
      </w:r>
      <w:hyperlink r:id="rId73">
        <w:r>
          <w:rPr>
            <w:color w:val="0563C1"/>
            <w:u w:val="single"/>
          </w:rPr>
          <w:t>Full-text access</w:t>
        </w:r>
      </w:hyperlink>
    </w:p>
    <w:p>
      <w:pPr>
        <w:pStyle w:val="Normal"/>
        <w:widowControl/>
        <w:spacing w:after="120"/>
      </w:pPr>
      <w:r>
        <w:t xml:space="preserve"/>
      </w:r>
      <w:r>
        <w:t xml:space="preserve">[V16-10] Stoot, Jan H M B; Coelen, Robert J S; De Jong, Mechteld C; et al. Malignant transformation of hepatocellular adenomas into hepatocellular carcinomas: a systematic review including more than 1600 adenoma cases. HPB : the official journal of the International Hepato Pancreato Biliary Association. 2010; 12(8):509-22. </w:t>
      </w:r>
      <w:hyperlink r:id="rId74">
        <w:r>
          <w:rPr>
            <w:color w:val="0563C1"/>
            <w:u w:val="single"/>
          </w:rPr>
          <w:t>Source</w:t>
        </w:r>
      </w:hyperlink>
      <w:r>
        <w:t xml:space="preserve"> | </w:t>
      </w:r>
      <w:hyperlink r:id="rId75">
        <w:r>
          <w:rPr>
            <w:color w:val="0563C1"/>
            <w:u w:val="single"/>
          </w:rPr>
          <w:t>Full-text access</w:t>
        </w:r>
      </w:hyperlink>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HCA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0 cited study lines rest on full-text reading (complete main text; relevant complete sections of long guidelines) and 0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type w:val="continuous"/>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ds-wdsufqyxf2rxmes6dj" Type="http://schemas.openxmlformats.org/officeDocument/2006/relationships/hyperlink" Target="https://doi.org/10.1097/HEP.0000000000001644" TargetMode="External"/><Relationship Id="rIdtcfr3obbkkcbhxhuzpwy-" Type="http://schemas.openxmlformats.org/officeDocument/2006/relationships/hyperlink" Target="https://jamanetwork.com/journals/jamasurgery/fullarticle/10.1001/jamasurg.2023.6083?utm_source=openevidence&amp;utm_medium=referral" TargetMode="External"/><Relationship Id="rIdeznrhtsq7h54sptqk9n88" Type="http://schemas.openxmlformats.org/officeDocument/2006/relationships/hyperlink" Target="https://pubmed.ncbi.nlm.nih.gov/39547997" TargetMode="External"/><Relationship Id="rIdrqftlgqc6gh4johdfomxs" Type="http://schemas.openxmlformats.org/officeDocument/2006/relationships/hyperlink" Target="https://pubmed.ncbi.nlm.nih.gov/35975918" TargetMode="External"/><Relationship Id="rIdsexfqrynmopwsnzwcaeby" Type="http://schemas.openxmlformats.org/officeDocument/2006/relationships/hyperlink" Target="https://pubmed.ncbi.nlm.nih.gov/24384494" TargetMode="External"/><Relationship Id="rIdqqjatj-j_qy8ssb2ncq4x" Type="http://schemas.openxmlformats.org/officeDocument/2006/relationships/hyperlink" Target="https://www.nccn.org/professionals/physician_gls/pdf/neuroendocrine.pdf#page=85" TargetMode="External"/><Relationship Id="rIdwnn-irhqxyamozrph8ip0" Type="http://schemas.openxmlformats.org/officeDocument/2006/relationships/hyperlink" Target="https://meetings.asco.org/abstracts-presentations/265146" TargetMode="External"/><Relationship Id="rIdpeghdabylkcldl_men63k" Type="http://schemas.openxmlformats.org/officeDocument/2006/relationships/hyperlink" Target="https://pubmed.ncbi.nlm.nih.gov/32520679" TargetMode="External"/><Relationship Id="rIduotsek3z0zjbexxxhz4ed" Type="http://schemas.openxmlformats.org/officeDocument/2006/relationships/hyperlink" Target="https://pubmed.ncbi.nlm.nih.gov/39306468" TargetMode="External"/><Relationship Id="rId6ich49yccmu90slafwzqn" Type="http://schemas.openxmlformats.org/officeDocument/2006/relationships/hyperlink" Target="https://pubmed.ncbi.nlm.nih.gov/28230639" TargetMode="External"/><Relationship Id="rIdmk6hdw8gnueekylov--lw" Type="http://schemas.openxmlformats.org/officeDocument/2006/relationships/hyperlink" Target="https://doi.org/10.1097/LVT.0000000000000715" TargetMode="External"/><Relationship Id="rId_j0ycn_h3oziqsj3ofsz8" Type="http://schemas.openxmlformats.org/officeDocument/2006/relationships/hyperlink" Target="https://pubmed.ncbi.nlm.nih.gov/33908381" TargetMode="External"/><Relationship Id="rIdyrr_m5zb_ygx24k-h0q47" Type="http://schemas.openxmlformats.org/officeDocument/2006/relationships/hyperlink" Target="https://pubmed.ncbi.nlm.nih.gov/41760506" TargetMode="External"/><Relationship Id="rIdjetizatnpmv9j7si54kpj" Type="http://schemas.openxmlformats.org/officeDocument/2006/relationships/hyperlink" Target="https://pubmed.ncbi.nlm.nih.gov/37208101" TargetMode="External"/><Relationship Id="rIdw1jzn_g1vtqsmv9yqhjte" Type="http://schemas.openxmlformats.org/officeDocument/2006/relationships/hyperlink" Target="https://pubmed.ncbi.nlm.nih.gov/42234009" TargetMode="External"/><Relationship Id="rIdvicdzinwhbffzc-amx4ne" Type="http://schemas.openxmlformats.org/officeDocument/2006/relationships/hyperlink" Target="https://pubmed.ncbi.nlm.nih.gov/32213292" TargetMode="External"/><Relationship Id="rId22" Type="http://schemas.openxmlformats.org/officeDocument/2006/relationships/fontTable" Target="fontTable.xml"/><Relationship Id="rId6" Type="http://schemas.openxmlformats.org/officeDocument/2006/relationships/hyperlink" Target="https://www.hrsa.gov/sites/default/files/hrsa/optn/adult-meld-exception-transplant-oncology-review-guidance.pdf" TargetMode="External"/><Relationship Id="rId7" Type="http://schemas.openxmlformats.org/officeDocument/2006/relationships/hyperlink" Target="https://doi.org/10.1016/j.jhep.2016.04.001" TargetMode="External"/><Relationship Id="rId8" Type="http://schemas.openxmlformats.org/officeDocument/2006/relationships/hyperlink" Target="https://www.hrsa.gov/sites/default/files/hrsa/optn/optn_policies.pdf" TargetMode="External"/><Relationship Id="rId9" Type="http://schemas.openxmlformats.org/officeDocument/2006/relationships/hyperlink" Target="https://doi.org/10.14309/ajg.0000000000002857" TargetMode="External"/><Relationship Id="rId10" Type="http://schemas.openxmlformats.org/officeDocument/2006/relationships/hyperlink" Target="https://doi.org/10.1097/TXD.0000000000001264" TargetMode="External"/><Relationship Id="rId11" Type="http://schemas.openxmlformats.org/officeDocument/2006/relationships/hyperlink" Target="https://doi.org/10.1002/lt.24417" TargetMode="External"/><Relationship Id="rId12" Type="http://schemas.openxmlformats.org/officeDocument/2006/relationships/hyperlink" Target="https://doi.org/10.1053/j.gastro.2016.11.042" TargetMode="External"/><Relationship Id="rId13" Type="http://schemas.openxmlformats.org/officeDocument/2006/relationships/hyperlink" Target="https://doi.org/10.1001/jamasurg.2014.3166" TargetMode="External"/><Relationship Id="rId14" Type="http://schemas.openxmlformats.org/officeDocument/2006/relationships/hyperlink" Target="https://doi.org/10.1053/j.gastro.2009.07.061" TargetMode="External"/><Relationship Id="rId23" Type="http://schemas.openxmlformats.org/officeDocument/2006/relationships/hyperlink" Target="https://doi.org/10.14309/ajg.0000000000002857"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oi.org/10.1002/lt.24417"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doi.org/10.1111/liv.14074"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doi.org/10.1053/j.gastro.2016.11.042"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002/bjs.11213" TargetMode="External"/><Relationship Id="rId32" Type="http://schemas.openxmlformats.org/officeDocument/2006/relationships/hyperlink" Target="https://drliuhao.github.io/mh-liver-pathways/evidence-libraries/" TargetMode="External"/><Relationship Id="rId33" Type="http://schemas.openxmlformats.org/officeDocument/2006/relationships/hyperlink" Target="https://doi.org/10.1097/TXD.0000000000001264"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drliuhao.github.io/mh-liver-pathways/evidence-libraries/" TargetMode="External"/><Relationship Id="rId36" Type="http://schemas.openxmlformats.org/officeDocument/2006/relationships/hyperlink" Target="https://drliuhao.github.io/mh-liver-pathways/evidence-libraries/" TargetMode="External"/><Relationship Id="rId37" Type="http://schemas.openxmlformats.org/officeDocument/2006/relationships/hyperlink" Target="https://drliuhao.github.io/mh-liver-pathways/evidence-libraries/" TargetMode="External"/><Relationship Id="rId38" Type="http://schemas.openxmlformats.org/officeDocument/2006/relationships/hyperlink" Target="https://www.hrsa.gov/sites/default/files/hrsa/optn/optn_policies.pdf" TargetMode="External"/><Relationship Id="rId39" Type="http://schemas.openxmlformats.org/officeDocument/2006/relationships/hyperlink" Target="https://drliuhao.github.io/mh-liver-pathways/evidence-libraries/" TargetMode="External"/><Relationship Id="rId40" Type="http://schemas.openxmlformats.org/officeDocument/2006/relationships/hyperlink" Target="https://www.hrsa.gov/sites/default/files/hrsa/optn/adult-meld-exception-transplant-oncology-review-guidance.pdf" TargetMode="External"/><Relationship Id="rId41" Type="http://schemas.openxmlformats.org/officeDocument/2006/relationships/hyperlink" Target="https://drliuhao.github.io/mh-liver-pathways/evidence-libraries/" TargetMode="External"/><Relationship Id="rId42" Type="http://schemas.openxmlformats.org/officeDocument/2006/relationships/hyperlink" Target="https://doi.org/10.1053/j.gastro.2016.11.042" TargetMode="External"/><Relationship Id="rId43" Type="http://schemas.openxmlformats.org/officeDocument/2006/relationships/hyperlink" Target="https://drliuhao.github.io/mh-liver-pathways/evidence-libraries/" TargetMode="External"/><Relationship Id="rId44" Type="http://schemas.openxmlformats.org/officeDocument/2006/relationships/hyperlink" Target="https://doi.org/10.14309/ajg.0000000000002857" TargetMode="External"/><Relationship Id="rId45" Type="http://schemas.openxmlformats.org/officeDocument/2006/relationships/hyperlink" Target="https://drliuhao.github.io/mh-liver-pathways/evidence-libraries/" TargetMode="External"/><Relationship Id="rId46" Type="http://schemas.openxmlformats.org/officeDocument/2006/relationships/hyperlink" Target="https://doi.org/10.1097/TXD.0000000000001264" TargetMode="External"/><Relationship Id="rId47" Type="http://schemas.openxmlformats.org/officeDocument/2006/relationships/hyperlink" Target="https://drliuhao.github.io/mh-liver-pathways/evidence-libraries/" TargetMode="External"/><Relationship Id="rId48" Type="http://schemas.openxmlformats.org/officeDocument/2006/relationships/hyperlink" Target="https://doi.org/10.1016/j.jhep.2016.04.001" TargetMode="External"/><Relationship Id="rId49" Type="http://schemas.openxmlformats.org/officeDocument/2006/relationships/hyperlink" Target="https://drliuhao.github.io/mh-liver-pathways/evidence-libraries/" TargetMode="External"/><Relationship Id="rId50" Type="http://schemas.openxmlformats.org/officeDocument/2006/relationships/hyperlink" Target="https://doi.org/10.1002/lt.24417" TargetMode="External"/><Relationship Id="rId51" Type="http://schemas.openxmlformats.org/officeDocument/2006/relationships/hyperlink" Target="https://drliuhao.github.io/mh-liver-pathways/evidence-libraries/" TargetMode="External"/><Relationship Id="rId52" Type="http://schemas.openxmlformats.org/officeDocument/2006/relationships/hyperlink" Target="https://doi.org/10.1111/liv.14074" TargetMode="External"/><Relationship Id="rId53" Type="http://schemas.openxmlformats.org/officeDocument/2006/relationships/hyperlink" Target="https://drliuhao.github.io/mh-liver-pathways/evidence-libraries/" TargetMode="External"/><Relationship Id="rId54" Type="http://schemas.openxmlformats.org/officeDocument/2006/relationships/hyperlink" Target="https://doi.org/10.1002/bjs.11213" TargetMode="External"/><Relationship Id="rId55" Type="http://schemas.openxmlformats.org/officeDocument/2006/relationships/hyperlink" Target="https://drliuhao.github.io/mh-liver-pathways/evidence-libraries/" TargetMode="External"/><Relationship Id="rId56" Type="http://schemas.openxmlformats.org/officeDocument/2006/relationships/hyperlink" Target="https://www.hrsa.gov/sites/default/files/hrsa/optn/optn_policies.pdf" TargetMode="External"/><Relationship Id="rId57" Type="http://schemas.openxmlformats.org/officeDocument/2006/relationships/hyperlink" Target="https://drliuhao.github.io/mh-liver-pathways/evidence-libraries/" TargetMode="External"/><Relationship Id="rId58" Type="http://schemas.openxmlformats.org/officeDocument/2006/relationships/hyperlink" Target="https://www.hrsa.gov/sites/default/files/hrsa/optn/adult-meld-exception-transplant-oncology-review-guidance.pdf" TargetMode="External"/><Relationship Id="rId59" Type="http://schemas.openxmlformats.org/officeDocument/2006/relationships/hyperlink" Target="https://drliuhao.github.io/mh-liver-pathways/evidence-libraries/" TargetMode="External"/><Relationship Id="rId60" Type="http://schemas.openxmlformats.org/officeDocument/2006/relationships/hyperlink" Target="https://doi.org/10.1053/j.gastro.2016.11.042"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oi.org/10.14309/ajg.0000000000002857"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doi.org/10.1097/TXD.0000000000001264" TargetMode="External"/><Relationship Id="rId65" Type="http://schemas.openxmlformats.org/officeDocument/2006/relationships/hyperlink" Target="https://drliuhao.github.io/mh-liver-pathways/evidence-libraries/" TargetMode="External"/><Relationship Id="rId66" Type="http://schemas.openxmlformats.org/officeDocument/2006/relationships/hyperlink" Target="https://doi.org/10.1016/j.jhep.2016.04.001" TargetMode="External"/><Relationship Id="rId67" Type="http://schemas.openxmlformats.org/officeDocument/2006/relationships/hyperlink" Target="https://drliuhao.github.io/mh-liver-pathways/evidence-libraries/" TargetMode="External"/><Relationship Id="rId68" Type="http://schemas.openxmlformats.org/officeDocument/2006/relationships/hyperlink" Target="https://doi.org/10.1002/lt.24417"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oi.org/10.1111/liv.14074" TargetMode="External"/><Relationship Id="rId71" Type="http://schemas.openxmlformats.org/officeDocument/2006/relationships/hyperlink" Target="https://drliuhao.github.io/mh-liver-pathways/evidence-libraries/" TargetMode="External"/><Relationship Id="rId72" Type="http://schemas.openxmlformats.org/officeDocument/2006/relationships/hyperlink" Target="https://doi.org/10.1002/bjs.11213" TargetMode="External"/><Relationship Id="rId73" Type="http://schemas.openxmlformats.org/officeDocument/2006/relationships/hyperlink" Target="https://drliuhao.github.io/mh-liver-pathways/evidence-libraries/" TargetMode="External"/><Relationship Id="rId74" Type="http://schemas.openxmlformats.org/officeDocument/2006/relationships/hyperlink" Target="https://doi.org/10.1111/j.1477-2574.2010.00222.x" TargetMode="External"/><Relationship Id="rId75" Type="http://schemas.openxmlformats.org/officeDocument/2006/relationships/hyperlink" Target="https://drliuhao.github.io/mh-liver-pathways/evidence-libraries/"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2026-07-15T23:24:18.551Z</dcterms:created>
  <dcterms:modified xsi:type="dcterms:W3CDTF">2026-10-29T14:21:27Z</dcterms:modified>
  <dc:title>UTHealth Houston / Memorial Hermann — Hepatocellular adenoma Standard / Guidance-Aligned Transplant Protocol V8</dc:title>
  <dc:subject>Non-standard NLRB pathway for hepatic adenoma</dc:subject>
  <dc:description>New guidance-aligned protocol drafted July 18, 2026; requires institutional approval before use.</dc:description>
</cp:coreProperties>
</file>

<file path=docProps/custom.xml><?xml version="1.0" encoding="utf-8"?>
<Properties xmlns="http://schemas.openxmlformats.org/officeDocument/2006/custom-properties" xmlns:vt="http://schemas.openxmlformats.org/officeDocument/2006/docPropsVTypes"/>
</file>