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Hepatocellular carcinoma</w:t>
      </w:r>
    </w:p>
    <w:p>
      <w:pPr>
        <w:spacing w:after="120"/>
      </w:pPr>
      <w:r>
        <w:rPr>
          <w:i/>
          <w:sz w:val="18"/>
        </w:rPr>
        <w:t xml:space="preserve">Standardized document set, 29 October 2026: this is the full-content document for the cancer roadmap. Questions for consensus: HCC_2_Cancer_Roadmap_Questions.docx. Decision discussion for all settings: HCC_7_Decision_Discussion.docx. Web page: https://drliuhao.github.io/mh-liver-pathways/hcc/</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t xml:space="preserve">Hepatocellular carcinoma system roadmap | Balanced treatment matrices | 2026-10-25 04:54 CDT</w:t>
      </w:r>
    </w:p>
    <w:p>
      <w:pPr>
        <w:spacing w:after="320" w:line="276"/>
      </w:pPr>
      <w:r>
        <w:t xml:space="preserve">Five decision gates and original study critiques retained. Liver-directed and systemic options use matched, source-linked matrices. Transplant eligibility remains governed by the separate transplant protocols.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BCLC stage this patient is actually in — performance status and spread are settled before tumour burden is ever asked — and whether a curative option has been excluded on its merits rather than by accumulating procedures.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val="0"/>
        <w:spacing w:after="110" w:before="240"/>
      </w:pPr>
      <w:r>
        <w:rPr>
          <w:rFonts w:ascii="Cambria" w:cs="Cambria" w:eastAsia="Cambria" w:hAnsi="Cambria"/>
          <w:b/>
          <w:bCs/>
          <w:color w:val="17365D"/>
          <w:sz w:val="26"/>
          <w:szCs w:val="26"/>
        </w:rPr>
        <w:t xml:space="preserve">0 · Very early</w:t>
      </w:r>
    </w:p>
    <w:p>
      <w:pPr>
        <w:spacing w:after="140"/>
      </w:pPr>
      <w:r>
        <w:rPr>
          <w:b/>
          <w:bCs/>
          <w:color w:val="176A87"/>
          <w:sz w:val="19"/>
          <w:szCs w:val="19"/>
        </w:rPr>
        <w:t xml:space="preserve">The question. </w:t>
      </w:r>
      <w:r>
        <w:rPr>
          <w:sz w:val="19"/>
          <w:szCs w:val="19"/>
        </w:rPr>
        <w:t xml:space="preserve">One small tumour in a preserved liver: can a single curative act finish it — and has portal pressure been established rather than assumed?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Single lesion ≤2 cm</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Child-Pugh A</w:t>
      </w:r>
    </w:p>
    <w:p>
      <w:pPr>
        <w:pStyle w:val="ListParagraph"/>
        <w:numPr>
          <w:ilvl w:val="0"/>
          <w:numId w:val="2"/>
        </w:numPr>
        <w:spacing w:after="60" w:line="268"/>
      </w:pPr>
      <w:r>
        <w:rPr>
          <w:color w:val="15181F"/>
          <w:sz w:val="18"/>
          <w:szCs w:val="18"/>
        </w:rPr>
        <w:t xml:space="preserve">No clinically significant portal hypertension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This order follows the BCLC very-early-stage text, not a survival advantage. BCLC 2026: without CSPH, “liver resection remains the recommended first step”; and “when LT is not feasible, ablation is the recommended option”. The randomised trials do not separate the two on survival, but none of them proves equivalence either. SURF closed at 302 of a planned 600 patients, so it is a failed superiority trial; its final report gave 5-year overall survival of 74.6% versus 70.4% (HR 0.96). Local control is not equal: recurrence at the treated site was 8.0% after resection versus 15.8% after ablation in SURF, and equal survival therefore depends on salvage being available. Chen was analysed per protocol after 21% of its ablation arm crossed to resection, and Ng 2017, cited here for 10-year follow-up, is the one paper in this matrix with no PDF in the depot. What moves a patient between the two is portal pressure, resectability, tumour size and transplant strategy.</w:t>
      </w:r>
    </w:p>
    <w:p>
      <w:pPr>
        <w:spacing w:after="50" w:before="120"/>
        <w:ind w:left="240"/>
      </w:pPr>
      <w:r>
        <w:rPr>
          <w:b/>
          <w:bCs/>
          <w:color w:val="15181F"/>
          <w:sz w:val="19"/>
          <w:szCs w:val="19"/>
        </w:rPr>
        <w:t xml:space="preserve">Resection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BCLC 2026 calls liver resection, preferably minimally invasive, the recommended first step when there is no clinically significant portal hypertension.</w:t>
      </w:r>
    </w:p>
    <w:p>
      <w:pPr>
        <w:spacing w:after="50" w:line="276"/>
        <w:ind w:left="240"/>
      </w:pPr>
      <w:r>
        <w:rPr>
          <w:color w:val="15181F"/>
          <w:sz w:val="18"/>
          <w:szCs w:val="18"/>
        </w:rPr>
        <w:t xml:space="preserve">Solitary tumour, adequate future liver remnant, preserved function, acceptable portal-hypertension risk. With mildly increased CSPH, minimally invasive surgery remains an option for a single peripheral tumour with an adequate remnant.</w:t>
      </w:r>
    </w:p>
    <w:p>
      <w:pPr>
        <w:spacing w:after="50"/>
        <w:ind w:left="240"/>
      </w:pPr>
      <w:r>
        <w:rPr>
          <w:b/>
          <w:bCs/>
          <w:color w:val="8C2F26"/>
          <w:sz w:val="18"/>
          <w:szCs w:val="18"/>
        </w:rPr>
        <w:t xml:space="preserve">Caveat. </w:t>
      </w:r>
      <w:r>
        <w:rPr>
          <w:color w:val="15181F"/>
          <w:sz w:val="18"/>
          <w:szCs w:val="18"/>
        </w:rPr>
        <w:t xml:space="preserve">CSPH raises operative risk and should trigger transplant assessment in any patient within Milan — it is not an absolute bar. Record which criterion established it (HVPG, a Baveno specific sign, or non-invasive rule-in) and its value, not just the conclusion.</w:t>
      </w:r>
    </w:p>
    <w:p>
      <w:pPr>
        <w:spacing w:after="60" w:line="276"/>
        <w:ind w:left="240"/>
      </w:pPr>
      <w:r>
        <w:rPr>
          <w:color w:val="5A6069"/>
          <w:sz w:val="16"/>
          <w:szCs w:val="16"/>
        </w:rPr>
        <w:t xml:space="preserve">Sources: BCLC 2026; BCLC 2022; Berzigotti meta-analysis; Yuan 2024 RCT</w:t>
      </w:r>
    </w:p>
    <w:p>
      <w:pPr>
        <w:spacing w:after="50" w:before="120"/>
        <w:ind w:left="240"/>
      </w:pPr>
      <w:r>
        <w:rPr>
          <w:b/>
          <w:bCs/>
          <w:color w:val="15181F"/>
          <w:sz w:val="19"/>
          <w:szCs w:val="19"/>
        </w:rPr>
        <w:t xml:space="preserve">Thermal ablation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When transplant is not feasible, ablation is the recommended option — radiofrequency or microwave. No randomised trial separates them — Vietti Violi was a negative superiority trial at a mean lesion size of 18 mm — but BCLC 2026 now prefers microwave up to 3–4 cm. Also the “ablate and wait” strategy: ablate now and consider transplant at recurrence if still within criteria.</w:t>
      </w:r>
    </w:p>
    <w:p>
      <w:pPr>
        <w:spacing w:after="50" w:line="276"/>
        <w:ind w:left="240"/>
      </w:pPr>
      <w:r>
        <w:rPr>
          <w:color w:val="15181F"/>
          <w:sz w:val="18"/>
          <w:szCs w:val="18"/>
        </w:rPr>
        <w:t xml:space="preserve">Tumour ≤3 cm, up to three nodules, with a safe percutaneous route and a circumferential ablative margin achievable. Preferred at ≤2 cm.</w:t>
      </w:r>
    </w:p>
    <w:p>
      <w:pPr>
        <w:spacing w:after="50"/>
        <w:ind w:left="240"/>
      </w:pPr>
      <w:r>
        <w:rPr>
          <w:b/>
          <w:bCs/>
          <w:color w:val="8C2F26"/>
          <w:sz w:val="18"/>
          <w:szCs w:val="18"/>
        </w:rPr>
        <w:t xml:space="preserve">Caveat. </w:t>
      </w:r>
      <w:r>
        <w:rPr>
          <w:color w:val="15181F"/>
          <w:sz w:val="18"/>
          <w:szCs w:val="18"/>
        </w:rPr>
        <w:t xml:space="preserve">Lesions abutting central bile ducts, bowel, gallbladder, diaphragm, heart, or major vessels where a heat sink is expected — use an adjunctive technique or another modality. Also: target not reliably visible, unsafe access, uncorrectable coagulopathy. At 3–5 cm, single-probe ablation alone is not curative-intent therapy. An anatomic contraindication can justify upfront SBRT or Y-90 segmentectomy.</w:t>
      </w:r>
    </w:p>
    <w:p>
      <w:pPr>
        <w:spacing w:after="60" w:line="276"/>
        <w:ind w:left="240"/>
      </w:pPr>
      <w:r>
        <w:rPr>
          <w:color w:val="5A6069"/>
          <w:sz w:val="16"/>
          <w:szCs w:val="16"/>
        </w:rPr>
        <w:t xml:space="preserve">Sources: BCLC 2026; Livraghi; SURF trial; SURF final; MWA vs RFA</w:t>
      </w:r>
    </w:p>
    <w:p>
      <w:pPr>
        <w:spacing w:after="60" w:line="276"/>
        <w:ind w:left="240"/>
      </w:pPr>
      <w:r>
        <w:rPr>
          <w:i/>
          <w:iCs/>
          <w:color w:val="5A6069"/>
          <w:sz w:val="16"/>
          <w:szCs w:val="16"/>
        </w:rPr>
        <w:t xml:space="preserve">Ratification item. The v0.8 BCLC 0 row reads “thermal ablation when a circumferential margin is achievable; resection when anatomy and reserve favour it”, which puts ablation first. That is more permissive than the BCLC 2026 text this roadmap is anchored to, which makes resection the first step in the absence of CSPH and brings ablation in when transplant is not feasible. Hepatology and hepatobiliary surgery should decide which reading the roadmap adopts.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50" w:before="120"/>
        <w:ind w:left="240"/>
      </w:pPr>
      <w:r>
        <w:rPr>
          <w:b/>
          <w:bCs/>
          <w:color w:val="15181F"/>
          <w:sz w:val="19"/>
          <w:szCs w:val="19"/>
        </w:rPr>
        <w:t xml:space="preserve">Transplant</w:t>
      </w:r>
      <w:r>
        <w:rPr>
          <w:color w:val="5A6069"/>
          <w:sz w:val="15"/>
          <w:szCs w:val="15"/>
        </w:rPr>
        <w:t xml:space="preserve">   grade B</w:t>
      </w:r>
    </w:p>
    <w:p>
      <w:pPr>
        <w:spacing w:after="50" w:line="276"/>
        <w:ind w:left="240"/>
      </w:pPr>
      <w:r>
        <w:rPr>
          <w:color w:val="15181F"/>
          <w:sz w:val="18"/>
          <w:szCs w:val="18"/>
        </w:rPr>
        <w:t xml:space="preserve">Replacing the liver is the better long-term answer.</w:t>
      </w:r>
    </w:p>
    <w:p>
      <w:pPr>
        <w:spacing w:after="50" w:line="276"/>
        <w:ind w:left="240"/>
      </w:pPr>
      <w:r>
        <w:rPr>
          <w:color w:val="15181F"/>
          <w:sz w:val="18"/>
          <w:szCs w:val="18"/>
        </w:rPr>
        <w:t xml:space="preserve">Clinically significant portal hypertension, decompensation, or a recurrence pattern that the liver disease itself is driving.</w:t>
      </w:r>
    </w:p>
    <w:p>
      <w:pPr>
        <w:spacing w:after="50"/>
        <w:ind w:left="240"/>
      </w:pPr>
      <w:r>
        <w:rPr>
          <w:b/>
          <w:bCs/>
          <w:color w:val="8C2F26"/>
          <w:sz w:val="18"/>
          <w:szCs w:val="18"/>
        </w:rPr>
        <w:t xml:space="preserve">Caveat. </w:t>
      </w:r>
      <w:r>
        <w:rPr>
          <w:color w:val="15181F"/>
          <w:sz w:val="18"/>
          <w:szCs w:val="18"/>
        </w:rPr>
        <w:t xml:space="preserve">A solitary lesion &lt;2 cm is OPTN T1 and does not attract exception points — listing must be justified by the liver disease, not the tumour. BCLC 2026 adds that an AFP above 1,000 ng/mL signals an unacceptably high risk of post-transplant recurrence.</w:t>
      </w:r>
    </w:p>
    <w:p>
      <w:pPr>
        <w:spacing w:after="60" w:line="276"/>
        <w:ind w:left="240"/>
      </w:pPr>
      <w:r>
        <w:rPr>
          <w:color w:val="5A6069"/>
          <w:sz w:val="16"/>
          <w:szCs w:val="16"/>
        </w:rPr>
        <w:t xml:space="preserve">Sources: Milan criteria; BCLC 2026</w:t>
      </w:r>
    </w:p>
    <w:p>
      <w:pPr>
        <w:spacing w:after="50" w:before="120"/>
        <w:ind w:left="240"/>
      </w:pPr>
      <w:r>
        <w:rPr>
          <w:b/>
          <w:bCs/>
          <w:color w:val="15181F"/>
          <w:sz w:val="19"/>
          <w:szCs w:val="19"/>
        </w:rPr>
        <w:t xml:space="preserve">Definitive SBRT or Y-90 segmentectomy</w:t>
      </w:r>
      <w:r>
        <w:rPr>
          <w:color w:val="5A6069"/>
          <w:sz w:val="15"/>
          <w:szCs w:val="15"/>
        </w:rPr>
        <w:t xml:space="preserve">   grade B</w:t>
      </w:r>
      <w:r>
        <w:rPr>
          <w:b/>
          <w:bCs/>
          <w:color w:val="8E5008"/>
          <w:spacing w:val="12"/>
          <w:sz w:val="14"/>
          <w:szCs w:val="14"/>
        </w:rPr>
        <w:t xml:space="preserve">   DOSIMETRY</w:t>
      </w:r>
      <w:r>
        <w:rPr>
          <w:b/>
          <w:bCs/>
          <w:color w:val="8E5008"/>
          <w:spacing w:val="12"/>
          <w:sz w:val="14"/>
          <w:szCs w:val="14"/>
        </w:rPr>
        <w:t xml:space="preserve">   EXPERTISE</w:t>
      </w:r>
    </w:p>
    <w:p>
      <w:pPr>
        <w:spacing w:after="50" w:line="276"/>
        <w:ind w:left="240"/>
      </w:pPr>
      <w:r>
        <w:rPr>
          <w:color w:val="15181F"/>
          <w:sz w:val="18"/>
          <w:szCs w:val="18"/>
        </w:rPr>
        <w:t xml:space="preserve">May be discussed when surgery and thermal ablation are unsuitable. This does not require prior TACE.</w:t>
      </w:r>
    </w:p>
    <w:p>
      <w:pPr>
        <w:spacing w:after="50" w:line="276"/>
        <w:ind w:left="240"/>
      </w:pPr>
      <w:r>
        <w:rPr>
          <w:color w:val="15181F"/>
          <w:sz w:val="18"/>
          <w:szCs w:val="18"/>
        </w:rPr>
        <w:t xml:space="preserve">SBRT: difficult access or vessel-adjacent target with adequate uninvolved liver. Segmentectomy: solitary localized tumour with full arterial coverage and ablative dosimetry.</w:t>
      </w:r>
    </w:p>
    <w:p>
      <w:pPr>
        <w:spacing w:after="50"/>
        <w:ind w:left="240"/>
      </w:pPr>
      <w:r>
        <w:rPr>
          <w:b/>
          <w:bCs/>
          <w:color w:val="8C2F26"/>
          <w:sz w:val="18"/>
          <w:szCs w:val="18"/>
        </w:rPr>
        <w:t xml:space="preserve">Caveat. </w:t>
      </w:r>
      <w:r>
        <w:rPr>
          <w:color w:val="15181F"/>
          <w:sz w:val="18"/>
          <w:szCs w:val="18"/>
        </w:rPr>
        <w:t xml:space="preserve">SBRT — insufficient uninvolved liver, refractory ascites, unsafe dose to adjacent bowel or stomach, overlapping prior dose, decompensation. Segmentectomy — hepatic reserve inadequate for the treated volume, unsafe lung-shunt fraction or non-target flow, personalised dosimetry unavailable.</w:t>
      </w:r>
    </w:p>
    <w:p>
      <w:pPr>
        <w:spacing w:after="60" w:line="276"/>
        <w:ind w:left="240"/>
      </w:pPr>
      <w:r>
        <w:rPr>
          <w:color w:val="5A6069"/>
          <w:sz w:val="16"/>
          <w:szCs w:val="16"/>
        </w:rPr>
        <w:t xml:space="preserve">Sources: RASER; LEGACY; SBRT vs RFA; ASTRO EBRT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Indiscriminate embolisation or radiation when a better-suited established curative option is available. Selected definitive segmentectomy or SBRT remains permissible.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A · Early</w:t>
      </w:r>
    </w:p>
    <w:p>
      <w:pPr>
        <w:spacing w:after="140"/>
      </w:pPr>
      <w:r>
        <w:rPr>
          <w:b/>
          <w:bCs/>
          <w:color w:val="176A87"/>
          <w:sz w:val="19"/>
          <w:szCs w:val="19"/>
        </w:rPr>
        <w:t xml:space="preserve">The question. </w:t>
      </w:r>
      <w:r>
        <w:rPr>
          <w:sz w:val="19"/>
          <w:szCs w:val="19"/>
        </w:rPr>
        <w:t xml:space="preserve">Can every nodule be treated with curative intent — and is replacing the liver the better long-term answer than resecting or ablating part of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Solitary of any size, or ≤3 nodules each ≤3 cm</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Preserved liver function</w:t>
      </w:r>
    </w:p>
    <w:p>
      <w:pPr>
        <w:pStyle w:val="ListParagraph"/>
        <w:numPr>
          <w:ilvl w:val="0"/>
          <w:numId w:val="2"/>
        </w:numPr>
        <w:spacing w:after="60" w:line="268"/>
      </w:pPr>
      <w:r>
        <w:rPr>
          <w:color w:val="15181F"/>
          <w:sz w:val="18"/>
          <w:szCs w:val="18"/>
        </w:rPr>
        <w:t xml:space="preserve">No macrovascular invasion or extrahepatic spread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These are three destinations, not a ranking. No comparative evidence orders them at this stage, and v0.8 requires a multidisciplinary comparison of all three rather than a sequence. SURF did not demonstrate superior recurrence-free survival for resection in ≤3 cm disease, but non-inferiority was never formally established and the trial was underpowered — so for this phenotype resection and ablation are reasonable alternatives selected on anatomy, reserve and access, not proven equivalent. What decides is the condition beside each option.</w:t>
      </w:r>
    </w:p>
    <w:p>
      <w:pPr>
        <w:spacing w:after="50" w:before="120"/>
        <w:ind w:left="240"/>
      </w:pPr>
      <w:r>
        <w:rPr>
          <w:b/>
          <w:bCs/>
          <w:color w:val="15181F"/>
          <w:sz w:val="19"/>
          <w:szCs w:val="19"/>
        </w:rPr>
        <w:t xml:space="preserve">Resection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The only curative option that scales above 3 cm. Resectability in selected multifocal or larger tumours is determined by expert hepatobiliary review, not by size alone.</w:t>
      </w:r>
    </w:p>
    <w:p>
      <w:pPr>
        <w:spacing w:after="50" w:line="276"/>
        <w:ind w:left="240"/>
      </w:pPr>
      <w:r>
        <w:rPr>
          <w:color w:val="15181F"/>
          <w:sz w:val="18"/>
          <w:szCs w:val="18"/>
        </w:rPr>
        <w:t xml:space="preserve">Solitary tumour, adequate future liver remnant, no clinically significant portal hypertension.</w:t>
      </w:r>
    </w:p>
    <w:p>
      <w:pPr>
        <w:spacing w:after="50"/>
        <w:ind w:left="240"/>
      </w:pPr>
      <w:r>
        <w:rPr>
          <w:b/>
          <w:bCs/>
          <w:color w:val="8C2F26"/>
          <w:sz w:val="18"/>
          <w:szCs w:val="18"/>
        </w:rPr>
        <w:t xml:space="preserve">Caveat. </w:t>
      </w:r>
      <w:r>
        <w:rPr>
          <w:color w:val="15181F"/>
          <w:sz w:val="18"/>
          <w:szCs w:val="18"/>
        </w:rPr>
        <w:t xml:space="preserve">Preserved Child-Pugh and MELD do not establish the absence of portal hypertension — see the CSPH gate under Curative. Adjuvant atezolizumab–bevacizumab is not recommended afterwards.</w:t>
      </w:r>
    </w:p>
    <w:p>
      <w:pPr>
        <w:spacing w:after="60" w:line="276"/>
        <w:ind w:left="240"/>
      </w:pPr>
      <w:r>
        <w:rPr>
          <w:color w:val="5A6069"/>
          <w:sz w:val="16"/>
          <w:szCs w:val="16"/>
        </w:rPr>
        <w:t xml:space="preserve">Sources: BCLC 2026; Berzigotti meta-analysis; Yuan 2024 RCT; IMbrave050 update</w:t>
      </w:r>
    </w:p>
    <w:p>
      <w:pPr>
        <w:spacing w:after="50" w:before="120"/>
        <w:ind w:left="240"/>
      </w:pPr>
      <w:r>
        <w:rPr>
          <w:b/>
          <w:bCs/>
          <w:color w:val="15181F"/>
          <w:sz w:val="19"/>
          <w:szCs w:val="19"/>
        </w:rPr>
        <w:t xml:space="preserve">Thermal ablation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Local curative treatment with a circumferential ablative margin. Microwave or radiofrequency. BCLC 2026 prefers microwave up to 3–4 cm; no randomised trial has shown a difference, so below that the choice is operational.</w:t>
      </w:r>
    </w:p>
    <w:p>
      <w:pPr>
        <w:spacing w:after="50" w:line="276"/>
        <w:ind w:left="240"/>
      </w:pPr>
      <w:r>
        <w:rPr>
          <w:color w:val="15181F"/>
          <w:sz w:val="18"/>
          <w:szCs w:val="18"/>
        </w:rPr>
        <w:t xml:space="preserve">Tumours ≤3 cm, up to three nodules, safe percutaneous route, complete margin achievable. Also recurrence treatment and transplant bridge.</w:t>
      </w:r>
    </w:p>
    <w:p>
      <w:pPr>
        <w:spacing w:after="50"/>
        <w:ind w:left="240"/>
      </w:pPr>
      <w:r>
        <w:rPr>
          <w:b/>
          <w:bCs/>
          <w:color w:val="8C2F26"/>
          <w:sz w:val="18"/>
          <w:szCs w:val="18"/>
        </w:rPr>
        <w:t xml:space="preserve">Caveat. </w:t>
      </w:r>
      <w:r>
        <w:rPr>
          <w:color w:val="15181F"/>
          <w:sz w:val="18"/>
          <w:szCs w:val="18"/>
        </w:rPr>
        <w:t xml:space="preserve">Lesions abutting central bile ducts, bowel, gallbladder, diaphragm, heart, or major vessels with an expected heat sink — use an adjunctive technique or another modality. Target not reliably visible, unsafe access, uncorrectable coagulopathy. At 3–5 cm, single-probe ablation alone must not be presented as curative-intent therapy; combined or alternative approaches are selected in the MDT.</w:t>
      </w:r>
    </w:p>
    <w:p>
      <w:pPr>
        <w:spacing w:after="60" w:line="276"/>
        <w:ind w:left="240"/>
      </w:pPr>
      <w:r>
        <w:rPr>
          <w:color w:val="5A6069"/>
          <w:sz w:val="16"/>
          <w:szCs w:val="16"/>
        </w:rPr>
        <w:t xml:space="preserve">Sources: SURF trial; SURF final; MWA vs RFA</w:t>
      </w:r>
    </w:p>
    <w:p>
      <w:pPr>
        <w:spacing w:after="50" w:before="120"/>
        <w:ind w:left="240"/>
      </w:pPr>
      <w:r>
        <w:rPr>
          <w:b/>
          <w:bCs/>
          <w:color w:val="15181F"/>
          <w:sz w:val="19"/>
          <w:szCs w:val="19"/>
        </w:rPr>
        <w:t xml:space="preserve">Transplant</w:t>
      </w:r>
      <w:r>
        <w:rPr>
          <w:color w:val="5A6069"/>
          <w:sz w:val="15"/>
          <w:szCs w:val="15"/>
        </w:rPr>
        <w:t xml:space="preserve">   grade A</w:t>
      </w:r>
    </w:p>
    <w:p>
      <w:pPr>
        <w:spacing w:after="50" w:line="276"/>
        <w:ind w:left="240"/>
      </w:pPr>
      <w:r>
        <w:rPr>
          <w:color w:val="15181F"/>
          <w:sz w:val="18"/>
          <w:szCs w:val="18"/>
        </w:rPr>
        <w:t xml:space="preserve">The right answer rather than a fallback when portal hypertension, decompensation or a recurrence pattern makes the liver itself the problem.</w:t>
      </w:r>
    </w:p>
    <w:p>
      <w:pPr>
        <w:spacing w:after="50" w:line="276"/>
        <w:ind w:left="240"/>
      </w:pPr>
      <w:r>
        <w:rPr>
          <w:color w:val="15181F"/>
          <w:sz w:val="18"/>
          <w:szCs w:val="18"/>
        </w:rPr>
        <w:t xml:space="preserve">Within Milan / OPTN T2: one lesion 2–5 cm, or 2–3 lesions each 1–3 cm, AFP ≤1,000 ng/mL. Refer early.</w:t>
      </w:r>
    </w:p>
    <w:p>
      <w:pPr>
        <w:spacing w:after="50"/>
        <w:ind w:left="240"/>
      </w:pPr>
      <w:r>
        <w:rPr>
          <w:b/>
          <w:bCs/>
          <w:color w:val="8C2F26"/>
          <w:sz w:val="18"/>
          <w:szCs w:val="18"/>
        </w:rPr>
        <w:t xml:space="preserve">Caveat. </w:t>
      </w:r>
      <w:r>
        <w:rPr>
          <w:color w:val="15181F"/>
          <w:sz w:val="18"/>
          <w:szCs w:val="18"/>
        </w:rPr>
        <w:t xml:space="preserve">Macrovascular invasion or extrahepatic spread excludes the HCC exception — categorical, and not subject to stage migration or local override. An AFP that has ever exceeded 1,000 ng/mL blocks the standard exception until it falls below 500 and stays there. Serial locoregional procedures accumulated while a referral is pending are a recognised failure mode of this pathway.</w:t>
      </w:r>
    </w:p>
    <w:p>
      <w:pPr>
        <w:spacing w:after="60" w:line="276"/>
        <w:ind w:left="240"/>
      </w:pPr>
      <w:r>
        <w:rPr>
          <w:color w:val="5A6069"/>
          <w:sz w:val="16"/>
          <w:szCs w:val="16"/>
        </w:rPr>
        <w:t xml:space="preserve">Sources: Milan criteria; MERITS-LT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v0.8 removed the requirement that all three curative options be documented unsuitable first. These enter after a multidisciplinary comparison of resection, thermal ablation and transplant, not after a failure.</w:t>
      </w:r>
    </w:p>
    <w:p>
      <w:pPr>
        <w:spacing w:after="50" w:before="120"/>
        <w:ind w:left="240"/>
      </w:pPr>
      <w:r>
        <w:rPr>
          <w:b/>
          <w:bCs/>
          <w:color w:val="15181F"/>
          <w:sz w:val="19"/>
          <w:szCs w:val="19"/>
        </w:rPr>
        <w:t xml:space="preserve">Radiation segmentectomy</w:t>
      </w:r>
      <w:r>
        <w:rPr>
          <w:color w:val="5A6069"/>
          <w:sz w:val="15"/>
          <w:szCs w:val="15"/>
        </w:rPr>
        <w:t xml:space="preserve">   grade C</w:t>
      </w:r>
      <w:r>
        <w:rPr>
          <w:b/>
          <w:bCs/>
          <w:color w:val="8E5008"/>
          <w:spacing w:val="12"/>
          <w:sz w:val="14"/>
          <w:szCs w:val="14"/>
        </w:rPr>
        <w:t xml:space="preserve">   DOSIMETRY</w:t>
      </w:r>
      <w:r>
        <w:rPr>
          <w:b/>
          <w:bCs/>
          <w:color w:val="8E5008"/>
          <w:spacing w:val="12"/>
          <w:sz w:val="14"/>
          <w:szCs w:val="14"/>
        </w:rPr>
        <w:t xml:space="preserve">   EXPERTISE</w:t>
      </w:r>
      <w:r>
        <w:rPr>
          <w:b/>
          <w:bCs/>
          <w:color w:val="8E5008"/>
          <w:spacing w:val="12"/>
          <w:sz w:val="14"/>
          <w:szCs w:val="14"/>
        </w:rPr>
        <w:t xml:space="preserve">   PAYER</w:t>
      </w:r>
    </w:p>
    <w:p>
      <w:pPr>
        <w:spacing w:after="50" w:line="276"/>
        <w:ind w:left="240"/>
      </w:pPr>
      <w:r>
        <w:rPr>
          <w:color w:val="15181F"/>
          <w:sz w:val="18"/>
          <w:szCs w:val="18"/>
        </w:rPr>
        <w:t xml:space="preserve">Y-90 to one or two segments, as a selected definitive curative-intent option.</w:t>
      </w:r>
    </w:p>
    <w:p>
      <w:pPr>
        <w:spacing w:after="50" w:line="276"/>
        <w:ind w:left="240"/>
      </w:pPr>
      <w:r>
        <w:rPr>
          <w:color w:val="15181F"/>
          <w:sz w:val="18"/>
          <w:szCs w:val="18"/>
        </w:rPr>
        <w:t xml:space="preserve">Solitary localized HCC with ablation unsuitable, full arterial coverage and ablative dosimetry. Strongest prospective evidence is solitary ≤3 cm.</w:t>
      </w:r>
    </w:p>
    <w:p>
      <w:pPr>
        <w:spacing w:after="50"/>
        <w:ind w:left="240"/>
      </w:pPr>
      <w:r>
        <w:rPr>
          <w:b/>
          <w:bCs/>
          <w:color w:val="8C2F26"/>
          <w:sz w:val="18"/>
          <w:szCs w:val="18"/>
        </w:rPr>
        <w:t xml:space="preserve">Caveat. </w:t>
      </w:r>
      <w:r>
        <w:rPr>
          <w:color w:val="15181F"/>
          <w:sz w:val="18"/>
          <w:szCs w:val="18"/>
        </w:rPr>
        <w:t xml:space="preserve">Hepatic reserve inadequate for the treated volume, unsafe lung-shunt fraction or non-target flow, overlapping prior radiation dose, personalised dosimetry unavailable.</w:t>
      </w:r>
    </w:p>
    <w:p>
      <w:pPr>
        <w:spacing w:after="60" w:line="276"/>
        <w:ind w:left="240"/>
      </w:pPr>
      <w:r>
        <w:rPr>
          <w:color w:val="5A6069"/>
          <w:sz w:val="16"/>
          <w:szCs w:val="16"/>
        </w:rPr>
        <w:t xml:space="preserve">Sources: LEGACY; RASER; NCCN v2.2026</w:t>
      </w:r>
    </w:p>
    <w:p>
      <w:pPr>
        <w:spacing w:after="50" w:before="120"/>
        <w:ind w:left="240"/>
      </w:pPr>
      <w:r>
        <w:rPr>
          <w:b/>
          <w:bCs/>
          <w:color w:val="15181F"/>
          <w:sz w:val="19"/>
          <w:szCs w:val="19"/>
        </w:rPr>
        <w:t xml:space="preserve">SBRT</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Selected definitive alternative. No prior treatment failure is required — catheter therapy need not fail first.</w:t>
      </w:r>
    </w:p>
    <w:p>
      <w:pPr>
        <w:spacing w:after="50" w:line="276"/>
        <w:ind w:left="240"/>
      </w:pPr>
      <w:r>
        <w:rPr>
          <w:color w:val="15181F"/>
          <w:sz w:val="18"/>
          <w:szCs w:val="18"/>
        </w:rPr>
        <w:t xml:space="preserve">Target unsuitable for both ablation and surgery, including difficult access and vessel-adjacent lesions, with preserved liver function and adequate uninvolved liver.</w:t>
      </w:r>
    </w:p>
    <w:p>
      <w:pPr>
        <w:spacing w:after="50"/>
        <w:ind w:left="240"/>
      </w:pPr>
      <w:r>
        <w:rPr>
          <w:b/>
          <w:bCs/>
          <w:color w:val="8C2F26"/>
          <w:sz w:val="18"/>
          <w:szCs w:val="18"/>
        </w:rPr>
        <w:t xml:space="preserve">Caveat. </w:t>
      </w:r>
      <w:r>
        <w:rPr>
          <w:color w:val="15181F"/>
          <w:sz w:val="18"/>
          <w:szCs w:val="18"/>
        </w:rPr>
        <w:t xml:space="preserve">Insufficient uninvolved liver, refractory ascites, unsafe dose to adjacent bowel or stomach, overlapping prior dose, decompensation.</w:t>
      </w:r>
    </w:p>
    <w:p>
      <w:pPr>
        <w:spacing w:after="60" w:line="276"/>
        <w:ind w:left="240"/>
      </w:pPr>
      <w:r>
        <w:rPr>
          <w:color w:val="5A6069"/>
          <w:sz w:val="16"/>
          <w:szCs w:val="16"/>
        </w:rPr>
        <w:t xml:space="preserve">Sources: SBRT vs RFA; ASTRO EBRT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Serial locoregional therapy that delays transplant referral or consumes hepatic reserve.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B · Intermediate</w:t>
      </w:r>
    </w:p>
    <w:p>
      <w:pPr>
        <w:spacing w:after="140"/>
      </w:pPr>
      <w:r>
        <w:rPr>
          <w:b/>
          <w:bCs/>
          <w:color w:val="176A87"/>
          <w:sz w:val="19"/>
          <w:szCs w:val="19"/>
        </w:rPr>
        <w:t xml:space="preserve">The question. </w:t>
      </w:r>
      <w:r>
        <w:rPr>
          <w:sz w:val="19"/>
          <w:szCs w:val="19"/>
        </w:rPr>
        <w:t xml:space="preserve">This liver-confined burden is beyond a curative resection or ablation: what is the declared endpoint of the next locoregional treatment, and what stops it being repeated into liver failure?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Multinodular, beyond stage A</w:t>
      </w:r>
    </w:p>
    <w:p>
      <w:pPr>
        <w:pStyle w:val="ListParagraph"/>
        <w:numPr>
          <w:ilvl w:val="0"/>
          <w:numId w:val="2"/>
        </w:numPr>
        <w:spacing w:after="60" w:line="268"/>
      </w:pPr>
      <w:r>
        <w:rPr>
          <w:color w:val="15181F"/>
          <w:sz w:val="18"/>
          <w:szCs w:val="18"/>
        </w:rPr>
        <w:t xml:space="preserve">Liver-confined</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Preserved liver function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Superselective conventional or drug-eluting-bead TACE. Bead choice is not the decision that matters — selectivity, a pre-declared response endpoint and stop rules govern the outcome.</w:t>
      </w:r>
    </w:p>
    <w:p>
      <w:pPr>
        <w:spacing w:after="50" w:line="276"/>
        <w:ind w:left="240"/>
      </w:pPr>
      <w:r>
        <w:rPr>
          <w:color w:val="15181F"/>
          <w:sz w:val="18"/>
          <w:szCs w:val="18"/>
        </w:rPr>
        <w:t xml:space="preserve">Multinodular arterialised liver-confined disease, preserved reserve, patent portal flow, superselective access achievable. Also bridge or downstage.</w:t>
      </w:r>
    </w:p>
    <w:p>
      <w:pPr>
        <w:spacing w:after="50"/>
        <w:ind w:left="240"/>
      </w:pPr>
      <w:r>
        <w:rPr>
          <w:b/>
          <w:bCs/>
          <w:color w:val="8C2F26"/>
          <w:sz w:val="18"/>
          <w:szCs w:val="18"/>
        </w:rPr>
        <w:t xml:space="preserve">Caveat. </w:t>
      </w:r>
      <w:r>
        <w:rPr>
          <w:color w:val="15181F"/>
          <w:sz w:val="18"/>
          <w:szCs w:val="18"/>
        </w:rPr>
        <w:t xml:space="preserve">Decompensation, ALBI grade 3, diffuse or infiltrative pattern, impaired portal flow, renal or infection risk, and inadequate benefit despite technically adequate treatment. Reassess after each session rather than against a fixed session count.</w:t>
      </w:r>
    </w:p>
    <w:p>
      <w:pPr>
        <w:spacing w:after="50" w:line="276"/>
        <w:ind w:left="240"/>
      </w:pPr>
      <w:r>
        <w:rPr>
          <w:i/>
          <w:iCs/>
          <w:color w:val="5A6069"/>
          <w:sz w:val="17"/>
          <w:szCs w:val="17"/>
        </w:rPr>
        <w:t xml:space="preserve">Usually the goal is control or transplant bridge and downstaging. EASL permits selected curative-intent use when other local options are infeasible — label that a weaker-evidence fallback, not equivalent to margin-complete ablation or radiation segmentectomy. Drug-eluting beads did not meet the response primary endpoint against conventional TACE and no consistent survival difference has been shown; bead choice is not the decision that matters. Repeated ineffective treatment consumes liver reserve. No automatic two-session rule without MDT context.</w:t>
      </w:r>
    </w:p>
    <w:p>
      <w:pPr>
        <w:spacing w:after="60" w:line="276"/>
        <w:ind w:left="240"/>
      </w:pPr>
      <w:r>
        <w:rPr>
          <w:color w:val="5A6069"/>
          <w:sz w:val="16"/>
          <w:szCs w:val="16"/>
        </w:rPr>
        <w:t xml:space="preserve">Sources: PRECISION V; DEB vs cTACE; EASL 2025</w:t>
      </w:r>
    </w:p>
    <w:p>
      <w:pPr>
        <w:spacing w:after="60" w:before="180"/>
      </w:pPr>
      <w:r>
        <w:rPr>
          <w:b/>
          <w:bCs/>
          <w:color w:val="176A87"/>
          <w:spacing w:val="16"/>
          <w:sz w:val="16"/>
          <w:szCs w:val="16"/>
        </w:rPr>
        <w:t xml:space="preserve">REASONABLE</w:t>
      </w:r>
      <w:r>
        <w:rPr>
          <w:color w:val="5A6069"/>
          <w:sz w:val="16"/>
          <w:szCs w:val="16"/>
        </w:rPr>
        <w:t xml:space="preserve">   grade B</w:t>
      </w:r>
      <w:r>
        <w:rPr>
          <w:b/>
          <w:bCs/>
          <w:color w:val="8E5008"/>
          <w:spacing w:val="12"/>
          <w:sz w:val="14"/>
          <w:szCs w:val="14"/>
        </w:rPr>
        <w:t xml:space="preserve">   DOSIMETRY</w:t>
      </w:r>
      <w:r>
        <w:rPr>
          <w:b/>
          <w:bCs/>
          <w:color w:val="8E5008"/>
          <w:spacing w:val="12"/>
          <w:sz w:val="14"/>
          <w:szCs w:val="14"/>
        </w:rPr>
        <w:t xml:space="preserve">   PAYER</w:t>
      </w:r>
    </w:p>
    <w:p>
      <w:pPr>
        <w:spacing w:after="60" w:line="276"/>
      </w:pPr>
      <w:r>
        <w:rPr>
          <w:color w:val="15181F"/>
          <w:sz w:val="19"/>
          <w:szCs w:val="19"/>
        </w:rPr>
        <w:t xml:space="preserve">Lobar radioembolisation with Y-90.</w:t>
      </w:r>
    </w:p>
    <w:p>
      <w:pPr>
        <w:spacing w:after="50" w:line="276"/>
        <w:ind w:left="240"/>
      </w:pPr>
      <w:r>
        <w:rPr>
          <w:color w:val="15181F"/>
          <w:sz w:val="18"/>
          <w:szCs w:val="18"/>
        </w:rPr>
        <w:t xml:space="preserve">Unilobar or segment-dominant burden; TACE intolerance or failure; planned radiation lobectomy with contralateral hypertrophy; selected portal-vein tumour thrombus.</w:t>
      </w:r>
    </w:p>
    <w:p>
      <w:pPr>
        <w:spacing w:after="50"/>
        <w:ind w:left="240"/>
      </w:pPr>
      <w:r>
        <w:rPr>
          <w:b/>
          <w:bCs/>
          <w:color w:val="8C2F26"/>
          <w:sz w:val="18"/>
          <w:szCs w:val="18"/>
        </w:rPr>
        <w:t xml:space="preserve">Caveat. </w:t>
      </w:r>
      <w:r>
        <w:rPr>
          <w:color w:val="15181F"/>
          <w:sz w:val="18"/>
          <w:szCs w:val="18"/>
        </w:rPr>
        <w:t xml:space="preserve">High-volume bilobar replacement, hyperbilirubinaemia, unsafe shunt fraction, inadequate future remnant, decompensation.</w:t>
      </w:r>
    </w:p>
    <w:p>
      <w:pPr>
        <w:spacing w:after="50" w:line="276"/>
        <w:ind w:left="240"/>
      </w:pPr>
      <w:r>
        <w:rPr>
          <w:i/>
          <w:iCs/>
          <w:color w:val="5A6069"/>
          <w:sz w:val="17"/>
          <w:szCs w:val="17"/>
        </w:rPr>
        <w:t xml:space="preserve">SARAH (n=467) and SIRveNIB (n=360) showed no survival advantage over sorafenib in locally advanced HCC without extrahepatic spread. DOSISPHERE-01 (n=60, open label) improved response and overall survival with personalised versus standard dosimetry, but overall survival was a secondary endpoint confounded by later resection in 36% versus 4%, and it did not compare Y-90 with resection, ablation or a modern systemic regimen.</w:t>
      </w:r>
    </w:p>
    <w:p>
      <w:pPr>
        <w:spacing w:after="60" w:line="276"/>
        <w:ind w:left="240"/>
      </w:pPr>
      <w:r>
        <w:rPr>
          <w:color w:val="5A6069"/>
          <w:sz w:val="16"/>
          <w:szCs w:val="16"/>
        </w:rPr>
        <w:t xml:space="preserve">Sources: PREMIERE; TRACE; DOSISPHERE-01</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Systemic therapy as deliberate stage migration.</w:t>
      </w:r>
    </w:p>
    <w:p>
      <w:pPr>
        <w:spacing w:after="50" w:line="276"/>
        <w:ind w:left="240"/>
      </w:pPr>
      <w:r>
        <w:rPr>
          <w:color w:val="15181F"/>
          <w:sz w:val="18"/>
          <w:szCs w:val="18"/>
        </w:rPr>
        <w:t xml:space="preserve">Diffuse, high-burden or TACE-unsuitable disease.</w:t>
      </w:r>
    </w:p>
    <w:p>
      <w:pPr>
        <w:spacing w:after="50"/>
        <w:ind w:left="240"/>
      </w:pPr>
      <w:r>
        <w:rPr>
          <w:b/>
          <w:bCs/>
          <w:color w:val="8C2F26"/>
          <w:sz w:val="18"/>
          <w:szCs w:val="18"/>
        </w:rPr>
        <w:t xml:space="preserve">Caveat. </w:t>
      </w:r>
      <w:r>
        <w:rPr>
          <w:color w:val="15181F"/>
          <w:sz w:val="18"/>
          <w:szCs w:val="18"/>
        </w:rPr>
        <w:t xml:space="preserve">Pivotal evidence is Child-Pugh A and ECOG 0–1. Document variceal assessment and treat high-risk varices before the first dose of atezolizumab–bevacizumab.</w:t>
      </w:r>
    </w:p>
    <w:p>
      <w:pPr>
        <w:spacing w:after="60" w:line="276"/>
        <w:ind w:left="240"/>
      </w:pPr>
      <w:r>
        <w:rPr>
          <w:color w:val="5A6069"/>
          <w:sz w:val="16"/>
          <w:szCs w:val="16"/>
        </w:rPr>
        <w:t xml:space="preserve">Sources: IMbrave150; HIMALAYA / STRIDE; CheckMate 9DW</w:t>
      </w:r>
    </w:p>
    <w:p>
      <w:pPr>
        <w:spacing w:after="60" w:before="180"/>
      </w:pPr>
      <w:r>
        <w:rPr>
          <w:b/>
          <w:bCs/>
          <w:color w:val="176A87"/>
          <w:spacing w:val="16"/>
          <w:sz w:val="16"/>
          <w:szCs w:val="16"/>
        </w:rPr>
        <w:t xml:space="preserve">REASONABLE</w:t>
      </w:r>
      <w:r>
        <w:rPr>
          <w:color w:val="5A6069"/>
          <w:sz w:val="16"/>
          <w:szCs w:val="16"/>
        </w:rPr>
        <w:t xml:space="preserve">   grade B</w:t>
      </w:r>
      <w:r>
        <w:rPr>
          <w:b/>
          <w:bCs/>
          <w:color w:val="8E5008"/>
          <w:spacing w:val="12"/>
          <w:sz w:val="14"/>
          <w:szCs w:val="14"/>
        </w:rPr>
        <w:t xml:space="preserve">   EXPERTISE</w:t>
      </w:r>
    </w:p>
    <w:p>
      <w:pPr>
        <w:spacing w:after="60" w:line="276"/>
      </w:pPr>
      <w:r>
        <w:rPr>
          <w:color w:val="15181F"/>
          <w:sz w:val="19"/>
          <w:szCs w:val="19"/>
        </w:rPr>
        <w:t xml:space="preserve">SBRT or proton radiotherapy.</w:t>
      </w:r>
    </w:p>
    <w:p>
      <w:pPr>
        <w:spacing w:after="50" w:line="276"/>
        <w:ind w:left="240"/>
      </w:pPr>
      <w:r>
        <w:rPr>
          <w:color w:val="15181F"/>
          <w:sz w:val="18"/>
          <w:szCs w:val="18"/>
        </w:rPr>
        <w:t xml:space="preserve">Target unsuitable for both ablation and catheter therapy; vessel-adjacent lesion; residual or recurrent disease after locoregional therapy.</w:t>
      </w:r>
    </w:p>
    <w:p>
      <w:pPr>
        <w:spacing w:after="50"/>
        <w:ind w:left="240"/>
      </w:pPr>
      <w:r>
        <w:rPr>
          <w:b/>
          <w:bCs/>
          <w:color w:val="8C2F26"/>
          <w:sz w:val="18"/>
          <w:szCs w:val="18"/>
        </w:rPr>
        <w:t xml:space="preserve">Caveat. </w:t>
      </w:r>
      <w:r>
        <w:rPr>
          <w:color w:val="15181F"/>
          <w:sz w:val="18"/>
          <w:szCs w:val="18"/>
        </w:rPr>
        <w:t xml:space="preserve">Insufficient uninvolved liver, refractory ascites, unsafe dose to adjacent bowel or stomach, overlapping prior dose.</w:t>
      </w:r>
    </w:p>
    <w:p>
      <w:pPr>
        <w:spacing w:after="50" w:line="276"/>
        <w:ind w:left="240"/>
      </w:pPr>
      <w:r>
        <w:rPr>
          <w:i/>
          <w:iCs/>
          <w:color w:val="5A6069"/>
          <w:sz w:val="17"/>
          <w:szCs w:val="17"/>
        </w:rPr>
        <w:t xml:space="preserve">ASTRO makes conditional recommendations across these indications. RTOG 1112 did not meet its overall-survival primary endpoint (15.8 versus 12.3 months, one-sided P=.06), reached significance only on pre-planned adjustment, closed early, and used a sorafenib comparator that no longer reflects practice. A randomised study of 166 patients with a single recurrent HCC ≤5 cm favoured SBRT for local progression-free survival (HR 0.45, 95% CI 0.24–0.87, P=.014; 2-year 92.7% versus 75.8%) without a demonstrated difference in progression-free survival (HR 0.76, P=.190) or overall survival (HR 0.91, P=.830). This does not establish superiority for all newly diagnosed HCC.</w:t>
      </w:r>
    </w:p>
    <w:p>
      <w:pPr>
        <w:spacing w:after="60" w:line="276"/>
        <w:ind w:left="240"/>
      </w:pPr>
      <w:r>
        <w:rPr>
          <w:color w:val="5A6069"/>
          <w:sz w:val="16"/>
          <w:szCs w:val="16"/>
        </w:rPr>
        <w:t xml:space="preserve">Sources: ASTRO EBRT; SBRT vs RFA</w:t>
      </w:r>
    </w:p>
    <w:p>
      <w:pPr>
        <w:spacing w:after="60" w:before="180"/>
      </w:pPr>
      <w:r>
        <w:rPr>
          <w:b/>
          <w:bCs/>
          <w:color w:val="176A87"/>
          <w:spacing w:val="16"/>
          <w:sz w:val="16"/>
          <w:szCs w:val="16"/>
        </w:rPr>
        <w:t xml:space="preserve">TRIAL ONLY</w:t>
      </w:r>
      <w:r>
        <w:rPr>
          <w:color w:val="5A6069"/>
          <w:sz w:val="16"/>
          <w:szCs w:val="16"/>
        </w:rPr>
        <w:t xml:space="preserve">   grade C</w:t>
      </w:r>
      <w:r>
        <w:rPr>
          <w:b/>
          <w:bCs/>
          <w:color w:val="8E5008"/>
          <w:spacing w:val="12"/>
          <w:sz w:val="14"/>
          <w:szCs w:val="14"/>
        </w:rPr>
        <w:t xml:space="preserve">   EXPERTISE</w:t>
      </w:r>
      <w:r>
        <w:rPr>
          <w:b/>
          <w:bCs/>
          <w:color w:val="8E5008"/>
          <w:spacing w:val="12"/>
          <w:sz w:val="14"/>
          <w:szCs w:val="14"/>
        </w:rPr>
        <w:t xml:space="preserve">   PAYER</w:t>
      </w:r>
    </w:p>
    <w:p>
      <w:pPr>
        <w:spacing w:after="60" w:line="276"/>
      </w:pPr>
      <w:r>
        <w:rPr>
          <w:color w:val="15181F"/>
          <w:sz w:val="19"/>
          <w:szCs w:val="19"/>
        </w:rPr>
        <w:t xml:space="preserve">Hepatic arterial infusion or hepatic arterial infusion chemotherapy, under a trial or a specifically approved expert pathway with a declared conversion or control goal.</w:t>
      </w:r>
    </w:p>
    <w:p>
      <w:pPr>
        <w:spacing w:after="50" w:line="276"/>
        <w:ind w:left="240"/>
      </w:pPr>
      <w:r>
        <w:rPr>
          <w:color w:val="15181F"/>
          <w:sz w:val="18"/>
          <w:szCs w:val="18"/>
        </w:rPr>
        <w:t xml:space="preserve">Selected advanced liver-dominant HCC, under a trial or a specifically approved expert pathway, with a defined conversion or control goal.</w:t>
      </w:r>
    </w:p>
    <w:p>
      <w:pPr>
        <w:spacing w:after="50"/>
        <w:ind w:left="240"/>
      </w:pPr>
      <w:r>
        <w:rPr>
          <w:b/>
          <w:bCs/>
          <w:color w:val="8C2F26"/>
          <w:sz w:val="18"/>
          <w:szCs w:val="18"/>
        </w:rPr>
        <w:t xml:space="preserve">Caveat. </w:t>
      </w:r>
      <w:r>
        <w:rPr>
          <w:color w:val="15181F"/>
          <w:sz w:val="18"/>
          <w:szCs w:val="18"/>
        </w:rPr>
        <w:t xml:space="preserve">Not a routine Memorial Hermann first or second locoregional line. Must not displace suitable curative local therapy. Not interchangeable with colorectal FUDR pump protocols.</w:t>
      </w:r>
    </w:p>
    <w:p>
      <w:pPr>
        <w:spacing w:after="50" w:line="276"/>
        <w:ind w:left="240"/>
      </w:pPr>
      <w:r>
        <w:rPr>
          <w:i/>
          <w:iCs/>
          <w:color w:val="5A6069"/>
          <w:sz w:val="17"/>
          <w:szCs w:val="17"/>
        </w:rPr>
        <w:t xml:space="preserve">HAI and HAIC regimens, including regional Asian practice, have evidence for response and survival in defined populations — FOHAIC-1 randomised HAIC-FO against sorafenib in 262 patients — but they do not establish standalone cure. Any local adoption requires regimen-specific oncology review, expertise and a named goal.</w:t>
      </w:r>
    </w:p>
    <w:p>
      <w:pPr>
        <w:spacing w:after="60" w:line="276"/>
        <w:ind w:left="240"/>
      </w:pPr>
      <w:r>
        <w:rPr>
          <w:color w:val="5A6069"/>
          <w:sz w:val="16"/>
          <w:szCs w:val="16"/>
        </w:rPr>
        <w:t xml:space="preserve">Sources: FOHAIC-1</w:t>
      </w:r>
    </w:p>
    <w:p>
      <w:pPr>
        <w:spacing w:after="60" w:before="180"/>
      </w:pPr>
      <w:r>
        <w:rPr>
          <w:b/>
          <w:bCs/>
          <w:color w:val="176A87"/>
          <w:spacing w:val="16"/>
          <w:sz w:val="16"/>
          <w:szCs w:val="16"/>
        </w:rPr>
        <w:t xml:space="preserve">TRIAL ONLY</w:t>
      </w:r>
      <w:r>
        <w:rPr>
          <w:color w:val="5A6069"/>
          <w:sz w:val="16"/>
          <w:szCs w:val="16"/>
        </w:rPr>
        <w:t xml:space="preserve">   grade C</w:t>
      </w:r>
      <w:r>
        <w:rPr>
          <w:b/>
          <w:bCs/>
          <w:color w:val="8E5008"/>
          <w:spacing w:val="12"/>
          <w:sz w:val="14"/>
          <w:szCs w:val="14"/>
        </w:rPr>
        <w:t xml:space="preserve">   DEVICE</w:t>
      </w:r>
      <w:r>
        <w:rPr>
          <w:b/>
          <w:bCs/>
          <w:color w:val="8E5008"/>
          <w:spacing w:val="12"/>
          <w:sz w:val="14"/>
          <w:szCs w:val="14"/>
        </w:rPr>
        <w:t xml:space="preserve">   EXPERTISE</w:t>
      </w:r>
      <w:r>
        <w:rPr>
          <w:b/>
          <w:bCs/>
          <w:color w:val="8E5008"/>
          <w:spacing w:val="12"/>
          <w:sz w:val="14"/>
          <w:szCs w:val="14"/>
        </w:rPr>
        <w:t xml:space="preserve">   PAYER</w:t>
      </w:r>
    </w:p>
    <w:p>
      <w:pPr>
        <w:spacing w:after="60" w:line="276"/>
      </w:pPr>
      <w:r>
        <w:rPr>
          <w:color w:val="15181F"/>
          <w:sz w:val="19"/>
          <w:szCs w:val="19"/>
        </w:rPr>
        <w:t xml:space="preserve">Histotripsy, in a prospective trial or an institutional registry only, with explicit consent about oncologic uncertainty.</w:t>
      </w:r>
    </w:p>
    <w:p>
      <w:pPr>
        <w:spacing w:after="50" w:line="276"/>
        <w:ind w:left="240"/>
      </w:pPr>
      <w:r>
        <w:rPr>
          <w:color w:val="15181F"/>
          <w:sz w:val="18"/>
          <w:szCs w:val="18"/>
        </w:rPr>
        <w:t xml:space="preserve">Prospective trial or institutional registry only, with explicit consent about oncologic uncertainty: reliably visible target, adequate acoustic access, device-compliant size and depth, credentialed operator, independent standard-treatment review.</w:t>
      </w:r>
    </w:p>
    <w:p>
      <w:pPr>
        <w:spacing w:after="50"/>
        <w:ind w:left="240"/>
      </w:pPr>
      <w:r>
        <w:rPr>
          <w:b/>
          <w:bCs/>
          <w:color w:val="8C2F26"/>
          <w:sz w:val="18"/>
          <w:szCs w:val="18"/>
        </w:rPr>
        <w:t xml:space="preserve">Caveat. </w:t>
      </w:r>
      <w:r>
        <w:rPr>
          <w:color w:val="15181F"/>
          <w:sz w:val="18"/>
          <w:szCs w:val="18"/>
        </w:rPr>
        <w:t xml:space="preserve">Poor acoustic window, target not reliably visualised, or target outside the device working range — the #HOPE4LIVER screen-failure reasons; that trial treated up to three tumours &lt;3 cm with a transducer depth limit of 14–16 cm. Any use that would displace transplant, resection, ablation, TACE, radioembolisation or radiotherapy.</w:t>
      </w:r>
    </w:p>
    <w:p>
      <w:pPr>
        <w:spacing w:after="50" w:line="276"/>
        <w:ind w:left="240"/>
      </w:pPr>
      <w:r>
        <w:rPr>
          <w:i/>
          <w:iCs/>
          <w:color w:val="5A6069"/>
          <w:sz w:val="17"/>
          <w:szCs w:val="17"/>
        </w:rPr>
        <w:t xml:space="preserve">No tumour-specific curative evidence. The pivotal single-arm trial enrolled 44 patients, of whom only 18 had HCC. The one-year update (47 patients, 52 tumours) reported local control of 63.4% on the primary assessment against 90% post hoc. FDA device clearance for tumour destruction is a safety and performance determination; it does not establish survival benefit or equivalence to established ablation. A bridge-to-transplant use remains protocol-based, and a technical response does not establish transplant eligibility.</w:t>
      </w:r>
    </w:p>
    <w:p>
      <w:pPr>
        <w:spacing w:after="60" w:line="276"/>
        <w:ind w:left="240"/>
      </w:pPr>
      <w:r>
        <w:rPr>
          <w:color w:val="5A6069"/>
          <w:sz w:val="16"/>
          <w:szCs w:val="16"/>
        </w:rPr>
        <w:t xml:space="preserve">Sources: #HOPE4LIVER</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Repeating ineffective TACE without restaging and reserve review.</w:t>
      </w:r>
    </w:p>
    <w:p>
      <w:pPr>
        <w:spacing w:after="50" w:line="276"/>
        <w:ind w:left="240"/>
      </w:pPr>
      <w:r>
        <w:rPr>
          <w:i/>
          <w:iCs/>
          <w:color w:val="5A6069"/>
          <w:sz w:val="17"/>
          <w:szCs w:val="17"/>
        </w:rPr>
        <w:t xml:space="preserve">v0.8 withdrew the fixed two-session rule: reassess after each session, in MDT context.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TACE combined with checkpoint inhibitors outside a protocol.</w:t>
      </w:r>
    </w:p>
    <w:p>
      <w:pPr>
        <w:spacing w:after="60" w:line="276"/>
        <w:ind w:left="240"/>
      </w:pPr>
      <w:r>
        <w:rPr>
          <w:color w:val="5A6069"/>
          <w:sz w:val="16"/>
          <w:szCs w:val="16"/>
        </w:rPr>
        <w:t xml:space="preserve">Sources: EMERALD-1; LEAP-012; EMERALD-3; LEAP-012 / EMERALD-1 commentary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C · Advanced</w:t>
      </w:r>
    </w:p>
    <w:p>
      <w:pPr>
        <w:spacing w:after="140"/>
      </w:pPr>
      <w:r>
        <w:rPr>
          <w:b/>
          <w:bCs/>
          <w:color w:val="176A87"/>
          <w:sz w:val="19"/>
          <w:szCs w:val="19"/>
        </w:rPr>
        <w:t xml:space="preserve">The question. </w:t>
      </w:r>
      <w:r>
        <w:rPr>
          <w:sz w:val="19"/>
          <w:szCs w:val="19"/>
        </w:rPr>
        <w:t xml:space="preserve">Has the systemic backbone started — and is anything liver-directed being added without delaying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Macrovascular invasion</w:t>
      </w:r>
    </w:p>
    <w:p>
      <w:pPr>
        <w:pStyle w:val="ListParagraph"/>
        <w:numPr>
          <w:ilvl w:val="0"/>
          <w:numId w:val="2"/>
        </w:numPr>
        <w:spacing w:after="60" w:line="268"/>
      </w:pPr>
      <w:r>
        <w:rPr>
          <w:color w:val="15181F"/>
          <w:sz w:val="18"/>
          <w:szCs w:val="18"/>
        </w:rPr>
        <w:t xml:space="preserve">Extrahepatic spread</w:t>
      </w:r>
    </w:p>
    <w:p>
      <w:pPr>
        <w:pStyle w:val="ListParagraph"/>
        <w:numPr>
          <w:ilvl w:val="0"/>
          <w:numId w:val="2"/>
        </w:numPr>
        <w:spacing w:after="60" w:line="268"/>
      </w:pPr>
      <w:r>
        <w:rPr>
          <w:color w:val="15181F"/>
          <w:sz w:val="18"/>
          <w:szCs w:val="18"/>
        </w:rPr>
        <w:t xml:space="preserve">Cancer-related ECOG 1–2</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Systemic therapy is the backbone. Start an immunotherapy combination when eligible and do not delay it for a liver-directed procedure.</w:t>
      </w:r>
    </w:p>
    <w:p>
      <w:pPr>
        <w:spacing w:after="50" w:line="276"/>
        <w:ind w:left="240"/>
      </w:pPr>
      <w:r>
        <w:t xml:space="preserve">Most pivotal combination evidence is in Child-Pugh A and ECOG 0–1. No head-to-head trial ranks the three first-line ICI combinations. Exploratory aetiology subgroups do not establish non-viral HCC as an exclusion; choose treatment by clinical eligibility, safety and patient preference.</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p>
    <w:p>
      <w:pPr>
        <w:spacing w:after="50"/>
        <w:ind w:left="240"/>
      </w:pPr>
      <w:r>
        <w:t xml:space="preserve">Caveat. Assess and manage varices and anti-VEGF risk before atezolizumab–bevacizumab; bleeding risk is not limited to varices. With dual ICI, consider immune toxicity and the early mortality signal reported in CheckMate 9DW. Crossing survival curves do not establish a minimum expected-survival cutoff for an individual patient or rank the combinations. Poor liver reserve requires specialist review. Pre-transplant checkpoint exposure requires prospective transplant-specific review.</w:t>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2LTNdPC9EaXNwbGF5VGV4dD48cmVjb3JkPjxyZWMtbnVtYmVyPjM8L3JlYy1udW1iZXI+PGZvcmVpZ24ta2V5cz48a2V5IGFwcD0iRU4iIGRiLWlkPSIyYjI4NzQ5NS1hMmM3LTU0YzItODM3OC02MjhkMGY1MjliOWIiIHRpbWVzdGFtcD0iMTc5MzI4MzY4OS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2LTRdPC9EaXNwbGF5VGV4dD48cmVjb3JkPjxyZWMtbnVtYmVyPjQ8L3JlYy1udW1iZXI+PGZvcmVpZ24ta2V5cz48a2V5IGFwcD0iRU4iIGRiLWlkPSIyYjI4NzQ5NS1hMmM3LTU0YzItODM3OC02MjhkMGY1MjliOWIiIHRpbWVzdGFtcD0iMTc5MzI4MzY4OS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p>
    <w:p>
      <w:pPr>
        <w:spacing w:after="60" w:line="276"/>
        <w:ind w:left="240"/>
      </w:pPr>
      <w:r>
        <w:rPr>
          <w:color w:val="5A6069"/>
          <w:sz w:val="16"/>
          <w:szCs w:val="16"/>
        </w:rPr>
        <w:t xml:space="preserve">Sources: IMbrave150; IMbrave150 update; HIMALAYA / STRIDE; CheckMate 9DW</w:t>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No head-to-head trial ranks these three, so none can be labelled preferred over the others on evidence. v0.2 listed them in an order that implies a hierarchy; that implication is removed. Atezolizumab–bevacizumab requires documented variceal assessment and treatment of high-risk varices before the first dose. Dual checkpoint regimens avoid the VEGF bleeding risk but carry immune toxicity; nivolumab–ipilimumab showed excess mortality in the first six months (HR 1.65) despite superior overall survival at 23.7 versus 20.6 months — which matters for a patient with a short runway.</w:t>
      </w:r>
    </w:p>
    <w:p>
      <w:pPr>
        <w:spacing w:after="50" w:before="120"/>
        <w:ind w:left="240"/>
      </w:pPr>
      <w:r>
        <w:rPr>
          <w:b/>
          <w:bCs/>
          <w:color w:val="15181F"/>
          <w:sz w:val="19"/>
          <w:szCs w:val="19"/>
        </w:rPr>
        <w:t xml:space="preserve">Atezolizumab plus bevacizumab</w:t>
      </w:r>
      <w:r>
        <w:rPr>
          <w:color w:val="5A6069"/>
          <w:sz w:val="15"/>
          <w:szCs w:val="15"/>
        </w:rPr>
        <w:t xml:space="preserve">   grade A</w:t>
      </w:r>
    </w:p>
    <w:p>
      <w:pPr>
        <w:spacing w:after="50" w:line="276"/>
        <w:ind w:left="240"/>
      </w:pPr>
      <w:r>
        <w:rPr>
          <w:color w:val="15181F"/>
          <w:sz w:val="18"/>
          <w:szCs w:val="18"/>
        </w:rPr>
        <w:t xml:space="preserve">IMbrave150 gave median overall survival of 19.2 against 13.4 months on sorafenib (HR 0.66, 95% CI 0.52-0.85).</w:t>
      </w:r>
    </w:p>
    <w:p>
      <w:pPr>
        <w:spacing w:after="50" w:line="276"/>
        <w:ind w:left="240"/>
      </w:pPr>
      <w:r>
        <w:t xml:space="preserve">Immunotherapy-eligible HCC with acceptable bleeding and vascular risk after variceal assessment and management. Viral etiology is not required.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U2L05FSk1vYTE5MTU3NDU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spacing w:after="50"/>
        <w:ind w:left="240"/>
      </w:pPr>
      <w:r>
        <w:t xml:space="preserve">Caveat. Document variceal assessment and management of high-risk varices before treatment. Trial eligibility selected patients with preserved reserve and controlled bleeding risk. The non-viral subgroup estimate was exploratory and imprecise; it does not establish lack of benefit or justify excluding all patients with non-viral HCC.</w:t>
      </w:r>
      <w:r>
        <w:t xml:space="preserve"> </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p>
    <w:p>
      <w:pPr>
        <w:spacing w:after="60" w:line="276"/>
        <w:ind w:left="240"/>
      </w:pPr>
      <w:r>
        <w:rPr>
          <w:color w:val="5A6069"/>
          <w:sz w:val="16"/>
          <w:szCs w:val="16"/>
        </w:rPr>
        <w:t xml:space="preserve">Sources: IMbrave150; IMbrave150 update</w:t>
      </w:r>
    </w:p>
    <w:p>
      <w:pPr>
        <w:spacing w:after="50" w:before="120"/>
        <w:ind w:left="240"/>
      </w:pPr>
      <w:r>
        <w:rPr>
          <w:b/>
          <w:bCs/>
          <w:color w:val="15181F"/>
          <w:sz w:val="19"/>
          <w:szCs w:val="19"/>
        </w:rPr>
        <w:t xml:space="preserve">Tremelimumab plus durvalumab (STRIDE)</w:t>
      </w:r>
      <w:r>
        <w:rPr>
          <w:color w:val="5A6069"/>
          <w:sz w:val="15"/>
          <w:szCs w:val="15"/>
        </w:rPr>
        <w:t xml:space="preserve">   grade A</w:t>
      </w:r>
    </w:p>
    <w:p>
      <w:pPr>
        <w:spacing w:after="50" w:line="276"/>
        <w:ind w:left="240"/>
      </w:pPr>
      <w:r>
        <w:rPr>
          <w:color w:val="15181F"/>
          <w:sz w:val="18"/>
          <w:szCs w:val="18"/>
        </w:rPr>
        <w:t xml:space="preserve">HIMALAYA gave 16.43 against 13.77 months on sorafenib (HR 0.78, 96.02% CI 0.65-0.93).</w:t>
      </w:r>
    </w:p>
    <w:p>
      <w:pPr>
        <w:spacing w:after="50" w:line="276"/>
        <w:ind w:left="240"/>
      </w:pPr>
      <w:r>
        <w:t xml:space="preserve">An anti-VEGF-free immune combination when bevacizumab is unsuitable and dual-checkpoint treatment is appropriate. Do not infer an individual nine-month survival eligibility threshold from crossing survival curves.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spacing w:after="50"/>
        <w:ind w:left="240"/>
      </w:pPr>
      <w:r>
        <w:rPr>
          <w:b/>
          <w:bCs/>
          <w:color w:val="8C2F26"/>
          <w:sz w:val="18"/>
          <w:szCs w:val="18"/>
        </w:rPr>
        <w:t xml:space="preserve">Caveat. </w:t>
      </w:r>
      <w:r>
        <w:rPr>
          <w:color w:val="15181F"/>
          <w:sz w:val="18"/>
          <w:szCs w:val="18"/>
        </w:rPr>
        <w:t xml:space="preserve">There was no progression-free survival benefit at all (HR 0.90, 0.77-1.05), and main portal vein thrombosis was excluded from the trial.</w:t>
      </w:r>
    </w:p>
    <w:p>
      <w:pPr>
        <w:spacing w:after="60" w:line="276"/>
        <w:ind w:left="240"/>
      </w:pPr>
      <w:r>
        <w:rPr>
          <w:color w:val="5A6069"/>
          <w:sz w:val="16"/>
          <w:szCs w:val="16"/>
        </w:rPr>
        <w:t xml:space="preserve">Sources: HIMALAYA / STRIDE</w:t>
      </w:r>
    </w:p>
    <w:p>
      <w:pPr>
        <w:spacing w:after="50" w:before="120"/>
        <w:ind w:left="240"/>
      </w:pPr>
      <w:r>
        <w:rPr>
          <w:b/>
          <w:bCs/>
          <w:color w:val="15181F"/>
          <w:sz w:val="19"/>
          <w:szCs w:val="19"/>
        </w:rPr>
        <w:t xml:space="preserve">Nivolumab plus ipilimumab</w:t>
      </w:r>
      <w:r>
        <w:rPr>
          <w:color w:val="5A6069"/>
          <w:sz w:val="15"/>
          <w:szCs w:val="15"/>
        </w:rPr>
        <w:t xml:space="preserve">   grade A</w:t>
      </w:r>
    </w:p>
    <w:p>
      <w:pPr>
        <w:spacing w:after="50" w:line="276"/>
        <w:ind w:left="240"/>
      </w:pPr>
      <w:r>
        <w:rPr>
          <w:color w:val="15181F"/>
          <w:sz w:val="18"/>
          <w:szCs w:val="18"/>
        </w:rPr>
        <w:t xml:space="preserve">CheckMate 9DW gave 23.7 against 20.6 months on lenvatinib or sorafenib (HR 0.79, 0.65-0.96).</w:t>
      </w:r>
    </w:p>
    <w:p>
      <w:pPr>
        <w:spacing w:after="50" w:line="276"/>
        <w:ind w:left="240"/>
      </w:pPr>
      <w:r>
        <w:rPr>
          <w:color w:val="15181F"/>
          <w:sz w:val="18"/>
          <w:szCs w:val="18"/>
        </w:rPr>
        <w:t xml:space="preserve">Dual checkpoint blockade without the VEGF bleeding risk, in a patient who can absorb early immune toxicity.</w:t>
      </w:r>
    </w:p>
    <w:p>
      <w:pPr>
        <w:spacing w:after="50"/>
        <w:ind w:left="240"/>
      </w:pPr>
      <w:r>
        <w:rPr>
          <w:b/>
          <w:bCs/>
          <w:color w:val="8C2F26"/>
          <w:sz w:val="18"/>
          <w:szCs w:val="18"/>
        </w:rPr>
        <w:t xml:space="preserve">Caveat. </w:t>
      </w:r>
      <w:r>
        <w:rPr>
          <w:color w:val="15181F"/>
          <w:sz w:val="18"/>
          <w:szCs w:val="18"/>
        </w:rPr>
        <w:t xml:space="preserve">Hazards cross: the piecewise hazard ratio is 1.65 (1.12-2.43) in the first six months, with 12 treatment-related deaths against 3, 11 of them inside that window and 9 fatal hepatic events. The restricted mean survival difference is 2.8 months (0.2-5.4) at 47 months, and Vp4 invasion was excluded.</w:t>
      </w:r>
    </w:p>
    <w:p>
      <w:pPr>
        <w:spacing w:after="60" w:line="276"/>
        <w:ind w:left="240"/>
      </w:pPr>
      <w:r>
        <w:rPr>
          <w:color w:val="5A6069"/>
          <w:sz w:val="16"/>
          <w:szCs w:val="16"/>
        </w:rPr>
        <w:t xml:space="preserve">Sources: CheckMate 9DW</w:t>
      </w:r>
    </w:p>
    <w:p>
      <w:pPr>
        <w:spacing w:after="60" w:line="276"/>
        <w:ind w:left="240"/>
      </w:pPr>
      <w:r>
        <w:rPr>
          <w:i/>
          <w:iCs/>
          <w:color w:val="5A6069"/>
          <w:sz w:val="16"/>
          <w:szCs w:val="16"/>
        </w:rPr>
        <w:t xml:space="preserve">Ratification item. Medical oncology must ratify the removal of any implied ranking among the three first-line immunotherapy regimens, and the mandatory variceal assessment before atezolizumab-bevacizumab.</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t xml:space="preserve">If all immune checkpoint therapy is unsuitable, consider lenvatinib or sorafenib. Durvalumab alone is an alternative only when combination therapy is unsuitable but PD-L1 therapy itself remains appropriate.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50" w:line="276"/>
        <w:ind w:left="240"/>
      </w:pPr>
      <w:r>
        <w:rPr>
          <w:color w:val="15181F"/>
          <w:sz w:val="18"/>
          <w:szCs w:val="18"/>
        </w:rPr>
        <w:t xml:space="preserve">Autoimmune disease, organ transplant, or another contraindication to checkpoint blockade. Match the tyrosine-kinase inhibitor to cardiovascular, renal, weight, hand-foot, diarrhoea and drug-interaction risk.</w:t>
      </w:r>
    </w:p>
    <w:p>
      <w:pPr>
        <w:spacing w:after="50"/>
        <w:ind w:left="240"/>
      </w:pPr>
      <w:r>
        <w:rPr>
          <w:b/>
          <w:bCs/>
          <w:color w:val="8C2F26"/>
          <w:sz w:val="18"/>
          <w:szCs w:val="18"/>
        </w:rPr>
        <w:t xml:space="preserve">Caveat. </w:t>
      </w:r>
      <w:r>
        <w:rPr>
          <w:color w:val="15181F"/>
          <w:sz w:val="18"/>
          <w:szCs w:val="18"/>
        </w:rPr>
        <w:t xml:space="preserve">Evidence is strongest in Child-Pugh A. Durvalumab monotherapy is graded B, not A.</w:t>
      </w:r>
    </w:p>
    <w:p>
      <w:pPr>
        <w:spacing w:after="50" w:line="276"/>
        <w:ind w:left="240"/>
      </w:pPr>
      <w:r>
        <w:rPr>
          <w:i/>
          <w:iCs/>
          <w:color w:val="5A6069"/>
          <w:sz w:val="17"/>
          <w:szCs w:val="17"/>
        </w:rPr>
        <w:t xml:space="preserve">Match the tyrosine-kinase inhibitor to cardiovascular, renal, weight, hand-foot, diarrhoea and drug-interaction risk. Evidence is strongest in Child-Pugh A.</w:t>
      </w:r>
    </w:p>
    <w:p>
      <w:pPr>
        <w:spacing w:after="60" w:line="276"/>
        <w:ind w:left="240"/>
      </w:pPr>
      <w:r>
        <w:rPr>
          <w:color w:val="5A6069"/>
          <w:sz w:val="16"/>
          <w:szCs w:val="16"/>
        </w:rPr>
        <w:t xml:space="preserve">Sources: HIMALAYA / STRIDE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Add external beam radiotherapy or radioembolisation alongside systemic therapy. Both supporting trials used a sorafenib comparator: RTOG 1112 missed its primary survival endpoint (HR 0.77, 90% CI 0.59–1.01, one-sided p=0.06) and 15% of its patients then never started sorafenib, while the Asan trial gave TACE plus radiotherapy instead of sorafenib, with 91% crossover. Neither tested adding radiation to an immunotherapy backbone.</w:t>
      </w:r>
    </w:p>
    <w:p>
      <w:pPr>
        <w:spacing w:after="50" w:line="276"/>
        <w:ind w:left="240"/>
      </w:pPr>
      <w:r>
        <w:rPr>
          <w:color w:val="15181F"/>
          <w:sz w:val="18"/>
          <w:szCs w:val="18"/>
        </w:rPr>
        <w:t xml:space="preserve">Liver-dominant control, portal-vein tumour thrombus, or symptom control, where the anatomy is liver-confined, reserve is preserved and dosimetry is feasible.</w:t>
      </w:r>
    </w:p>
    <w:p>
      <w:pPr>
        <w:spacing w:after="50"/>
        <w:ind w:left="240"/>
      </w:pPr>
      <w:r>
        <w:rPr>
          <w:b/>
          <w:bCs/>
          <w:color w:val="8C2F26"/>
          <w:sz w:val="18"/>
          <w:szCs w:val="18"/>
        </w:rPr>
        <w:t xml:space="preserve">Caveat. </w:t>
      </w:r>
      <w:r>
        <w:rPr>
          <w:color w:val="15181F"/>
          <w:sz w:val="18"/>
          <w:szCs w:val="18"/>
        </w:rPr>
        <w:t xml:space="preserve">Do not let it delay or displace the systemic start — the most common harm in this group is a delayed systemic start, not the radiation itself. Document why local therapy is being added and when systemic therapy starts or resumes.</w:t>
      </w:r>
    </w:p>
    <w:p>
      <w:pPr>
        <w:spacing w:after="50" w:line="276"/>
        <w:ind w:left="240"/>
      </w:pPr>
      <w:r>
        <w:rPr>
          <w:i/>
          <w:iCs/>
          <w:color w:val="5A6069"/>
          <w:sz w:val="17"/>
          <w:szCs w:val="17"/>
        </w:rPr>
        <w:t xml:space="preserve">No randomised trial has tested this against a modern immunotherapy backbone. Both supporting trials used a sorafenib comparator.</w:t>
      </w:r>
    </w:p>
    <w:p>
      <w:pPr>
        <w:spacing w:after="60" w:line="276"/>
        <w:ind w:left="240"/>
      </w:pPr>
      <w:r>
        <w:rPr>
          <w:color w:val="5A6069"/>
          <w:sz w:val="16"/>
          <w:szCs w:val="16"/>
        </w:rPr>
        <w:t xml:space="preserve">Sources: RTOG 1112; TACE + EBRT; ASTRO EBRT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 first-line immunotherapy combination: a clinical trial first; otherwise a mechanistically appropriate tyrosine-kinase inhibitor - cabozantinib, lenvatinib or sorafenib if not previously used, regorafenib only after documented sorafenib tolerance - or ramucirumab if AFP is 400 ng/mL or above.</w:t>
      </w:r>
    </w:p>
    <w:p>
      <w:pPr>
        <w:spacing w:after="50" w:line="276"/>
        <w:ind w:left="240"/>
      </w:pPr>
      <w:r>
        <w:rPr>
          <w:color w:val="15181F"/>
          <w:sz w:val="18"/>
          <w:szCs w:val="18"/>
        </w:rPr>
        <w:t xml:space="preserve">Preserved liver function and performance status after a modern combination, with prior toxicity, best response achieved and the rationale recorded.</w:t>
      </w:r>
    </w:p>
    <w:p>
      <w:pPr>
        <w:spacing w:after="50"/>
        <w:ind w:left="240"/>
      </w:pPr>
      <w:r>
        <w:t xml:space="preserve">Caveat. The best sequence after a modern ICI combination is not established. Much of the pivotal later-line randomized evidence was generated after sorafenib; current post-ICI choices require documented extrapolation.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50" w:line="276"/>
        <w:ind w:left="240"/>
      </w:pPr>
      <w:r>
        <w:t xml:space="preserve">Record prior drugs, tolerance, best response, liver reserve and the reason for the chosen subsequent regimen. Post-sorafenib trials do not establish a preferred post-ICI sequence; patients treated with sorafenib still exist and remain relevant to those data.</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60" w:line="276"/>
        <w:ind w:left="240"/>
      </w:pPr>
      <w:r>
        <w:rPr>
          <w:color w:val="5A6069"/>
          <w:sz w:val="16"/>
          <w:szCs w:val="16"/>
        </w:rPr>
        <w:t xml:space="preserve">Sources: CELESTIAL; RESORCE; REACH-2</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t xml:space="preserve">After a TKI in an ICI-naive patient, consider a previously unused guideline-supported immune regimen if eligible; otherwise select cabozantinib, regorafenib after tolerated sorafenib, or ramucirumab when AFP is at least 400 ng/mL. Confirm each label and current formulary pathway.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50" w:line="276"/>
        <w:ind w:left="240"/>
      </w:pPr>
      <w:r>
        <w:rPr>
          <w:color w:val="15181F"/>
          <w:sz w:val="18"/>
          <w:szCs w:val="18"/>
        </w:rPr>
        <w:t xml:space="preserve">Checkpoint-naive patient who remains eligible for an immune regimen.</w:t>
      </w:r>
    </w:p>
    <w:p>
      <w:pPr>
        <w:spacing w:after="50"/>
        <w:ind w:left="240"/>
      </w:pPr>
      <w:r>
        <w:rPr>
          <w:b/>
          <w:bCs/>
          <w:color w:val="8C2F26"/>
          <w:sz w:val="18"/>
          <w:szCs w:val="18"/>
        </w:rPr>
        <w:t xml:space="preserve">Caveat. </w:t>
      </w:r>
      <w:r>
        <w:rPr>
          <w:color w:val="15181F"/>
          <w:sz w:val="18"/>
          <w:szCs w:val="18"/>
        </w:rPr>
        <w:t xml:space="preserve">Avoid duplicative checkpoint therapy without evidence.</w:t>
      </w:r>
    </w:p>
    <w:p>
      <w:pPr>
        <w:spacing w:after="50" w:line="276"/>
        <w:ind w:left="240"/>
      </w:pPr>
      <w:r>
        <w:t xml:space="preserve">Avoid unselected single-agent checkpoint rechallenge after prior PD-1/PD-L1 treatment. Pembrolizumab has randomized evidence in KEYNOTE-394; the checked US HCC label specifies HBV-related HCC after systemic therapy other than a PD-1/PD-L1-containing regimen. Other uses require a distinct tumor-agnostic indication or an explicitly documented guideline/off-label pathway.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PHllYXI+MjAyMzwveWVhcj48L2RhdGVzPjx2b2x1bWU+NDE8L3ZvbHVtZT48bnVtYmVyPjc8L251bWJlcj48cGFnZXM+MTQzNC0xNDQzPC9wYWdlcz48ZWxlY3Ryb25pYy1yZXNvdXJjZS1udW0+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yMDAvSkNPLjIyLjAwNjIw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spacing w:after="60" w:line="276"/>
        <w:ind w:left="240"/>
      </w:pPr>
      <w:r>
        <w:rPr>
          <w:color w:val="5A6069"/>
          <w:sz w:val="16"/>
          <w:szCs w:val="16"/>
        </w:rPr>
        <w:t xml:space="preserve">Sources: KEYNOTE-394; CELESTIAL; RESORCE; REACH-2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Child-Pugh B: individualise with an experienced hepatology and oncology team, or do not treat.</w:t>
      </w:r>
    </w:p>
    <w:p>
      <w:pPr>
        <w:spacing w:after="50" w:line="276"/>
        <w:ind w:left="240"/>
      </w:pPr>
      <w:r>
        <w:rPr>
          <w:color w:val="15181F"/>
          <w:sz w:val="18"/>
          <w:szCs w:val="18"/>
        </w:rPr>
        <w:t xml:space="preserve">Child-Pugh B7-B8 where cancer symptoms rather than liver-failure prognosis are driving the presentation.</w:t>
      </w:r>
    </w:p>
    <w:p>
      <w:pPr>
        <w:spacing w:after="50"/>
        <w:ind w:left="240"/>
      </w:pPr>
      <w:r>
        <w:rPr>
          <w:b/>
          <w:bCs/>
          <w:color w:val="8C2F26"/>
          <w:sz w:val="18"/>
          <w:szCs w:val="18"/>
        </w:rPr>
        <w:t xml:space="preserve">Caveat. </w:t>
      </w:r>
      <w:r>
        <w:rPr>
          <w:color w:val="15181F"/>
          <w:sz w:val="18"/>
          <w:szCs w:val="18"/>
        </w:rPr>
        <w:t xml:space="preserve">Child-Pugh B9 and above is rarely appropriate for systemic therapy outside a trial. Distinguish cancer symptoms from liver-failure prognosis before committing to treatment.</w:t>
      </w:r>
    </w:p>
    <w:p>
      <w:pPr>
        <w:spacing w:after="50" w:line="276"/>
        <w:ind w:left="240"/>
      </w:pPr>
      <w:r>
        <w:rPr>
          <w:i/>
          <w:iCs/>
          <w:color w:val="5A6069"/>
          <w:sz w:val="17"/>
          <w:szCs w:val="17"/>
        </w:rPr>
        <w:t xml:space="preserve">Benefit and toxicity evidence is weak and largely from subgroups and single-arm cohorts. Distinguish cancer symptoms from liver-failure prognosis before committing to treatment. Child-Pugh B9 and above is rarely appropriate for systemic therapy outside a trial. NCCN: therapies “may have limited safety data available for CTP Class B or C liver function”.</w:t>
      </w:r>
    </w:p>
    <w:p>
      <w:pPr>
        <w:spacing w:after="60" w:line="276"/>
        <w:ind w:left="240"/>
      </w:pPr>
      <w:r>
        <w:rPr>
          <w:color w:val="5A6069"/>
          <w:sz w:val="16"/>
          <w:szCs w:val="16"/>
        </w:rPr>
        <w:t xml:space="preserve">Sources: NCCN v2.2026</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TX-TIMING</w:t>
      </w:r>
    </w:p>
    <w:p>
      <w:pPr>
        <w:spacing w:after="60" w:line="276"/>
      </w:pPr>
      <w:r>
        <w:rPr>
          <w:color w:val="15181F"/>
          <w:sz w:val="19"/>
          <w:szCs w:val="19"/>
        </w:rPr>
        <w:t xml:space="preserve">In a transplant candidate, a pre-transplant checkpoint inhibitor only through transplant-specific review, with the washout interval, the immunosuppression plan and the alternative strategy agreed before the first dose.</w:t>
      </w:r>
    </w:p>
    <w:p>
      <w:pPr>
        <w:spacing w:after="50" w:line="276"/>
        <w:ind w:left="240"/>
      </w:pPr>
      <w:r>
        <w:rPr>
          <w:color w:val="15181F"/>
          <w:sz w:val="18"/>
          <w:szCs w:val="18"/>
        </w:rPr>
        <w:t xml:space="preserve">A listed or listable patient for whom no other bridging or systemic option is adequate, reviewed by transplant before the first dose rather than after it.</w:t>
      </w:r>
    </w:p>
    <w:p>
      <w:pPr>
        <w:spacing w:after="50"/>
        <w:ind w:left="240"/>
      </w:pPr>
      <w:r>
        <w:t xml:space="preserve">Caveat. Do not use checkpoint inhibitors as a routine bridging strategy. No washout interval is prospectively validated as universally safe. Retrospective timing associations inform proposed intervals but do not guarantee freedom from rejection; follow the transplant protocol and its OPEN meeting decision.</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Ni0xMV08L0Rpc3BsYXlUZXh0PjxyZWNvcmQ+PHJlYy1udW1iZXI+MTE8L3JlYy1udW1iZXI+PGZvcmVpZ24ta2V5cz48a2V5IGFwcD0iRU4iIGRiLWlkPSIyYjI4NzQ5NS1hMmM3LTU0YzItODM3OC02MjhkMGY1MjliOWIiIHRpbWVzdGFtcD0iMTc5MzI4MzY4OS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spacing w:after="50" w:line="276"/>
        <w:ind w:left="240"/>
      </w:pPr>
      <w:r>
        <w:rPr>
          <w:i/>
          <w:iCs/>
          <w:color w:val="5A6069"/>
          <w:sz w:val="17"/>
          <w:szCs w:val="17"/>
        </w:rPr>
        <w:t xml:space="preserve">Document the washout interval agreed, the immunosuppression plan, and the alternative strategy if transplant becomes available early. TX-TIMING</w:t>
      </w:r>
    </w:p>
    <w:p>
      <w:pPr>
        <w:spacing w:after="60" w:line="276"/>
        <w:ind w:left="240"/>
      </w:pPr>
      <w:r>
        <w:t xml:space="preserve">Sources: pre-LT Moeckli cohort and VITALITY; the separately retained post-LT review addresses a different clinical setting.</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Radioembolisation as a substitute for systemic therapy.</w:t>
      </w:r>
    </w:p>
    <w:p>
      <w:pPr>
        <w:spacing w:after="60" w:line="276"/>
        <w:ind w:left="240"/>
      </w:pPr>
      <w:r>
        <w:rPr>
          <w:color w:val="5A6069"/>
          <w:sz w:val="16"/>
          <w:szCs w:val="16"/>
        </w:rPr>
        <w:t xml:space="preserve">Sources: SARAH; SIRveNIB</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Deferring systemic therapy to complete a locoregional series.</w:t>
      </w:r>
    </w:p>
    <w:p>
      <w:pPr>
        <w:spacing w:after="60" w:before="180"/>
      </w:pPr>
      <w:r>
        <w:rPr>
          <w:b/>
          <w:bCs/>
          <w:color w:val="8C2F26"/>
          <w:spacing w:val="16"/>
          <w:sz w:val="16"/>
          <w:szCs w:val="16"/>
        </w:rPr>
        <w:t xml:space="preserve">AVOID</w:t>
      </w:r>
      <w:r>
        <w:rPr>
          <w:color w:val="5A6069"/>
          <w:sz w:val="16"/>
          <w:szCs w:val="16"/>
        </w:rPr>
        <w:t xml:space="preserve">   grade —</w:t>
      </w:r>
      <w:r>
        <w:rPr>
          <w:b/>
          <w:bCs/>
          <w:color w:val="8E5008"/>
          <w:spacing w:val="12"/>
          <w:sz w:val="14"/>
          <w:szCs w:val="14"/>
        </w:rPr>
        <w:t xml:space="preserve">   TX-TIMING</w:t>
      </w:r>
    </w:p>
    <w:p>
      <w:pPr>
        <w:spacing w:after="60" w:line="276"/>
      </w:pPr>
      <w:r>
        <w:rPr>
          <w:color w:val="15181F"/>
          <w:sz w:val="19"/>
          <w:szCs w:val="19"/>
        </w:rPr>
        <w:t xml:space="preserve">Checkpoint blockade after transplantation, outside exceptional governance review.</w:t>
      </w:r>
    </w:p>
    <w:p>
      <w:pPr>
        <w:spacing w:after="50"/>
        <w:ind w:left="240"/>
      </w:pPr>
      <w:r>
        <w:rPr>
          <w:b/>
          <w:bCs/>
          <w:color w:val="8C2F26"/>
          <w:sz w:val="18"/>
          <w:szCs w:val="18"/>
        </w:rPr>
        <w:t xml:space="preserve">Caveat. </w:t>
      </w:r>
      <w:r>
        <w:rPr>
          <w:color w:val="15181F"/>
          <w:sz w:val="18"/>
          <w:szCs w:val="18"/>
        </w:rPr>
        <w:t xml:space="preserve">Pooled series report graft rejection in a substantial minority, with appreciable graft loss and mortality.</w:t>
      </w:r>
    </w:p>
    <w:p>
      <w:pPr>
        <w:spacing w:after="60" w:line="276"/>
        <w:ind w:left="240"/>
      </w:pPr>
      <w:r>
        <w:rPr>
          <w:color w:val="5A6069"/>
          <w:sz w:val="16"/>
          <w:szCs w:val="16"/>
        </w:rPr>
        <w:t xml:space="preserve">Sources: ICI after transplant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D · Terminal</w:t>
      </w:r>
    </w:p>
    <w:p>
      <w:pPr>
        <w:spacing w:after="140"/>
      </w:pPr>
      <w:r>
        <w:rPr>
          <w:b/>
          <w:bCs/>
          <w:color w:val="176A87"/>
          <w:sz w:val="19"/>
          <w:szCs w:val="19"/>
        </w:rPr>
        <w:t xml:space="preserve">The question. </w:t>
      </w:r>
      <w:r>
        <w:rPr>
          <w:sz w:val="19"/>
          <w:szCs w:val="19"/>
        </w:rPr>
        <w:t xml:space="preserve">Is it the cancer or the liver that has brought this patient here, and was the transplant question asked before the label was applied?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ECOG 3–4</w:t>
      </w:r>
    </w:p>
    <w:p>
      <w:pPr>
        <w:pStyle w:val="ListParagraph"/>
        <w:numPr>
          <w:ilvl w:val="0"/>
          <w:numId w:val="2"/>
        </w:numPr>
        <w:spacing w:after="60" w:line="268"/>
      </w:pPr>
      <w:r>
        <w:rPr>
          <w:color w:val="15181F"/>
          <w:sz w:val="18"/>
          <w:szCs w:val="18"/>
        </w:rPr>
        <w:t xml:space="preserve">Child-Pugh C not correctable by transplant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Symptom-directed care with early specialist palliative involvement; treat reversible liver complications.</w:t>
      </w:r>
    </w:p>
    <w:p>
      <w:pPr>
        <w:spacing w:after="50" w:line="276"/>
        <w:ind w:left="240"/>
      </w:pPr>
      <w:r>
        <w:rPr>
          <w:color w:val="15181F"/>
          <w:sz w:val="18"/>
          <w:szCs w:val="18"/>
        </w:rPr>
        <w:t xml:space="preserve">ECOG 3–4, or Child-Pugh C that transplant cannot correct, after the transplant question has been asked and answered.</w:t>
      </w:r>
    </w:p>
    <w:p>
      <w:pPr>
        <w:spacing w:after="50"/>
        <w:ind w:left="240"/>
      </w:pPr>
      <w:r>
        <w:rPr>
          <w:b/>
          <w:bCs/>
          <w:color w:val="8C2F26"/>
          <w:sz w:val="18"/>
          <w:szCs w:val="18"/>
        </w:rPr>
        <w:t xml:space="preserve">Caveat. </w:t>
      </w:r>
      <w:r>
        <w:rPr>
          <w:color w:val="15181F"/>
          <w:sz w:val="18"/>
          <w:szCs w:val="18"/>
        </w:rPr>
        <w:t xml:space="preserve">Do not start systemic therapy at ECOG 3–4 or Child-Pugh C. Do not continue surveillance imaging that cannot change the plan.</w:t>
      </w:r>
    </w:p>
    <w:p>
      <w:pPr>
        <w:spacing w:after="60" w:line="276"/>
        <w:ind w:left="240"/>
      </w:pPr>
      <w:r>
        <w:rPr>
          <w:color w:val="5A6069"/>
          <w:sz w:val="16"/>
          <w:szCs w:val="16"/>
        </w:rPr>
        <w:t xml:space="preserve">Sources: BCLC 2026</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Re-evaluate for transplant.</w:t>
      </w:r>
    </w:p>
    <w:p>
      <w:pPr>
        <w:spacing w:after="50" w:line="276"/>
        <w:ind w:left="240"/>
      </w:pPr>
      <w:r>
        <w:rPr>
          <w:color w:val="15181F"/>
          <w:sz w:val="18"/>
          <w:szCs w:val="18"/>
        </w:rPr>
        <w:t xml:space="preserve">Decompensation rather than tumour is driving performance status — the liver failure, not the cancer, is the indication.</w:t>
      </w:r>
    </w:p>
    <w:p>
      <w:pPr>
        <w:spacing w:after="50"/>
        <w:ind w:left="240"/>
      </w:pPr>
      <w:r>
        <w:rPr>
          <w:b/>
          <w:bCs/>
          <w:color w:val="8C2F26"/>
          <w:sz w:val="18"/>
          <w:szCs w:val="18"/>
        </w:rPr>
        <w:t xml:space="preserve">Caveat. </w:t>
      </w:r>
      <w:r>
        <w:rPr>
          <w:color w:val="15181F"/>
          <w:sz w:val="18"/>
          <w:szCs w:val="18"/>
        </w:rPr>
        <w:t xml:space="preserve">This determination must be made before the patient is assigned stage D, not after. Once assigned, the label tends to stick.</w:t>
      </w:r>
    </w:p>
    <w:p>
      <w:pPr>
        <w:spacing w:after="50" w:line="276"/>
        <w:ind w:left="240"/>
      </w:pPr>
      <w:r>
        <w:rPr>
          <w:i/>
          <w:iCs/>
          <w:color w:val="5A6069"/>
          <w:sz w:val="17"/>
          <w:szCs w:val="17"/>
        </w:rPr>
        <w:t xml:space="preserve">Macrovascular invasion or extrahepatic spread still excludes the HCC exception, categorically.</w:t>
      </w:r>
    </w:p>
    <w:p>
      <w:pPr>
        <w:spacing w:after="60" w:line="276"/>
        <w:ind w:left="240"/>
      </w:pPr>
      <w:r>
        <w:rPr>
          <w:color w:val="5A6069"/>
          <w:sz w:val="16"/>
          <w:szCs w:val="16"/>
        </w:rPr>
        <w:t xml:space="preserve">Sources: Milan criteria</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Antitumour therapy without realistic benefit.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Surveillance imaging that cannot change the plan.</w:t>
      </w:r>
    </w:p>
    <w:p>
      <w:pPr>
        <w:pBdr>
          <w:bottom w:val="single" w:color="D3DCE4" w:sz="6" w:space="1"/>
        </w:pBdr>
        <w:spacing w:after="80"/>
      </w:pPr>
    </w:p>
    <w:p>
      <w:pPr>
        <w:pStyle w:val="Heading1"/>
        <w:widowControl/>
        <w:keepNext/>
      </w:pPr>
      <w:bookmarkStart w:id="6100" w:name="liver_directed_treatment_matrix"/>
      <w:r>
        <w:t xml:space="preserve">Liver-directed treatment matrix</w:t>
      </w:r>
      <w:bookmarkEnd w:id="6100"/>
    </w:p>
    <w:p>
      <w:pPr>
        <w:pStyle w:val="Normal"/>
        <w:widowControl/>
        <w:spacing w:after="120"/>
      </w:pPr>
      <w:r>
        <w:t xml:space="preserve">Compare modalities by clinical role, anatomy, reserve, safety and evidence quality. This is not a ranked list. Local treatment and systemic treatment use the same matrix structure; the amount of detail reflects clinical decision needs, not which study prompted a discussion.</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Thermal ablation</w:t>
            </w:r>
          </w:p>
          <w:p>
            <w:pPr>
              <w:pStyle w:val="Normal"/>
              <w:widowControl/>
              <w:spacing w:after="55" w:line="240" w:lineRule="auto"/>
              <w:keepNext w:val="0"/>
              <w:keepLines/>
            </w:pPr>
            <w:r>
              <w:rPr>
                <w:sz w:val="21"/>
                <w:szCs w:val="21"/>
              </w:rPr>
              <w:t xml:space="preserve">MWA or RFA</w:t>
            </w:r>
          </w:p>
        </w:tc>
        <w:tc>
          <w:tcPr>
            <w:tcW w:w="4000" w:type="dxa"/>
            <w:vAlign w:val="top"/>
            <w:shd w:fill="F1F5F8"/>
          </w:tcPr>
          <w:p>
            <w:pPr>
              <w:pStyle w:val="Normal"/>
              <w:widowControl/>
              <w:spacing w:after="55" w:line="240" w:lineRule="auto"/>
              <w:keepNext w:val="0"/>
              <w:keepLines/>
            </w:pPr>
            <w:r>
              <w:rPr>
                <w:sz w:val="21"/>
                <w:szCs w:val="21"/>
              </w:rPr>
              <w:t xml:space="preserve">Small, accessible tumors, especially 3 cm or less, when the tumor and an adequate margin can be treated. Review ducts, bowel, vessels and heat sink. For 3–5 cm disease, consider alternatives or selected combinations; do not default to ablation alone above 5 cm.</w:t>
            </w:r>
          </w:p>
        </w:tc>
        <w:tc>
          <w:tcPr>
            <w:tcW w:w="4180" w:type="dxa"/>
            <w:vAlign w:val="top"/>
            <w:shd w:fill="F1F5F8"/>
          </w:tcPr>
          <w:p>
            <w:pPr>
              <w:pStyle w:val="Normal"/>
              <w:widowControl/>
              <w:spacing w:after="55" w:line="240" w:lineRule="auto"/>
              <w:keepNext w:val="0"/>
              <w:keepLines/>
            </w:pPr>
            <w:r>
              <w:rPr>
                <w:sz w:val="21"/>
                <w:szCs w:val="21"/>
              </w:rPr>
              <w:t xml:space="preserve">Guideline-supported definitive local treatment in selected early HCC, or a bridge. Technique, size and location influence local control; no universal preference between microwave and radiofrequency ablation.</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69">
              <w:r>
                <w:rPr>
                  <w:color w:val="0563C1"/>
                  <w:u w:val="single"/>
                </w:rPr>
                <w:t>Source</w:t>
              </w:r>
            </w:hyperlink>
            <w:r>
              <w:t xml:space="preserve"> · </w:t>
            </w:r>
            <w:hyperlink r:id="rId70">
              <w:r>
                <w:rPr>
                  <w:color w:val="0563C1"/>
                  <w:u w:val="single"/>
                </w:rPr>
                <w:t>PDF</w:t>
              </w:r>
            </w:hyperlink>
            <w:r>
              <w:br/>
            </w:r>
            <w:hyperlink r:id="rId71">
              <w:r>
                <w:rPr>
                  <w:color w:val="0563C1"/>
                  <w:u w:val="single"/>
                </w:rPr>
                <w:t>Source</w:t>
              </w:r>
            </w:hyperlink>
            <w:r>
              <w:t xml:space="preserve"> · </w:t>
            </w:r>
            <w:hyperlink r:id="rId7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Chemical ablation</w:t>
            </w:r>
          </w:p>
          <w:p>
            <w:pPr>
              <w:pStyle w:val="Normal"/>
              <w:widowControl/>
              <w:spacing w:after="55" w:line="240" w:lineRule="auto"/>
              <w:keepNext w:val="0"/>
              <w:keepLines/>
            </w:pPr>
            <w:r>
              <w:rPr>
                <w:sz w:val="21"/>
                <w:szCs w:val="21"/>
              </w:rPr>
              <w:t xml:space="preserve">Ethanol injection</w:t>
            </w:r>
          </w:p>
        </w:tc>
        <w:tc>
          <w:tcPr>
            <w:tcW w:w="4000" w:type="dxa"/>
            <w:vAlign w:val="top"/>
            <w:shd w:fill="FFFFFF"/>
          </w:tcPr>
          <w:p>
            <w:pPr>
              <w:pStyle w:val="Normal"/>
              <w:widowControl/>
              <w:spacing w:after="55" w:line="240" w:lineRule="auto"/>
              <w:keepNext w:val="0"/>
              <w:keepLines/>
            </w:pPr>
            <w:r>
              <w:rPr>
                <w:sz w:val="21"/>
                <w:szCs w:val="21"/>
              </w:rPr>
              <w:t xml:space="preserve">Selected small lesions when thermal treatment is unsuitable and local expertise supports use. The local guideline limits this option to tumors under 3 cm.</w:t>
            </w:r>
          </w:p>
        </w:tc>
        <w:tc>
          <w:tcPr>
            <w:tcW w:w="4180" w:type="dxa"/>
            <w:vAlign w:val="top"/>
            <w:shd w:fill="FFFFFF"/>
          </w:tcPr>
          <w:p>
            <w:pPr>
              <w:pStyle w:val="Normal"/>
              <w:widowControl/>
              <w:spacing w:after="55" w:line="240" w:lineRule="auto"/>
              <w:keepNext w:val="0"/>
              <w:keepLines/>
            </w:pPr>
            <w:r>
              <w:rPr>
                <w:sz w:val="21"/>
                <w:szCs w:val="21"/>
              </w:rPr>
              <w:t xml:space="preserve">A selective alternative, not the default for larger lesions. Record why the other local options are unsuitable.</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73">
              <w:r>
                <w:rPr>
                  <w:color w:val="0563C1"/>
                  <w:u w:val="single"/>
                </w:rPr>
                <w:t>Source</w:t>
              </w:r>
            </w:hyperlink>
            <w:r>
              <w:t xml:space="preserve"> · </w:t>
            </w:r>
            <w:hyperlink r:id="rId7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Arterial embolization</w:t>
            </w:r>
          </w:p>
          <w:p>
            <w:pPr>
              <w:pStyle w:val="Normal"/>
              <w:widowControl/>
              <w:spacing w:after="55" w:line="240" w:lineRule="auto"/>
              <w:keepNext w:val="0"/>
              <w:keepLines/>
            </w:pPr>
            <w:r>
              <w:rPr>
                <w:sz w:val="21"/>
                <w:szCs w:val="21"/>
              </w:rPr>
              <w:t xml:space="preserve">Conventional TACE, DEB-TACE or bland TAE</w:t>
            </w:r>
          </w:p>
        </w:tc>
        <w:tc>
          <w:tcPr>
            <w:tcW w:w="4000" w:type="dxa"/>
            <w:vAlign w:val="top"/>
            <w:shd w:fill="F1F5F8"/>
          </w:tcPr>
          <w:p>
            <w:pPr>
              <w:pStyle w:val="Normal"/>
              <w:widowControl/>
              <w:spacing w:after="55" w:line="240" w:lineRule="auto"/>
              <w:keepNext w:val="0"/>
              <w:keepLines/>
            </w:pPr>
            <w:r>
              <w:rPr>
                <w:sz w:val="21"/>
                <w:szCs w:val="21"/>
              </w:rPr>
              <w:t xml:space="preserve">Liver-confined disease with adequate reserve and selectively targetable supply. Assess portal flow, bilirubin, decompensation, infection and nontarget ischemia. Technique and chemotherapy belong in the IR plan.</w:t>
            </w:r>
          </w:p>
        </w:tc>
        <w:tc>
          <w:tcPr>
            <w:tcW w:w="4180" w:type="dxa"/>
            <w:vAlign w:val="top"/>
            <w:shd w:fill="F1F5F8"/>
          </w:tcPr>
          <w:p>
            <w:pPr>
              <w:pStyle w:val="Normal"/>
              <w:widowControl/>
              <w:spacing w:after="55" w:line="240" w:lineRule="auto"/>
              <w:keepNext w:val="0"/>
              <w:keepLines/>
            </w:pPr>
            <w:r>
              <w:rPr>
                <w:sz w:val="21"/>
                <w:szCs w:val="21"/>
              </w:rPr>
              <w:t xml:space="preserve">Established treatment roles, with disease-control, bridge or downstaging intent specified separately. No technique is a universal best bridge. Bilirubin above 3 mg/dL is a relative safety concern, with selected segmental exceptions.</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75">
              <w:r>
                <w:rPr>
                  <w:color w:val="0563C1"/>
                  <w:u w:val="single"/>
                </w:rPr>
                <w:t>Source</w:t>
              </w:r>
            </w:hyperlink>
            <w:r>
              <w:t xml:space="preserve"> · </w:t>
            </w:r>
            <w:hyperlink r:id="rId76">
              <w:r>
                <w:rPr>
                  <w:color w:val="0563C1"/>
                  <w:u w:val="single"/>
                </w:rPr>
                <w:t>PDF</w:t>
              </w:r>
            </w:hyperlink>
            <w:r>
              <w:br/>
            </w:r>
            <w:hyperlink r:id="rId77">
              <w:r>
                <w:rPr>
                  <w:color w:val="0563C1"/>
                  <w:u w:val="single"/>
                </w:rPr>
                <w:t>Source</w:t>
              </w:r>
            </w:hyperlink>
            <w:r>
              <w:t xml:space="preserve"> · </w:t>
            </w:r>
            <w:hyperlink r:id="rId7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Radioembolization</w:t>
            </w:r>
          </w:p>
          <w:p>
            <w:pPr>
              <w:pStyle w:val="Normal"/>
              <w:widowControl/>
              <w:spacing w:after="55" w:line="240" w:lineRule="auto"/>
              <w:keepNext w:val="0"/>
              <w:keepLines/>
            </w:pPr>
            <w:r>
              <w:rPr>
                <w:sz w:val="21"/>
                <w:szCs w:val="21"/>
              </w:rPr>
              <w:t xml:space="preserve">Y90 TARE or radiation segmentectomy</w:t>
            </w:r>
          </w:p>
        </w:tc>
        <w:tc>
          <w:tcPr>
            <w:tcW w:w="4000" w:type="dxa"/>
            <w:vAlign w:val="top"/>
            <w:shd w:fill="FFFFFF"/>
          </w:tcPr>
          <w:p>
            <w:pPr>
              <w:pStyle w:val="Normal"/>
              <w:widowControl/>
              <w:spacing w:after="55" w:line="240" w:lineRule="auto"/>
              <w:keepNext w:val="0"/>
              <w:keepLines/>
            </w:pPr>
            <w:r>
              <w:rPr>
                <w:sz w:val="21"/>
                <w:szCs w:val="21"/>
              </w:rPr>
              <w:t xml:space="preserve">Choose a selective segmental or larger-volume plan according to tumor distribution and functional reserve. Require mapping, lung and nontarget assessment, and individualized dosimetry. Bilirubin above 2 mg/dL increases radiation-injury risk.</w:t>
            </w:r>
          </w:p>
        </w:tc>
        <w:tc>
          <w:tcPr>
            <w:tcW w:w="4180" w:type="dxa"/>
            <w:vAlign w:val="top"/>
            <w:shd w:fill="FFFFFF"/>
          </w:tcPr>
          <w:p>
            <w:pPr>
              <w:pStyle w:val="Normal"/>
              <w:widowControl/>
              <w:spacing w:after="55" w:line="240" w:lineRule="auto"/>
              <w:keepNext w:val="0"/>
              <w:keepLines/>
            </w:pPr>
            <w:r>
              <w:rPr>
                <w:sz w:val="21"/>
                <w:szCs w:val="21"/>
              </w:rPr>
              <w:t xml:space="preserve">RASER and LEGACY support selected early-HCC local control in uncontrolled cohorts. They do not establish superiority over other modalities or LT benefit. Small-segment results do not establish safety of bilobar treatment; dose compartments are not interchangeable.</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79">
              <w:r>
                <w:rPr>
                  <w:color w:val="0563C1"/>
                  <w:u w:val="single"/>
                </w:rPr>
                <w:t>Source</w:t>
              </w:r>
            </w:hyperlink>
            <w:r>
              <w:t xml:space="preserve"> · </w:t>
            </w:r>
            <w:hyperlink r:id="rId80">
              <w:r>
                <w:rPr>
                  <w:color w:val="0563C1"/>
                  <w:u w:val="single"/>
                </w:rPr>
                <w:t>PDF</w:t>
              </w:r>
            </w:hyperlink>
            <w:r>
              <w:br/>
            </w:r>
            <w:hyperlink r:id="rId81">
              <w:r>
                <w:rPr>
                  <w:color w:val="0563C1"/>
                  <w:u w:val="single"/>
                </w:rPr>
                <w:t>Source</w:t>
              </w:r>
            </w:hyperlink>
            <w:r>
              <w:t xml:space="preserve"> · </w:t>
            </w:r>
            <w:hyperlink r:id="rId82">
              <w:r>
                <w:rPr>
                  <w:color w:val="0563C1"/>
                  <w:u w:val="single"/>
                </w:rPr>
                <w:t>PDF</w:t>
              </w:r>
            </w:hyperlink>
            <w:r>
              <w:br/>
            </w:r>
            <w:hyperlink r:id="rId83">
              <w:r>
                <w:rPr>
                  <w:color w:val="0563C1"/>
                  <w:u w:val="single"/>
                </w:rPr>
                <w:t>Source</w:t>
              </w:r>
            </w:hyperlink>
            <w:r>
              <w:t xml:space="preserve"> · </w:t>
            </w:r>
            <w:hyperlink r:id="rId8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External beam radiation</w:t>
            </w:r>
          </w:p>
          <w:p>
            <w:pPr>
              <w:pStyle w:val="Normal"/>
              <w:widowControl/>
              <w:spacing w:after="55" w:line="240" w:lineRule="auto"/>
              <w:keepNext w:val="0"/>
              <w:keepLines/>
            </w:pPr>
            <w:r>
              <w:rPr>
                <w:sz w:val="21"/>
                <w:szCs w:val="21"/>
              </w:rPr>
              <w:t xml:space="preserve">SBRT, other conformal RT or protons</w:t>
            </w:r>
          </w:p>
        </w:tc>
        <w:tc>
          <w:tcPr>
            <w:tcW w:w="4000" w:type="dxa"/>
            <w:vAlign w:val="top"/>
            <w:shd w:fill="F1F5F8"/>
          </w:tcPr>
          <w:p>
            <w:pPr>
              <w:pStyle w:val="Normal"/>
              <w:widowControl/>
              <w:spacing w:after="55" w:line="240" w:lineRule="auto"/>
              <w:keepNext w:val="0"/>
              <w:keepLines/>
            </w:pPr>
            <w:r>
              <w:rPr>
                <w:sz w:val="21"/>
                <w:szCs w:val="21"/>
              </w:rPr>
              <w:t xml:space="preserve">Consider when surgery, ablation or embolization is unsuitable or unsuccessful. Radiation oncology must meet normal-liver, bowel, stomach and biliary constraints, with motion management and prior-dose review.</w:t>
            </w:r>
          </w:p>
        </w:tc>
        <w:tc>
          <w:tcPr>
            <w:tcW w:w="4180" w:type="dxa"/>
            <w:vAlign w:val="top"/>
            <w:shd w:fill="F1F5F8"/>
          </w:tcPr>
          <w:p>
            <w:pPr>
              <w:pStyle w:val="Normal"/>
              <w:widowControl/>
              <w:spacing w:after="55" w:line="240" w:lineRule="auto"/>
              <w:keepNext w:val="0"/>
              <w:keepLines/>
            </w:pPr>
            <w:r>
              <w:rPr>
                <w:sz w:val="21"/>
                <w:szCs w:val="21"/>
              </w:rPr>
              <w:t xml:space="preserve">Guideline-supported local treatment. Most safety data are in Child-Pugh A and selected B7; much less is established for B8–C. Modality and fractionation are individualized; technical feasibility does not confer LT eligibility.</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TU8L1JlY051bT48RGlzcGxheVRleHQ+W1YxNi0xNV08L0Rpc3BsYXlUZXh0PjxyZWNvcmQ+PHJlYy1udW1iZXI+MTU8L3JlYy1udW1iZXI+PGZvcmVpZ24ta2V5cz48a2V5IGFwcD0iRU4iIGRiLWlkPSIyYjI4NzQ5NS1hMmM3LTU0YzItODM3OC02MjhkMGY1MjliOWIiIHRpbWVzdGFtcD0iMTc5MzI4MzY4OSI+MTU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85">
              <w:r>
                <w:rPr>
                  <w:color w:val="0563C1"/>
                  <w:u w:val="single"/>
                </w:rPr>
                <w:t>Source</w:t>
              </w:r>
            </w:hyperlink>
            <w:r>
              <w:t xml:space="preserve"> · </w:t>
            </w:r>
            <w:hyperlink r:id="rId86">
              <w:r>
                <w:rPr>
                  <w:color w:val="0563C1"/>
                  <w:u w:val="single"/>
                </w:rPr>
                <w:t>PDF</w:t>
              </w:r>
            </w:hyperlink>
            <w:r>
              <w:br/>
            </w:r>
            <w:hyperlink r:id="rId87">
              <w:r>
                <w:rPr>
                  <w:color w:val="0563C1"/>
                  <w:u w:val="single"/>
                </w:rPr>
                <w:t>Source</w:t>
              </w:r>
            </w:hyperlink>
            <w:r>
              <w:t xml:space="preserve"> · </w:t>
            </w:r>
            <w:hyperlink r:id="rId8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Selected combined local treatment</w:t>
            </w:r>
          </w:p>
        </w:tc>
        <w:tc>
          <w:tcPr>
            <w:tcW w:w="4000" w:type="dxa"/>
            <w:vAlign w:val="top"/>
            <w:shd w:fill="FFFFFF"/>
          </w:tcPr>
          <w:p>
            <w:pPr>
              <w:pStyle w:val="Normal"/>
              <w:widowControl/>
              <w:spacing w:after="55" w:line="240" w:lineRule="auto"/>
              <w:keepNext w:val="0"/>
              <w:keepLines/>
            </w:pPr>
            <w:r>
              <w:rPr>
                <w:sz w:val="21"/>
                <w:szCs w:val="21"/>
              </w:rPr>
              <w:t xml:space="preserve">TACE plus ablation or TACE plus RT for a defined residual-disease or anatomical problem. Reassess reserve and toxicity before adding treatment; no automatic additional procedure after complete response.</w:t>
            </w:r>
          </w:p>
        </w:tc>
        <w:tc>
          <w:tcPr>
            <w:tcW w:w="4180" w:type="dxa"/>
            <w:vAlign w:val="top"/>
            <w:shd w:fill="FFFFFF"/>
          </w:tcPr>
          <w:p>
            <w:pPr>
              <w:pStyle w:val="Normal"/>
              <w:widowControl/>
              <w:spacing w:after="55" w:line="240" w:lineRule="auto"/>
              <w:keepNext w:val="0"/>
              <w:keepLines/>
            </w:pPr>
            <w:r>
              <w:rPr>
                <w:sz w:val="21"/>
                <w:szCs w:val="21"/>
              </w:rPr>
              <w:t xml:space="preserve">Selection and study setting matter. Do not treat a combination as uniformly superior to a technically adequate single modality.</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89">
              <w:r>
                <w:rPr>
                  <w:color w:val="0563C1"/>
                  <w:u w:val="single"/>
                </w:rPr>
                <w:t>Source</w:t>
              </w:r>
            </w:hyperlink>
            <w:r>
              <w:t xml:space="preserve"> · </w:t>
            </w:r>
            <w:hyperlink r:id="rId90">
              <w:r>
                <w:rPr>
                  <w:color w:val="0563C1"/>
                  <w:u w:val="single"/>
                </w:rPr>
                <w:t>PDF</w:t>
              </w:r>
            </w:hyperlink>
            <w:r>
              <w:br/>
            </w:r>
            <w:hyperlink r:id="rId91">
              <w:r>
                <w:rPr>
                  <w:color w:val="0563C1"/>
                  <w:u w:val="single"/>
                </w:rPr>
                <w:t>Source</w:t>
              </w:r>
            </w:hyperlink>
            <w:r>
              <w:t xml:space="preserve"> · </w:t>
            </w:r>
            <w:hyperlink r:id="rId9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Hepatic arterial infusion</w:t>
            </w:r>
          </w:p>
          <w:p>
            <w:pPr>
              <w:pStyle w:val="Normal"/>
              <w:widowControl/>
              <w:spacing w:after="55" w:line="240" w:lineRule="auto"/>
              <w:keepNext w:val="0"/>
              <w:keepLines/>
            </w:pPr>
            <w:r>
              <w:rPr>
                <w:sz w:val="21"/>
                <w:szCs w:val="21"/>
              </w:rPr>
              <w:t xml:space="preserve">FOLFOX-based HAIC</w:t>
            </w:r>
          </w:p>
        </w:tc>
        <w:tc>
          <w:tcPr>
            <w:tcW w:w="4000" w:type="dxa"/>
            <w:vAlign w:val="top"/>
            <w:shd w:fill="F1F5F8"/>
          </w:tcPr>
          <w:p>
            <w:pPr>
              <w:pStyle w:val="Normal"/>
              <w:widowControl/>
              <w:spacing w:after="55" w:line="240" w:lineRule="auto"/>
              <w:keepNext w:val="0"/>
              <w:keepLines/>
            </w:pPr>
            <w:r>
              <w:rPr>
                <w:sz w:val="21"/>
                <w:szCs w:val="21"/>
              </w:rPr>
              <w:t xml:space="preserve">Selected specialist or research use for advanced liver-dominant HCC. Distinguish catheter-based HAIC from an implanted FUDR pump used in other diseases.</w:t>
            </w:r>
          </w:p>
        </w:tc>
        <w:tc>
          <w:tcPr>
            <w:tcW w:w="4180" w:type="dxa"/>
            <w:vAlign w:val="top"/>
            <w:shd w:fill="F1F5F8"/>
          </w:tcPr>
          <w:p>
            <w:pPr>
              <w:pStyle w:val="Normal"/>
              <w:widowControl/>
              <w:spacing w:after="55" w:line="240" w:lineRule="auto"/>
              <w:keepNext w:val="0"/>
              <w:keepLines/>
            </w:pPr>
            <w:r>
              <w:rPr>
                <w:sz w:val="21"/>
                <w:szCs w:val="21"/>
              </w:rPr>
              <w:t xml:space="preserve">FOHAIC-1 is randomized advanced-HCC evidence from a selected setting; it does not establish routine US transplant bridging. Do not transfer its results into an LT-selection rule.</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jAwL0pDTy4yMS4wMTk2M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93">
              <w:r>
                <w:rPr>
                  <w:color w:val="0563C1"/>
                  <w:u w:val="single"/>
                </w:rPr>
                <w:t>Source</w:t>
              </w:r>
            </w:hyperlink>
            <w:r>
              <w:t xml:space="preserve"> · </w:t>
            </w:r>
            <w:hyperlink r:id="rId94">
              <w:r>
                <w:rPr>
                  <w:color w:val="0563C1"/>
                  <w:u w:val="single"/>
                </w:rPr>
                <w:t>PDF</w:t>
              </w:r>
            </w:hyperlink>
            <w:r>
              <w:br/>
            </w:r>
            <w:hyperlink r:id="rId95">
              <w:r>
                <w:rPr>
                  <w:color w:val="0563C1"/>
                  <w:u w:val="single"/>
                </w:rPr>
                <w:t>Source</w:t>
              </w:r>
            </w:hyperlink>
            <w:r>
              <w:t xml:space="preserve"> · </w:t>
            </w:r>
            <w:hyperlink r:id="rId9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Histotripsy</w:t>
            </w:r>
          </w:p>
        </w:tc>
        <w:tc>
          <w:tcPr>
            <w:tcW w:w="4000" w:type="dxa"/>
            <w:vAlign w:val="top"/>
            <w:shd w:fill="FFFFFF"/>
          </w:tcPr>
          <w:p>
            <w:pPr>
              <w:pStyle w:val="Normal"/>
              <w:widowControl/>
              <w:spacing w:after="55" w:line="240" w:lineRule="auto"/>
              <w:keepNext w:val="0"/>
              <w:keepLines/>
            </w:pPr>
            <w:r>
              <w:rPr>
                <w:sz w:val="21"/>
                <w:szCs w:val="21"/>
              </w:rPr>
              <w:t xml:space="preserve">An adequate acoustic window, target visibility and device-specific technical feasibility are required. Use an institutional pathway with explicit oncologic follow-up.</w:t>
            </w:r>
          </w:p>
        </w:tc>
        <w:tc>
          <w:tcPr>
            <w:tcW w:w="4180" w:type="dxa"/>
            <w:vAlign w:val="top"/>
            <w:shd w:fill="FFFFFF"/>
          </w:tcPr>
          <w:p>
            <w:pPr>
              <w:pStyle w:val="Normal"/>
              <w:widowControl/>
              <w:spacing w:after="55" w:line="240" w:lineRule="auto"/>
              <w:keepNext w:val="0"/>
              <w:keepLines/>
            </w:pPr>
            <w:r>
              <w:rPr>
                <w:sz w:val="21"/>
                <w:szCs w:val="21"/>
              </w:rPr>
              <w:t xml:space="preserve">HOPE4LIVER provides prospective technical and early safety evidence. Technical success is not established HCC cure, transplant access or post-LT survival benefit.</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xNDgvcmFkaW9sLjIzMzA1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br/>
            </w:r>
            <w:hyperlink r:id="rId97">
              <w:r>
                <w:rPr>
                  <w:color w:val="0563C1"/>
                  <w:u w:val="single"/>
                </w:rPr>
                <w:t>Source</w:t>
              </w:r>
            </w:hyperlink>
            <w:r>
              <w:t xml:space="preserve"> · </w:t>
            </w:r>
            <w:hyperlink r:id="rId98">
              <w:r>
                <w:rPr>
                  <w:color w:val="0563C1"/>
                  <w:u w:val="single"/>
                </w:rPr>
                <w:t>PDF</w:t>
              </w:r>
            </w:hyperlink>
          </w:p>
        </w:tc>
      </w:tr>
    </w:tbl>
    <w:p>
      <w:pPr>
        <w:pStyle w:val="Normal"/>
        <w:widowControl/>
        <w:spacing w:after="120"/>
      </w:pPr>
      <w:r>
        <w:t xml:space="preserve"/>
      </w:r>
    </w:p>
    <w:p>
      <w:pPr>
        <w:pStyle w:val="Heading1"/>
        <w:widowControl/>
        <w:keepNext/>
      </w:pPr>
      <w:r>
        <w:t xml:space="preserve">Systemic treatment matrix</w:t>
      </w:r>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Use this matrix after staging, liver-reserve and performance assessment. Most pivotal combination trials enrolled Child-Pugh A and ECOG 0–1. Selected Child-Pugh B decisions need individual review; decompensated cirrhosis is not a routine combination-treatment setting. Row order and cross-trial median survival do not rank efficacy. Pharmacy must verify current formulation, dose, schedule, organ-function changes and interactions; this is not an administration order set.</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after="120"/>
      </w:pPr>
      <w:r>
        <w:t xml:space="preserve">Before treatment, document CBC, liver and renal tests, Child-Pugh, ECOG, hepatitis status and antiviral plan. Before ICI, assess autoimmune disease, prior transplant, infection and prior immune toxicity, with thyroid and other endocrine assessment as indicated. Before anti-VEGF treatment, assess bleeding/varices, blood pressure, proteinuria and planned surgery. Baseline endoscopy and variceal management should be current for atezolizumab–bevacizumab.</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2LTNdPC9EaXNwbGF5VGV4dD48cmVjb3JkPjxyZWMtbnVtYmVyPjM8L3JlYy1udW1iZXI+PGZvcmVpZ24ta2V5cz48a2V5IGFwcD0iRU4iIGRiLWlkPSIyYjI4NzQ5NS1hMmM3LTU0YzItODM3OC02MjhkMGY1MjliOWIiIHRpbWVzdGFtcD0iMTc5MzI4MzY4OS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2"/>
        <w:widowControl/>
        <w:keepNext/>
      </w:pPr>
      <w:r>
        <w:t xml:space="preserve">First line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Atezolizumab plus bevacizumab</w:t>
            </w:r>
          </w:p>
          <w:p>
            <w:pPr>
              <w:pStyle w:val="Normal"/>
              <w:widowControl/>
              <w:spacing w:after="55" w:line="240" w:lineRule="auto"/>
              <w:keepNext w:val="0"/>
              <w:keepLines/>
            </w:pPr>
            <w:r>
              <w:rPr>
                <w:sz w:val="21"/>
                <w:szCs w:val="21"/>
              </w:rPr>
              <w:t xml:space="preserve">First-line combination</w:t>
            </w:r>
          </w:p>
        </w:tc>
        <w:tc>
          <w:tcPr>
            <w:tcW w:w="4000" w:type="dxa"/>
            <w:vAlign w:val="top"/>
            <w:shd w:fill="F1F5F8"/>
          </w:tcPr>
          <w:p>
            <w:pPr>
              <w:pStyle w:val="Normal"/>
              <w:widowControl/>
              <w:spacing w:after="55" w:line="240" w:lineRule="auto"/>
              <w:keepNext w:val="0"/>
              <w:keepLines/>
            </w:pPr>
            <w:r>
              <w:rPr>
                <w:sz w:val="21"/>
                <w:szCs w:val="21"/>
              </w:rPr>
              <w:t xml:space="preserve">An ICI-based option when immune treatment and anti-VEGF therapy are appropriate. Assess and manage varices, recent bleeding, blood pressure, proteinuria and operative timing. Viral etiology is not required.</w:t>
            </w:r>
          </w:p>
        </w:tc>
        <w:tc>
          <w:tcPr>
            <w:tcW w:w="4180" w:type="dxa"/>
            <w:vAlign w:val="top"/>
            <w:shd w:fill="F1F5F8"/>
          </w:tcPr>
          <w:p>
            <w:pPr>
              <w:pStyle w:val="Normal"/>
              <w:widowControl/>
              <w:spacing w:after="55" w:line="240" w:lineRule="auto"/>
              <w:keepNext w:val="0"/>
              <w:keepLines/>
            </w:pPr>
            <w:r>
              <w:rPr>
                <w:sz w:val="21"/>
                <w:szCs w:val="21"/>
              </w:rPr>
              <w:t xml:space="preserve">IMbrave150 updated analysis: median OS 19.2 versus 13.4 months with sorafenib, HR 0.66. Mainly Child-Pugh A and ECOG 0–1. Not a head-to-head comparison with the other ICI combinations.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2LTNdPC9EaXNwbGF5VGV4dD48cmVjb3JkPjxyZWMtbnVtYmVyPjM8L3JlYy1udW1iZXI+PGZvcmVpZ24ta2V5cz48a2V5IGFwcD0iRU4iIGRiLWlkPSIyYjI4NzQ5NS1hMmM3LTU0YzItODM3OC02MjhkMGY1MjliOWIiIHRpbWVzdGFtcD0iMTc5MzI4MzY4OS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240">
              <w:r>
                <w:rPr>
                  <w:color w:val="0563C1"/>
                  <w:u w:val="single"/>
                </w:rPr>
                <w:t>Source</w:t>
              </w:r>
            </w:hyperlink>
            <w:r>
              <w:t xml:space="preserve"> · </w:t>
            </w:r>
            <w:hyperlink r:id="rId241">
              <w:r>
                <w:rPr>
                  <w:color w:val="0563C1"/>
                  <w:u w:val="single"/>
                </w:rPr>
                <w:t>PDF</w:t>
              </w:r>
            </w:hyperlink>
            <w:r>
              <w:br/>
            </w:r>
            <w:hyperlink r:id="rId242">
              <w:r>
                <w:rPr>
                  <w:color w:val="0563C1"/>
                  <w:u w:val="single"/>
                </w:rPr>
                <w:t>Source</w:t>
              </w:r>
            </w:hyperlink>
            <w:r>
              <w:t xml:space="preserve"> · </w:t>
            </w:r>
            <w:hyperlink r:id="rId243">
              <w:r>
                <w:rPr>
                  <w:color w:val="0563C1"/>
                  <w:u w:val="single"/>
                </w:rPr>
                <w:t>PDF</w:t>
              </w:r>
            </w:hyperlink>
            <w:r>
              <w:br/>
            </w:r>
            <w:hyperlink r:id="rId244">
              <w:r>
                <w:rPr>
                  <w:color w:val="0563C1"/>
                  <w:u w:val="single"/>
                </w:rPr>
                <w:t>Source</w:t>
              </w:r>
            </w:hyperlink>
            <w:r>
              <w:t xml:space="preserve"> · </w:t>
            </w:r>
            <w:hyperlink r:id="rId24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Tremelimumab plus durvalumab</w:t>
            </w:r>
          </w:p>
          <w:p>
            <w:pPr>
              <w:pStyle w:val="Normal"/>
              <w:widowControl/>
              <w:spacing w:after="55" w:line="240" w:lineRule="auto"/>
              <w:keepNext w:val="0"/>
              <w:keepLines/>
            </w:pPr>
            <w:r>
              <w:rPr>
                <w:sz w:val="21"/>
                <w:szCs w:val="21"/>
              </w:rPr>
              <w:t xml:space="preserve">STRIDE first line</w:t>
            </w:r>
          </w:p>
        </w:tc>
        <w:tc>
          <w:tcPr>
            <w:tcW w:w="4000" w:type="dxa"/>
            <w:vAlign w:val="top"/>
            <w:shd w:fill="FFFFFF"/>
          </w:tcPr>
          <w:p>
            <w:pPr>
              <w:pStyle w:val="Normal"/>
              <w:widowControl/>
              <w:spacing w:after="55" w:line="240" w:lineRule="auto"/>
              <w:keepNext w:val="0"/>
              <w:keepLines/>
            </w:pPr>
            <w:r>
              <w:rPr>
                <w:sz w:val="21"/>
                <w:szCs w:val="21"/>
              </w:rPr>
              <w:t xml:space="preserve">Single priming tremelimumab dose followed by durvalumab maintenance. An anti-VEGF-free option if dual-checkpoint therapy is appropriate. Immune-related toxicity remains relevant.</w:t>
            </w:r>
          </w:p>
        </w:tc>
        <w:tc>
          <w:tcPr>
            <w:tcW w:w="4180" w:type="dxa"/>
            <w:vAlign w:val="top"/>
            <w:shd w:fill="FFFFFF"/>
          </w:tcPr>
          <w:p>
            <w:pPr>
              <w:pStyle w:val="Normal"/>
              <w:widowControl/>
              <w:spacing w:after="55" w:line="240" w:lineRule="auto"/>
              <w:keepNext w:val="0"/>
              <w:keepLines/>
            </w:pPr>
            <w:r>
              <w:rPr>
                <w:sz w:val="21"/>
                <w:szCs w:val="21"/>
              </w:rPr>
              <w:t xml:space="preserve">HIMALAYA: median OS 16.4 versus 13.8 months with sorafenib, HR 0.78. No head-to-head superiority over atezolizumab–bevacizumab or nivolumab–ipilimumab; no nine-month patient-selection rule.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r>
              <w:br/>
            </w:r>
            <w:hyperlink r:id="rId246">
              <w:r>
                <w:rPr>
                  <w:color w:val="0563C1"/>
                  <w:u w:val="single"/>
                </w:rPr>
                <w:t>Source</w:t>
              </w:r>
            </w:hyperlink>
            <w:r>
              <w:t xml:space="preserve"> · </w:t>
            </w:r>
            <w:hyperlink r:id="rId247">
              <w:r>
                <w:rPr>
                  <w:color w:val="0563C1"/>
                  <w:u w:val="single"/>
                </w:rPr>
                <w:t>PDF</w:t>
              </w:r>
            </w:hyperlink>
            <w:r>
              <w:br/>
            </w:r>
            <w:hyperlink r:id="rId248">
              <w:r>
                <w:rPr>
                  <w:color w:val="0563C1"/>
                  <w:u w:val="single"/>
                </w:rPr>
                <w:t>Source</w:t>
              </w:r>
            </w:hyperlink>
            <w:r>
              <w:t xml:space="preserve"> · </w:t>
            </w:r>
            <w:hyperlink r:id="rId24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Nivolumab plus ipilimumab</w:t>
            </w:r>
          </w:p>
          <w:p>
            <w:pPr>
              <w:pStyle w:val="Normal"/>
              <w:widowControl/>
              <w:spacing w:after="55" w:line="240" w:lineRule="auto"/>
              <w:keepNext w:val="0"/>
              <w:keepLines/>
            </w:pPr>
            <w:r>
              <w:rPr>
                <w:sz w:val="21"/>
                <w:szCs w:val="21"/>
              </w:rPr>
              <w:t xml:space="preserve">First-line combination</w:t>
            </w:r>
          </w:p>
        </w:tc>
        <w:tc>
          <w:tcPr>
            <w:tcW w:w="4000" w:type="dxa"/>
            <w:vAlign w:val="top"/>
            <w:shd w:fill="F1F5F8"/>
          </w:tcPr>
          <w:p>
            <w:pPr>
              <w:pStyle w:val="Normal"/>
              <w:widowControl/>
              <w:spacing w:after="55" w:line="240" w:lineRule="auto"/>
              <w:keepNext w:val="0"/>
              <w:keepLines/>
            </w:pPr>
            <w:r>
              <w:rPr>
                <w:sz w:val="21"/>
                <w:szCs w:val="21"/>
              </w:rPr>
              <w:t xml:space="preserve">Dual-checkpoint induction followed by nivolumab maintenance. Review immune-toxicity risk and the early mortality signal; do not infer safety before or after LT from nontransplant HCC trials.</w:t>
            </w:r>
          </w:p>
        </w:tc>
        <w:tc>
          <w:tcPr>
            <w:tcW w:w="4180" w:type="dxa"/>
            <w:vAlign w:val="top"/>
            <w:shd w:fill="F1F5F8"/>
          </w:tcPr>
          <w:p>
            <w:pPr>
              <w:pStyle w:val="Normal"/>
              <w:widowControl/>
              <w:spacing w:after="55" w:line="240" w:lineRule="auto"/>
              <w:keepNext w:val="0"/>
              <w:keepLines/>
            </w:pPr>
            <w:r>
              <w:rPr>
                <w:sz w:val="21"/>
                <w:szCs w:val="21"/>
              </w:rPr>
              <w:t xml:space="preserve">CheckMate 9DW: median OS 23.7 versus 20.6 months with lenvatinib or sorafenib, HR 0.79. US first-line approval in April 2025. Cross-trial median OS does not rank the ICI combinations.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2LTRdPC9EaXNwbGF5VGV4dD48cmVjb3JkPjxyZWMtbnVtYmVyPjQ8L3JlYy1udW1iZXI+PGZvcmVpZ24ta2V5cz48a2V5IGFwcD0iRU4iIGRiLWlkPSIyYjI4NzQ5NS1hMmM3LTU0YzItODM3OC02MjhkMGY1MjliOWIiIHRpbWVzdGFtcD0iMTc5MzI4MzY4OS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S8xMjU1NTRzMTI5bGJsLnBkZj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br/>
            </w:r>
            <w:hyperlink r:id="rId250">
              <w:r>
                <w:rPr>
                  <w:color w:val="0563C1"/>
                  <w:u w:val="single"/>
                </w:rPr>
                <w:t>Source</w:t>
              </w:r>
            </w:hyperlink>
            <w:r>
              <w:t xml:space="preserve"> · </w:t>
            </w:r>
            <w:hyperlink r:id="rId251">
              <w:r>
                <w:rPr>
                  <w:color w:val="0563C1"/>
                  <w:u w:val="single"/>
                </w:rPr>
                <w:t>PDF</w:t>
              </w:r>
            </w:hyperlink>
            <w:r>
              <w:br/>
            </w:r>
            <w:hyperlink r:id="rId252">
              <w:r>
                <w:rPr>
                  <w:color w:val="0563C1"/>
                  <w:u w:val="single"/>
                </w:rPr>
                <w:t>Source</w:t>
              </w:r>
            </w:hyperlink>
            <w:r>
              <w:t xml:space="preserve"> · </w:t>
            </w:r>
            <w:hyperlink r:id="rId253">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Lenvatinib</w:t>
            </w:r>
          </w:p>
          <w:p>
            <w:pPr>
              <w:pStyle w:val="Normal"/>
              <w:widowControl/>
              <w:spacing w:after="55" w:line="240" w:lineRule="auto"/>
              <w:keepNext w:val="0"/>
              <w:keepLines/>
            </w:pPr>
            <w:r>
              <w:rPr>
                <w:sz w:val="21"/>
                <w:szCs w:val="21"/>
              </w:rPr>
              <w:t xml:space="preserve">First-line TKI alternative</w:t>
            </w:r>
          </w:p>
        </w:tc>
        <w:tc>
          <w:tcPr>
            <w:tcW w:w="4000" w:type="dxa"/>
            <w:vAlign w:val="top"/>
            <w:shd w:fill="FFFFFF"/>
          </w:tcPr>
          <w:p>
            <w:pPr>
              <w:pStyle w:val="Normal"/>
              <w:widowControl/>
              <w:spacing w:after="55" w:line="240" w:lineRule="auto"/>
              <w:keepNext w:val="0"/>
              <w:keepLines/>
            </w:pPr>
            <w:r>
              <w:rPr>
                <w:sz w:val="21"/>
                <w:szCs w:val="21"/>
              </w:rPr>
              <w:t xml:space="preserve">Consider when an ICI-containing regimen is unsuitable or after individualized review. Assess blood pressure, proteinuria, liver reserve, weight/appetite and operative timing. REFLECT excluded main portal-vein invasion, bile-duct invasion and at least 50% liver involvement; these are evidence boundaries, not universal label exclusions.</w:t>
            </w:r>
          </w:p>
        </w:tc>
        <w:tc>
          <w:tcPr>
            <w:tcW w:w="4180" w:type="dxa"/>
            <w:vAlign w:val="top"/>
            <w:shd w:fill="FFFFFF"/>
          </w:tcPr>
          <w:p>
            <w:pPr>
              <w:pStyle w:val="Normal"/>
              <w:widowControl/>
              <w:spacing w:after="55" w:line="240" w:lineRule="auto"/>
              <w:keepNext w:val="0"/>
              <w:keepLines/>
            </w:pPr>
            <w:r>
              <w:rPr>
                <w:sz w:val="21"/>
                <w:szCs w:val="21"/>
              </w:rPr>
              <w:t xml:space="preserve">REFLECT: median OS 13.6 versus 12.3 months with sorafenib; noninferiority met, HR 0.92. Not proof of superiority or routine safety in decompensated cirrhosis.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54">
              <w:r>
                <w:rPr>
                  <w:color w:val="0563C1"/>
                  <w:u w:val="single"/>
                </w:rPr>
                <w:t>Source</w:t>
              </w:r>
            </w:hyperlink>
            <w:r>
              <w:t xml:space="preserve"> · </w:t>
            </w:r>
            <w:hyperlink r:id="rId255">
              <w:r>
                <w:rPr>
                  <w:color w:val="0563C1"/>
                  <w:u w:val="single"/>
                </w:rPr>
                <w:t>PDF</w:t>
              </w:r>
            </w:hyperlink>
            <w:r>
              <w:br/>
            </w:r>
            <w:hyperlink r:id="rId256">
              <w:r>
                <w:rPr>
                  <w:color w:val="0563C1"/>
                  <w:u w:val="single"/>
                </w:rPr>
                <w:t>Source</w:t>
              </w:r>
            </w:hyperlink>
            <w:r>
              <w:t xml:space="preserve"> · </w:t>
            </w:r>
            <w:hyperlink r:id="rId25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Sorafenib</w:t>
            </w:r>
          </w:p>
          <w:p>
            <w:pPr>
              <w:pStyle w:val="Normal"/>
              <w:widowControl/>
              <w:spacing w:after="55" w:line="240" w:lineRule="auto"/>
              <w:keepNext w:val="0"/>
              <w:keepLines/>
            </w:pPr>
            <w:r>
              <w:rPr>
                <w:sz w:val="21"/>
                <w:szCs w:val="21"/>
              </w:rPr>
              <w:t xml:space="preserve">First-line TKI alternative</w:t>
            </w:r>
          </w:p>
        </w:tc>
        <w:tc>
          <w:tcPr>
            <w:tcW w:w="4000" w:type="dxa"/>
            <w:vAlign w:val="top"/>
            <w:shd w:fill="F1F5F8"/>
          </w:tcPr>
          <w:p>
            <w:pPr>
              <w:pStyle w:val="Normal"/>
              <w:widowControl/>
              <w:spacing w:after="55" w:line="240" w:lineRule="auto"/>
              <w:keepNext w:val="0"/>
              <w:keepLines/>
            </w:pPr>
            <w:r>
              <w:rPr>
                <w:sz w:val="21"/>
                <w:szCs w:val="21"/>
              </w:rPr>
              <w:t xml:space="preserve">Consider when ICI-containing treatment is unsuitable. Monitor hand-foot skin toxicity, diarrhea, hypertension, weight and liver function. Reserve and anticipated benefit matter even when an oral agent is feasible.</w:t>
            </w:r>
          </w:p>
          <w:p>
            <w:pPr>
              <w:pStyle w:val="Normal"/>
              <w:widowControl/>
              <w:spacing w:after="55" w:line="240" w:lineRule="auto"/>
              <w:keepNext w:val="0"/>
              <w:keepLines/>
            </w:pPr>
            <w:r>
              <w:rPr>
                <w:sz w:val="21"/>
                <w:szCs w:val="21"/>
              </w:rPr>
              <w:t xml:space="preserve">Retain sorafenib as a guideline-supported TKI option when appropriate; not routine LT bridging or a way to treat an isolated AFP rise without a justified cancer indication.</w:t>
            </w:r>
          </w:p>
        </w:tc>
        <w:tc>
          <w:tcPr>
            <w:tcW w:w="4180" w:type="dxa"/>
            <w:vAlign w:val="top"/>
            <w:shd w:fill="F1F5F8"/>
          </w:tcPr>
          <w:p>
            <w:pPr>
              <w:pStyle w:val="Normal"/>
              <w:widowControl/>
              <w:spacing w:after="55" w:line="240" w:lineRule="auto"/>
              <w:keepNext w:val="0"/>
              <w:keepLines/>
            </w:pPr>
            <w:r>
              <w:rPr>
                <w:sz w:val="21"/>
                <w:szCs w:val="21"/>
              </w:rPr>
              <w:t xml:space="preserve">Median OS 10.7 versus 7.9 months; HR 0.69 (0.55–0.87). Radiologic time to progression 5.5 versus 2.8 months, HR 0.58; this is not PFS. ORR 2% versus 1%, no complete responses. Historical placebo comparison, not a comparison with current ICI combinations. Grade 3 diarrhea and hand–foot reaction each 8%; dose interruptions/reductions frequent. Little evidence for decompensated cirrhosis.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br/>
            </w:r>
            <w:hyperlink r:id="rId258">
              <w:r>
                <w:rPr>
                  <w:color w:val="0563C1"/>
                  <w:u w:val="single"/>
                </w:rPr>
                <w:t>Source</w:t>
              </w:r>
            </w:hyperlink>
            <w:r>
              <w:t xml:space="preserve"> · </w:t>
            </w:r>
            <w:hyperlink r:id="rId259">
              <w:r>
                <w:rPr>
                  <w:color w:val="0563C1"/>
                  <w:u w:val="single"/>
                </w:rPr>
                <w:t>PDF</w:t>
              </w:r>
            </w:hyperlink>
            <w:r>
              <w:br/>
            </w:r>
            <w:hyperlink r:id="rId260">
              <w:r>
                <w:rPr>
                  <w:color w:val="0563C1"/>
                  <w:u w:val="single"/>
                </w:rPr>
                <w:t>Source</w:t>
              </w:r>
            </w:hyperlink>
            <w:r>
              <w:t xml:space="preserve"> · </w:t>
            </w:r>
            <w:hyperlink r:id="rId26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Durvalumab alone</w:t>
            </w:r>
          </w:p>
          <w:p>
            <w:pPr>
              <w:pStyle w:val="Normal"/>
              <w:widowControl/>
              <w:spacing w:after="55" w:line="240" w:lineRule="auto"/>
              <w:keepNext w:val="0"/>
              <w:keepLines/>
            </w:pPr>
            <w:r>
              <w:rPr>
                <w:sz w:val="21"/>
                <w:szCs w:val="21"/>
              </w:rPr>
              <w:t xml:space="preserve">Other first-line option</w:t>
            </w:r>
          </w:p>
        </w:tc>
        <w:tc>
          <w:tcPr>
            <w:tcW w:w="4000" w:type="dxa"/>
            <w:vAlign w:val="top"/>
            <w:shd w:fill="FFFFFF"/>
          </w:tcPr>
          <w:p>
            <w:pPr>
              <w:pStyle w:val="Normal"/>
              <w:widowControl/>
              <w:spacing w:after="55" w:line="240" w:lineRule="auto"/>
              <w:keepNext w:val="0"/>
              <w:keepLines/>
            </w:pPr>
            <w:r>
              <w:rPr>
                <w:sz w:val="21"/>
                <w:szCs w:val="21"/>
              </w:rPr>
              <w:t xml:space="preserve">Consider when combination treatment is unsuitable but PD-L1 therapy is acceptable. It is not an alternative when all ICI therapy is contraindicated. Guideline listing is separate from US-label approval of STRIDE.</w:t>
            </w:r>
          </w:p>
        </w:tc>
        <w:tc>
          <w:tcPr>
            <w:tcW w:w="4180" w:type="dxa"/>
            <w:vAlign w:val="top"/>
            <w:shd w:fill="FFFFFF"/>
          </w:tcPr>
          <w:p>
            <w:pPr>
              <w:pStyle w:val="Normal"/>
              <w:widowControl/>
              <w:spacing w:after="55" w:line="240" w:lineRule="auto"/>
              <w:keepNext w:val="0"/>
              <w:keepLines/>
            </w:pPr>
            <w:r>
              <w:rPr>
                <w:sz w:val="21"/>
                <w:szCs w:val="21"/>
              </w:rPr>
              <w:t xml:space="preserve">HIMALAYA showed OS noninferiority to sorafenib. The trial was not designed to establish that durvalumab alone and STRIDE are equivalent. US HCC labeling specifies the combination with tremelimumab.</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r>
              <w:br/>
            </w:r>
            <w:hyperlink r:id="rId262">
              <w:r>
                <w:rPr>
                  <w:color w:val="0563C1"/>
                  <w:u w:val="single"/>
                </w:rPr>
                <w:t>Source</w:t>
              </w:r>
            </w:hyperlink>
            <w:r>
              <w:t xml:space="preserve"> · </w:t>
            </w:r>
            <w:hyperlink r:id="rId263">
              <w:r>
                <w:rPr>
                  <w:color w:val="0563C1"/>
                  <w:u w:val="single"/>
                </w:rPr>
                <w:t>PDF</w:t>
              </w:r>
            </w:hyperlink>
            <w:r>
              <w:br/>
            </w:r>
            <w:hyperlink r:id="rId264">
              <w:r>
                <w:rPr>
                  <w:color w:val="0563C1"/>
                  <w:u w:val="single"/>
                </w:rPr>
                <w:t>Source</w:t>
              </w:r>
            </w:hyperlink>
            <w:r>
              <w:t xml:space="preserve"> · </w:t>
            </w:r>
            <w:hyperlink r:id="rId265">
              <w:r>
                <w:rPr>
                  <w:color w:val="0563C1"/>
                  <w:u w:val="single"/>
                </w:rPr>
                <w:t>PDF</w:t>
              </w:r>
            </w:hyperlink>
            <w:r>
              <w:br/>
            </w:r>
            <w:hyperlink r:id="rId266">
              <w:r>
                <w:rPr>
                  <w:color w:val="0563C1"/>
                  <w:u w:val="single"/>
                </w:rPr>
                <w:t>Source</w:t>
              </w:r>
            </w:hyperlink>
            <w:r>
              <w:t xml:space="preserve"> · </w:t>
            </w:r>
            <w:hyperlink r:id="rId26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Tislelizumab</w:t>
            </w:r>
          </w:p>
          <w:p>
            <w:pPr>
              <w:pStyle w:val="Normal"/>
              <w:widowControl/>
              <w:spacing w:after="55" w:line="240" w:lineRule="auto"/>
              <w:keepNext w:val="0"/>
              <w:keepLines/>
            </w:pPr>
            <w:r>
              <w:rPr>
                <w:sz w:val="21"/>
                <w:szCs w:val="21"/>
              </w:rPr>
              <w:t xml:space="preserve">Other guideline-listed first-line option</w:t>
            </w:r>
          </w:p>
        </w:tc>
        <w:tc>
          <w:tcPr>
            <w:tcW w:w="4000" w:type="dxa"/>
            <w:vAlign w:val="top"/>
            <w:shd w:fill="F1F5F8"/>
          </w:tcPr>
          <w:p>
            <w:pPr>
              <w:pStyle w:val="Normal"/>
              <w:widowControl/>
              <w:spacing w:after="55" w:line="240" w:lineRule="auto"/>
              <w:keepNext w:val="0"/>
              <w:keepLines/>
            </w:pPr>
            <w:r>
              <w:rPr>
                <w:sz w:val="21"/>
                <w:szCs w:val="21"/>
              </w:rPr>
              <w:t xml:space="preserve">An ICI option requiring oncology and formulary review. The checked US label does not include HCC; document the guideline-supported off-label rationale and immune-treatment eligibility.</w:t>
            </w:r>
          </w:p>
        </w:tc>
        <w:tc>
          <w:tcPr>
            <w:tcW w:w="4180" w:type="dxa"/>
            <w:vAlign w:val="top"/>
            <w:shd w:fill="F1F5F8"/>
          </w:tcPr>
          <w:p>
            <w:pPr>
              <w:pStyle w:val="Normal"/>
              <w:widowControl/>
              <w:spacing w:after="55" w:line="240" w:lineRule="auto"/>
              <w:keepNext w:val="0"/>
              <w:keepLines/>
            </w:pPr>
            <w:r>
              <w:rPr>
                <w:sz w:val="21"/>
                <w:szCs w:val="21"/>
              </w:rPr>
              <w:t xml:space="preserve">RATIONALE-301: median OS 15.9 versus 14.1 months with sorafenib, HR 0.85. Noninferiority met; superiority not demonstrated. Guideline category 1 does not itself confer US regulatory approval.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i83NjEyMzJzMDE4bGJsLnBkZj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r>
              <w:br/>
            </w:r>
            <w:hyperlink r:id="rId268">
              <w:r>
                <w:rPr>
                  <w:color w:val="0563C1"/>
                  <w:u w:val="single"/>
                </w:rPr>
                <w:t>Source</w:t>
              </w:r>
            </w:hyperlink>
            <w:r>
              <w:t xml:space="preserve"> · </w:t>
            </w:r>
            <w:hyperlink r:id="rId269">
              <w:r>
                <w:rPr>
                  <w:color w:val="0563C1"/>
                  <w:u w:val="single"/>
                </w:rPr>
                <w:t>PDF</w:t>
              </w:r>
            </w:hyperlink>
            <w:r>
              <w:br/>
            </w:r>
            <w:hyperlink r:id="rId270">
              <w:r>
                <w:rPr>
                  <w:color w:val="0563C1"/>
                  <w:u w:val="single"/>
                </w:rPr>
                <w:t>Source</w:t>
              </w:r>
            </w:hyperlink>
            <w:r>
              <w:t xml:space="preserve"> · </w:t>
            </w:r>
            <w:hyperlink r:id="rId271">
              <w:r>
                <w:rPr>
                  <w:color w:val="0563C1"/>
                  <w:u w:val="single"/>
                </w:rPr>
                <w:t>PDF</w:t>
              </w:r>
            </w:hyperlink>
            <w:r>
              <w:br/>
            </w:r>
            <w:hyperlink r:id="rId272">
              <w:r>
                <w:rPr>
                  <w:color w:val="0563C1"/>
                  <w:u w:val="single"/>
                </w:rPr>
                <w:t>Source</w:t>
              </w:r>
            </w:hyperlink>
            <w:r>
              <w:t xml:space="preserve"> · </w:t>
            </w:r>
            <w:hyperlink r:id="rId273">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Pembrolizumab</w:t>
            </w:r>
          </w:p>
          <w:p>
            <w:pPr>
              <w:pStyle w:val="Normal"/>
              <w:widowControl/>
              <w:spacing w:after="55" w:line="240" w:lineRule="auto"/>
              <w:keepNext w:val="0"/>
              <w:keepLines/>
            </w:pPr>
            <w:r>
              <w:rPr>
                <w:sz w:val="21"/>
                <w:szCs w:val="21"/>
              </w:rPr>
              <w:t xml:space="preserve">Other guideline-listed first-line option</w:t>
            </w:r>
          </w:p>
        </w:tc>
        <w:tc>
          <w:tcPr>
            <w:tcW w:w="4000" w:type="dxa"/>
            <w:vAlign w:val="top"/>
            <w:shd w:fill="FFFFFF"/>
          </w:tcPr>
          <w:p>
            <w:pPr>
              <w:pStyle w:val="Normal"/>
              <w:widowControl/>
              <w:spacing w:after="55" w:line="240" w:lineRule="auto"/>
              <w:keepNext w:val="0"/>
              <w:keepLines/>
            </w:pPr>
            <w:r>
              <w:rPr>
                <w:sz w:val="21"/>
                <w:szCs w:val="21"/>
              </w:rPr>
              <w:t xml:space="preserve">A category 2B option in the locally held NCCN v2.2026, not a preferred default and not a US HCC-labeled first-line indication. Requires an explicit oncology and formulary rationale.</w:t>
            </w:r>
          </w:p>
        </w:tc>
        <w:tc>
          <w:tcPr>
            <w:tcW w:w="4180" w:type="dxa"/>
            <w:vAlign w:val="top"/>
            <w:shd w:fill="FFFFFF"/>
          </w:tcPr>
          <w:p>
            <w:pPr>
              <w:pStyle w:val="Normal"/>
              <w:widowControl/>
              <w:spacing w:after="55" w:line="240" w:lineRule="auto"/>
              <w:keepNext w:val="0"/>
              <w:keepLines/>
            </w:pPr>
            <w:r>
              <w:rPr>
                <w:sz w:val="21"/>
                <w:szCs w:val="21"/>
              </w:rPr>
              <w:t xml:space="preserve">First-line support includes nonrandomized phase II evidence; do not borrow the second-line KEYNOTE-394 randomized result to imply a first-line phase III comparison. See guideline evidence list and current label.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br/>
            </w:r>
            <w:hyperlink r:id="rId274">
              <w:r>
                <w:rPr>
                  <w:color w:val="0563C1"/>
                  <w:u w:val="single"/>
                </w:rPr>
                <w:t>Source</w:t>
              </w:r>
            </w:hyperlink>
            <w:r>
              <w:t xml:space="preserve"> · </w:t>
            </w:r>
            <w:hyperlink r:id="rId275">
              <w:r>
                <w:rPr>
                  <w:color w:val="0563C1"/>
                  <w:u w:val="single"/>
                </w:rPr>
                <w:t>PDF</w:t>
              </w:r>
            </w:hyperlink>
            <w:r>
              <w:br/>
            </w:r>
            <w:hyperlink r:id="rId276">
              <w:r>
                <w:rPr>
                  <w:color w:val="0563C1"/>
                  <w:u w:val="single"/>
                </w:rPr>
                <w:t>Source</w:t>
              </w:r>
            </w:hyperlink>
            <w:r>
              <w:t xml:space="preserve"> · </w:t>
            </w:r>
            <w:hyperlink r:id="rId277">
              <w:r>
                <w:rPr>
                  <w:color w:val="0563C1"/>
                  <w:u w:val="single"/>
                </w:rPr>
                <w:t>PDF</w:t>
              </w:r>
            </w:hyperlink>
          </w:p>
        </w:tc>
      </w:tr>
    </w:tbl>
    <w:p>
      <w:pPr>
        <w:pStyle w:val="Heading2"/>
        <w:widowControl/>
        <w:keepNext/>
      </w:pPr>
      <w:r>
        <w:t xml:space="preserve">Subsequent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Cabozantinib</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Select according to prior drugs, reserve, performance status and toxicity. Monitor diarrhea, hand-foot toxicity, hypertension, weight and interactions.</w:t>
            </w:r>
          </w:p>
        </w:tc>
        <w:tc>
          <w:tcPr>
            <w:tcW w:w="4180" w:type="dxa"/>
            <w:vAlign w:val="top"/>
            <w:shd w:fill="F1F5F8"/>
          </w:tcPr>
          <w:p>
            <w:pPr>
              <w:pStyle w:val="Normal"/>
              <w:widowControl/>
              <w:spacing w:after="55" w:line="240" w:lineRule="auto"/>
              <w:keepNext w:val="0"/>
              <w:keepLines/>
            </w:pPr>
            <w:r>
              <w:rPr>
                <w:sz w:val="21"/>
                <w:szCs w:val="21"/>
              </w:rPr>
              <w:t xml:space="preserve">CELESTIAL: median OS 10.2 versus 8.0 months with placebo, HR 0.76, in previously treated patients who had received sorafenib. Use after modern ICI combinations is an extrapolated sequence.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U2L05FSk1vYTE3MTcwM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78">
              <w:r>
                <w:rPr>
                  <w:color w:val="0563C1"/>
                  <w:u w:val="single"/>
                </w:rPr>
                <w:t>Source</w:t>
              </w:r>
            </w:hyperlink>
            <w:r>
              <w:t xml:space="preserve"> · </w:t>
            </w:r>
            <w:hyperlink r:id="rId279">
              <w:r>
                <w:rPr>
                  <w:color w:val="0563C1"/>
                  <w:u w:val="single"/>
                </w:rPr>
                <w:t>PDF</w:t>
              </w:r>
            </w:hyperlink>
            <w:r>
              <w:br/>
            </w:r>
            <w:hyperlink r:id="rId280">
              <w:r>
                <w:rPr>
                  <w:color w:val="0563C1"/>
                  <w:u w:val="single"/>
                </w:rPr>
                <w:t>Source</w:t>
              </w:r>
            </w:hyperlink>
            <w:r>
              <w:t xml:space="preserve"> · </w:t>
            </w:r>
            <w:hyperlink r:id="rId28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Regorafenib</w:t>
            </w:r>
          </w:p>
          <w:p>
            <w:pPr>
              <w:pStyle w:val="Normal"/>
              <w:widowControl/>
              <w:spacing w:after="55" w:line="240" w:lineRule="auto"/>
              <w:keepNext w:val="0"/>
              <w:keepLines/>
            </w:pPr>
            <w:r>
              <w:rPr>
                <w:sz w:val="21"/>
                <w:szCs w:val="21"/>
              </w:rPr>
              <w:t xml:space="preserve">After tolerated sorafenib</w:t>
            </w:r>
          </w:p>
        </w:tc>
        <w:tc>
          <w:tcPr>
            <w:tcW w:w="4000" w:type="dxa"/>
            <w:vAlign w:val="top"/>
            <w:shd w:fill="FFFFFF"/>
          </w:tcPr>
          <w:p>
            <w:pPr>
              <w:pStyle w:val="Normal"/>
              <w:widowControl/>
              <w:spacing w:after="55" w:line="240" w:lineRule="auto"/>
              <w:keepNext w:val="0"/>
              <w:keepLines/>
            </w:pPr>
            <w:r>
              <w:rPr>
                <w:sz w:val="21"/>
                <w:szCs w:val="21"/>
              </w:rPr>
              <w:t xml:space="preserve">Best-supported sequence is progression on sorafenib that was tolerated. Do not treat intolerance to sorafenib as the trial-defined population. Assess skin toxicity, blood pressure and hepatic reserve.</w:t>
            </w:r>
          </w:p>
        </w:tc>
        <w:tc>
          <w:tcPr>
            <w:tcW w:w="4180" w:type="dxa"/>
            <w:vAlign w:val="top"/>
            <w:shd w:fill="FFFFFF"/>
          </w:tcPr>
          <w:p>
            <w:pPr>
              <w:pStyle w:val="Normal"/>
              <w:widowControl/>
              <w:spacing w:after="55" w:line="240" w:lineRule="auto"/>
              <w:keepNext w:val="0"/>
              <w:keepLines/>
            </w:pPr>
            <w:r>
              <w:rPr>
                <w:sz w:val="21"/>
                <w:szCs w:val="21"/>
              </w:rPr>
              <w:t xml:space="preserve">RESORCE: median OS 10.6 versus 7.8 months with placebo, HR 0.63. The study required sorafenib tolerance; the result does not establish an optimal post-ICI sequence.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xNikzMjQ1My05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82">
              <w:r>
                <w:rPr>
                  <w:color w:val="0563C1"/>
                  <w:u w:val="single"/>
                </w:rPr>
                <w:t>Source</w:t>
              </w:r>
            </w:hyperlink>
            <w:r>
              <w:t xml:space="preserve"> · </w:t>
            </w:r>
            <w:hyperlink r:id="rId283">
              <w:r>
                <w:rPr>
                  <w:color w:val="0563C1"/>
                  <w:u w:val="single"/>
                </w:rPr>
                <w:t>PDF</w:t>
              </w:r>
            </w:hyperlink>
            <w:r>
              <w:br/>
            </w:r>
            <w:hyperlink r:id="rId284">
              <w:r>
                <w:rPr>
                  <w:color w:val="0563C1"/>
                  <w:u w:val="single"/>
                </w:rPr>
                <w:t>Source</w:t>
              </w:r>
            </w:hyperlink>
            <w:r>
              <w:t xml:space="preserve"> · </w:t>
            </w:r>
            <w:hyperlink r:id="rId285">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Ramucirumab</w:t>
            </w:r>
          </w:p>
          <w:p>
            <w:pPr>
              <w:pStyle w:val="Normal"/>
              <w:widowControl/>
              <w:spacing w:after="55" w:line="240" w:lineRule="auto"/>
              <w:keepNext w:val="0"/>
              <w:keepLines/>
            </w:pPr>
            <w:r>
              <w:rPr>
                <w:sz w:val="21"/>
                <w:szCs w:val="21"/>
              </w:rPr>
              <w:t xml:space="preserve">AFP-selected subsequent treatment</w:t>
            </w:r>
          </w:p>
        </w:tc>
        <w:tc>
          <w:tcPr>
            <w:tcW w:w="4000" w:type="dxa"/>
            <w:vAlign w:val="top"/>
            <w:shd w:fill="F1F5F8"/>
          </w:tcPr>
          <w:p>
            <w:pPr>
              <w:pStyle w:val="Normal"/>
              <w:widowControl/>
              <w:spacing w:after="55" w:line="240" w:lineRule="auto"/>
              <w:keepNext w:val="0"/>
              <w:keepLines/>
            </w:pPr>
            <w:r>
              <w:rPr>
                <w:sz w:val="21"/>
                <w:szCs w:val="21"/>
              </w:rPr>
              <w:t xml:space="preserve">AFP at least 400 ng/mL. Assess bleeding, hypertension, proteinuria and operative timing. Record prior therapy and whether the proposed sequence follows the label or guideline extrapolation.</w:t>
            </w:r>
          </w:p>
        </w:tc>
        <w:tc>
          <w:tcPr>
            <w:tcW w:w="4180" w:type="dxa"/>
            <w:vAlign w:val="top"/>
            <w:shd w:fill="F1F5F8"/>
          </w:tcPr>
          <w:p>
            <w:pPr>
              <w:pStyle w:val="Normal"/>
              <w:widowControl/>
              <w:spacing w:after="55" w:line="240" w:lineRule="auto"/>
              <w:keepNext w:val="0"/>
              <w:keepLines/>
            </w:pPr>
            <w:r>
              <w:rPr>
                <w:sz w:val="21"/>
                <w:szCs w:val="21"/>
              </w:rPr>
              <w:t xml:space="preserve">REACH-2: median OS 8.5 versus 7.3 months with placebo, HR 0.71, after sorafenib. Benefit is not established for AFP below 400 ng/mL or as a randomized post-ICI comparison.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TQ3MC0yMDQ1KDE4KTMwOTM3LTk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86">
              <w:r>
                <w:rPr>
                  <w:color w:val="0563C1"/>
                  <w:u w:val="single"/>
                </w:rPr>
                <w:t>Source</w:t>
              </w:r>
            </w:hyperlink>
            <w:r>
              <w:t xml:space="preserve"> · </w:t>
            </w:r>
            <w:hyperlink r:id="rId287">
              <w:r>
                <w:rPr>
                  <w:color w:val="0563C1"/>
                  <w:u w:val="single"/>
                </w:rPr>
                <w:t>PDF</w:t>
              </w:r>
            </w:hyperlink>
            <w:r>
              <w:br/>
            </w:r>
            <w:hyperlink r:id="rId288">
              <w:r>
                <w:rPr>
                  <w:color w:val="0563C1"/>
                  <w:u w:val="single"/>
                </w:rPr>
                <w:t>Source</w:t>
              </w:r>
            </w:hyperlink>
            <w:r>
              <w:t xml:space="preserve"> · </w:t>
            </w:r>
            <w:hyperlink r:id="rId289">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Pembrolizumab</w:t>
            </w:r>
          </w:p>
          <w:p>
            <w:pPr>
              <w:pStyle w:val="Normal"/>
              <w:widowControl/>
              <w:spacing w:after="55" w:line="240" w:lineRule="auto"/>
              <w:keepNext w:val="0"/>
              <w:keepLines/>
            </w:pPr>
            <w:r>
              <w:rPr>
                <w:sz w:val="21"/>
                <w:szCs w:val="21"/>
              </w:rPr>
              <w:t xml:space="preserve">Selected subsequent treatment</w:t>
            </w:r>
          </w:p>
        </w:tc>
        <w:tc>
          <w:tcPr>
            <w:tcW w:w="4000" w:type="dxa"/>
            <w:vAlign w:val="top"/>
            <w:shd w:fill="FFFFFF"/>
          </w:tcPr>
          <w:p>
            <w:pPr>
              <w:pStyle w:val="Normal"/>
              <w:widowControl/>
              <w:spacing w:after="55" w:line="240" w:lineRule="auto"/>
              <w:keepNext w:val="0"/>
              <w:keepLines/>
            </w:pPr>
            <w:r>
              <w:rPr>
                <w:sz w:val="21"/>
                <w:szCs w:val="21"/>
              </w:rPr>
              <w:t xml:space="preserve">The checked US HCC indication is HBV-related HCC after prior systemic therapy other than a PD-1/PD-L1 regimen. A different use needs a separate tumor-agnostic indication or explicit guideline/off-label rationale.</w:t>
            </w:r>
          </w:p>
        </w:tc>
        <w:tc>
          <w:tcPr>
            <w:tcW w:w="4180" w:type="dxa"/>
            <w:vAlign w:val="top"/>
            <w:shd w:fill="FFFFFF"/>
          </w:tcPr>
          <w:p>
            <w:pPr>
              <w:pStyle w:val="Normal"/>
              <w:widowControl/>
              <w:spacing w:after="55" w:line="240" w:lineRule="auto"/>
              <w:keepNext w:val="0"/>
              <w:keepLines/>
            </w:pPr>
            <w:r>
              <w:rPr>
                <w:sz w:val="21"/>
                <w:szCs w:val="21"/>
              </w:rPr>
              <w:t xml:space="preserve">KEYNOTE-394: median OS 14.6 versus 13.0 months with placebo, HR 0.79, in an Asian previously treated population. Does not establish benefit from routine PD-1 rechallenge after prior ICI failure.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PHllYXI+MjAyMzwveWVhcj48L2RhdGVzPjx2b2x1bWU+NDE8L3ZvbHVtZT48bnVtYmVyPjc8L251bWJlcj48cGFnZXM+MTQzNC0xNDQzPC9wYWdlcz48ZWxlY3Ryb25pYy1yZXNvdXJjZS1udW0+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yMDAvSkNPLjIyLjAwNjIw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br/>
            </w:r>
            <w:hyperlink r:id="rId290">
              <w:r>
                <w:rPr>
                  <w:color w:val="0563C1"/>
                  <w:u w:val="single"/>
                </w:rPr>
                <w:t>Source</w:t>
              </w:r>
            </w:hyperlink>
            <w:r>
              <w:t xml:space="preserve"> · </w:t>
            </w:r>
            <w:hyperlink r:id="rId291">
              <w:r>
                <w:rPr>
                  <w:color w:val="0563C1"/>
                  <w:u w:val="single"/>
                </w:rPr>
                <w:t>PDF</w:t>
              </w:r>
            </w:hyperlink>
            <w:r>
              <w:br/>
            </w:r>
            <w:hyperlink r:id="rId292">
              <w:r>
                <w:rPr>
                  <w:color w:val="0563C1"/>
                  <w:u w:val="single"/>
                </w:rPr>
                <w:t>Source</w:t>
              </w:r>
            </w:hyperlink>
            <w:r>
              <w:t xml:space="preserve"> · </w:t>
            </w:r>
            <w:hyperlink r:id="rId29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Previously unused first-line regimen</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Consider an appropriate unused regimen after documenting prior exposure, best response, tolerance and reason for switching. After an ICI combination, a suitable TKI or a clinical trial is often considered; do not reset all patients to a single sequence.</w:t>
            </w:r>
          </w:p>
        </w:tc>
        <w:tc>
          <w:tcPr>
            <w:tcW w:w="4180" w:type="dxa"/>
            <w:vAlign w:val="top"/>
            <w:shd w:fill="F1F5F8"/>
          </w:tcPr>
          <w:p>
            <w:pPr>
              <w:pStyle w:val="Normal"/>
              <w:widowControl/>
              <w:spacing w:after="55" w:line="240" w:lineRule="auto"/>
              <w:keepNext w:val="0"/>
              <w:keepLines/>
            </w:pPr>
            <w:r>
              <w:rPr>
                <w:sz w:val="21"/>
                <w:szCs w:val="21"/>
              </w:rPr>
              <w:t xml:space="preserve">Guidelines permit selected reuse of first-line options in later lines, but no comparative trial defines the best sequence after modern combinations. Pivotal later-line randomized trials largely followed sorafenib.</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br/>
            </w:r>
            <w:hyperlink r:id="rId294">
              <w:r>
                <w:rPr>
                  <w:color w:val="0563C1"/>
                  <w:u w:val="single"/>
                </w:rPr>
                <w:t>Source</w:t>
              </w:r>
            </w:hyperlink>
            <w:r>
              <w:t xml:space="preserve"> · </w:t>
            </w:r>
            <w:hyperlink r:id="rId295">
              <w:r>
                <w:rPr>
                  <w:color w:val="0563C1"/>
                  <w:u w:val="single"/>
                </w:rPr>
                <w:t>PDF</w:t>
              </w:r>
            </w:hyperlink>
            <w:r>
              <w:br/>
            </w:r>
            <w:hyperlink r:id="rId296">
              <w:r>
                <w:rPr>
                  <w:color w:val="0563C1"/>
                  <w:u w:val="single"/>
                </w:rPr>
                <w:t>Source</w:t>
              </w:r>
            </w:hyperlink>
            <w:r>
              <w:t xml:space="preserve"> · </w:t>
            </w:r>
            <w:hyperlink r:id="rId297">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Nivolumab alone or CTLA4-based salvage</w:t>
            </w:r>
          </w:p>
          <w:p>
            <w:pPr>
              <w:pStyle w:val="Normal"/>
              <w:widowControl/>
              <w:spacing w:after="55" w:line="240" w:lineRule="auto"/>
              <w:keepNext w:val="0"/>
              <w:keepLines/>
            </w:pPr>
            <w:r>
              <w:rPr>
                <w:sz w:val="21"/>
                <w:szCs w:val="21"/>
              </w:rPr>
              <w:t xml:space="preserve">Selected circumstances</w:t>
            </w:r>
          </w:p>
        </w:tc>
        <w:tc>
          <w:tcPr>
            <w:tcW w:w="4000" w:type="dxa"/>
            <w:vAlign w:val="top"/>
            <w:shd w:fill="FFFFFF"/>
          </w:tcPr>
          <w:p>
            <w:pPr>
              <w:pStyle w:val="Normal"/>
              <w:widowControl/>
              <w:spacing w:after="55" w:line="240" w:lineRule="auto"/>
              <w:keepNext w:val="0"/>
              <w:keepLines/>
            </w:pPr>
            <w:r>
              <w:rPr>
                <w:sz w:val="21"/>
                <w:szCs w:val="21"/>
              </w:rPr>
              <w:t xml:space="preserve">Nivolumab monotherapy is a guideline-listed option for selected ICI-naive patients, not a current US HCC-labeled indication. In CTLA4-naive patients after PD-1/PD-L1 therapy, selected combination salvage needs specialist review; prefer a suitable trial.</w:t>
            </w:r>
          </w:p>
        </w:tc>
        <w:tc>
          <w:tcPr>
            <w:tcW w:w="4180" w:type="dxa"/>
            <w:vAlign w:val="top"/>
            <w:shd w:fill="FFFFFF"/>
          </w:tcPr>
          <w:p>
            <w:pPr>
              <w:pStyle w:val="Normal"/>
              <w:widowControl/>
              <w:spacing w:after="55" w:line="240" w:lineRule="auto"/>
              <w:keepNext w:val="0"/>
              <w:keepLines/>
            </w:pPr>
            <w:r>
              <w:rPr>
                <w:sz w:val="21"/>
                <w:szCs w:val="21"/>
              </w:rPr>
              <w:t xml:space="preserve">Monotherapy support includes early-phase cohorts. Salvage nivolumab–ipilimumab or STRIDE after prior ICI is not supported by a definitive randomized sequencing comparison. Distinguish guideline use from current label and low-certainty retrospective evidence.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S8xMjU1NTRzMTI5bGJsLnBkZj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br/>
            </w:r>
            <w:hyperlink r:id="rId298">
              <w:r>
                <w:rPr>
                  <w:color w:val="0563C1"/>
                  <w:u w:val="single"/>
                </w:rPr>
                <w:t>Source</w:t>
              </w:r>
            </w:hyperlink>
            <w:r>
              <w:t xml:space="preserve"> · </w:t>
            </w:r>
            <w:hyperlink r:id="rId299">
              <w:r>
                <w:rPr>
                  <w:color w:val="0563C1"/>
                  <w:u w:val="single"/>
                </w:rPr>
                <w:t>PDF</w:t>
              </w:r>
            </w:hyperlink>
            <w:r>
              <w:br/>
            </w:r>
            <w:hyperlink r:id="rId300">
              <w:r>
                <w:rPr>
                  <w:color w:val="0563C1"/>
                  <w:u w:val="single"/>
                </w:rPr>
                <w:t>Source</w:t>
              </w:r>
            </w:hyperlink>
            <w:r>
              <w:t xml:space="preserve"> · </w:t>
            </w:r>
            <w:hyperlink r:id="rId301">
              <w:r>
                <w:rPr>
                  <w:color w:val="0563C1"/>
                  <w:u w:val="single"/>
                </w:rPr>
                <w:t>PDF</w:t>
              </w:r>
            </w:hyperlink>
          </w:p>
        </w:tc>
      </w:tr>
    </w:tbl>
    <w:p>
      <w:pPr>
        <w:pStyle w:val="Heading2"/>
        <w:widowControl/>
        <w:keepNext/>
      </w:pPr>
      <w:r>
        <w:t xml:space="preserve">Biomarker selected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MSI-H or dMMR</w:t>
            </w:r>
          </w:p>
          <w:p>
            <w:pPr>
              <w:pStyle w:val="Normal"/>
              <w:widowControl/>
              <w:spacing w:after="55" w:line="240" w:lineRule="auto"/>
              <w:keepNext w:val="0"/>
              <w:keepLines/>
            </w:pPr>
            <w:r>
              <w:rPr>
                <w:sz w:val="21"/>
                <w:szCs w:val="21"/>
              </w:rPr>
              <w:t xml:space="preserve">Pembrolizumab or eligible dostarlimab</w:t>
            </w:r>
          </w:p>
        </w:tc>
        <w:tc>
          <w:tcPr>
            <w:tcW w:w="4000" w:type="dxa"/>
            <w:vAlign w:val="top"/>
            <w:shd w:fill="F1F5F8"/>
          </w:tcPr>
          <w:p>
            <w:pPr>
              <w:pStyle w:val="Normal"/>
              <w:widowControl/>
              <w:spacing w:after="55" w:line="240" w:lineRule="auto"/>
              <w:keepNext w:val="0"/>
              <w:keepLines/>
            </w:pPr>
            <w:r>
              <w:rPr>
                <w:sz w:val="21"/>
                <w:szCs w:val="21"/>
              </w:rPr>
              <w:t xml:space="preserve">For appropriate recurrent or advanced disease, verify the molecular result, prior-treatment requirements and exact current tumor-agnostic label. Prior ICI exposure and graft-rejection risk remain relevant.</w:t>
            </w:r>
          </w:p>
        </w:tc>
        <w:tc>
          <w:tcPr>
            <w:tcW w:w="4180" w:type="dxa"/>
            <w:vAlign w:val="top"/>
            <w:shd w:fill="F1F5F8"/>
          </w:tcPr>
          <w:p>
            <w:pPr>
              <w:pStyle w:val="Normal"/>
              <w:widowControl/>
              <w:spacing w:after="55" w:line="240" w:lineRule="auto"/>
              <w:keepNext w:val="0"/>
              <w:keepLines/>
            </w:pPr>
            <w:r>
              <w:rPr>
                <w:sz w:val="21"/>
                <w:szCs w:val="21"/>
              </w:rPr>
              <w:t xml:space="preserve">Rare findings in HCC. Evidence is largely tumor-agnostic rather than a dedicated HCC randomized comparison; a biomarker result does not establish LT eligibility.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br/>
            </w:r>
            <w:hyperlink r:id="rId302">
              <w:r>
                <w:rPr>
                  <w:color w:val="0563C1"/>
                  <w:u w:val="single"/>
                </w:rPr>
                <w:t>Source</w:t>
              </w:r>
            </w:hyperlink>
            <w:r>
              <w:t xml:space="preserve"> · </w:t>
            </w:r>
            <w:hyperlink r:id="rId303">
              <w:r>
                <w:rPr>
                  <w:color w:val="0563C1"/>
                  <w:u w:val="single"/>
                </w:rPr>
                <w:t>PDF</w:t>
              </w:r>
            </w:hyperlink>
            <w:r>
              <w:br/>
            </w:r>
            <w:hyperlink r:id="rId304">
              <w:r>
                <w:rPr>
                  <w:color w:val="0563C1"/>
                  <w:u w:val="single"/>
                </w:rPr>
                <w:t>Source</w:t>
              </w:r>
            </w:hyperlink>
            <w:r>
              <w:t xml:space="preserve"> · </w:t>
            </w:r>
            <w:hyperlink r:id="rId30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NTRK fusion</w:t>
            </w:r>
          </w:p>
          <w:p>
            <w:pPr>
              <w:pStyle w:val="Normal"/>
              <w:widowControl/>
              <w:spacing w:after="55" w:line="240" w:lineRule="auto"/>
              <w:keepNext w:val="0"/>
              <w:keepLines/>
            </w:pPr>
            <w:r>
              <w:rPr>
                <w:sz w:val="21"/>
                <w:szCs w:val="21"/>
              </w:rPr>
              <w:t xml:space="preserve">Larotrectinib, entrectinib or repotrectinib</w:t>
            </w:r>
          </w:p>
        </w:tc>
        <w:tc>
          <w:tcPr>
            <w:tcW w:w="4000" w:type="dxa"/>
            <w:vAlign w:val="top"/>
            <w:shd w:fill="FFFFFF"/>
          </w:tcPr>
          <w:p>
            <w:pPr>
              <w:pStyle w:val="Normal"/>
              <w:widowControl/>
              <w:spacing w:after="55" w:line="240" w:lineRule="auto"/>
              <w:keepNext w:val="0"/>
              <w:keepLines/>
            </w:pPr>
            <w:r>
              <w:rPr>
                <w:sz w:val="21"/>
                <w:szCs w:val="21"/>
              </w:rPr>
              <w:t xml:space="preserve">Confirm a qualifying NTRK fusion and the specific agent’s age, prior-treatment and resistance requirements. Select with molecular oncology; not for NTRK expression alone.</w:t>
            </w:r>
          </w:p>
        </w:tc>
        <w:tc>
          <w:tcPr>
            <w:tcW w:w="4180" w:type="dxa"/>
            <w:vAlign w:val="top"/>
            <w:shd w:fill="FFFFFF"/>
          </w:tcPr>
          <w:p>
            <w:pPr>
              <w:pStyle w:val="Normal"/>
              <w:widowControl/>
              <w:spacing w:after="55" w:line="240" w:lineRule="auto"/>
              <w:keepNext w:val="0"/>
              <w:keepLines/>
            </w:pPr>
            <w:r>
              <w:rPr>
                <w:sz w:val="21"/>
                <w:szCs w:val="21"/>
              </w:rPr>
              <w:t xml:space="preserve">Tumor-agnostic evidence, not an HCC-specific head-to-head ranking. NTRK fusions are exceptionally uncommon in HCC.</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306">
              <w:r>
                <w:rPr>
                  <w:color w:val="0563C1"/>
                  <w:u w:val="single"/>
                </w:rPr>
                <w:t>Source</w:t>
              </w:r>
            </w:hyperlink>
            <w:r>
              <w:t xml:space="preserve"> · </w:t>
            </w:r>
            <w:hyperlink r:id="rId30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RET fusion</w:t>
            </w:r>
          </w:p>
          <w:p>
            <w:pPr>
              <w:pStyle w:val="Normal"/>
              <w:widowControl/>
              <w:spacing w:after="55" w:line="240" w:lineRule="auto"/>
              <w:keepNext w:val="0"/>
              <w:keepLines/>
            </w:pPr>
            <w:r>
              <w:rPr>
                <w:sz w:val="21"/>
                <w:szCs w:val="21"/>
              </w:rPr>
              <w:t xml:space="preserve">Selpercatinib</w:t>
            </w:r>
          </w:p>
        </w:tc>
        <w:tc>
          <w:tcPr>
            <w:tcW w:w="4000" w:type="dxa"/>
            <w:vAlign w:val="top"/>
            <w:shd w:fill="F1F5F8"/>
          </w:tcPr>
          <w:p>
            <w:pPr>
              <w:pStyle w:val="Normal"/>
              <w:widowControl/>
              <w:spacing w:after="55" w:line="240" w:lineRule="auto"/>
              <w:keepNext w:val="0"/>
              <w:keepLines/>
            </w:pPr>
            <w:r>
              <w:rPr>
                <w:sz w:val="21"/>
                <w:szCs w:val="21"/>
              </w:rPr>
              <w:t xml:space="preserve">Confirm a qualifying RET fusion and current tumor-agnostic indication. Review liver function, interactions and treatment alternatives.</w:t>
            </w:r>
          </w:p>
        </w:tc>
        <w:tc>
          <w:tcPr>
            <w:tcW w:w="4180" w:type="dxa"/>
            <w:vAlign w:val="top"/>
            <w:shd w:fill="F1F5F8"/>
          </w:tcPr>
          <w:p>
            <w:pPr>
              <w:pStyle w:val="Normal"/>
              <w:widowControl/>
              <w:spacing w:after="55" w:line="240" w:lineRule="auto"/>
              <w:keepNext w:val="0"/>
              <w:keepLines/>
            </w:pPr>
            <w:r>
              <w:rPr>
                <w:sz w:val="21"/>
                <w:szCs w:val="21"/>
              </w:rPr>
              <w:t xml:space="preserve">Basket-trial evidence underlies selected use. Not a general HCC systemic regimen or a transplant-selection biomarker.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308">
              <w:r>
                <w:rPr>
                  <w:color w:val="0563C1"/>
                  <w:u w:val="single"/>
                </w:rPr>
                <w:t>Source</w:t>
              </w:r>
            </w:hyperlink>
            <w:r>
              <w:t xml:space="preserve"> · </w:t>
            </w:r>
            <w:hyperlink r:id="rId309">
              <w:r>
                <w:rPr>
                  <w:color w:val="0563C1"/>
                  <w:u w:val="single"/>
                </w:rPr>
                <w:t>PDF</w:t>
              </w:r>
            </w:hyperlink>
          </w:p>
        </w:tc>
      </w:tr>
    </w:tbl>
    <w:p>
      <w:pPr>
        <w:pStyle w:val="Heading2"/>
        <w:widowControl/>
        <w:keepNext/>
      </w:pPr>
      <w:r>
        <w:t xml:space="preserve">Systemic treatment combined with TACE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TACE plus lenvatinib and pembrolizumab</w:t>
            </w:r>
          </w:p>
        </w:tc>
        <w:tc>
          <w:tcPr>
            <w:tcW w:w="4000" w:type="dxa"/>
            <w:vAlign w:val="top"/>
            <w:shd w:fill="F1F5F8"/>
          </w:tcPr>
          <w:p>
            <w:pPr>
              <w:pStyle w:val="Normal"/>
              <w:widowControl/>
              <w:spacing w:after="55" w:line="240" w:lineRule="auto"/>
              <w:keepNext w:val="0"/>
              <w:keepLines/>
            </w:pPr>
            <w:r>
              <w:rPr>
                <w:sz w:val="21"/>
                <w:szCs w:val="21"/>
              </w:rPr>
              <w:t xml:space="preserve">Selected embolization-eligible unresectable HCC under a defined oncology/IR pathway. Assess reserve, combined toxicity and treatment intent. Not routine LT bridging.</w:t>
            </w:r>
          </w:p>
        </w:tc>
        <w:tc>
          <w:tcPr>
            <w:tcW w:w="4180" w:type="dxa"/>
            <w:vAlign w:val="top"/>
            <w:shd w:fill="F1F5F8"/>
          </w:tcPr>
          <w:p>
            <w:pPr>
              <w:pStyle w:val="Normal"/>
              <w:widowControl/>
              <w:spacing w:after="55" w:line="240" w:lineRule="auto"/>
              <w:keepNext w:val="0"/>
              <w:keepLines/>
            </w:pPr>
            <w:r>
              <w:rPr>
                <w:sz w:val="21"/>
                <w:szCs w:val="21"/>
              </w:rPr>
              <w:t xml:space="preserve">LEAP-012: randomized combination evidence with improved PFS. Do not equate PFS benefit with established LT access, post-LT survival or a universal survival advantage.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yNCkwMjU3NS0z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r>
              <w:br/>
            </w:r>
            <w:hyperlink r:id="rId310">
              <w:r>
                <w:rPr>
                  <w:color w:val="0563C1"/>
                  <w:u w:val="single"/>
                </w:rPr>
                <w:t>Source</w:t>
              </w:r>
            </w:hyperlink>
            <w:r>
              <w:t xml:space="preserve"> · </w:t>
            </w:r>
            <w:hyperlink r:id="rId31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TACE plus durvalumab and bevacizumab</w:t>
            </w:r>
          </w:p>
        </w:tc>
        <w:tc>
          <w:tcPr>
            <w:tcW w:w="4000" w:type="dxa"/>
            <w:vAlign w:val="top"/>
            <w:shd w:fill="FFFFFF"/>
          </w:tcPr>
          <w:p>
            <w:pPr>
              <w:pStyle w:val="Normal"/>
              <w:widowControl/>
              <w:spacing w:after="55" w:line="240" w:lineRule="auto"/>
              <w:keepNext w:val="0"/>
              <w:keepLines/>
            </w:pPr>
            <w:r>
              <w:rPr>
                <w:sz w:val="21"/>
                <w:szCs w:val="21"/>
              </w:rPr>
              <w:t xml:space="preserve">Selected embolization-eligible disease with immune and anti-VEGF safety assessment. Durvalumab without bevacizumab was a separate study arm, not an equivalent regimen.</w:t>
            </w:r>
          </w:p>
        </w:tc>
        <w:tc>
          <w:tcPr>
            <w:tcW w:w="4180" w:type="dxa"/>
            <w:vAlign w:val="top"/>
            <w:shd w:fill="FFFFFF"/>
          </w:tcPr>
          <w:p>
            <w:pPr>
              <w:pStyle w:val="Normal"/>
              <w:widowControl/>
              <w:spacing w:after="55" w:line="240" w:lineRule="auto"/>
              <w:keepNext w:val="0"/>
              <w:keepLines/>
            </w:pPr>
            <w:r>
              <w:rPr>
                <w:sz w:val="21"/>
                <w:szCs w:val="21"/>
              </w:rPr>
              <w:t xml:space="preserve">EMERALD-1: PFS improved with durvalumab–bevacizumab; durvalumab alone did not show the same benefit. Combination results do not validate routine transplant bridging.</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yNCkwMjU1MS0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r>
              <w:br/>
            </w:r>
            <w:hyperlink r:id="rId312">
              <w:r>
                <w:rPr>
                  <w:color w:val="0563C1"/>
                  <w:u w:val="single"/>
                </w:rPr>
                <w:t>Source</w:t>
              </w:r>
            </w:hyperlink>
            <w:r>
              <w:t xml:space="preserve"> · </w:t>
            </w:r>
            <w:hyperlink r:id="rId31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TACE plus STRIDE with or without lenvatinib</w:t>
            </w:r>
          </w:p>
        </w:tc>
        <w:tc>
          <w:tcPr>
            <w:tcW w:w="4000" w:type="dxa"/>
            <w:vAlign w:val="top"/>
            <w:shd w:fill="F1F5F8"/>
          </w:tcPr>
          <w:p>
            <w:pPr>
              <w:pStyle w:val="Normal"/>
              <w:widowControl/>
              <w:spacing w:after="55" w:line="240" w:lineRule="auto"/>
              <w:keepNext w:val="0"/>
              <w:keepLines/>
            </w:pPr>
            <w:r>
              <w:rPr>
                <w:sz w:val="21"/>
                <w:szCs w:val="21"/>
              </w:rPr>
              <w:t xml:space="preserve">Keep the regimens distinct and verify the specific trial-supported arm and current institutional pathway. Review toxicity and whether treatment is nontransplant disease control or an approved LT-intent study.</w:t>
            </w:r>
          </w:p>
        </w:tc>
        <w:tc>
          <w:tcPr>
            <w:tcW w:w="4180" w:type="dxa"/>
            <w:vAlign w:val="top"/>
            <w:shd w:fill="F1F5F8"/>
          </w:tcPr>
          <w:p>
            <w:pPr>
              <w:pStyle w:val="Normal"/>
              <w:widowControl/>
              <w:spacing w:after="55" w:line="240" w:lineRule="auto"/>
              <w:keepNext w:val="0"/>
              <w:keepLines/>
            </w:pPr>
            <w:r>
              <w:rPr>
                <w:sz w:val="21"/>
                <w:szCs w:val="21"/>
              </w:rPr>
              <w:t xml:space="preserve">EMERALD-3 enrolled patients not amenable to transplantation at entry. Its randomized disease-control evidence cannot be converted into a standard LT-bridging recommendation.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E0NzAtMjA0NSgyNikwMDI3OC0w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br/>
            </w:r>
            <w:hyperlink r:id="rId314">
              <w:r>
                <w:rPr>
                  <w:color w:val="0563C1"/>
                  <w:u w:val="single"/>
                </w:rPr>
                <w:t>Source</w:t>
              </w:r>
            </w:hyperlink>
            <w:r>
              <w:t xml:space="preserve"> · </w:t>
            </w:r>
            <w:hyperlink r:id="rId315">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SHARP: sorafenib</w:t>
      </w:r>
    </w:p>
    <w:p>
      <w:pPr>
        <w:pStyle w:val="Normal"/>
        <w:widowControl/>
        <w:spacing w:after="120"/>
      </w:pPr>
      <w:r>
        <w:t xml:space="preserve">Retain sorafenib as a guideline-supported TKI option when appropriate; not routine LT bridging or a way to treat an isolated AFP rise without a justified cancer indication.</w:t>
      </w:r>
      <w:r>
        <w:t xml:space="preserve"> </w:t>
      </w:r>
      <w:r>
        <w:t xml:space="preserve"> </w:t>
      </w:r>
      <w:r>
        <w:fldChar w:fldCharType="begin"/>
      </w:r>
      <w:r>
        <w:instrText xml:space="preserve"> ADDIN EN.CITE </w:instrText>
      </w:r>
      <w:r>
        <w:fldChar w:fldCharType="begin">
          <w:fldData>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br/>
      </w:r>
      <w:hyperlink r:id="rId326">
        <w:r>
          <w:rPr>
            <w:color w:val="0563C1"/>
            <w:u w:val="single"/>
          </w:rPr>
          <w:t>Source</w:t>
        </w:r>
      </w:hyperlink>
      <w:r>
        <w:t xml:space="preserve"> · </w:t>
      </w:r>
      <w:hyperlink r:id="rId327">
        <w:r>
          <w:rPr>
            <w:color w:val="0563C1"/>
            <w:u w:val="single"/>
          </w:rPr>
          <w:t>PDF</w:t>
        </w:r>
      </w:hyperlink>
    </w:p>
    <w:p>
      <w:pPr>
        <w:pStyle w:val="Normal"/>
        <w:widowControl/>
        <w:spacing w:after="120"/>
      </w:pPr>
      <w:r>
        <w:t xml:space="preserve">Population and design: Randomized double-blind phase III, 602 advanced HCC patients without prior systemic therapy; 97% Child-Pugh A, ECOG 0–2. Sorafenib 400 mg twice daily versus placebo.</w:t>
      </w:r>
    </w:p>
    <w:p>
      <w:pPr>
        <w:pStyle w:val="Normal"/>
        <w:widowControl/>
        <w:spacing w:after="120"/>
      </w:pPr>
      <w:r>
        <w:t xml:space="preserve">Results: Median OS 10.7 versus 7.9 months; HR 0.69 (0.55–0.87). Radiologic time to progression 5.5 versus 2.8 months, HR 0.58; this is not PFS. ORR 2% versus 1%, no complete responses.</w:t>
      </w:r>
    </w:p>
    <w:p>
      <w:pPr>
        <w:pStyle w:val="Normal"/>
        <w:widowControl/>
        <w:spacing w:after="120"/>
      </w:pPr>
      <w:r>
        <w:t xml:space="preserve">Limits: Historical placebo comparison, not a comparison with current ICI combinations. Grade 3 diarrhea and hand–foot reaction each 8%; dose interruptions/reductions frequent. Little evidence for decompensated cirrhosis.</w:t>
      </w:r>
    </w:p>
    <w:p>
      <w:pPr>
        <w:pStyle w:val="Heading2"/>
        <w:widowControl/>
        <w:keepNext/>
      </w:pPr>
      <w:r>
        <w:t xml:space="preserve">AFP-only discordance: return to transplant review</w:t>
      </w:r>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r>
        <w:t xml:space="preserve"> </w:t>
      </w:r>
      <w:r>
        <w:t xml:space="preserve"> </w:t>
      </w:r>
      <w:r>
        <w:fldChar w:fldCharType="begin"/>
      </w:r>
      <w:r>
        <w:instrText xml:space="preserve"> ADDIN EN.CITE </w:instrText>
      </w:r>
      <w:r>
        <w:fldChar w:fldCharType="begin">
          <w:fldData>PEVuZE5vdGU+PENpdGU+PEF1dGhvcj5NZWh0YSBOPC9BdXRob3I+PFllYXI+MjAxOTwvWWVhcj48UmVjTnVtPjMwPC9SZWNOdW0+PERpc3BsYXlUZXh0PltWMTYtMzBdPC9EaXNwbGF5VGV4dD48cmVjb3JkPjxyZWMtbnVtYmVyPjMwPC9yZWMtbnVtYmVyPjxmb3JlaWduLWtleXM+PGtleSBhcHA9IkVOIiBkYi1pZD0iMmIyODc0OTUtYTJjNy01NGMyLTgzNzgtNjI4ZDBmNTI5YjliIiB0aW1lc3RhbXA9IjE3OTMyODM2ODkiPjMw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r>
        <w:t xml:space="preserve"> </w:t>
      </w:r>
      <w:r>
        <w:t xml:space="preserve"> </w:t>
      </w:r>
      <w:r>
        <w:fldChar w:fldCharType="begin"/>
      </w:r>
      <w:r>
        <w:instrText xml:space="preserve"> ADDIN EN.CITE </w:instrText>
      </w:r>
      <w:r>
        <w:fldChar w:fldCharType="begin">
          <w:fldData>PEVuZE5vdGU+PENpdGU+PEF1dGhvcj5Hb2xkbWFuIE1MPC9BdXRob3I+PFllYXI+MjAyMjwvWWVhcj48UmVjTnVtPjMxPC9SZWNOdW0+PERpc3BsYXlUZXh0PltWMTYtMzFdPC9EaXNwbGF5VGV4dD48cmVjb3JkPjxyZWMtbnVtYmVyPjMxPC9yZWMtbnVtYmVyPjxmb3JlaWduLWtleXM+PGtleSBhcHA9IkVOIiBkYi1pZD0iMmIyODc0OTUtYTJjNy01NGMyLTgzNzgtNjI4ZDBmNTI5YjliIiB0aW1lc3RhbXA9IjE3OTMyODM2ODkiPjMx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t xml:space="preserve"> </w:t>
      </w:r>
      <w:r>
        <w:t xml:space="preserve"> </w:t>
      </w:r>
      <w:r>
        <w:fldChar w:fldCharType="begin"/>
      </w:r>
      <w:r>
        <w:instrText xml:space="preserve"> ADDIN EN.CITE </w:instrText>
      </w:r>
      <w:r>
        <w:fldChar w:fldCharType="begin">
          <w:fldData>PEVuZE5vdGU+PENpdGU+PEF1dGhvcj5HaWFyZCBKTTwvQXV0aG9yPjxZZWFyPjIwMTg8L1llYXI+PFJlY051bT4zMjwvUmVjTnVtPjxEaXNwbGF5VGV4dD5bVjE2LTMyXTwvRGlzcGxheVRleHQ+PHJlY29yZD48cmVjLW51bWJlcj4zMjwvcmVjLW51bWJlcj48Zm9yZWlnbi1rZXlzPjxrZXkgYXBwPSJFTiIgZGItaWQ9IjJiMjg3NDk1LWEyYzctNTRjMi04Mzc4LTYyOGQwZjUyOWI5YiIgdGltZXN0YW1wPSIxNzkzMjgzNjg5Ij4zM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t xml:space="preserve"> </w:t>
      </w:r>
      <w:r>
        <w:t xml:space="preserve"> </w:t>
      </w:r>
      <w:r>
        <w:fldChar w:fldCharType="begin"/>
      </w:r>
      <w:r>
        <w:instrText xml:space="preserve"> ADDIN EN.CITE </w:instrText>
      </w:r>
      <w:r>
        <w:fldChar w:fldCharType="begin">
          <w:fldData>PEVuZE5vdGU+PENpdGU+PEF1dGhvcj5IYWxhenVuIEtKPC9BdXRob3I+PFllYXI+MjAyMTwvWWVhcj48UmVjTnVtPjMzPC9SZWNOdW0+PERpc3BsYXlUZXh0PltWMTYtMzNdPC9EaXNwbGF5VGV4dD48cmVjb3JkPjxyZWMtbnVtYmVyPjMzPC9yZWMtbnVtYmVyPjxmb3JlaWduLWtleXM+PGtleSBhcHA9IkVOIiBkYi1pZD0iMmIyODc0OTUtYTJjNy01NGMyLTgzNzgtNjI4ZDBmNTI5YjliIiB0aW1lc3RhbXA9IjE3OTMyODM2ODkiPjM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r>
        <w:t xml:space="preserve"> </w:t>
      </w:r>
      <w:r>
        <w:t xml:space="preserve"> </w:t>
      </w:r>
      <w:r>
        <w:fldChar w:fldCharType="begin"/>
      </w:r>
      <w:r>
        <w:instrText xml:space="preserve"> ADDIN EN.CITE </w:instrText>
      </w:r>
      <w:r>
        <w:fldChar w:fldCharType="begin">
          <w:fldData>PEVuZE5vdGU+PENpdGU+PEF1dGhvcj5Nb3JpeWFtYSBNPC9BdXRob3I+PFllYXI+MjAyNjwvWWVhcj48UmVjTnVtPjM0PC9SZWNOdW0+PERpc3BsYXlUZXh0PltWMTYtMzRdPC9EaXNwbGF5VGV4dD48cmVjb3JkPjxyZWMtbnVtYmVyPjM0PC9yZWMtbnVtYmVyPjxmb3JlaWduLWtleXM+PGtleSBhcHA9IkVOIiBkYi1pZD0iMmIyODc0OTUtYTJjNy01NGMyLTgzNzgtNjI4ZDBmNTI5YjliIiB0aW1lc3RhbXA9IjE3OTMyODM2ODkiPjM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328">
        <w:r>
          <w:rPr>
            <w:color w:val="0563C1"/>
            <w:u w:val="single"/>
          </w:rPr>
          <w:t>Source</w:t>
        </w:r>
      </w:hyperlink>
      <w:r>
        <w:t xml:space="preserve"> · </w:t>
      </w:r>
      <w:hyperlink r:id="rId329">
        <w:r>
          <w:rPr>
            <w:color w:val="0563C1"/>
            <w:u w:val="single"/>
          </w:rPr>
          <w:t>PDF</w:t>
        </w:r>
      </w:hyperlink>
      <w:r>
        <w:br/>
      </w:r>
      <w:hyperlink r:id="rId330">
        <w:r>
          <w:rPr>
            <w:color w:val="0563C1"/>
            <w:u w:val="single"/>
          </w:rPr>
          <w:t>Source</w:t>
        </w:r>
      </w:hyperlink>
      <w:r>
        <w:t xml:space="preserve"> · </w:t>
      </w:r>
      <w:hyperlink r:id="rId331">
        <w:r>
          <w:rPr>
            <w:color w:val="0563C1"/>
            <w:u w:val="single"/>
          </w:rPr>
          <w:t>PDF</w:t>
        </w:r>
      </w:hyperlink>
      <w:r>
        <w:br/>
      </w:r>
      <w:hyperlink r:id="rId332">
        <w:r>
          <w:rPr>
            <w:color w:val="0563C1"/>
            <w:u w:val="single"/>
          </w:rPr>
          <w:t>Source</w:t>
        </w:r>
      </w:hyperlink>
      <w:r>
        <w:t xml:space="preserve"> · </w:t>
      </w:r>
      <w:hyperlink r:id="rId333">
        <w:r>
          <w:rPr>
            <w:color w:val="0563C1"/>
            <w:u w:val="single"/>
          </w:rPr>
          <w:t>PDF</w:t>
        </w:r>
      </w:hyperlink>
      <w:r>
        <w:br/>
      </w:r>
      <w:hyperlink r:id="rId334">
        <w:r>
          <w:rPr>
            <w:color w:val="0563C1"/>
            <w:u w:val="single"/>
          </w:rPr>
          <w:t>Source</w:t>
        </w:r>
      </w:hyperlink>
      <w:r>
        <w:t xml:space="preserve"> · </w:t>
      </w:r>
      <w:hyperlink r:id="rId335">
        <w:r>
          <w:rPr>
            <w:color w:val="0563C1"/>
            <w:u w:val="single"/>
          </w:rPr>
          <w:t>PDF</w:t>
        </w:r>
      </w:hyperlink>
      <w:r>
        <w:br/>
      </w:r>
      <w:hyperlink r:id="rId336">
        <w:r>
          <w:rPr>
            <w:color w:val="0563C1"/>
            <w:u w:val="single"/>
          </w:rPr>
          <w:t>Source</w:t>
        </w:r>
      </w:hyperlink>
      <w:r>
        <w:t xml:space="preserve"> · </w:t>
      </w:r>
      <w:hyperlink r:id="rId337">
        <w:r>
          <w:rPr>
            <w:color w:val="0563C1"/>
            <w:u w:val="single"/>
          </w:rPr>
          <w:t>PDF</w:t>
        </w:r>
      </w:hyperlink>
    </w:p>
    <w:p>
      <w:pPr>
        <w:pStyle w:val="Normal"/>
        <w:widowControl/>
        <w:spacing w:after="120"/>
      </w:pPr>
      <w:r>
        <w:t xml:space="preserve">OPEN proposals and meeting record: </w:t>
      </w:r>
      <w:hyperlink r:id="rId239">
        <w:r>
          <w:rPr>
            <w:color w:val="0563C1"/>
            <w:u w:val="single"/>
          </w:rPr>
          <w:t>HCC B1.1</w:t>
        </w:r>
      </w:hyperlink>
    </w:p>
    <w:p>
      <w:pPr>
        <w:pStyle w:val="Heading3"/>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t xml:space="preserve"> </w:t>
      </w:r>
      <w:r>
        <w:fldChar w:fldCharType="begin"/>
      </w:r>
      <w:r>
        <w:instrText xml:space="preserve"> ADDIN EN.CITE </w:instrText>
      </w:r>
      <w:r>
        <w:fldChar w:fldCharType="begin">
          <w:fldData>PEVuZE5vdGU+PENpdGU+PEF1dGhvcj5NZWh0YSBOPC9BdXRob3I+PFllYXI+MjAxOTwvWWVhcj48UmVjTnVtPjMwPC9SZWNOdW0+PERpc3BsYXlUZXh0PltWMTYtMzBdPC9EaXNwbGF5VGV4dD48cmVjb3JkPjxyZWMtbnVtYmVyPjMwPC9yZWMtbnVtYmVyPjxmb3JlaWduLWtleXM+PGtleSBhcHA9IkVOIiBkYi1pZD0iMmIyODc0OTUtYTJjNy01NGMyLTgzNzgtNjI4ZDBmNTI5YjliIiB0aW1lc3RhbXA9IjE3OTMyODM2ODkiPjMw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r>
        <w:br/>
      </w:r>
      <w:hyperlink r:id="rId316">
        <w:r>
          <w:rPr>
            <w:color w:val="0563C1"/>
            <w:u w:val="single"/>
          </w:rPr>
          <w:t>Source</w:t>
        </w:r>
      </w:hyperlink>
      <w:r>
        <w:t xml:space="preserve"> · </w:t>
      </w:r>
      <w:hyperlink r:id="rId317">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3"/>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t xml:space="preserve"> </w:t>
      </w:r>
      <w:r>
        <w:fldChar w:fldCharType="begin"/>
      </w:r>
      <w:r>
        <w:instrText xml:space="preserve"> ADDIN EN.CITE </w:instrText>
      </w:r>
      <w:r>
        <w:fldChar w:fldCharType="begin">
          <w:fldData>PEVuZE5vdGU+PENpdGU+PEF1dGhvcj5Hb2xkbWFuIE1MPC9BdXRob3I+PFllYXI+MjAyMjwvWWVhcj48UmVjTnVtPjMxPC9SZWNOdW0+PERpc3BsYXlUZXh0PltWMTYtMzFdPC9EaXNwbGF5VGV4dD48cmVjb3JkPjxyZWMtbnVtYmVyPjMxPC9yZWMtbnVtYmVyPjxmb3JlaWduLWtleXM+PGtleSBhcHA9IkVOIiBkYi1pZD0iMmIyODc0OTUtYTJjNy01NGMyLTgzNzgtNjI4ZDBmNTI5YjliIiB0aW1lc3RhbXA9IjE3OTMyODM2ODkiPjMx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br/>
      </w:r>
      <w:hyperlink r:id="rId318">
        <w:r>
          <w:rPr>
            <w:color w:val="0563C1"/>
            <w:u w:val="single"/>
          </w:rPr>
          <w:t>Source</w:t>
        </w:r>
      </w:hyperlink>
      <w:r>
        <w:t xml:space="preserve"> · </w:t>
      </w:r>
      <w:hyperlink r:id="rId319">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3"/>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t xml:space="preserve"> </w:t>
      </w:r>
      <w:r>
        <w:fldChar w:fldCharType="begin"/>
      </w:r>
      <w:r>
        <w:instrText xml:space="preserve"> ADDIN EN.CITE </w:instrText>
      </w:r>
      <w:r>
        <w:fldChar w:fldCharType="begin">
          <w:fldData>PEVuZE5vdGU+PENpdGU+PEF1dGhvcj5HaWFyZCBKTTwvQXV0aG9yPjxZZWFyPjIwMTg8L1llYXI+PFJlY051bT4zMjwvUmVjTnVtPjxEaXNwbGF5VGV4dD5bVjE2LTMyXTwvRGlzcGxheVRleHQ+PHJlY29yZD48cmVjLW51bWJlcj4zMjwvcmVjLW51bWJlcj48Zm9yZWlnbi1rZXlzPjxrZXkgYXBwPSJFTiIgZGItaWQ9IjJiMjg3NDk1LWEyYzctNTRjMi04Mzc4LTYyOGQwZjUyOWI5YiIgdGltZXN0YW1wPSIxNzkzMjgzNjg5Ij4zM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br/>
      </w:r>
      <w:hyperlink r:id="rId320">
        <w:r>
          <w:rPr>
            <w:color w:val="0563C1"/>
            <w:u w:val="single"/>
          </w:rPr>
          <w:t>Source</w:t>
        </w:r>
      </w:hyperlink>
      <w:r>
        <w:t xml:space="preserve"> · </w:t>
      </w:r>
      <w:hyperlink r:id="rId321">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3"/>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t xml:space="preserve"> </w:t>
      </w:r>
      <w:r>
        <w:fldChar w:fldCharType="begin"/>
      </w:r>
      <w:r>
        <w:instrText xml:space="preserve"> ADDIN EN.CITE </w:instrText>
      </w:r>
      <w:r>
        <w:fldChar w:fldCharType="begin">
          <w:fldData>PEVuZE5vdGU+PENpdGU+PEF1dGhvcj5IYWxhenVuIEtKPC9BdXRob3I+PFllYXI+MjAyMTwvWWVhcj48UmVjTnVtPjMzPC9SZWNOdW0+PERpc3BsYXlUZXh0PltWMTYtMzNdPC9EaXNwbGF5VGV4dD48cmVjb3JkPjxyZWMtbnVtYmVyPjMzPC9yZWMtbnVtYmVyPjxmb3JlaWduLWtleXM+PGtleSBhcHA9IkVOIiBkYi1pZD0iMmIyODc0OTUtYTJjNy01NGMyLTgzNzgtNjI4ZDBmNTI5YjliIiB0aW1lc3RhbXA9IjE3OTMyODM2ODkiPjM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r>
        <w:br/>
      </w:r>
      <w:hyperlink r:id="rId322">
        <w:r>
          <w:rPr>
            <w:color w:val="0563C1"/>
            <w:u w:val="single"/>
          </w:rPr>
          <w:t>Source</w:t>
        </w:r>
      </w:hyperlink>
      <w:r>
        <w:t xml:space="preserve"> · </w:t>
      </w:r>
      <w:hyperlink r:id="rId323">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3"/>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t xml:space="preserve"> </w:t>
      </w:r>
      <w:r>
        <w:fldChar w:fldCharType="begin"/>
      </w:r>
      <w:r>
        <w:instrText xml:space="preserve"> ADDIN EN.CITE </w:instrText>
      </w:r>
      <w:r>
        <w:fldChar w:fldCharType="begin">
          <w:fldData>PEVuZE5vdGU+PENpdGU+PEF1dGhvcj5Nb3JpeWFtYSBNPC9BdXRob3I+PFllYXI+MjAyNjwvWWVhcj48UmVjTnVtPjM0PC9SZWNOdW0+PERpc3BsYXlUZXh0PltWMTYtMzRdPC9EaXNwbGF5VGV4dD48cmVjb3JkPjxyZWMtbnVtYmVyPjM0PC9yZWMtbnVtYmVyPjxmb3JlaWduLWtleXM+PGtleSBhcHA9IkVOIiBkYi1pZD0iMmIyODc0OTUtYTJjNy01NGMyLTgzNzgtNjI4ZDBmNTI5YjliIiB0aW1lc3RhbXA9IjE3OTMyODM2ODkiPjM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324">
        <w:r>
          <w:rPr>
            <w:color w:val="0563C1"/>
            <w:u w:val="single"/>
          </w:rPr>
          <w:t>Source</w:t>
        </w:r>
      </w:hyperlink>
      <w:r>
        <w:t xml:space="preserve"> · </w:t>
      </w:r>
      <w:hyperlink r:id="rId325">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2"/>
        <w:widowControl/>
        <w:keepNext/>
      </w:pPr>
      <w:r>
        <w:t xml:space="preserve">Boundary conditions and reassessment</w:t>
      </w:r>
    </w:p>
    <w:p>
      <w:pPr>
        <w:pStyle w:val="Normal"/>
        <w:widowControl/>
        <w:spacing w:after="120"/>
      </w:pPr>
      <w:r>
        <w:t xml:space="preserve">After resection or ablation, do not routinely add adjuvant atezolizumab–bevacizumab: the updated IMbrave050 result did not sustain the initial recurrence-free-survival benefit. Pre-LT ICI exposure needs prospective transplant review and a separate timing plan; after LT, do not automatically use the nontransplant ICI combinations because of rejection and graft-loss risk. The transplant protocols govern these decisions separately.</w:t>
      </w:r>
      <w:r>
        <w:t xml:space="preserve"> </w:t>
      </w:r>
      <w:r>
        <w:t xml:space="preserve"> </w:t>
      </w:r>
      <w:r>
        <w:t xml:space="preserve"> </w:t>
      </w:r>
      <w:r>
        <w:fldChar w:fldCharType="begin"/>
      </w:r>
      <w:r>
        <w:instrText xml:space="preserve"> ADDIN EN.CITE </w:instrText>
      </w:r>
      <w:r>
        <w:fldChar w:fldCharType="begin">
          <w:fldData>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Ni4wMS4wMDY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5Ny9IRVAuMDAwMDAwMDAwMDAwMTI2OTwvdXJsPjwvcmVsYXRlZC11cmxzPjxwZGYtdXJscy8+PC91cmxzPjwvcmVjb3JkPjwvQ2l0ZT48L0VuZE5vdGU+</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YXNzbWVyPC9BdXRob3I+PFllYXI+MjAyMzwvWWVhcj48UmVjTnVtPjM3PC9SZWNOdW0+PERpc3BsYXlUZXh0PltWMTYtMzddPC9EaXNwbGF5VGV4dD48cmVjb3JkPjxyZWMtbnVtYmVyPjM3PC9yZWMtbnVtYmVyPjxmb3JlaWduLWtleXM+PGtleSBhcHA9IkVOIiBkYi1pZD0iMmIyODc0OTUtYTJjNy01NGMyLTgzNzgtNjI4ZDBmNTI5YjliIiB0aW1lc3RhbXA9IjE3OTMyODM2ODkiPjM3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spacing w:after="120"/>
      </w:pPr>
      <w:r>
        <w:t xml:space="preserve">Reassess clinical status, laboratory toxicity and radiographic response on the regimen-specific schedule. At progression or intolerance, re-stage, reassess liver reserve, review the previous drugs and revisit local, systemic, trial and supportive-care options in MDT. A radiographic response alone does not create transplant eligibility.</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after="120"/>
      </w:pPr>
      <w:r>
        <w:t xml:space="preserve">Evidence access: source links appear in each matrix row. PDF links open the corresponding local depot copy when available. Missing full PDFs are explicitly marked; guideline listing, trial evidence and US-label status are separate statements.</w:t>
      </w: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The three questions, in order</w:t>
      </w:r>
    </w:p>
    <w:p>
      <w:pPr>
        <w:spacing w:after="120" w:line="276"/>
      </w:pPr>
      <w:r>
        <w:rPr>
          <w:i/>
          <w:iCs/>
          <w:color w:val="5A6069"/>
          <w:sz w:val="18"/>
          <w:szCs w:val="18"/>
        </w:rPr>
        <w:t xml:space="preserve">Stage assignment runs as three questions in sequence. Every yes settles the stage; every no moves to the next question, so performance status and spread are decided before tumour burden is ever asked.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QUESTION</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THE ANSWER SETTLES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1. ECOG 3-4, or Child-Pugh C and not a transplant candidate?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Yes - stage D, terminal. No - next question.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2. Macrovascular invasion or extrahepatic spread?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Yes - stage C, advanced. No - next question.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3. What is the tumour burden on the staging scan?</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2 cm or less - stage 0. Solitary of any size, or up to 3 nodules each 3 cm or less - stage A. Multinodular beyond A - stage B.</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Before any of it: is the diagnosis made?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LR-5 on multiphase CT or MRI in an at-risk liver; biopsy when imaging is indeterminate, decided at MDT.</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Staged with</w:t>
            </w:r>
          </w:p>
        </w:tc>
        <w:tc>
          <w:tcPr>
            <w:tcW w:type="dxa" w:w="5260"/>
            <w:tcMar>
              <w:top w:type="dxa" w:w="70"/>
              <w:left w:type="dxa" w:w="110"/>
              <w:bottom w:type="dxa" w:w="70"/>
              <w:right w:type="dxa" w:w="110"/>
            </w:tcMar>
            <w:vAlign w:val="top"/>
          </w:tcPr>
          <w:p>
            <w:pPr>
              <w:spacing w:after="0" w:line="276"/>
            </w:pPr>
            <w:r>
              <w:rPr>
                <w:color w:val="15181F"/>
                <w:sz w:val="17"/>
                <w:szCs w:val="17"/>
              </w:rPr>
              <w:t xml:space="preserve">Liver imaging and chest CT; ECOG; Child-Pugh and bilirubin; portal hypertension assessment; AFP. Nonresectability and transplant candidacy are assessed in parallel with the rest of staging, not after it.</w:t>
            </w:r>
          </w:p>
        </w:tc>
      </w:tr>
    </w:tbl>
    <w:p>
      <w:pPr>
        <w:spacing w:after="200" w:line="276"/>
      </w:pPr>
      <w:r>
        <w:rPr>
          <w:i/>
          <w:iCs/>
          <w:color w:val="5A6069"/>
          <w:sz w:val="16"/>
          <w:szCs w:val="16"/>
        </w:rPr>
        <w:t xml:space="preserve">Stage migration is permitted when anatomy, biology, liver function, transplant strategy, comorbidity, access or patient goals make the stage default unsuitable, and the reason must be recorded. It is not a licence to substitute a lower-evidence modality for a proven curative option.</w:t>
      </w:r>
    </w:p>
    <w:p>
      <w:pPr>
        <w:pStyle w:val="Heading3"/>
        <w:keepNext/>
        <w:spacing w:after="110" w:before="240"/>
      </w:pPr>
      <w:r>
        <w:rPr>
          <w:rFonts w:ascii="Cambria" w:cs="Cambria" w:eastAsia="Cambria" w:hAnsi="Cambria"/>
          <w:b/>
          <w:bCs/>
          <w:color w:val="17365D"/>
          <w:sz w:val="22"/>
          <w:szCs w:val="22"/>
        </w:rPr>
        <w:t xml:space="preserve">Child-Pugh</w:t>
      </w:r>
    </w:p>
    <w:p>
      <w:pPr>
        <w:spacing w:after="120" w:line="276"/>
      </w:pPr>
      <w:r>
        <w:rPr>
          <w:i/>
          <w:iCs/>
          <w:color w:val="5A6069"/>
          <w:sz w:val="18"/>
          <w:szCs w:val="18"/>
        </w:rPr>
        <w:t xml:space="preserve">Five parameters, 1 to 3 points each. Class A 5-6, class B 7-9, class C 10-15.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PARAMETER</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1 POINT / 2 POINTS / 3 POINTS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Bilirubin (mg/dL)</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2 / 2-3 / over 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Albumin (g/dL)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 3.5 / 2.8-3.5 / under 2.8</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INR</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1.7 / 1.7-2.3 / over 2.3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Ascites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none / mild, diuretic-responsive / moderate to severe or refractory</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Encephalopathy</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 grade I-II / grade III-IV</w:t>
            </w:r>
          </w:p>
        </w:tc>
      </w:tr>
    </w:tbl>
    <w:p>
      <w:pPr>
        <w:spacing w:after="200" w:line="276"/>
      </w:pPr>
      <w:r>
        <w:rPr>
          <w:i/>
          <w:iCs/>
          <w:color w:val="5A6069"/>
          <w:sz w:val="16"/>
          <w:szCs w:val="16"/>
        </w:rPr>
        <w:t xml:space="preserve">In primary biliary cholangitis and primary sclerosing cholangitis the bilirubin bands are under 4, 4-10 and over 10 mg/dL. Class A means preserved function; it does not establish portal pressure - see the CSPH criteria. The roadmap also records ALBI and MELD 3.0, and Child-Pugh alone does not drive allocation.</w:t>
      </w:r>
    </w:p>
    <w:p>
      <w:pPr>
        <w:pStyle w:val="Heading3"/>
        <w:keepNext/>
        <w:spacing w:after="110" w:before="240"/>
      </w:pPr>
      <w:r>
        <w:rPr>
          <w:rFonts w:ascii="Cambria" w:cs="Cambria" w:eastAsia="Cambria" w:hAnsi="Cambria"/>
          <w:b/>
          <w:bCs/>
          <w:color w:val="17365D"/>
          <w:sz w:val="22"/>
          <w:szCs w:val="22"/>
        </w:rPr>
        <w:t xml:space="preserve">ECOG performance status</w:t>
      </w:r>
    </w:p>
    <w:p>
      <w:pPr>
        <w:spacing w:after="120" w:line="276"/>
      </w:pPr>
      <w:r>
        <w:rPr>
          <w:i/>
          <w:iCs/>
          <w:color w:val="5A6069"/>
          <w:sz w:val="18"/>
          <w:szCs w:val="18"/>
        </w:rPr>
        <w:t xml:space="preserve">In this pathway ECOG 3-4 settles stage D, and cancer-related ECOG 1-2 is part of stage C. Record whether the limitation comes from the tumour or from the liver, because that distinction decides whether transplant is still on the table.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GRADE</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DEFINITION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0</w:t>
            </w:r>
          </w:p>
        </w:tc>
        <w:tc>
          <w:tcPr>
            <w:tcW w:type="dxa" w:w="5260"/>
            <w:tcMar>
              <w:top w:type="dxa" w:w="70"/>
              <w:left w:type="dxa" w:w="110"/>
              <w:bottom w:type="dxa" w:w="70"/>
              <w:right w:type="dxa" w:w="110"/>
            </w:tcMar>
            <w:vAlign w:val="top"/>
          </w:tcPr>
          <w:p>
            <w:pPr>
              <w:spacing w:after="0" w:line="276"/>
            </w:pPr>
            <w:r>
              <w:rPr>
                <w:color w:val="15181F"/>
                <w:sz w:val="17"/>
                <w:szCs w:val="17"/>
              </w:rPr>
              <w:t xml:space="preserve">Fully active, able to carry on all pre-disease performance without restriction.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Restricted in physically strenuous activity but ambulatory and able to carry out work of a light or sedentary nature - light house work, office work.</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2</w:t>
            </w:r>
          </w:p>
        </w:tc>
        <w:tc>
          <w:tcPr>
            <w:tcW w:type="dxa" w:w="5260"/>
            <w:tcMar>
              <w:top w:type="dxa" w:w="70"/>
              <w:left w:type="dxa" w:w="110"/>
              <w:bottom w:type="dxa" w:w="70"/>
              <w:right w:type="dxa" w:w="110"/>
            </w:tcMar>
            <w:vAlign w:val="top"/>
          </w:tcPr>
          <w:p>
            <w:pPr>
              <w:spacing w:after="0" w:line="276"/>
            </w:pPr>
            <w:r>
              <w:rPr>
                <w:color w:val="15181F"/>
                <w:sz w:val="17"/>
                <w:szCs w:val="17"/>
              </w:rPr>
              <w:t xml:space="preserve">Ambulatory and capable of all self-care but unable to carry out any work activities; up and about more than 50% of waking hours.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Capable of only limited self-care; confined to bed or chair more than 50% of waking hours.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4</w:t>
            </w:r>
          </w:p>
        </w:tc>
        <w:tc>
          <w:tcPr>
            <w:tcW w:type="dxa" w:w="5260"/>
            <w:tcMar>
              <w:top w:type="dxa" w:w="70"/>
              <w:left w:type="dxa" w:w="110"/>
              <w:bottom w:type="dxa" w:w="70"/>
              <w:right w:type="dxa" w:w="110"/>
            </w:tcMar>
            <w:vAlign w:val="top"/>
          </w:tcPr>
          <w:p>
            <w:pPr>
              <w:spacing w:after="0" w:line="276"/>
            </w:pPr>
            <w:r>
              <w:rPr>
                <w:color w:val="15181F"/>
                <w:sz w:val="17"/>
                <w:szCs w:val="17"/>
              </w:rPr>
              <w:t xml:space="preserve">Completely disabled; cannot carry on any self-care; totally confined to bed or chair.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Dead.</w:t>
            </w:r>
          </w:p>
        </w:tc>
      </w:tr>
    </w:tbl>
    <w:p>
      <w:pPr>
        <w:spacing w:after="200" w:line="276"/>
      </w:pPr>
      <w:r>
        <w:rPr>
          <w:color w:val="15181F"/>
          <w:sz w:val="20"/>
          <w:szCs w:val="20"/>
        </w:rPr>
        <w:t xml:space="preserve"/>
      </w:r>
    </w:p>
    <w:p>
      <w:pPr>
        <w:pStyle w:val="Heading3"/>
        <w:keepNext/>
        <w:spacing w:after="110" w:before="240"/>
      </w:pPr>
      <w:r>
        <w:rPr>
          <w:rFonts w:ascii="Cambria" w:cs="Cambria" w:eastAsia="Cambria" w:hAnsi="Cambria"/>
          <w:b/>
          <w:bCs/>
          <w:color w:val="17365D"/>
          <w:sz w:val="22"/>
          <w:szCs w:val="22"/>
        </w:rPr>
        <w:t xml:space="preserve">Clinically significant portal hypertension, as the roadmap establishes it</w:t>
      </w:r>
    </w:p>
    <w:p>
      <w:pPr>
        <w:spacing w:after="120" w:line="276"/>
      </w:pPr>
      <w:r>
        <w:rPr>
          <w:i/>
          <w:iCs/>
          <w:color w:val="5A6069"/>
          <w:sz w:val="18"/>
          <w:szCs w:val="18"/>
        </w:rPr>
        <w:t xml:space="preserve">Child-Pugh class, MELD and the absence of decompensation establish preserved hepatic function. They do not establish portal pressure, and BCLC treats the two as separate axes: a patient can be Child-Pugh A with a normal MELD and still have CSPH.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CRITERION</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FINDING AND HOW IT IS READ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Reference standard</w:t>
            </w:r>
          </w:p>
        </w:tc>
        <w:tc>
          <w:tcPr>
            <w:tcW w:type="dxa" w:w="5260"/>
            <w:tcMar>
              <w:top w:type="dxa" w:w="70"/>
              <w:left w:type="dxa" w:w="110"/>
              <w:bottom w:type="dxa" w:w="70"/>
              <w:right w:type="dxa" w:w="110"/>
            </w:tcMar>
            <w:vAlign w:val="top"/>
          </w:tcPr>
          <w:p>
            <w:pPr>
              <w:spacing w:after="0" w:line="276"/>
            </w:pPr>
            <w:r>
              <w:rPr>
                <w:color w:val="15181F"/>
                <w:sz w:val="17"/>
                <w:szCs w:val="17"/>
              </w:rPr>
              <w:t xml:space="preserve">HVPG 10 mmHg or above defines CSPH. BCLC states HVPG remains the gold standard and non-invasive tools may rule it in or out; measure it when the decision turns on it.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Specific signs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Medium or large oesophageal varices; gastric varices; spontaneous portosystemic collaterals; spleen stiffness over 40 kPa in the absence of a myeloproliferative neoplasm. A shunt reported on staging CT is a staging finding, not an incidental one.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Non-specific signs</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Overt ascites; small oesophageal varices; platelets under 150 x 10^9/L; splenomegaly. Supportive but not sufficient alone, and absence does not exclude CSPH.</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Non-invasive rule-in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Liver stiffness 25 kPa or above, except in obese MASLD (BMI 30 kg/m2 or above); spleen stiffness at 100 Hz over 55 kPa; ANTICIPATE or ANTICIPATE-NASH 75% or above; NICER 75% or above.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Non-invasive rule-out</w:t>
            </w:r>
          </w:p>
        </w:tc>
        <w:tc>
          <w:tcPr>
            <w:tcW w:type="dxa" w:w="5260"/>
            <w:tcMar>
              <w:top w:type="dxa" w:w="70"/>
              <w:left w:type="dxa" w:w="110"/>
              <w:bottom w:type="dxa" w:w="70"/>
              <w:right w:type="dxa" w:w="110"/>
            </w:tcMar>
            <w:vAlign w:val="top"/>
          </w:tcPr>
          <w:p>
            <w:pPr>
              <w:spacing w:after="0" w:line="276"/>
            </w:pPr>
            <w:r>
              <w:rPr>
                <w:color w:val="15181F"/>
                <w:sz w:val="17"/>
                <w:szCs w:val="17"/>
              </w:rPr>
              <w:t xml:space="preserve">Liver stiffness 15 kPa or less with platelets of 150 x 10^9/L or above carries a negative predictive value above 90% in compensated advanced chronic liver disease, but the thresholds are device- and technique-specific.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to record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criterion used, its value and the date. “No portal hypertension” without a stated basis is not an acceptable entry when resection is being proposed.</w:t>
            </w:r>
          </w:p>
        </w:tc>
      </w:tr>
    </w:tbl>
    <w:p>
      <w:pPr>
        <w:spacing w:after="200" w:line="276"/>
      </w:pPr>
      <w:r>
        <w:rPr>
          <w:i/>
          <w:iCs/>
          <w:color w:val="5A6069"/>
          <w:sz w:val="16"/>
          <w:szCs w:val="16"/>
        </w:rPr>
        <w:t xml:space="preserve">Three situations where a portosystemic shunt does not settle the question: a cured or controlled aetiology, because varices and collaterals may persist after CSPH resolves; portosinusoidal vascular disorder, which must be ruled out when signs of portal hypertension coexist with an HVPG below 10 mmHg; and steatotic liver disease, where HVPG reliability may be suboptimal. Whether a large spontaneous shunt can itself lower measured HVPG is an unresolved local question - approval item 7.</w:t>
      </w:r>
    </w:p>
    <w:p>
      <w:pPr>
        <w:pStyle w:val="Heading3"/>
        <w:keepNext/>
        <w:spacing w:after="110" w:before="240"/>
      </w:pPr>
      <w:r>
        <w:rPr>
          <w:rFonts w:ascii="Cambria" w:cs="Cambria" w:eastAsia="Cambria" w:hAnsi="Cambria"/>
          <w:b/>
          <w:bCs/>
          <w:color w:val="17365D"/>
          <w:sz w:val="22"/>
          <w:szCs w:val="22"/>
        </w:rPr>
        <w:t xml:space="preserve">Transplant: eligibility pathways and the allocation clock</w:t>
      </w:r>
    </w:p>
    <w:p>
      <w:pPr>
        <w:spacing w:after="120" w:line="276"/>
      </w:pPr>
      <w:r>
        <w:rPr>
          <w:i/>
          <w:iCs/>
          <w:color w:val="5A6069"/>
          <w:sz w:val="18"/>
          <w:szCs w:val="18"/>
        </w:rPr>
        <w:t xml:space="preserve">Four kinds of statement that must not be blurred: OPTN policy is binding and changes without notice to this document; OPTN guidance informs but does not compel the review board; published evidence was generated under earlier allocation rules; local policy may be stricter and is then the operative constraint.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PATHWAY</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CRITERIA AND ACTION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Milan / OPTN T2</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lesion 2 cm to 5 cm, or 2 to 3 lesions each 1 cm to 3 cm; no macrovascular invasion; no extrahepatic spread. The lower limits are OPTN T2 allocation rules - Milan set upper limits only. A solitary lesion under 2 cm is T1 and does not attract exception points.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Downstaging pool (UNOS-DS)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One lesion over 5 cm and up to 8 cm; or 2 to 3 lesions each 5 cm or less with at least one lesion over 3 cm and total diameter 8 cm or less; or 4 to 5 lesions each under 3 cm with total diameter 8 cm or less. Viable disease must be downstaged to within Milan and held there for the required observation period.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AFP rule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 AFP at or above 1,000 ng/mL blocks the standard exception until it falls below 500 ng/mL after locoregional therapy. A later rise to 500 ng/mL or above requires review-board referral rather than automatic continuation.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Macrovascular invasion or extrahepatic spread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Excludes the HCC exception. Categorical, and not subject to stage migration or local override.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Beyond the downstaging pool</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an automatic exception route and not a recognised standard. Only through transplant governance and the national liver review board, or within a protocol, using sustained response and tumour biology rather than anatomy alone, with prospective outcome tracking.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Listing and allocation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initial request and the first extension receive calculated MELD; any extension after the first receives MMaT-3. Each exception is valid for 90 days, so two periods elapse first - roughly six months. Policy states the score table, not a six-month rule. MMaT is the median MELD at transplant for the donor hospital in that match run, not one national number.</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After transplant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Submit explant pathology within 60 days as required by policy. Record graft outcome, recurrence surveillance and the accountable clinical team.</w:t>
            </w:r>
          </w:p>
        </w:tc>
      </w:tr>
    </w:tbl>
    <w:p>
      <w:pPr>
        <w:spacing w:after="200" w:line="276"/>
      </w:pPr>
      <w:r>
        <w:rPr>
          <w:i/>
          <w:iCs/>
          <w:color w:val="5A6069"/>
          <w:sz w:val="16"/>
          <w:szCs w:val="16"/>
        </w:rPr>
        <w:t xml:space="preserve">Refer early: within Milan criteria, when the downstaging pool may apply, or when recurrent HCC combined with the severity of the underlying liver disease makes resection or ablation a poor long-term solution. Serial locoregional procedures accumulated while a referral is pending are a recognised failure mode of this pathway. Every numeric criterion must be re-verified against the current Policy 9 text before it is applied.</w:t>
      </w:r>
    </w:p>
    <w:p>
      <w:pPr>
        <w:pStyle w:val="Heading3"/>
        <w:keepNext/>
        <w:spacing w:after="110" w:before="240"/>
      </w:pPr>
      <w:r>
        <w:rPr>
          <w:rFonts w:ascii="Cambria" w:cs="Cambria" w:eastAsia="Cambria" w:hAnsi="Cambria"/>
          <w:b/>
          <w:bCs/>
          <w:color w:val="17365D"/>
          <w:sz w:val="22"/>
          <w:szCs w:val="22"/>
        </w:rPr>
        <w:t xml:space="preserve">LI-RADS, and the response algorithm that matches the treatment</w:t>
      </w:r>
    </w:p>
    <w:p>
      <w:pPr>
        <w:spacing w:after="120" w:line="276"/>
      </w:pPr>
      <w:r>
        <w:rPr>
          <w:i/>
          <w:iCs/>
          <w:color w:val="5A6069"/>
          <w:sz w:val="18"/>
          <w:szCs w:val="18"/>
        </w:rPr>
        <w:t xml:space="preserve">CT/MRI LI-RADS v2018 diagnostic algorithm and the v2024 treatment-response algorithms. These apply only in the at-risk population - cirrhosis of any cause, chronic hepatitis B, or current or prior HCC. OPTN class 5 criteria for listing are a separate system.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CATEGORY</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IT MEANS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The four major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Nonrim arterial phase hyperenhancement; nonperipheral washout; enhancing capsule; threshold growth, meaning a 50% or greater increase in size within 6 months. Size is the fifth criterion and sets the row of the diagnostic 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LR-1 to LR-3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Definitely benign; probably benign; intermediate probability of malignancy.</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LR-4</w:t>
            </w:r>
          </w:p>
        </w:tc>
        <w:tc>
          <w:tcPr>
            <w:tcW w:type="dxa" w:w="5260"/>
            <w:tcMar>
              <w:top w:type="dxa" w:w="70"/>
              <w:left w:type="dxa" w:w="110"/>
              <w:bottom w:type="dxa" w:w="70"/>
              <w:right w:type="dxa" w:w="110"/>
            </w:tcMar>
            <w:vAlign w:val="top"/>
          </w:tcPr>
          <w:p>
            <w:pPr>
              <w:spacing w:after="0" w:line="276"/>
            </w:pPr>
            <w:r>
              <w:rPr>
                <w:color w:val="15181F"/>
                <w:sz w:val="17"/>
                <w:szCs w:val="17"/>
              </w:rPr>
              <w:t xml:space="preserve">Probably HCC. Multidisciplinary review, repeat or alternative contrast imaging at about three months, or biopsy when an immediate diagnosis would change management.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Definitely HCC; treat as HCC without routine biopsy after multidisciplinary imaging confirmation. Requires 10 mm or more with nonrim APHE plus washout or threshold growth, or 20 mm or more with nonrim APHE plus any one additional feature. An observation under 10 mm cannot be LR-5.</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LR-M</w:t>
            </w:r>
          </w:p>
        </w:tc>
        <w:tc>
          <w:tcPr>
            <w:tcW w:type="dxa" w:w="5260"/>
            <w:tcMar>
              <w:top w:type="dxa" w:w="70"/>
              <w:left w:type="dxa" w:w="110"/>
              <w:bottom w:type="dxa" w:w="70"/>
              <w:right w:type="dxa" w:w="110"/>
            </w:tcMar>
            <w:vAlign w:val="top"/>
          </w:tcPr>
          <w:p>
            <w:pPr>
              <w:spacing w:after="0" w:line="276"/>
            </w:pPr>
            <w:r>
              <w:rPr>
                <w:color w:val="15181F"/>
                <w:sz w:val="17"/>
                <w:szCs w:val="17"/>
              </w:rPr>
              <w:t xml:space="preserve">Probably or definitely malignant but not HCC specific. Biopsy when feasible, because non-HCC malignancy changes the entire pathway.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LR-TIV</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in vein. Enhancing soft tissue within a vessel, whatever the parenchymal observation; biopsy when the vein finding is isolated.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LR-TR, nonradiation algorithm</w:t>
            </w:r>
          </w:p>
        </w:tc>
        <w:tc>
          <w:tcPr>
            <w:tcW w:type="dxa" w:w="5260"/>
            <w:tcMar>
              <w:top w:type="dxa" w:w="70"/>
              <w:left w:type="dxa" w:w="110"/>
              <w:bottom w:type="dxa" w:w="70"/>
              <w:right w:type="dxa" w:w="110"/>
            </w:tcMar>
            <w:vAlign w:val="top"/>
          </w:tcPr>
          <w:p>
            <w:pPr>
              <w:spacing w:after="0" w:line="276"/>
            </w:pPr>
            <w:r>
              <w:t xml:space="preserve">After ablation or TACE: nonevaluable, nonviable, equivocal or viable. Under the 2024 nonradiation algorithm, masslike enhancement of any degree in any phase in or along the treated lesion indicates viability; optional MRI ancillary features may refine an equivocal assessment.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ODwvUmVjTnVtPjxEaXNwbGF5VGV4dD5bVjE2LTM4XTwvRGlzcGxheVRleHQ+PHJlY29yZD48cmVjLW51bWJlcj4zODwvcmVjLW51bWJlcj48Zm9yZWlnbi1rZXlzPjxrZXkgYXBwPSJFTiIgZGItaWQ9IjJiMjg3NDk1LWEyYzctNTRjMi04Mzc4LTYyOGQwZjUyOWI5YiIgdGltZXN0YW1wPSIxNzkzMjgzNjg5Ij4zO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[V16-38]</w:t>
            </w:r>
            <w:r>
              <w:fldChar w:fldCharType="end"/>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LR-TR, radiation algorithm</w:t>
            </w:r>
          </w:p>
        </w:tc>
        <w:tc>
          <w:tcPr>
            <w:tcW w:type="dxa" w:w="5260"/>
            <w:shd w:fill="F1F4F8" w:color="auto" w:val="clear"/>
            <w:tcMar>
              <w:top w:type="dxa" w:w="70"/>
              <w:left w:type="dxa" w:w="110"/>
              <w:bottom w:type="dxa" w:w="70"/>
              <w:right w:type="dxa" w:w="110"/>
            </w:tcMar>
            <w:vAlign w:val="top"/>
          </w:tcPr>
          <w:p>
            <w:pPr>
              <w:spacing w:after="0" w:line="276"/>
            </w:pPr>
            <w:r>
              <w:t xml:space="preserve">After SBRT or Y90: nonevaluable, nonviable, nonprogressing or viable. Stable or decreasing masslike enhancement may be nonprogressing; new or increasing masslike enhancement favors viability. Ancillary MRI features can support an upgrade. Nonprogressing is not proof of complete necrosis. Follow serially; do not retreat on enhancement alone. There is no equivocal category.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ODwvUmVjTnVtPjxEaXNwbGF5VGV4dD5bVjE2LTM4XTwvRGlzcGxheVRleHQ+PHJlY29yZD48cmVjLW51bWJlcj4zODwvcmVjLW51bWJlcj48Zm9yZWlnbi1rZXlzPjxrZXkgYXBwPSJFTiIgZGItaWQ9IjJiMjg3NDk1LWEyYzctNTRjMi04Mzc4LTYyOGQwZjUyOWI5YiIgdGltZXN0YW1wPSIxNzkzMjgzNjg5Ij4zO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[V16-38]</w:t>
            </w:r>
            <w:r>
              <w:fldChar w:fldCharType="end"/>
            </w:r>
          </w:p>
        </w:tc>
      </w:tr>
    </w:tbl>
    <w:p>
      <w:pPr>
        <w:spacing w:after="200" w:line="276"/>
      </w:pPr>
      <w:r>
        <w:rPr>
          <w:i/>
          <w:iCs/>
          <w:color w:val="5A6069"/>
          <w:sz w:val="16"/>
          <w:szCs w:val="16"/>
        </w:rPr>
        <w:t xml:space="preserve">Applying the nonradiation algorithm after radioembolisation or SBRT is a recurring and consequential error in this pathway: it turns expected delayed necrosis into a false call of residual tumour. The treatment-response algorithms have no outcome validation, and the response framework is graded C to D.</w:t>
      </w:r>
    </w:p>
    <w:p>
      <w:pPr>
        <w:pStyle w:val="Heading3"/>
        <w:keepNext/>
        <w:spacing w:after="110" w:before="240"/>
      </w:pPr>
      <w:r>
        <w:rPr>
          <w:rFonts w:ascii="Cambria" w:cs="Cambria" w:eastAsia="Cambria" w:hAnsi="Cambria"/>
          <w:b/>
          <w:bCs/>
          <w:color w:val="17365D"/>
          <w:sz w:val="22"/>
          <w:szCs w:val="22"/>
        </w:rPr>
        <w:t xml:space="preserve">The response loop - when to look, with what, and what to ask</w:t>
      </w:r>
    </w:p>
    <w:p>
      <w:pPr>
        <w:spacing w:after="120" w:line="276"/>
      </w:pPr>
      <w:r>
        <w:rPr>
          <w:i/>
          <w:iCs/>
          <w:color w:val="5A6069"/>
          <w:sz w:val="18"/>
          <w:szCs w:val="18"/>
        </w:rPr>
        <w:t xml:space="preserve">The response-assessment framework is expert consensus, grade C to D, not randomised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TREATMENT</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FIRST ASSESSMENT, FRAMEWORK AND THE MANDATORY RETURN QUESTION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Ablation or TACE</w:t>
            </w:r>
          </w:p>
        </w:tc>
        <w:tc>
          <w:tcPr>
            <w:tcW w:type="dxa" w:w="5260"/>
            <w:tcMar>
              <w:top w:type="dxa" w:w="70"/>
              <w:left w:type="dxa" w:w="110"/>
              <w:bottom w:type="dxa" w:w="70"/>
              <w:right w:type="dxa" w:w="110"/>
            </w:tcMar>
            <w:vAlign w:val="top"/>
          </w:tcPr>
          <w:p>
            <w:pPr>
              <w:spacing w:after="0" w:line="276"/>
            </w:pPr>
            <w:r>
              <w:rPr>
                <w:color w:val="15181F"/>
                <w:sz w:val="17"/>
                <w:szCs w:val="17"/>
              </w:rPr>
              <w:t xml:space="preserve">About 4-6 weeks. LI-RADS treatment response, nonradiation algorithm v2024, with AFP and liver function. Complete response? Residual viable target? New untreated disease? Is retreatment safe?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Radioembolisation or SBRT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Usually 8-12 weeks, then serially. LI-RADS treatment response, radiation algorithm v2024; recognise the nonprogressing category and expect delayed necrosis. Is enhancement decreasing or stable, or truly progressing? Is liver function preserved?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Systemic therapy</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6-12 weeks by regimen and tempo. RECIST 1.1 for trials and extrahepatic disease; mRECIST may supplement assessment of intrahepatic viable tumour but should not drive a switch decision alone. Continue, manage toxicity, add local control, switch line, or move to symptom-focused care?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Transplant waitlist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least every 3 months. Viable tumour burden, AFP and its trajectory, vascular and extrahepatic status, exception status. Still within criteria? Bridge or downstage needed? Internal hold? Who owns the next step?</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After a complete response</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3-6 months for two years, then every six months, for at least five years. Multiphase liver CT or MRI, chest imaging as appropriate, AFP with its trend; care for the underlying liver disease continues alongside. New lesion, rising AFP, or change in liver function - back to MDT? Which option now applies?</w:t>
            </w:r>
          </w:p>
        </w:tc>
      </w:tr>
    </w:tbl>
    <w:p>
      <w:pPr>
        <w:spacing w:after="200" w:line="276"/>
      </w:pPr>
      <w:r>
        <w:rPr>
          <w:i/>
          <w:iCs/>
          <w:color w:val="5A6069"/>
          <w:sz w:val="16"/>
          <w:szCs w:val="16"/>
        </w:rPr>
        <w:t xml:space="preserve">Every reassessment returns to the MDT when there is viable tumour, a discordant interpretation, a new lesion, stage migration, treatment toxicity, a change in transplant eligibility, or uncertainty about the next modality. After each locoregional treatment, reassess liver function, clinical recovery, AFP trajectory, new disease, and whether a viable target remains - not simply whether another procedure is technically possible. Every repeat cycle must name, in the note: the viable target, the expected benefit, the liver-function cost, the owner and the reassessment date.</w:t>
      </w:r>
    </w:p>
    <w:p>
      <w:pPr>
        <w:pStyle w:val="Heading3"/>
        <w:keepNext/>
        <w:spacing w:after="110" w:before="240"/>
      </w:pPr>
      <w:r>
        <w:rPr>
          <w:rFonts w:ascii="Cambria" w:cs="Cambria" w:eastAsia="Cambria" w:hAnsi="Cambria"/>
          <w:b/>
          <w:bCs/>
          <w:color w:val="17365D"/>
          <w:sz w:val="22"/>
          <w:szCs w:val="22"/>
        </w:rPr>
        <w:t xml:space="preserve">Recommendation labels used on this page</w:t>
      </w:r>
    </w:p>
    <w:p>
      <w:pPr>
        <w:spacing w:after="120" w:line="276"/>
      </w:pPr>
      <w:r>
        <w:rPr>
          <w:i/>
          <w:iCs/>
          <w:color w:val="5A6069"/>
          <w:sz w:val="18"/>
          <w:szCs w:val="18"/>
        </w:rPr>
        <w:t xml:space="preserve">Five labels appear in the stage columns. Two of them are not in the legend above, because only this pathway uses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LABEL</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IT MEANS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Standard</w:t>
            </w:r>
          </w:p>
        </w:tc>
        <w:tc>
          <w:tcPr>
            <w:tcW w:type="dxa" w:w="5260"/>
            <w:tcMar>
              <w:top w:type="dxa" w:w="70"/>
              <w:left w:type="dxa" w:w="110"/>
              <w:bottom w:type="dxa" w:w="70"/>
              <w:right w:type="dxa" w:w="110"/>
            </w:tcMar>
            <w:vAlign w:val="top"/>
          </w:tcPr>
          <w:p>
            <w:pPr>
              <w:spacing w:after="0" w:line="276"/>
            </w:pPr>
            <w:r>
              <w:rPr>
                <w:color w:val="15181F"/>
                <w:sz w:val="17"/>
                <w:szCs w:val="17"/>
              </w:rPr>
              <w:t xml:space="preserve">Default when eligibility is met; departure needs a recorded reason.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Preferred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Favoured only for the stated phenotype, not a general default.</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Reasonable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Acceptable after documented MDT review; benefit is context dependent.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Trial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Protocol or mandatory outcomes registry; effectiveness evidence is immature.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Avoid</w:t>
            </w:r>
          </w:p>
        </w:tc>
        <w:tc>
          <w:tcPr>
            <w:tcW w:type="dxa" w:w="5260"/>
            <w:tcMar>
              <w:top w:type="dxa" w:w="70"/>
              <w:left w:type="dxa" w:w="110"/>
              <w:bottom w:type="dxa" w:w="70"/>
              <w:right w:type="dxa" w:w="110"/>
            </w:tcMar>
            <w:vAlign w:val="top"/>
          </w:tcPr>
          <w:p>
            <w:pPr>
              <w:spacing w:after="0" w:line="276"/>
            </w:pPr>
            <w:r>
              <w:rPr>
                <w:color w:val="15181F"/>
                <w:sz w:val="17"/>
                <w:szCs w:val="17"/>
              </w:rPr>
              <w:t xml:space="preserve">Expected harm, futility, or absent benefit generally outweighs benefit.</w:t>
            </w:r>
          </w:p>
        </w:tc>
      </w:tr>
    </w:tbl>
    <w:p>
      <w:pPr>
        <w:spacing w:after="200" w:line="276"/>
      </w:pPr>
      <w:r>
        <w:rPr>
          <w:i/>
          <w:iCs/>
          <w:color w:val="5A6069"/>
          <w:sz w:val="16"/>
          <w:szCs w:val="16"/>
        </w:rPr>
        <w:t xml:space="preserve">A strong label does not imply a high grade, and the two are set independently. Several operating requirements are deliberately Standard at grade D because they are local policy choices.</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Six-monthly ultrasound plus AFP surveillance saves lives.</w:t>
      </w:r>
    </w:p>
    <w:p>
      <w:pPr>
        <w:spacing w:after="40" w:line="276"/>
        <w:ind w:left="260"/>
      </w:pPr>
      <w:r>
        <w:rPr>
          <w:color w:val="15181F"/>
          <w:sz w:val="18"/>
          <w:szCs w:val="18"/>
        </w:rPr>
        <w:t xml:space="preserve">One randomised trial supports it. Zhang 2004 found 32 HCC deaths versus 54, a mortality rate ratio of 0.63 (95% CI 0.41 to 0.98), but it randomised factories and schools as clusters and then analysed individuals as independent, dropped 384 of the 9,757 people allocated to screening after randomisation, achieved only 58.2% compliance, and never reported all-cause mortality. Crude HCC incidence was 37% higher in the screened arm (rate ratio 1.37, 95% CI 0.99 to 1.89), which the authors read as over-diagnosis. The population was HBsAg carriers aged 35 to 59 in Shanghai, mostly without documented cirrhosis. All evidence in cirrhosis is observational. What should decide instead is whether any HCC treatment, including transplant, would be offered at all; competing mortality from the liver disease; the patient's own view of a 0.5-year lead time and of over-diagnosis. Audit: proportion of surveillance orders left open in patients for whom no treatment would be offered; visualisation score recorded separately from the ultrasound category.</w:t>
      </w:r>
    </w:p>
    <w:p>
      <w:pPr>
        <w:spacing w:after="40" w:line="276"/>
        <w:ind w:left="260"/>
      </w:pPr>
      <w:r>
        <w:rPr>
          <w:color w:val="5A6069"/>
          <w:sz w:val="16"/>
          <w:szCs w:val="16"/>
        </w:rPr>
        <w:t xml:space="preserve">Sources: Surveillance RCT; AASLD 2023</w:t>
      </w:r>
    </w:p>
    <w:p>
      <w:pPr>
        <w:spacing w:after="60" w:before="160"/>
      </w:pPr>
      <w:r>
        <w:rPr>
          <w:b/>
          <w:bCs/>
          <w:color w:val="8E5008"/>
          <w:sz w:val="19"/>
          <w:szCs w:val="19"/>
        </w:rPr>
        <w:t xml:space="preserve">2. </w:t>
      </w:r>
      <w:r>
        <w:rPr>
          <w:b/>
          <w:bCs/>
          <w:sz w:val="19"/>
          <w:szCs w:val="19"/>
        </w:rPr>
        <w:t xml:space="preserve">LI-RADS gives a diagnosis of HCC without tissue.</w:t>
      </w:r>
    </w:p>
    <w:p>
      <w:pPr>
        <w:spacing w:after="40" w:line="276"/>
        <w:ind w:left="260"/>
      </w:pPr>
      <w:r>
        <w:rPr>
          <w:color w:val="15181F"/>
          <w:sz w:val="18"/>
          <w:szCs w:val="18"/>
        </w:rPr>
        <w:t xml:space="preserve">LR-5 as a non-invasive diagnostic standard rests on guideline consensus, not on a randomised or prospectively validated comparison against pathology in this population. The LI-RADS treatment-response algorithms, including the separate radiation algorithm this roadmap insists on, have no outcome validation at all; the page already grades the response framework C to D. AASLD calls its own document a guidance, with no mandatory systematic review, no GRADE and several Strong Recommendations resting on Level 5 expert opinion. What should decide instead is whether a wrong call would change the plan now: transplant listing, an imminent resection, or a suspicion of non-HCC malignancy. Audit: cases where the nonradiation algorithm was applied after radioembolisation or SBRT; LR-4 and LR-M cases whose tissue was obtained before transplant discussion.</w:t>
      </w:r>
    </w:p>
    <w:p>
      <w:pPr>
        <w:spacing w:after="40" w:line="276"/>
        <w:ind w:left="260"/>
      </w:pPr>
      <w:r>
        <w:rPr>
          <w:color w:val="5A6069"/>
          <w:sz w:val="16"/>
          <w:szCs w:val="16"/>
        </w:rPr>
        <w:t xml:space="preserve">Sources: LI-RADS; AASLD 2023; AASLD critical update</w:t>
      </w:r>
    </w:p>
    <w:p>
      <w:pPr>
        <w:spacing w:after="60" w:before="160"/>
      </w:pPr>
      <w:r>
        <w:rPr>
          <w:b/>
          <w:bCs/>
          <w:color w:val="8E5008"/>
          <w:sz w:val="19"/>
          <w:szCs w:val="19"/>
        </w:rPr>
        <w:t xml:space="preserve">3. </w:t>
      </w:r>
      <w:r>
        <w:rPr>
          <w:b/>
          <w:bCs/>
          <w:sz w:val="19"/>
          <w:szCs w:val="19"/>
        </w:rPr>
        <w:t xml:space="preserve">Clinically significant portal hypertension predicts decompensation after resection, so resection should be reconsidered when it is present.</w:t>
      </w:r>
    </w:p>
    <w:p>
      <w:pPr>
        <w:spacing w:after="40" w:line="276"/>
        <w:ind w:left="260"/>
      </w:pPr>
      <w:r>
        <w:rPr>
          <w:color w:val="15181F"/>
          <w:sz w:val="18"/>
          <w:szCs w:val="18"/>
        </w:rPr>
        <w:t xml:space="preserve">The index study is 29 patients with 11 events and 44 candidate variables screened: HVPG odds ratio 1.90 per mmHg (95% CI 1.12 to 3.22), with unresolved decompensation in 11 of 15 patients at an HVPG of 10 mmHg or more and 0 of 14 below it, a separation too clean to reproduce. The meta-analysis that quantified it pooled crude, unadjusted estimates from 11 mostly retrospective single-centre studies: 3-year mortality odds ratio 2.09 (95% CI 1.52 to 2.88), 5-year 2.07 (1.51 to 2.84), early decompensation 3.04 (2.02 to 4.59). The effect size depends on how CSPH was measured, from 8.00 (2.59 to 24.69) in HVPG-based studies to 1.76 (1.38 to 2.25) with surrogate markers, and the HVPG decompensation subgroup is three small studies with a confidence interval of 2.81 to 80.06. What should decide instead is extent of hepatectomy, future liver remnant, MELD, and whether the patient is within Milan and could be transplanted instead. Audit: every resection proposal records which criterion established or excluded CSPH, its value and its date; decompensation at 90 days by remnant and by extent of resection.</w:t>
      </w:r>
    </w:p>
    <w:p>
      <w:pPr>
        <w:spacing w:after="40" w:line="276"/>
        <w:ind w:left="260"/>
      </w:pPr>
      <w:r>
        <w:rPr>
          <w:color w:val="5A6069"/>
          <w:sz w:val="16"/>
          <w:szCs w:val="16"/>
        </w:rPr>
        <w:t xml:space="preserve">Sources: Bruix 1996; Berzigotti meta-analysis; Citterio 2016</w:t>
      </w:r>
    </w:p>
    <w:p>
      <w:pPr>
        <w:spacing w:after="60" w:before="160"/>
      </w:pPr>
      <w:r>
        <w:rPr>
          <w:b/>
          <w:bCs/>
          <w:color w:val="8E5008"/>
          <w:sz w:val="19"/>
          <w:szCs w:val="19"/>
        </w:rPr>
        <w:t xml:space="preserve">4. </w:t>
      </w:r>
      <w:r>
        <w:rPr>
          <w:b/>
          <w:bCs/>
          <w:sz w:val="19"/>
          <w:szCs w:val="19"/>
        </w:rPr>
        <w:t xml:space="preserve">The only randomised test shows resection is safe in clinically significant portal hypertension.</w:t>
      </w:r>
    </w:p>
    <w:p>
      <w:pPr>
        <w:spacing w:after="40" w:line="276"/>
        <w:ind w:left="260"/>
      </w:pPr>
      <w:r>
        <w:rPr>
          <w:color w:val="15181F"/>
          <w:sz w:val="18"/>
          <w:szCs w:val="18"/>
        </w:rPr>
        <w:t xml:space="preserve">Yuan 2024 randomised 160 HBV-related patients within Milan, 80 per arm, and found 5-year overall survival of 69.5% after hepatectomy versus 64.9% after ablation with or without TACE (HR 1.29, 95% CI 0.78 to 2.12, P = 0.325) and recurrence-free survival of 46.2% versus 45.0% (P = 0.783). A confidence interval from 0.78 to 2.12 cannot exclude a two-fold difference either way, and the trial was powered for a superiority it did not find. CSPH was diagnosed by platelet count, splenomegaly, vessel calibre and varices; no HVPG was measured anywhere in the trial, so it is not anchored to the 10 mmHg threshold the BCLC rule rests on. Of 2,077 patients screened, 160 were randomised, 98.7% and 96.2% were Child-Pugh A and the mean tumour was 2.6 cm. What should decide instead is which reading of CSPH the board has adopted; whether the planned resection is minor or laparoscopic; aetiology, since this trial is entirely hepatitis B. Audit: decompensation and Clavien-Dindo grade III or higher complications in resected patients with a recorded CSPH criterion.</w:t>
      </w:r>
    </w:p>
    <w:p>
      <w:pPr>
        <w:spacing w:after="40" w:line="276"/>
        <w:ind w:left="260"/>
      </w:pPr>
      <w:r>
        <w:rPr>
          <w:color w:val="5A6069"/>
          <w:sz w:val="16"/>
          <w:szCs w:val="16"/>
        </w:rPr>
        <w:t xml:space="preserve">Sources: Yuan 2024 RCT</w:t>
      </w:r>
    </w:p>
    <w:p>
      <w:pPr>
        <w:spacing w:after="60" w:before="160"/>
      </w:pPr>
      <w:r>
        <w:rPr>
          <w:b/>
          <w:bCs/>
          <w:color w:val="8E5008"/>
          <w:sz w:val="19"/>
          <w:szCs w:val="19"/>
        </w:rPr>
        <w:t xml:space="preserve">5. </w:t>
      </w:r>
      <w:r>
        <w:rPr>
          <w:b/>
          <w:bCs/>
          <w:sz w:val="19"/>
          <w:szCs w:val="19"/>
        </w:rPr>
        <w:t xml:space="preserve">Non-invasive testing can rule clinically significant portal hypertension in or out in a surgical candidate with HCC.</w:t>
      </w:r>
    </w:p>
    <w:p>
      <w:pPr>
        <w:spacing w:after="40" w:line="276"/>
        <w:ind w:left="260"/>
      </w:pPr>
      <w:r>
        <w:rPr>
          <w:color w:val="15181F"/>
          <w:sz w:val="18"/>
          <w:szCs w:val="18"/>
        </w:rPr>
        <w:t xml:space="preserve">Baveno VIII's three HCC-specific statements are all new, graded level of evidence 3 with weak strength, at 94% faculty agreement; they are expert consensus, not prospectively validated practice. The rule-out combination of liver stiffness 15 kPa or less with platelets of 150 x 10 to the 9th per litre or more carries a negative predictive value above 90% in compensated advanced chronic liver disease, but the thresholds are device- and technique-specific, are not validated in obese MASLD, and the faculty's own research agenda still lists the prognostic role of HVPG before surgery as unresolved. In macrovascular invasion the faculty state non-invasive tests may not be applicable at all. What should decide instead is whether the resection decision actually turns on portal pressure, in which case measure HVPG; aetiology and BMI; whether a shunt reflects current or historical physiology. Audit: proportion of resection decisions made on a non-invasive criterion where HVPG was available and not measured.</w:t>
      </w:r>
    </w:p>
    <w:p>
      <w:pPr>
        <w:spacing w:after="40" w:line="276"/>
        <w:ind w:left="260"/>
      </w:pPr>
      <w:r>
        <w:rPr>
          <w:color w:val="5A6069"/>
          <w:sz w:val="16"/>
          <w:szCs w:val="16"/>
        </w:rPr>
        <w:t xml:space="preserve">Sources: Baveno VIII; Baveno VII</w:t>
      </w:r>
    </w:p>
    <w:p>
      <w:pPr>
        <w:spacing w:after="60" w:before="160"/>
      </w:pPr>
      <w:r>
        <w:rPr>
          <w:b/>
          <w:bCs/>
          <w:color w:val="8E5008"/>
          <w:sz w:val="19"/>
          <w:szCs w:val="19"/>
        </w:rPr>
        <w:t xml:space="preserve">6. </w:t>
      </w:r>
      <w:r>
        <w:rPr>
          <w:b/>
          <w:bCs/>
          <w:sz w:val="19"/>
          <w:szCs w:val="19"/>
        </w:rPr>
        <w:t xml:space="preserve">Resection and thermal ablation are equivalent for small HCC.</w:t>
      </w:r>
    </w:p>
    <w:p>
      <w:pPr>
        <w:spacing w:after="40" w:line="276"/>
        <w:ind w:left="260"/>
      </w:pPr>
      <w:r>
        <w:rPr>
          <w:color w:val="15181F"/>
          <w:sz w:val="18"/>
          <w:szCs w:val="18"/>
        </w:rPr>
        <w:t xml:space="preserve">No trial has shown equivalence. SURF-RCT closed at 302 of a planned 600 patients, leaving 67.2% power, and reported 5-year overall survival of 74.6% versus 70.4% (HR 0.96, 95% CI 0.64 to 1.43) and recurrence-free survival of 42.9% versus 42.7% (HR 0.90, 0.67 to 1.22). Local control was not equal: recurrence at the treated site was 12 of 150 (8.0%) after resection versus 24 of 152 (15.8%) after ablation (P = 0.03), and 19 of 382 (5.0%) versus 49 of 371 (13.2%) in the parallel cohort. The population was far narrower than the entry criteria: 90% solitary, about 65% no larger than 2.0 cm, median 1.8 cm, with tumours near vessels, bile ducts or adjacent organs excluded as unfeasible for ablation. Chen 2006 is quoted for the same claim but 19 of its 90 ablation patients (21%) withdrew and had resection instead, and a single RFA session achieved complete necrosis in only 62.0%. What should decide instead is tumour size and location, achievable circumferential margin, hepatic reserve and portal pressure, and whether salvage of a local recurrence will actually be available. Audit: local recurrence at the treated site by modality and by size band; proportion of 3 to 5 cm tumours treated with single-probe ablation and called curative-intent.</w:t>
      </w:r>
    </w:p>
    <w:p>
      <w:pPr>
        <w:spacing w:after="40" w:line="276"/>
        <w:ind w:left="260"/>
      </w:pPr>
      <w:r>
        <w:rPr>
          <w:color w:val="5A6069"/>
          <w:sz w:val="16"/>
          <w:szCs w:val="16"/>
        </w:rPr>
        <w:t xml:space="preserve">Sources: SURF trial; SURF final; Chen RCT; Ng RCT; Xia RCT</w:t>
      </w:r>
    </w:p>
    <w:p>
      <w:pPr>
        <w:spacing w:after="60" w:before="160"/>
      </w:pPr>
      <w:r>
        <w:rPr>
          <w:b/>
          <w:bCs/>
          <w:color w:val="8E5008"/>
          <w:sz w:val="19"/>
          <w:szCs w:val="19"/>
        </w:rPr>
        <w:t xml:space="preserve">7. </w:t>
      </w:r>
      <w:r>
        <w:rPr>
          <w:b/>
          <w:bCs/>
          <w:sz w:val="19"/>
          <w:szCs w:val="19"/>
        </w:rPr>
        <w:t xml:space="preserve">Microwave ablation is preferred over radiofrequency ablation.</w:t>
      </w:r>
    </w:p>
    <w:p>
      <w:pPr>
        <w:spacing w:after="40" w:line="276"/>
        <w:ind w:left="260"/>
      </w:pPr>
      <w:r>
        <w:rPr>
          <w:color w:val="15181F"/>
          <w:sz w:val="18"/>
          <w:szCs w:val="18"/>
        </w:rPr>
        <w:t xml:space="preserve">No randomised superiority. The one randomised comparison was a superiority trial that did not show superiority and did not test non-inferiority: 2-year local tumour progression in 6 of 98 lesions (6%) after microwave versus 12 of 104 (12%) after radiofrequency, risk ratio 1.62 (95% CI 0.66 to 3.94), P = 0.27, with 2-year overall survival of 86% versus 84%. Mean lesion size was 18 mm and only 11 lesions measured 3 to 4 cm, which is the size range where microwave is argued to help. The analysis was per protocol, one device was used throughout, and the manufacturer funded the trial. The BCLC 2026 preference for microwave up to 3 to 4 cm is a change of guideline position, not a trial result. What should decide instead is tumour size, proximity to large vessels, expected procedure time, operator familiarity. Audit: local tumour progression at 12 and 24 months by device.</w:t>
      </w:r>
    </w:p>
    <w:p>
      <w:pPr>
        <w:spacing w:after="40" w:line="276"/>
        <w:ind w:left="260"/>
      </w:pPr>
      <w:r>
        <w:rPr>
          <w:color w:val="5A6069"/>
          <w:sz w:val="16"/>
          <w:szCs w:val="16"/>
        </w:rPr>
        <w:t xml:space="preserve">Sources: MWA vs RFA; BCLC 2026</w:t>
      </w:r>
    </w:p>
    <w:p>
      <w:pPr>
        <w:spacing w:after="60" w:before="160"/>
      </w:pPr>
      <w:r>
        <w:rPr>
          <w:b/>
          <w:bCs/>
          <w:color w:val="8E5008"/>
          <w:sz w:val="19"/>
          <w:szCs w:val="19"/>
        </w:rPr>
        <w:t xml:space="preserve">8. </w:t>
      </w:r>
      <w:r>
        <w:rPr>
          <w:b/>
          <w:bCs/>
          <w:sz w:val="19"/>
          <w:szCs w:val="19"/>
        </w:rPr>
        <w:t xml:space="preserve">Thermal ablation achieves near-complete local control in very early HCC.</w:t>
      </w:r>
    </w:p>
    <w:p>
      <w:pPr>
        <w:spacing w:after="40" w:line="276"/>
        <w:ind w:left="260"/>
      </w:pPr>
      <w:r>
        <w:rPr>
          <w:color w:val="15181F"/>
          <w:sz w:val="18"/>
          <w:szCs w:val="18"/>
        </w:rPr>
        <w:t xml:space="preserve">The 97.2% sustained complete response (212 of 218) comes from a retrospective multicentre cohort with no control group, and it sits alongside 5-year disease-free survival of 20% (95% CI 7 to 36) and 80% recurrence at 5 years. Operability was assigned retrospectively from age and laboratory criteria rather than by surgical assessment, and the 5-year survival of 68% quoted against surgery is from the selected 100 of 218 patients called operable. Fourteen of 232 otherwise eligible patients (6.0%) could not be treated because the tumour sat in a high-risk area or was poorly visible on ultrasound, which are the tumours hardest to ablate. What should decide instead is background liver disease rather than the index lesion, since it governs the recurrence that follows; whether transplant is the better long-term answer. Audit: local control and overall recurrence reported separately; proportion of cases abandoned for poor visibility or unsafe route.</w:t>
      </w:r>
    </w:p>
    <w:p>
      <w:pPr>
        <w:spacing w:after="40" w:line="276"/>
        <w:ind w:left="260"/>
      </w:pPr>
      <w:r>
        <w:rPr>
          <w:color w:val="5A6069"/>
          <w:sz w:val="16"/>
          <w:szCs w:val="16"/>
        </w:rPr>
        <w:t xml:space="preserve">Sources: Livraghi</w:t>
      </w:r>
    </w:p>
    <w:p>
      <w:pPr>
        <w:spacing w:after="60" w:before="160"/>
      </w:pPr>
      <w:r>
        <w:rPr>
          <w:b/>
          <w:bCs/>
          <w:color w:val="8E5008"/>
          <w:sz w:val="19"/>
          <w:szCs w:val="19"/>
        </w:rPr>
        <w:t xml:space="preserve">9. </w:t>
      </w:r>
      <w:r>
        <w:rPr>
          <w:b/>
          <w:bCs/>
          <w:sz w:val="19"/>
          <w:szCs w:val="19"/>
        </w:rPr>
        <w:t xml:space="preserve">Milan criteria identify the patients who do well after transplant.</w:t>
      </w:r>
    </w:p>
    <w:p>
      <w:pPr>
        <w:spacing w:after="40" w:line="276"/>
        <w:ind w:left="260"/>
      </w:pPr>
      <w:r>
        <w:rPr>
          <w:color w:val="15181F"/>
          <w:sz w:val="18"/>
          <w:szCs w:val="18"/>
        </w:rPr>
        <w:t xml:space="preserve">The criteria were derived and validated in the same 48-patient cohort with only 4 recurrences, and the authors state the analyses of T stage, nodule number and AFP had very low power. Four-year overall survival was 75% and recurrence-free survival 83% overall, but the 85% versus 50% separation that defines the criteria was obtained by applying them to explant pathology, not to preoperative imaging: 13 of 48 patients (27%) were understaged before surgery despite angiography and CT arterial portography. Median follow-up was 26 months with only 5 patients still at risk at 48 months. There is no external validation, and the era had no MELD allocation, no AFP selection and a 143-day median wait. The lower bounds on the page, a lesion of 2 cm or more and lesions of 1 cm or more, are OPTN T2 allocation rules; Milan set upper limits only. What should decide instead is explant risk the imaging cannot see, AFP and its trajectory, the severity of the underlying liver disease, and current waiting-list behaviour at this centre. Audit: explant stage against last pre-transplant imaging stage, reported as an understaging rate; recurrence by whether explant was within or beyond Milan.</w:t>
      </w:r>
    </w:p>
    <w:p>
      <w:pPr>
        <w:spacing w:after="40" w:line="276"/>
        <w:ind w:left="260"/>
      </w:pPr>
      <w:r>
        <w:rPr>
          <w:color w:val="5A6069"/>
          <w:sz w:val="16"/>
          <w:szCs w:val="16"/>
        </w:rPr>
        <w:t xml:space="preserve">Sources: Milan criteria</w:t>
      </w:r>
    </w:p>
    <w:p>
      <w:pPr>
        <w:spacing w:after="60" w:before="160"/>
      </w:pPr>
      <w:r>
        <w:rPr>
          <w:b/>
          <w:bCs/>
          <w:color w:val="8E5008"/>
          <w:sz w:val="19"/>
          <w:szCs w:val="19"/>
        </w:rPr>
        <w:t xml:space="preserve">10. </w:t>
      </w:r>
      <w:r>
        <w:rPr>
          <w:b/>
          <w:bCs/>
          <w:sz w:val="19"/>
          <w:szCs w:val="19"/>
        </w:rPr>
        <w:t xml:space="preserve">Downstaging into Milan criteria selects favourable biology.</w:t>
      </w:r>
    </w:p>
    <w:p>
      <w:pPr>
        <w:spacing w:after="40" w:line="276"/>
        <w:ind w:left="260"/>
      </w:pPr>
      <w:r>
        <w:rPr>
          <w:color w:val="15181F"/>
          <w:sz w:val="18"/>
          <w:szCs w:val="18"/>
        </w:rPr>
        <w:t xml:space="preserve">It selects imaging response, which is not the same thing. In MERITS-LT, 174 of 209 patients (83.3%) were downstaged to within Milan, but cumulative dropout was 22.5% at 1 year and 37.3% at 2 years, and on explant 42.8% were beyond Milan and 17.5% had microvascular invasion, twice the rate of earlier reports. Only 63 patients (30.1%) were transplanted, with post-transplant follow-up of a median 1.7 years and recurrence in 5 of 63 (7.9%); intention-to-treat survival was 92.5% at 1 year and 73.0% at 3 years. The authors conclude Milan criteria should be a minimum requirement, not a sufficient one. The cohort also predates the current median-MELD-minus-3 rule, so its dropout and transplant probabilities do not describe present waiting-list behaviour. What should decide instead is total tumour burden and its trend, AFP and AFP-L3, time held within criteria, and the competing claim of non-cancer candidates on the same graft. Audit: dropout and understaging rates in our own downstaged patients; number of locoregional procedures per patient before listing.</w:t>
      </w:r>
    </w:p>
    <w:p>
      <w:pPr>
        <w:spacing w:after="40" w:line="276"/>
        <w:ind w:left="260"/>
      </w:pPr>
      <w:r>
        <w:rPr>
          <w:color w:val="5A6069"/>
          <w:sz w:val="16"/>
          <w:szCs w:val="16"/>
        </w:rPr>
        <w:t xml:space="preserve">Sources: MERITS-LT</w:t>
      </w:r>
    </w:p>
    <w:p>
      <w:pPr>
        <w:spacing w:after="60" w:before="160"/>
      </w:pPr>
      <w:r>
        <w:rPr>
          <w:b/>
          <w:bCs/>
          <w:color w:val="8E5008"/>
          <w:sz w:val="19"/>
          <w:szCs w:val="19"/>
        </w:rPr>
        <w:t xml:space="preserve">11. </w:t>
      </w:r>
      <w:r>
        <w:rPr>
          <w:b/>
          <w:bCs/>
          <w:sz w:val="19"/>
          <w:szCs w:val="19"/>
        </w:rPr>
        <w:t xml:space="preserve">The XXL trial shows transplant beats continued locoregional therapy after downstaging.</w:t>
      </w:r>
    </w:p>
    <w:p>
      <w:pPr>
        <w:spacing w:after="40" w:line="276"/>
        <w:ind w:left="260"/>
      </w:pPr>
      <w:r>
        <w:rPr>
          <w:color w:val="15181F"/>
          <w:sz w:val="18"/>
          <w:szCs w:val="18"/>
        </w:rPr>
        <w:t xml:space="preserve">XXL closed at 45 of a planned 260 patients after Italian allocation policy changed, so the 5-year survival of 77.5% versus 31.2% (HR 0.22, 95% CI 0.08 to 0.61) rests on 21 deaths against a prespecified 87, with a conditional power calculation substituted for the missing events. The control arm was unstandardised best available therapy chosen per centre between 2011 and 2015, when sorafenib was the only systemic option, so a 31.2% comparator may understate what current systemic therapy achieves. Downstaging itself was centre-specific, TACE alone in 49%, so the 73% success rate is not a reproducible protocol, and tumour burden had rebounded from a median of 0 at randomisation to 4.8 on explant. What should decide instead is what the realistic alternative to transplant is for this patient today, not in 2015; graft availability; the response achieved and how long it has held. Audit: outcomes of patients downstaged and listed versus downstaged and not listed, tracked prospectively.</w:t>
      </w:r>
    </w:p>
    <w:p>
      <w:pPr>
        <w:spacing w:after="40" w:line="276"/>
        <w:ind w:left="260"/>
      </w:pPr>
      <w:r>
        <w:rPr>
          <w:color w:val="5A6069"/>
          <w:sz w:val="16"/>
          <w:szCs w:val="16"/>
        </w:rPr>
        <w:t xml:space="preserve">Sources: XXL trial</w:t>
      </w:r>
    </w:p>
    <w:p>
      <w:pPr>
        <w:spacing w:after="60" w:before="160"/>
      </w:pPr>
      <w:r>
        <w:rPr>
          <w:b/>
          <w:bCs/>
          <w:color w:val="8E5008"/>
          <w:sz w:val="19"/>
          <w:szCs w:val="19"/>
        </w:rPr>
        <w:t xml:space="preserve">12. </w:t>
      </w:r>
      <w:r>
        <w:rPr>
          <w:b/>
          <w:bCs/>
          <w:sz w:val="19"/>
          <w:szCs w:val="19"/>
        </w:rPr>
        <w:t xml:space="preserve">The AFP rule is a single clear threshold.</w:t>
      </w:r>
    </w:p>
    <w:p>
      <w:pPr>
        <w:spacing w:after="40" w:line="276"/>
        <w:ind w:left="260"/>
      </w:pPr>
      <w:r>
        <w:rPr>
          <w:color w:val="15181F"/>
          <w:sz w:val="18"/>
          <w:szCs w:val="18"/>
        </w:rPr>
        <w:t xml:space="preserve">Two guidelines give different rules and neither threshold was derived from a trial. EASL 2025 makes an AFP above 1,000 ng/mL an absolute contraindication whatever the tumour burden and requires 1,000 or less for 3 months before listing; AASLD 2023 and OPTN policy allow listing once an AFP of 1,000 or more falls below 500 ng/mL. In the Milan cohort an AFP above or below 300 ng/mL was not significantly related to survival or recurrence, on 4 recurrences. In MERITS-LT the only independent predictor of dropout was a pre-treatment AFP-L3 of 10% or more, sub-hazard ratio 3.7 (95% CI 1.27 to 10.79), and it was measured in only 83 of 209 patients. BCLC 2026 still names no AFP decline that qualifies a downstaged patient. What should decide instead is which policy actually binds this listing, the trajectory rather than a single value, and what treatment lay between the values. Audit: every AFP recorded with its date and the intervening treatment; review-board referrals triggered by a rise to 500 ng/mL or above.</w:t>
      </w:r>
    </w:p>
    <w:p>
      <w:pPr>
        <w:spacing w:after="40" w:line="276"/>
        <w:ind w:left="260"/>
      </w:pPr>
      <w:r>
        <w:rPr>
          <w:color w:val="5A6069"/>
          <w:sz w:val="16"/>
          <w:szCs w:val="16"/>
        </w:rPr>
        <w:t xml:space="preserve">Sources: EASL 2025; AASLD 2023; OPTN Policy 9; Milan criteria; MERITS-LT; BCLC 2026</w:t>
      </w:r>
    </w:p>
    <w:p>
      <w:pPr>
        <w:spacing w:after="60" w:before="160"/>
      </w:pPr>
      <w:r>
        <w:rPr>
          <w:b/>
          <w:bCs/>
          <w:color w:val="8E5008"/>
          <w:sz w:val="19"/>
          <w:szCs w:val="19"/>
        </w:rPr>
        <w:t xml:space="preserve">13. </w:t>
      </w:r>
      <w:r>
        <w:rPr>
          <w:b/>
          <w:bCs/>
          <w:sz w:val="19"/>
          <w:szCs w:val="19"/>
        </w:rPr>
        <w:t xml:space="preserve">Exception points follow successful downstaging.</w:t>
      </w:r>
    </w:p>
    <w:p>
      <w:pPr>
        <w:spacing w:after="40" w:line="276"/>
        <w:ind w:left="260"/>
      </w:pPr>
      <w:r>
        <w:rPr>
          <w:color w:val="15181F"/>
          <w:sz w:val="18"/>
          <w:szCs w:val="18"/>
        </w:rPr>
        <w:t xml:space="preserve">They follow a policy clock. The initial request and the first extension receive calculated MELD; only an extension after the first receives MMaT-3, and since each exception runs 90 days two periods elapse first, roughly six months. Policy states the score table, not a six-month rule, the rule changes without notice to this document, and no outcome evidence shows that the waiting construct selects better transplant candidates. MMaT is the median MELD at transplant for the donor hospital in that match run, not one national number. What should decide instead is the current Policy 9 text on the day of the decision, the acquisition circle, and local policy where it is stricter. Audit: a named owner and a calendar date for re-verifying Policy 9 criteria against this document; listing dates against first exception request dates.</w:t>
      </w:r>
    </w:p>
    <w:p>
      <w:pPr>
        <w:spacing w:after="40" w:line="276"/>
        <w:ind w:left="260"/>
      </w:pPr>
      <w:r>
        <w:rPr>
          <w:color w:val="5A6069"/>
          <w:sz w:val="16"/>
          <w:szCs w:val="16"/>
        </w:rPr>
        <w:t xml:space="preserve">Sources: OPTN Policy 9</w:t>
      </w:r>
    </w:p>
    <w:p>
      <w:pPr>
        <w:spacing w:after="60" w:before="160"/>
      </w:pPr>
      <w:r>
        <w:rPr>
          <w:b/>
          <w:bCs/>
          <w:color w:val="8E5008"/>
          <w:sz w:val="19"/>
          <w:szCs w:val="19"/>
        </w:rPr>
        <w:t xml:space="preserve">14. </w:t>
      </w:r>
      <w:r>
        <w:rPr>
          <w:b/>
          <w:bCs/>
          <w:sz w:val="19"/>
          <w:szCs w:val="19"/>
        </w:rPr>
        <w:t xml:space="preserve">Checkpoint inhibitors before transplant are manageable with a washout.</w:t>
      </w:r>
    </w:p>
    <w:p>
      <w:pPr>
        <w:spacing w:after="40" w:line="276"/>
        <w:ind w:left="260"/>
      </w:pPr>
      <w:r>
        <w:t xml:space="preserve">No pre-transplant washout interval is prospectively validated as universally safe. The 52-patient pooled analysis cited previously studied checkpoint treatment AFTER transplantation, not washout BEFORE transplantation; its rejection rates cannot define a pre-LT interval. Pre-LT cohorts, including Moeckli and VITALITY, provide separate observational evidence and remain subject to selection bias. What should decide is the transplant-specific review of response, reserve, last dose, possible graft timing and alternatives. Audit every pre-LT exposure, the agreed interval, transplant date and rejection outcome. Use the transplant protocol’s OPEN decision, not a guarantee of safety.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Ni0xMV08L0Rpc3BsYXlUZXh0PjxyZWNvcmQ+PHJlYy1udW1iZXI+MTE8L3JlYy1udW1iZXI+PGZvcmVpZ24ta2V5cz48a2V5IGFwcD0iRU4iIGRiLWlkPSIyYjI4NzQ5NS1hMmM3LTU0YzItODM3OC02MjhkMGY1MjliOWIiIHRpbWVzdGFtcD0iMTc5MzI4MzY4OS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spacing w:after="40" w:line="276"/>
        <w:ind w:left="260"/>
      </w:pPr>
      <w:r>
        <w:t xml:space="preserve">Sources: pre-LT Moeckli cohort and VITALITY; the separately retained post-LT review addresses a different clinical setting.</w:t>
      </w:r>
    </w:p>
    <w:p>
      <w:pPr>
        <w:spacing w:after="60" w:before="160"/>
      </w:pPr>
      <w:r>
        <w:rPr>
          <w:b/>
          <w:bCs/>
          <w:color w:val="8E5008"/>
          <w:sz w:val="19"/>
          <w:szCs w:val="19"/>
        </w:rPr>
        <w:t xml:space="preserve">15. </w:t>
      </w:r>
      <w:r>
        <w:rPr>
          <w:b/>
          <w:bCs/>
          <w:sz w:val="19"/>
          <w:szCs w:val="19"/>
        </w:rPr>
        <w:t xml:space="preserve">TACE is the standard of care for intermediate-stage HCC, grade A.</w:t>
      </w:r>
    </w:p>
    <w:p>
      <w:pPr>
        <w:spacing w:after="40" w:line="276"/>
        <w:ind w:left="260"/>
      </w:pPr>
      <w:r>
        <w:rPr>
          <w:color w:val="15181F"/>
          <w:sz w:val="18"/>
          <w:szCs w:val="18"/>
        </w:rPr>
        <w:t xml:space="preserve">The randomised base is two small trials. Llovet 2002 randomised 112 of 903 screened patients (12%) and was stopped at the ninth sequential inspection after 71 deaths against a planned 85 per comparison, giving a hazard ratio of 0.47 (95% CI 0.25 to 0.91) for chemoembolisation versus no anticancer treatment, with the single baseline imbalance, a lower bilirubin in the chemoembolisation arm, adjusted for after it was seen. Its bland embolisation arm achieved a similar response rate without a significant survival benefit (adjusted HR 0.57, 95% CI 0.31 to 1.04). Lo 2002 analysed 79 patients at one Hong Kong centre, relative risk of death 0.50 (0.31 to 0.81), with no benefit demonstrable in tumours over 5 cm or in unilobar portal vein obstruction. The Cochrane review that pooled the randomised embolisation trials found no survival benefit once trials with early stopping and co-interventions were excluded (HR 1.22, 95% CI 0.82 to 1.83) and none in trials at low risk of selection bias (HR 0.88, 0.71 to 1.10). The comparator in both trials was no anticancer treatment, which no longer exists. What should decide instead is selectivity achievable, portal flow, ALBI and liver-function trajectory, and whether a declared control or downstaging goal exists at all. Audit: decompensation at 30 and 90 days after TACE; number of sessions per patient and liver-function change across them.</w:t>
      </w:r>
    </w:p>
    <w:p>
      <w:pPr>
        <w:spacing w:after="40" w:line="276"/>
        <w:ind w:left="260"/>
      </w:pPr>
      <w:r>
        <w:rPr>
          <w:color w:val="5A6069"/>
          <w:sz w:val="16"/>
          <w:szCs w:val="16"/>
        </w:rPr>
        <w:t xml:space="preserve">Sources: EASL 2025</w:t>
      </w:r>
    </w:p>
    <w:p>
      <w:pPr>
        <w:spacing w:after="60" w:before="160"/>
      </w:pPr>
      <w:r>
        <w:rPr>
          <w:b/>
          <w:bCs/>
          <w:color w:val="8E5008"/>
          <w:sz w:val="19"/>
          <w:szCs w:val="19"/>
        </w:rPr>
        <w:t xml:space="preserve">16. </w:t>
      </w:r>
      <w:r>
        <w:rPr>
          <w:b/>
          <w:bCs/>
          <w:sz w:val="19"/>
          <w:szCs w:val="19"/>
        </w:rPr>
        <w:t xml:space="preserve">Drug-eluting-bead and conventional TACE are equivalent.</w:t>
      </w:r>
    </w:p>
    <w:p>
      <w:pPr>
        <w:spacing w:after="40" w:line="276"/>
        <w:ind w:left="260"/>
      </w:pPr>
      <w:r>
        <w:rPr>
          <w:color w:val="15181F"/>
          <w:sz w:val="18"/>
          <w:szCs w:val="18"/>
        </w:rPr>
        <w:t xml:space="preserve">Equivalence was never shown; superiority failed twice. PRECISION V was a phase 2 trial that missed its primary endpoint, 6-month objective response of 51.6% versus 43.5%, a difference of 8.1% (two-sided 95% repeated confidence interval minus 4.8 to 22.6), one-sided P = 0.11, with no time-to-progression or survival data at all and a fixed 150 mg doxorubicin dose against a body-surface-area-adjusted comparator. PRECISION ITALIA stopped for futility at 177 of a planned 214 patients: 2-year survival 56.8% versus 55.4% (P = 0.949) and median time to progression 9 months in both arms. The one reproducible difference is pain, in 22 of 89 (24.7%) after beads versus 63 of 88 (71.6%) after conventional TACE, with grade 3 pain in 0 versus 16 (18.2%). What should decide instead is selectivity achieved, operator familiarity, cost, and the pain burden the patient will carry. Audit: objective response and decompensation by bead versus lipiodol technique, and post-procedural analgesia requirement.</w:t>
      </w:r>
    </w:p>
    <w:p>
      <w:pPr>
        <w:spacing w:after="40" w:line="276"/>
        <w:ind w:left="260"/>
      </w:pPr>
      <w:r>
        <w:rPr>
          <w:color w:val="5A6069"/>
          <w:sz w:val="16"/>
          <w:szCs w:val="16"/>
        </w:rPr>
        <w:t xml:space="preserve">Sources: PRECISION V; DEB vs cTACE</w:t>
      </w:r>
    </w:p>
    <w:p>
      <w:pPr>
        <w:spacing w:after="60" w:before="160"/>
      </w:pPr>
      <w:r>
        <w:rPr>
          <w:b/>
          <w:bCs/>
          <w:color w:val="8E5008"/>
          <w:sz w:val="19"/>
          <w:szCs w:val="19"/>
        </w:rPr>
        <w:t xml:space="preserve">17. </w:t>
      </w:r>
      <w:r>
        <w:rPr>
          <w:b/>
          <w:bCs/>
          <w:sz w:val="19"/>
          <w:szCs w:val="19"/>
        </w:rPr>
        <w:t xml:space="preserve">Radioembolisation is an alternative to TACE in BCLC B.</w:t>
      </w:r>
    </w:p>
    <w:p>
      <w:pPr>
        <w:spacing w:after="40" w:line="276"/>
        <w:ind w:left="260"/>
      </w:pPr>
      <w:r>
        <w:rPr>
          <w:color w:val="15181F"/>
          <w:sz w:val="18"/>
          <w:szCs w:val="18"/>
        </w:rPr>
        <w:t xml:space="preserve">PREMIERE improved time to progression without a demonstrated survival difference, but 35 of its 45 patients were BCLC A. It stopped for slow accrual at 45 of a planned 124 patients with no prespecified interim analysis, so the hazard ratio of 0.122 rests on 12 progression events with a confidence interval of 0.027 to 0.557, and median overall survival was 17.7 versus 18.6 months (P = 0.99). Half the radioembolisation arm was Child-Pugh B at first treatment versus 24% in the TACE arm. TRACE, a single-centre phase II trial, improved time to progression and overall survival against DEB-TACE (median 30.2 versus 15.6 months, HR 0.48, 95% CI 0.28 to 0.82, whole intention-to-treat population, 85% BCLC B) but was stopped early at interim analysis with 72 of the 136 patients needed, and the TACE arm carried 5 grade 5 events including three definitely treatment-related septic deaths against one after radioembolisation, so the control arm may have been harmed rather than the treatment arm helped. This supports selected disease-control use, not proof of cure or superiority to resection or ablation. What should decide instead is unilobar versus bilobar distribution, shunt fraction, remnant volume, whether hypertrophy is a goal. Audit: time to progression, decompensation at 90 days, downstaging rate.</w:t>
      </w:r>
    </w:p>
    <w:p>
      <w:pPr>
        <w:spacing w:after="40" w:line="276"/>
        <w:ind w:left="260"/>
      </w:pPr>
      <w:r>
        <w:rPr>
          <w:color w:val="5A6069"/>
          <w:sz w:val="16"/>
          <w:szCs w:val="16"/>
        </w:rPr>
        <w:t xml:space="preserve">Sources: PREMIERE; TRACE</w:t>
      </w:r>
    </w:p>
    <w:p>
      <w:pPr>
        <w:spacing w:after="60" w:before="160"/>
      </w:pPr>
      <w:r>
        <w:rPr>
          <w:b/>
          <w:bCs/>
          <w:color w:val="8E5008"/>
          <w:sz w:val="19"/>
          <w:szCs w:val="19"/>
        </w:rPr>
        <w:t xml:space="preserve">18. </w:t>
      </w:r>
      <w:r>
        <w:rPr>
          <w:b/>
          <w:bCs/>
          <w:sz w:val="19"/>
          <w:szCs w:val="19"/>
        </w:rPr>
        <w:t xml:space="preserve">Radiation segmentectomy is a curative-intent option for ablation-unsuitable solitary tumours.</w:t>
      </w:r>
    </w:p>
    <w:p>
      <w:pPr>
        <w:spacing w:after="40" w:line="276"/>
        <w:ind w:left="260"/>
      </w:pPr>
      <w:r>
        <w:rPr>
          <w:color w:val="15181F"/>
          <w:sz w:val="18"/>
          <w:szCs w:val="18"/>
        </w:rPr>
        <w:t xml:space="preserve">Single-arm data only, and the endpoints are imaging. RASER treated 29 patients with a solitary tumour of 3 cm or less: target-lesion complete response in 24 of 29 (83%), a sustained complete response after one treatment in 26 of 29 (90%), target-lesion progression in 3 of 29 (10%) and overall progression in 9 of 29 (31%) at a median follow-up of 691 days, read by one unblinded in-house radiologist with no comparator and 5 of 29 (17%) lost to follow-up. All 8 explants showed 100% necrosis of the target lesion, but 3 of those 8 livers held additional untreated HCC, one with vascular invasion. LEGACY is retrospective, 162 patients, median tumour 2.7 cm with 62% under 3 cm: best response of 88.3% (95% CI 82.4 to 92.4) by localised mRECIST falls to a confirmed 46.3% (38.8 to 54.0) by RECIST 1.1, and 45 patients (28%) went on to transplant or resection, so its 86.6% 3-year survival cannot be attributed to the radiation. Both studies were funded by the microsphere manufacturer. What should decide instead is segmental anatomy, tumour size, remnant volume, dosimetry feasibility, transplant timing. Audit: complete response, local progression, and transplant explant pathology.</w:t>
      </w:r>
    </w:p>
    <w:p>
      <w:pPr>
        <w:spacing w:after="40" w:line="276"/>
        <w:ind w:left="260"/>
      </w:pPr>
      <w:r>
        <w:rPr>
          <w:color w:val="5A6069"/>
          <w:sz w:val="16"/>
          <w:szCs w:val="16"/>
        </w:rPr>
        <w:t xml:space="preserve">Sources: RASER; LEGACY</w:t>
      </w:r>
    </w:p>
    <w:p>
      <w:pPr>
        <w:spacing w:after="60" w:before="160"/>
      </w:pPr>
      <w:r>
        <w:rPr>
          <w:b/>
          <w:bCs/>
          <w:color w:val="8E5008"/>
          <w:sz w:val="19"/>
          <w:szCs w:val="19"/>
        </w:rPr>
        <w:t xml:space="preserve">19. </w:t>
      </w:r>
      <w:r>
        <w:rPr>
          <w:b/>
          <w:bCs/>
          <w:sz w:val="19"/>
          <w:szCs w:val="19"/>
        </w:rPr>
        <w:t xml:space="preserve">Lobar radioembolisation grows the contralateral lobe enough to make an unresectable patient resectable.</w:t>
      </w:r>
    </w:p>
    <w:p>
      <w:pPr>
        <w:spacing w:after="40" w:line="276"/>
        <w:ind w:left="260"/>
      </w:pPr>
      <w:r>
        <w:rPr>
          <w:color w:val="15181F"/>
          <w:sz w:val="18"/>
          <w:szCs w:val="18"/>
        </w:rPr>
        <w:t xml:space="preserve">Radiation lobectomy rests on one retrospective single-centre volumetric cohort of 83 patients, only 67 with HCC, selected post hoc from about 700 lobar treatments with no portal vein embolisation comparator. A future liver remnant above 40% was reached in 25 of 83 (30%), median maximal hypertrophy was 26% (range minus 14 to 86), and the 45% figure required more than 9 months of waiting, during which median Child-Pugh deteriorated from 6 to 7 and new left-lobe tumours appeared in 13 of 67 HCC patients (19%) at a median of 224 days. Only 11 of 83 patients (13%) reached surgery, 5 resections and 6 transplants. The remnant is a volume ratio with irradiated parenchyma in the denominator and no functional test was done, so the gain may overstate the safe remnant. What should decide instead is how long the patient can wait, whether portal vein embolisation would be faster, functional rather than volumetric remnant assessment, and the risk of new contralateral disease during the interval. Audit: remnant volume and function before and after, interval to operation, and the proportion who actually reach resection.</w:t>
      </w:r>
    </w:p>
    <w:p>
      <w:pPr>
        <w:spacing w:after="60" w:before="160"/>
      </w:pPr>
      <w:r>
        <w:rPr>
          <w:b/>
          <w:bCs/>
          <w:color w:val="8E5008"/>
          <w:sz w:val="19"/>
          <w:szCs w:val="19"/>
        </w:rPr>
        <w:t xml:space="preserve">20. </w:t>
      </w:r>
      <w:r>
        <w:rPr>
          <w:b/>
          <w:bCs/>
          <w:sz w:val="19"/>
          <w:szCs w:val="19"/>
        </w:rPr>
        <w:t xml:space="preserve">Personalised dosimetry is now the standard for radioembolisation.</w:t>
      </w:r>
    </w:p>
    <w:p>
      <w:pPr>
        <w:spacing w:after="40" w:line="276"/>
        <w:ind w:left="260"/>
      </w:pPr>
      <w:r>
        <w:rPr>
          <w:color w:val="15181F"/>
          <w:sz w:val="18"/>
          <w:szCs w:val="18"/>
        </w:rPr>
        <w:t xml:space="preserve">DOSISPHERE-01 is a phase 2 trial of 60 randomised and 56 treated patients, stopped at a planned interim analysis for efficacy on an unmasked investigator-read endpoint, the EASL response of a single index lesion at 3 months: 20 of 28 (71%) versus 10 of 28 (36%), P = 0.0074. Overall survival of 26.6 versus 10.7 months (HR 0.421, 95% CI 0.215 to 0.826) is a secondary endpoint resting on 14 deaths in the personalised arm, and progression-free survival, the harder endpoint, did not differ (HR 0.71, 0.39 to 1.30, P = 0.26). Ten of 28 patients in the personalised arm went on to curative resection versus one, so part of the survival difference is surgery. Entry required an index lesion of 7 cm or more and 30% hepatic reserve, and the authors state generalisability to lesions under 7 cm and to resin microspheres is untested. The sponsor makes the device. What should decide instead is index lesion size, hepatic reserve, whether an ablative tumour dose is achievable, and whether conversion to surgery is the actual goal. Audit: prescribed and achieved tumour absorbed dose recorded for every treatment; response by dose band.</w:t>
      </w:r>
    </w:p>
    <w:p>
      <w:pPr>
        <w:spacing w:after="40" w:line="276"/>
        <w:ind w:left="260"/>
      </w:pPr>
      <w:r>
        <w:rPr>
          <w:color w:val="5A6069"/>
          <w:sz w:val="16"/>
          <w:szCs w:val="16"/>
        </w:rPr>
        <w:t xml:space="preserve">Sources: DOSISPHERE-01</w:t>
      </w:r>
    </w:p>
    <w:p>
      <w:pPr>
        <w:spacing w:after="60" w:before="160"/>
      </w:pPr>
      <w:r>
        <w:rPr>
          <w:b/>
          <w:bCs/>
          <w:color w:val="8E5008"/>
          <w:sz w:val="19"/>
          <w:szCs w:val="19"/>
        </w:rPr>
        <w:t xml:space="preserve">21. </w:t>
      </w:r>
      <w:r>
        <w:rPr>
          <w:b/>
          <w:bCs/>
          <w:sz w:val="19"/>
          <w:szCs w:val="19"/>
        </w:rPr>
        <w:t xml:space="preserve">Radioembolisation is not a substitute for systemic therapy in advanced HCC.</w:t>
      </w:r>
    </w:p>
    <w:p>
      <w:pPr>
        <w:spacing w:after="40" w:line="276"/>
        <w:ind w:left="260"/>
      </w:pPr>
      <w:r>
        <w:rPr>
          <w:color w:val="15181F"/>
          <w:sz w:val="18"/>
          <w:szCs w:val="18"/>
        </w:rPr>
        <w:t xml:space="preserve">The position is right but the evidence behind it is weaker than it looks. SARAH gave an intention-to-treat overall survival of 8.0 versus 9.9 months (HR 1.15, 95% CI 0.94 to 1.41, P = 0.18) while 53 of 237 patients (22%) assigned radioembolisation never received it; per protocol the medians were identical at 9.9 months (HR 0.99, 0.79 to 1.24). SIRveNIB gave 8.8 versus 10.0 months (HR 1.12, 0.9 to 1.4, P = 0.36) with only 130 of 182 (71.4%) treated, and patients from 5 of its 11 countries flew to Singapore for treatment. SORAMIC was negative in intention to treat (HR 1.01, 0.81 to 1.25) with 47.2% of patients missing the allocated treatment or having major protocol deviations. All three used body-surface-area or manufacturer-recommended activity rather than personalised dosimetry, and SARAH's own dose-response analysis found median survival of 14.1 months when the tumour absorbed dose reached 100 Gy or more versus 6.1 months below it. The comparator in all three was sorafenib, which is no longer first line. What should decide instead is whether the disease is truly liver-dominant, the delay to the systemic start, dosimetry capability, and liver-function cost. Audit: time from decision to systemic-therapy start; patients who received a liver-directed procedure instead of a first-line systemic combination.</w:t>
      </w:r>
    </w:p>
    <w:p>
      <w:pPr>
        <w:spacing w:after="40" w:line="276"/>
        <w:ind w:left="260"/>
      </w:pPr>
      <w:r>
        <w:rPr>
          <w:color w:val="5A6069"/>
          <w:sz w:val="16"/>
          <w:szCs w:val="16"/>
        </w:rPr>
        <w:t xml:space="preserve">Sources: SARAH; SIRveNIB</w:t>
      </w:r>
    </w:p>
    <w:p>
      <w:pPr>
        <w:spacing w:after="60" w:before="160"/>
      </w:pPr>
      <w:r>
        <w:rPr>
          <w:b/>
          <w:bCs/>
          <w:color w:val="8E5008"/>
          <w:sz w:val="19"/>
          <w:szCs w:val="19"/>
        </w:rPr>
        <w:t xml:space="preserve">22. </w:t>
      </w:r>
      <w:r>
        <w:rPr>
          <w:b/>
          <w:bCs/>
          <w:sz w:val="19"/>
          <w:szCs w:val="19"/>
        </w:rPr>
        <w:t xml:space="preserve">SBRT controls HCC better than thermal ablation.</w:t>
      </w:r>
    </w:p>
    <w:p>
      <w:pPr>
        <w:spacing w:after="40" w:line="276"/>
        <w:ind w:left="260"/>
      </w:pPr>
      <w:r>
        <w:rPr>
          <w:color w:val="15181F"/>
          <w:sz w:val="18"/>
          <w:szCs w:val="18"/>
        </w:rPr>
        <w:t xml:space="preserve">The only randomised comparison enrolled 166 patients with a solitary recurrent HCC of 5 cm or less after curative treatment, and its primary endpoint was a composite local progression-free survival that counts death from any cause: HR 0.45 (95% CI 0.24 to 0.87), P = 0.014, 3-year rate 84.3% versus 67.3%. The arms reached that endpoint differently, 8 of 14 SBRT events being deaths without local progression against 7 of 27 for RFA, so the result turns on 14 local progression events. Progression-free survival (HR 0.76, 0.50 to 1.15, P = 0.190) and overall survival (HR 0.91, 0.37 to 2.22, P = 0.830, 19 deaths) were indistinguishable, and the advantage was significant only in tumours of 2 cm or less (HR 0.39, 0.17 to 0.89), not at 2 to 5 cm (0.58, 0.20 to 1.68, P = 0.310). The retrospective Michigan series pointing the other way, with the SBRT advantage growing with size, had channelled allocation: the SBRT group had a median of 2 prior liver-directed treatments versus 0 and better Child-Pugh. Overall survival was identical there too. What should decide instead is anatomical suitability for a percutaneous route, tumour size, uninvolved liver volume, prior radiation dose, and whether a bridge to transplant is intended. Audit: local progression and liver-function change at 12 months by modality; proportion of SBRT cases chosen for anatomy rather than after ablation failure.</w:t>
      </w:r>
    </w:p>
    <w:p>
      <w:pPr>
        <w:spacing w:after="40" w:line="276"/>
        <w:ind w:left="260"/>
      </w:pPr>
      <w:r>
        <w:rPr>
          <w:color w:val="5A6069"/>
          <w:sz w:val="16"/>
          <w:szCs w:val="16"/>
        </w:rPr>
        <w:t xml:space="preserve">Sources: SBRT vs RFA</w:t>
      </w:r>
    </w:p>
    <w:p>
      <w:pPr>
        <w:spacing w:after="60" w:before="160"/>
      </w:pPr>
      <w:r>
        <w:rPr>
          <w:b/>
          <w:bCs/>
          <w:color w:val="8E5008"/>
          <w:sz w:val="19"/>
          <w:szCs w:val="19"/>
        </w:rPr>
        <w:t xml:space="preserve">23. </w:t>
      </w:r>
      <w:r>
        <w:rPr>
          <w:b/>
          <w:bCs/>
          <w:sz w:val="19"/>
          <w:szCs w:val="19"/>
        </w:rPr>
        <w:t xml:space="preserve">External beam radiotherapy gives survival comparable with resection and ablation in early HCC.</w:t>
      </w:r>
    </w:p>
    <w:p>
      <w:pPr>
        <w:spacing w:after="40" w:line="276"/>
        <w:ind w:left="260"/>
      </w:pPr>
      <w:r>
        <w:rPr>
          <w:color w:val="15181F"/>
          <w:sz w:val="18"/>
          <w:szCs w:val="18"/>
        </w:rPr>
        <w:t xml:space="preserve">The figures BCLC 2026 cites come from a retrospective individual-patient cohort with no resection, ablation or TACE arm: 4,913 patients from 30 of 96 eligible centres (31%), the centres identified because they had published favourable outcomes. Median overall survival was 6.8 years (95% CI 5.7 to 8.7) for BCLC-0, 4.6 (4.1 to 5.1) for BCLC-A and 3.6 (3.0 to 4.9) for BCLC-B, but 58% of the cohort was BCLC-C, 60% had been treated before, BCLC stage had to be re-adjudicated because reported staging was discordant, and treatment-naive BCLC-B patients survived 6.3 years, longer than treatment-naive BCLC-A, which is not a believable ordering. The proportional hazards assumption was formally violated in all four Cox models and the authors say their hazard ratios should be interpreted with caution. ASTRO's strong recommendation for EBRT as a potential first-line single therapy rests on single-arm and retrospective series; its own task force states no randomised trial has compared EBRT with thermal ablation or catheter-based therapy, and surgical oncologists published a formal dissent. What should decide instead is whether surgery, transplant or ablation has actually been excluded and why; uninvolved liver volume; prior dose; decompensation risk. Audit: child-Pugh and ALBI change at 3 and 12 months after liver radiotherapy; proportion of EBRT cases in whom resection or ablation was never formally assessed.</w:t>
      </w:r>
    </w:p>
    <w:p>
      <w:pPr>
        <w:spacing w:after="40" w:line="276"/>
        <w:ind w:left="260"/>
      </w:pPr>
      <w:r>
        <w:rPr>
          <w:color w:val="5A6069"/>
          <w:sz w:val="16"/>
          <w:szCs w:val="16"/>
        </w:rPr>
        <w:t xml:space="preserve">Sources: EBRT cohort; ASTRO EBRT; BCLC 2026</w:t>
      </w:r>
    </w:p>
    <w:p>
      <w:pPr>
        <w:spacing w:after="60" w:before="160"/>
      </w:pPr>
      <w:r>
        <w:rPr>
          <w:b/>
          <w:bCs/>
          <w:color w:val="8E5008"/>
          <w:sz w:val="19"/>
          <w:szCs w:val="19"/>
        </w:rPr>
        <w:t xml:space="preserve">24. </w:t>
      </w:r>
      <w:r>
        <w:rPr>
          <w:b/>
          <w:bCs/>
          <w:sz w:val="19"/>
          <w:szCs w:val="19"/>
        </w:rPr>
        <w:t xml:space="preserve">Adding SBRT or radioembolisation to systemic therapy helps liver-dominant BCLC C.</w:t>
      </w:r>
    </w:p>
    <w:p>
      <w:pPr>
        <w:spacing w:after="40" w:line="276"/>
        <w:ind w:left="260"/>
      </w:pPr>
      <w:r>
        <w:rPr>
          <w:color w:val="15181F"/>
          <w:sz w:val="18"/>
          <w:szCs w:val="18"/>
        </w:rPr>
        <w:t xml:space="preserve">No randomised test against a modern immunotherapy backbone. RTOG 1112 missed its primary endpoint: median overall survival 15.8 months (90% CI 11.4 to 19.2) versus 12.3 (10.6 to 14.3), HR 0.77 (90% CI 0.59 to 1.01), one-sided P = .06, and significance appears only in the multivariable model (HR 0.72, P = .04). It needed 368 patients and 277 events, closed early in March 2021 and analysed 177 patients and 153 deaths at 65% power; 13 of 85 patients (15%) in the SBRT arm never started sorafenib and 19 of 92 (20.7%) controls later received radiotherapy. The Asan trial of TACE plus 40 Gy against sorafenib reported overall survival of 55.0 versus 43.0 weeks (HR 0.61, 95% CI 0.38 to 0.98) as a secondary endpoint, but 90.7% of the sorafenib arm had crossed over by 24 weeks, so it compares two sequencing strategies, and it never reported how many of its 90 patients had cirrhosis. The neoadjuvant radiotherapy trial for portal vein tumour thrombus that ASTRO cites counted only tumour-related death, drew 157 of 164 patients from one hospital and cost 11% of patients their operation. What should decide instead is liver-dominant burden, symptom burden, uninvolved-liver volume, prior dose, time to systemic start. Audit: time from decision to systemic-therapy start; hepatic progression-free survival.</w:t>
      </w:r>
    </w:p>
    <w:p>
      <w:pPr>
        <w:spacing w:after="40" w:line="276"/>
        <w:ind w:left="260"/>
      </w:pPr>
      <w:r>
        <w:rPr>
          <w:color w:val="5A6069"/>
          <w:sz w:val="16"/>
          <w:szCs w:val="16"/>
        </w:rPr>
        <w:t xml:space="preserve">Sources: RTOG 1112; TACE + EBRT; ASTRO EBRT</w:t>
      </w:r>
    </w:p>
    <w:p>
      <w:pPr>
        <w:spacing w:after="60" w:before="160"/>
      </w:pPr>
      <w:r>
        <w:rPr>
          <w:b/>
          <w:bCs/>
          <w:color w:val="8E5008"/>
          <w:sz w:val="19"/>
          <w:szCs w:val="19"/>
        </w:rPr>
        <w:t xml:space="preserve">25. </w:t>
      </w:r>
      <w:r>
        <w:rPr>
          <w:b/>
          <w:bCs/>
          <w:sz w:val="19"/>
          <w:szCs w:val="19"/>
        </w:rPr>
        <w:t xml:space="preserve">SBRT is a reasonable option for residual disease after an incomplete TACE.</w:t>
      </w:r>
    </w:p>
    <w:p>
      <w:pPr>
        <w:spacing w:after="40" w:line="276"/>
        <w:ind w:left="260"/>
      </w:pPr>
      <w:r>
        <w:rPr>
          <w:color w:val="15181F"/>
          <w:sz w:val="18"/>
          <w:szCs w:val="18"/>
        </w:rPr>
        <w:t xml:space="preserve">One randomised trial of 40 patients at a single Italian centre supports it, against a planned 50, powered on an implausible hazard ratio of 0.18. One-year local control was 84% versus 23% (HR 0.15, 95% CI 0.04 to 0.4, P = 0.0002) and progression-free survival 9 versus 4 months (HR 0.43, 0.21 to 0.87), but distant recurrence-free survival did not differ and overall survival was identical at 31 versus 30 months (P = 0.472). The comparator was mostly bland embolisation, 15 of 19, not conventional or drug-eluting-bead TACE, and 10 of 19 control patients crossed over to SBRT. The parallel randomised comparison of SBRT with DEB-TACE as primary therapy, TRENDY, closed at 30 of 100 planned patients and was negative on its primary endpoint (time to progression HR 0.45, 95% CI 0.16 to 1.32, P = .15); its quoted 100% versus 54% local control is a post hoc per-protocol analysis, the prespecified comparison giving P = .075. What should decide instead is whether a viable target remains and is reachable, liver-function trajectory, prior dose to that volume, and what a well-selected TACE rechallenge would achieve. Audit: local control and decompensation after consolidative SBRT; cases re-embolised versus irradiated after an incomplete first TACE.</w:t>
      </w:r>
    </w:p>
    <w:p>
      <w:pPr>
        <w:spacing w:after="60" w:before="160"/>
      </w:pPr>
      <w:r>
        <w:rPr>
          <w:b/>
          <w:bCs/>
          <w:color w:val="8E5008"/>
          <w:sz w:val="19"/>
          <w:szCs w:val="19"/>
        </w:rPr>
        <w:t xml:space="preserve">26. </w:t>
      </w:r>
      <w:r>
        <w:rPr>
          <w:b/>
          <w:bCs/>
          <w:sz w:val="19"/>
          <w:szCs w:val="19"/>
        </w:rPr>
        <w:t xml:space="preserve">Histotripsy met its endpoints in the HOPE4LIVER pivotal trial.</w:t>
      </w:r>
    </w:p>
    <w:p>
      <w:pPr>
        <w:spacing w:after="40" w:line="276"/>
        <w:ind w:left="260"/>
      </w:pPr>
      <w:r>
        <w:rPr>
          <w:color w:val="15181F"/>
          <w:sz w:val="18"/>
          <w:szCs w:val="18"/>
        </w:rPr>
        <w:t xml:space="preserve">It met a technical endpoint in a population that is not the one a tumour board would send for ablation. The co-primary endpoints were technical success, 42 of 44 treated tumours (95%, 95% CI 84 to 100) against a 70% performance goal that the authors say was agreed with the FDA for achievable enrolment and was not intended to identify a difference from existing therapies, and procedure-related major complications, 3 of 44 participants (7%, 2 to 18) against a 25% goal. Neither is tumour control. Only 18 of 44 participants (41%) had HCC, 4 of the 25 metastatic patients had more than 20 liver lesions, mean tumour diameter was 1.5 cm, the treatment zone averaged 3.6 cm, 38 of 44 tumours were in segments II to IV and none in segments VII or VIII. Technique efficacy had already fallen to 83% (30 of 36) at 30 days, and one grade 5 hepatic failure occurred in 44 participants despite the planned volume being achieved. The one-year update of 47 patients and 52 tumours reports freedom from local progression of 63.4% on the prespecified core-laboratory read against 90% on a post hoc read made once all imaging was available, with reader agreement of 70.8% to 84%; 12-month overall survival was 58.6% overall and 73.3% in HCC. FDA clearance for tumour destruction is a safety and performance determination. What should decide instead is acoustic window and target visibility, segment, device working range, and whether any established curative option would be displaced. Audit: every histotripsy case in a prospective registry with the prespecified rather than post hoc local-control read; one-year local progression and liver-function change.</w:t>
      </w:r>
    </w:p>
    <w:p>
      <w:pPr>
        <w:spacing w:after="40" w:line="276"/>
        <w:ind w:left="260"/>
      </w:pPr>
      <w:r>
        <w:rPr>
          <w:color w:val="5A6069"/>
          <w:sz w:val="16"/>
          <w:szCs w:val="16"/>
        </w:rPr>
        <w:t xml:space="preserve">Sources: #HOPE4LIVER</w:t>
      </w:r>
    </w:p>
    <w:p>
      <w:pPr>
        <w:spacing w:after="60" w:before="160"/>
      </w:pPr>
      <w:r>
        <w:rPr>
          <w:b/>
          <w:bCs/>
          <w:color w:val="8E5008"/>
          <w:sz w:val="19"/>
          <w:szCs w:val="19"/>
        </w:rPr>
        <w:t xml:space="preserve">27. </w:t>
      </w:r>
      <w:r>
        <w:rPr>
          <w:b/>
          <w:bCs/>
          <w:sz w:val="19"/>
          <w:szCs w:val="19"/>
        </w:rPr>
        <w:t xml:space="preserve">Three first-line immunotherapy combinations are interchangeable because none is ranked above the others.</w:t>
      </w:r>
    </w:p>
    <w:p>
      <w:pPr>
        <w:spacing w:after="40" w:line="276"/>
        <w:ind w:left="260"/>
      </w:pPr>
      <w:r>
        <w:t xml:space="preserve">None has been compared with another, and each was tested against a different and now-superseded comparator, so the absence of a ranking is a gap, not a finding. IMbrave150 gave 19.2 versus 13.4 months against sorafenib (HR 0.66, 95% CI 0.52 to 0.85) with an exploratory non-viral subgroup estimate of HR 1.05 (0.68 to 1.63; median 17.0 versus 18.1 months), which does not establish treatment futility in non-viral HCC, and only 422 of 1,447 real-world patients on tyrosine-kinase inhibitors (29%) would have met its eligibility. HIMALAYA gave 16.43 versus 13.77 months (HR 0.78, 96.02% CI 0.65 to 0.93) with no progression-free survival benefit at all (HR 0.90, 0.77 to 1.05), curves separating only after 9 months, and main portal vein thrombosis excluded. CheckMate 9DW gave 23.7 versus 20.6 months against lenvatinib or sorafenib (HR 0.79, 0.65 to 0.96) with crossing hazards, a piecewise hazard ratio of 1.65 (1.12 to 2.43) in the first 6 months, 12 treatment-related deaths against 3 with 11 of the 12 inside that window and 9 of them fatal hepatic events, a restricted mean survival difference of only 2.8 months (0.2 to 5.4) at 47 months, and Vp4 invasion excluded. What should decide instead is variceal and bleeding risk, liver reserve, pace of disease, autoimmune history, and transplant intent. Neither aetiology alone nor a survival-curve crossing point is a validated patient-selection cutoff. Audit: early mortality at 6 months by regimen; variceal assessment documented before the first dose of atezolizumab-bevacizumab.</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2LTRdPC9EaXNwbGF5VGV4dD48cmVjb3JkPjxyZWMtbnVtYmVyPjQ8L3JlYy1udW1iZXI+PGZvcmVpZ24ta2V5cz48a2V5IGFwcD0iRU4iIGRiLWlkPSIyYjI4NzQ5NS1hMmM3LTU0YzItODM3OC02MjhkMGY1MjliOWIiIHRpbWVzdGFtcD0iMTc5MzI4MzY4OS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spacing w:after="40" w:line="276"/>
        <w:ind w:left="260"/>
      </w:pPr>
      <w:r>
        <w:rPr>
          <w:color w:val="5A6069"/>
          <w:sz w:val="16"/>
          <w:szCs w:val="16"/>
        </w:rPr>
        <w:t xml:space="preserve">Sources: IMbrave150; IMbrave150 update; HIMALAYA / STRIDE; CheckMate 9DW</w:t>
      </w:r>
    </w:p>
    <w:p>
      <w:pPr>
        <w:spacing w:after="60" w:before="160"/>
      </w:pPr>
      <w:r>
        <w:rPr>
          <w:b/>
          <w:bCs/>
          <w:color w:val="8E5008"/>
          <w:sz w:val="19"/>
          <w:szCs w:val="19"/>
        </w:rPr>
        <w:t xml:space="preserve">28. </w:t>
      </w:r>
      <w:r>
        <w:rPr>
          <w:b/>
          <w:bCs/>
          <w:sz w:val="19"/>
          <w:szCs w:val="19"/>
        </w:rPr>
        <w:t xml:space="preserve">There is a second-line sequence after a first-line immunotherapy combination.</w:t>
      </w:r>
    </w:p>
    <w:p>
      <w:pPr>
        <w:spacing w:after="40" w:line="276"/>
        <w:ind w:left="260"/>
      </w:pPr>
      <w:r>
        <w:rPr>
          <w:color w:val="15181F"/>
          <w:sz w:val="18"/>
          <w:szCs w:val="18"/>
        </w:rPr>
        <w:t xml:space="preserve">There is no randomised evidence for any sequence after a modern combination; every agent on the list was tested after sorafenib, in a population that no longer exists, and each gain is small. CELESTIAL gave 10.2 versus 8.0 months (HR 0.76, 95% CI 0.63 to 0.92) but stopped at 484 of 621 planned deaths (78%), with a hazard ratio of 1.11 in hepatitis C disease, grade 3 or 4 events in 68% and a median delivered dose of 35.8 mg against an intended 60. RESORCE gave 10.6 versus 7.8 months (HR 0.63, 0.50 to 0.79) but enrolled only patients who had tolerated sorafenib at 400 mg or more, and every treated patient had an adverse event. REACH-2 gave 8.5 versus 7.3 months (HR 0.710, 0.531 to 0.949) with no significant response (5% versus 1%) and no improvement in symptoms, and its baseline AFP was imbalanced against the experimental arm, so adjusting for it dropped the placebo median to 6.7 months. KEYNOTE-394 gave 14.6 versus 13.0 months at a one-sided P of .0180 against a boundary of .0193, with 85% of patients from mainland China and about 80% hepatitis B. What should decide instead is prior toxicity, best response achieved, liver function now, AFP for the ramucirumab indication, and trial availability first. Audit: reason for selection recorded for every second-line decision; grade 3 or higher toxicity and liver-function change by agent.</w:t>
      </w:r>
    </w:p>
    <w:p>
      <w:pPr>
        <w:spacing w:after="40" w:line="276"/>
        <w:ind w:left="260"/>
      </w:pPr>
      <w:r>
        <w:rPr>
          <w:color w:val="5A6069"/>
          <w:sz w:val="16"/>
          <w:szCs w:val="16"/>
        </w:rPr>
        <w:t xml:space="preserve">Sources: CELESTIAL; RESORCE; REACH-2; KEYNOTE-394</w:t>
      </w:r>
    </w:p>
    <w:p>
      <w:pPr>
        <w:spacing w:after="60" w:before="160"/>
      </w:pPr>
      <w:r>
        <w:rPr>
          <w:b/>
          <w:bCs/>
          <w:color w:val="8E5008"/>
          <w:sz w:val="19"/>
          <w:szCs w:val="19"/>
        </w:rPr>
        <w:t xml:space="preserve">29. </w:t>
      </w:r>
      <w:r>
        <w:rPr>
          <w:b/>
          <w:bCs/>
          <w:sz w:val="19"/>
          <w:szCs w:val="19"/>
        </w:rPr>
        <w:t xml:space="preserve">TACE combined with checkpoint inhibitors is to be avoided outside a protocol.</w:t>
      </w:r>
    </w:p>
    <w:p>
      <w:pPr>
        <w:spacing w:after="40" w:line="276"/>
        <w:ind w:left="260"/>
      </w:pPr>
      <w:r>
        <w:rPr>
          <w:color w:val="15181F"/>
          <w:sz w:val="18"/>
          <w:szCs w:val="18"/>
        </w:rPr>
        <w:t xml:space="preserve">The position is correct, but it rests on absent survival benefit rather than on demonstrated harm, and the toxicity is the measured part. All three phase 3 trials met a progression-free survival endpoint and none has shown an overall-survival benefit. EMERALD-1 gave 15.0 versus 8.2 months (HR 0.77, 95% CI 0.61 to 0.98, P = 0.032) with durvalumab plus TACE no better than TACE alone (HR 0.94, 0.75 to 1.19), so the effect appears to come from bevacizumab with no bevacizumab-plus-TACE arm to confirm it, and its interim survival analysis was withheld. LEAP-012 gave 14.6 versus 10.0 months (HR 0.66, 0.51 to 0.84) with an interim overall-survival hazard ratio of 0.80 (0.57 to 1.11, one-sided P = 0.087 against a 0.0012 threshold) and a final registry-posted figure of 0.98; its progression definition required new intrahepatic tumours to meet LI-RADS 5 criteria, and without that rule the placebo median fell from 10.0 to 8.4 months. EMERALD-3 gave 13.0 versus 9.8 months (HR 0.70, 0.57 to 0.86) with overall survival at 40% maturity of 39.5 versus 34.7 months (HR 0.84, 0.65 to 1.09, P = 0.18) and a restricted mean survival difference of 1.48 months (minus 1.21 to 4.16). The cost is grade 3 or worse treatment-related events in 71% versus 32% in LEAP-012 and 63% versus 19% in EMERALD-3, immune-mediated events in 48%, and treatment-related deaths in 4 and 7 patients. Over 40% of each trial was outside BCLC B and none had a TACE-free arm, so the question of whether to add TACE to systemic therapy rather than the reverse is untouched. What should decide instead is tumour burden and stage, liver function, performance status, variceal status, goals of therapy, and whether the same drugs given sequentially after progression would do as well. Audit: every protocol or registry case logged with its selection rationale, grade 3 or higher toxicity and liver-function trajectory.</w:t>
      </w:r>
    </w:p>
    <w:p>
      <w:pPr>
        <w:spacing w:after="40" w:line="276"/>
        <w:ind w:left="260"/>
      </w:pPr>
      <w:r>
        <w:rPr>
          <w:color w:val="5A6069"/>
          <w:sz w:val="16"/>
          <w:szCs w:val="16"/>
        </w:rPr>
        <w:t xml:space="preserve">Sources: EMERALD-1; LEAP-012; EMERALD-3; LEAP-012 registry; EMERALD-1 registry; LEAP-012 / EMERALD-1 commentary</w:t>
      </w:r>
    </w:p>
    <w:p>
      <w:pPr>
        <w:spacing w:after="60" w:before="160"/>
      </w:pPr>
      <w:r>
        <w:rPr>
          <w:b/>
          <w:bCs/>
          <w:color w:val="8E5008"/>
          <w:sz w:val="19"/>
          <w:szCs w:val="19"/>
        </w:rPr>
        <w:t xml:space="preserve">30. </w:t>
      </w:r>
      <w:r>
        <w:rPr>
          <w:b/>
          <w:bCs/>
          <w:sz w:val="19"/>
          <w:szCs w:val="19"/>
        </w:rPr>
        <w:t xml:space="preserve">There is no adjuvant strategy after resection or ablation.</w:t>
      </w:r>
    </w:p>
    <w:p>
      <w:pPr>
        <w:spacing w:after="40" w:line="276"/>
        <w:ind w:left="260"/>
      </w:pPr>
      <w:r>
        <w:rPr>
          <w:color w:val="15181F"/>
          <w:sz w:val="18"/>
          <w:szCs w:val="18"/>
        </w:rPr>
        <w:t xml:space="preserve">That statement concerns atezolizumab plus bevacizumab in a global population, and it is correct for that question: IMbrave050 was declared positive at a first interim analysis under stopping rules assuming proportional hazards that did not hold, recurrence-free survival hazard ratio 0.72 (adjusted 95% CI 0.53 to 0.98), and the updated analysis lost it, median 33.2 versus 36.0 months, HR 0.90 (0.72 to 1.12), with overall survival numerically unfavourable (HR 1.26, 0.85 to 1.87) on 100 deaths among 668 patients, 30% crossover, grade 3 or 4 events in 36% to 41% versus 13% and grade 5 events in 6 patients (2%) versus 1. It is not a statement about every adjuvant strategy. Two Chinese randomised trials report benefit and the page is silent on them: one cycle of reduced-dose adjuvant TACE after resection of high-risk HBV-related HCC gave 3-year recurrence-free survival of 56.0% versus 42.1% (HR 0.68, 95% CI 0.49 to 0.93) and overall survival of 85.2% versus 77.4% (HR 0.59, 0.36 to 0.97) on 64 deaths, in 280 of 1,393 consecutive resections at one centre with an unblinded surveillance control that never had the extra angiogram; adjuvant FOLFOX hepatic arterial infusion for microvascular invasion gave median disease-free survival of 20.3 versus 10.0 months (HR 0.59, 0.43 to 0.81) with overall survival not significant (HR 0.64, 0.36 to 1.14) on 47 deaths, and microvascular invasion was neither graded nor used for stratification. What should decide instead is whether the patient resembles the trial populations at all, the recurrence risk recorded at resection, surveillance intensity, and trial availability. Audit: recurrence detected on surveillance and the proportion salvaged with curative intent; any adjuvant therapy given outside a trial, with its rationale.</w:t>
      </w:r>
    </w:p>
    <w:p>
      <w:pPr>
        <w:spacing w:after="40" w:line="276"/>
        <w:ind w:left="260"/>
      </w:pPr>
      <w:r>
        <w:rPr>
          <w:color w:val="5A6069"/>
          <w:sz w:val="16"/>
          <w:szCs w:val="16"/>
        </w:rPr>
        <w:t xml:space="preserve">Sources: IMbrave050; IMbrave050 update</w:t>
      </w:r>
    </w:p>
    <w:p>
      <w:pPr>
        <w:spacing w:after="60" w:before="160"/>
      </w:pPr>
      <w:r>
        <w:rPr>
          <w:b/>
          <w:bCs/>
          <w:color w:val="8E5008"/>
          <w:sz w:val="19"/>
          <w:szCs w:val="19"/>
        </w:rPr>
        <w:t xml:space="preserve">31. </w:t>
      </w:r>
      <w:r>
        <w:rPr>
          <w:b/>
          <w:bCs/>
          <w:sz w:val="19"/>
          <w:szCs w:val="19"/>
        </w:rPr>
        <w:t xml:space="preserve">Hepatic arterial infusion is trial-only because the evidence is immature.</w:t>
      </w:r>
    </w:p>
    <w:p>
      <w:pPr>
        <w:spacing w:after="40" w:line="276"/>
        <w:ind w:left="260"/>
      </w:pPr>
      <w:r>
        <w:rPr>
          <w:color w:val="15181F"/>
          <w:sz w:val="18"/>
          <w:szCs w:val="18"/>
        </w:rPr>
        <w:t xml:space="preserve">The randomised evidence is not immature; it is geographically narrow and partly a conversion-surgery effect. FOHAIC-1 gave median overall survival of 13.9 versus 8.2 months against sorafenib (HR 0.408, 95% CI 0.301 to 0.552) at a single Chinese centre, 92% hepatitis B, median tumour 11.2 cm. Against conventional TACE in large HCC, FOLFOX infusion gave 23.1 versus 16.1 months (HR 0.58, 0.45 to 0.75), but 24% of that arm went on to curative resection versus 12%, and the authors concede the gap would be narrower without prompt resection. Added to sorafenib in portal vein invasion it gave 13.37 versus 7.13 months (HR 0.35, 0.26 to 0.48), with 16 of 125 patients resected versus 1. Every trial is Chinese, open-label, predominantly hepatitis B, and the comparators are sorafenib or conventional TACE; the technique needed a median of 2 catheter-tip repositionings per cycle and collateral re-embolisation in 54% of patients, and the investigators argue this is why it succeeded where implanted-port trials failed. What should decide instead is whether a conversion-to-surgery goal is declared and realistic, interventional capacity for repeated catheterisation, and whether a first-line systemic combination is being displaced. Audit: every HAIC case with a named goal, the number of cycles delivered, and whether resection followed.</w:t>
      </w:r>
    </w:p>
    <w:p>
      <w:pPr>
        <w:spacing w:after="40" w:line="276"/>
        <w:ind w:left="260"/>
      </w:pPr>
      <w:r>
        <w:rPr>
          <w:color w:val="5A6069"/>
          <w:sz w:val="16"/>
          <w:szCs w:val="16"/>
        </w:rPr>
        <w:t xml:space="preserve">Sources: FOHAIC-1</w:t>
      </w:r>
    </w:p>
    <w:p>
      <w:pPr>
        <w:spacing w:after="60" w:before="160"/>
      </w:pPr>
      <w:r>
        <w:rPr>
          <w:b/>
          <w:bCs/>
          <w:color w:val="8E5008"/>
          <w:sz w:val="19"/>
          <w:szCs w:val="19"/>
        </w:rPr>
        <w:t xml:space="preserve">32. </w:t>
      </w:r>
      <w:r>
        <w:rPr>
          <w:b/>
          <w:bCs/>
          <w:sz w:val="19"/>
          <w:szCs w:val="19"/>
        </w:rPr>
        <w:t xml:space="preserve">A fixed two-session TACE failure threshold is not a universal rule.</w:t>
      </w:r>
    </w:p>
    <w:p>
      <w:pPr>
        <w:spacing w:after="40" w:line="276"/>
        <w:ind w:left="260"/>
      </w:pPr>
      <w:r>
        <w:rPr>
          <w:color w:val="15181F"/>
          <w:sz w:val="18"/>
          <w:szCs w:val="18"/>
        </w:rPr>
        <w:t xml:space="preserve">A pragmatic consensus threshold, not a validated rule; published TACE-refractoriness definitions differ. EASL states that after one or two consecutive TACEs without response other therapies should be considered, at level of evidence 3, and no study has compared switching at a fixed session count with reassessing after each session. v0.8 withdrew the fixed rule in favour of reassessment after each session. What should decide instead is selectivity achieved, response pattern, liver-function trajectory, remaining downstaging goal. Audit: outcomes of patients switched at two sessions versus continued.</w:t>
      </w:r>
    </w:p>
    <w:p>
      <w:pPr>
        <w:spacing w:after="40" w:line="276"/>
        <w:ind w:left="260"/>
      </w:pPr>
      <w:r>
        <w:rPr>
          <w:color w:val="5A6069"/>
          <w:sz w:val="16"/>
          <w:szCs w:val="16"/>
        </w:rPr>
        <w:t xml:space="preserve">Sources: EASL 2025</w:t>
      </w:r>
    </w:p>
    <w:p>
      <w:pPr>
        <w:spacing w:after="60" w:before="160"/>
      </w:pPr>
      <w:r>
        <w:rPr>
          <w:b/>
          <w:bCs/>
          <w:color w:val="8E5008"/>
          <w:sz w:val="19"/>
          <w:szCs w:val="19"/>
        </w:rPr>
        <w:t xml:space="preserve">33. </w:t>
      </w:r>
      <w:r>
        <w:rPr>
          <w:b/>
          <w:bCs/>
          <w:sz w:val="19"/>
          <w:szCs w:val="19"/>
        </w:rPr>
        <w:t xml:space="preserve">Bridging therapy on the waiting list reduces dropout, and the modality does not matter.</w:t>
      </w:r>
    </w:p>
    <w:p>
      <w:pPr>
        <w:spacing w:after="40" w:line="276"/>
        <w:ind w:left="260"/>
      </w:pPr>
      <w:r>
        <w:rPr>
          <w:color w:val="15181F"/>
          <w:sz w:val="18"/>
          <w:szCs w:val="18"/>
        </w:rPr>
        <w:t xml:space="preserve">The only comparative series is a single-centre retrospective intention-to-treat analysis in which the arms were not comparable and SBRT was by design reserved for patients who could not have TACE or RFA. Dropout was 6 of 36 (16.7%) after SBRT, 20 of 99 (20.2%) after TACE and 41 of 244 (16.8%) after RFA (P = 0.7), but only 13 of 36 SBRT patients (36.1%) and 22 of 99 TACE patients (22.7%) were within Milan against 214 of 244 RFA patients (87.7%), and the SBRT arm had higher MELD and worse Child-Pugh. Explant complete necrosis was 4 of 30 (13.3%) after SBRT versus 17 of 70 (24.3%) after TACE and 87 of 177 (49.2%) after RFA (P below 0.001), and liver function deteriorated after SBRT in 38.9% versus 19.4% and 13.0%. With 6 dropouts in the SBRT arm the study is underpowered for its own endpoint and the authors read it as feasibility, not equivalence. No trial has compared bridging with no bridging. What should decide instead is expected waiting time, liver function, whether the tumour is the threat to listing or the cirrhosis is, and what the explant is likely to show. Audit: waitlist dropout and explant necrosis by bridging modality; number of locoregional procedures before transplant.</w:t>
      </w:r>
    </w:p>
    <w:p>
      <w:pPr>
        <w:spacing w:after="60" w:before="160"/>
      </w:pPr>
      <w:r>
        <w:rPr>
          <w:b/>
          <w:bCs/>
          <w:color w:val="8E5008"/>
          <w:sz w:val="19"/>
          <w:szCs w:val="19"/>
        </w:rPr>
        <w:t xml:space="preserve">34. </w:t>
      </w:r>
      <w:r>
        <w:rPr>
          <w:b/>
          <w:bCs/>
          <w:sz w:val="19"/>
          <w:szCs w:val="19"/>
        </w:rPr>
        <w:t xml:space="preserve">An approximate 10 to 12 case agenda cap improves decision quality.</w:t>
      </w:r>
    </w:p>
    <w:p>
      <w:pPr>
        <w:spacing w:after="40" w:line="276"/>
        <w:ind w:left="260"/>
      </w:pPr>
      <w:r>
        <w:rPr>
          <w:color w:val="15181F"/>
          <w:sz w:val="18"/>
          <w:szCs w:val="18"/>
        </w:rPr>
        <w:t xml:space="preserve">An operational judgement with no comparative outcome evidence. The same applies to the quality targets on this page: the 90% and 95% thresholds, the one-business-day urgent triage standard and the three-procedure investigation trigger are all chosen rather than derived, and the curative-first discipline measure is new and was previously unmeasured. What should decide instead is case complexity mix, attendance, available time, urgent-lane volume. Audit: decision completeness and deferral rate by agenda length.</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is the accountable system HCC pathway owner, and who chairs the tumour board neutrally?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conference is required to produce one recommendation, one accountable owner, one due date and one reassessment plan; without a named pathway owner and a chair with no stake in the modality chosen, the synthesis step has nobody to perform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Epic submission form, the MDT note template, the registry minimum dataset and the urgent-case rule approved as written?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BCLC stage, the liver scores, AFP and the curative-assessment fields are what the whole pathway is built on, so they have to be captured at submission rather than reconstructed afterwards. Programme operations owns the registry dataset and who is accountable for entry.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are the modality-specific liver-function and dosimetry thresholds, rather than one universal bilirubin cut-off?</w:t>
            </w:r>
          </w:p>
        </w:tc>
        <w:tc>
          <w:tcPr>
            <w:tcW w:type="dxa" w:w="4740"/>
            <w:tcMar>
              <w:top w:type="dxa" w:w="70"/>
              <w:left w:type="dxa" w:w="110"/>
              <w:bottom w:type="dxa" w:w="70"/>
              <w:right w:type="dxa" w:w="110"/>
            </w:tcMar>
            <w:vAlign w:val="top"/>
          </w:tcPr>
          <w:p>
            <w:pPr>
              <w:spacing w:after="0" w:line="276"/>
            </w:pPr>
            <w:r>
              <w:rPr>
                <w:color w:val="15181F"/>
                <w:sz w:val="17"/>
                <w:szCs w:val="17"/>
              </w:rPr>
              <w:t xml:space="preserve">Each locoregional modality fails the liver in a different way, so hepatology must set the Child-Pugh, ALBI and MELD thresholds that bar each one, and interventional radiology the dosimetry limits. A single bilirubin number cannot carry that work.</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locoregional selector and the stop-and-switch rules ratified jointly, in the exact wording of the document?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selector is the page's operative content and it crosses six specialties; a concept everyone agrees with and a table nobody has signed is not a ratified pathway. Hepatobiliary and transplant surgery, hepatology, interventional radiology, radiation oncology, diagnostic radiology and medical oncology each own part of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reading of resection in clinically significant portal hypertension does this programme adopt?</w:t>
            </w:r>
          </w:p>
        </w:tc>
        <w:tc>
          <w:tcPr>
            <w:tcW w:type="dxa" w:w="4740"/>
            <w:tcMar>
              <w:top w:type="dxa" w:w="70"/>
              <w:left w:type="dxa" w:w="110"/>
              <w:bottom w:type="dxa" w:w="70"/>
              <w:right w:type="dxa" w:w="110"/>
            </w:tcMar>
            <w:vAlign w:val="top"/>
          </w:tcPr>
          <w:p>
            <w:pPr>
              <w:spacing w:after="0" w:line="276"/>
            </w:pPr>
            <w:r>
              <w:rPr>
                <w:color w:val="15181F"/>
                <w:sz w:val="17"/>
                <w:szCs w:val="17"/>
              </w:rPr>
              <w:t xml:space="preserve">BCLC holds that with CSPH resection carries significant risk and transplantation offers better survival; the only randomised test, in 160 hepatitis B patients within Milan, found no significant difference and its authors call resection safe. Leaving both readings side by side lets each board choose its own, which is not a pathway.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non-invasive Baveno VIII rule-in or rule-out stand in for HVPG when the resection decision turns on portal pressure?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Baveno VIII HCC statements are new, graded level of evidence 3 with weak strength, and the thresholds are device- and technique-specific and unvalidated in obese MASLD. Recording the criterion used, its value and its date must be a condition of proposing resection, because “no portal hypertension” without a stated basis is the most common way this decision is made on incomplete information.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Can a large spontaneous portosystemic shunt lower measured HVPG enough to make a sub-10 mmHg value unreliable?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is a physiological concern raised in practice that the roadmap has not verified against a primary source, and it decides whether a reassuring HVPG can be trusted in a patient with a shunt on staging CT. Hepatology has to rule on it before a sub-10 value is treated as reassuring.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radiation segmentectomy be offered as a definitive curative-intent option on single-arm evidence, above what tumour size may it not, and is personalised dosimetry required before it is described that way?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evidence is single-arm with imaging endpoints: RASER treated 29 patients and LEGACY is retrospective with 28% going on to transplant or resection, so its survival cannot be attributed to the radiation. The page grades it C rather than B, and what that implies for consent has to be settled before the word curative is used.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this roadmap adopt the BCLC 2026 preference for microwave over radiofrequency up to 3 to 4 cm, and is that preference stated as operational rather than outcome-based?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one randomised comparison was a superiority trial that did not show superiority and did not test non-inferiority, at a mean lesion size of 18 mm with only 11 lesions in the 3 to 4 cm range the preference is argued for. Calling it operational is accurate; calling it outcome-based is not.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roadmap adopt the BCLC 2026 placement of external beam radiotherapy as an ablative alternative in BCLC 0 and 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supporting survival figures come from a retrospective multinational individual-patient cohort of 30 of 96 eligible centres, selected because they had published favourable outcomes, with no resection, ablation or TACE arm and a formally violated proportional hazards assumption. Radiation oncology must agree what grade that supports.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AFP rule actually binds listing at this centre?</w:t>
            </w:r>
          </w:p>
        </w:tc>
        <w:tc>
          <w:tcPr>
            <w:tcW w:type="dxa" w:w="4740"/>
            <w:tcMar>
              <w:top w:type="dxa" w:w="70"/>
              <w:left w:type="dxa" w:w="110"/>
              <w:bottom w:type="dxa" w:w="70"/>
              <w:right w:type="dxa" w:w="110"/>
            </w:tcMar>
            <w:vAlign w:val="top"/>
          </w:tcPr>
          <w:p>
            <w:pPr>
              <w:spacing w:after="0" w:line="276"/>
            </w:pPr>
            <w:r>
              <w:rPr>
                <w:color w:val="15181F"/>
                <w:sz w:val="17"/>
                <w:szCs w:val="17"/>
              </w:rPr>
              <w:t xml:space="preserve">OPTN and AASLD allow listing once an AFP of 1,000 ng/mL or more falls below 500, while EASL treats an AFP above 1,000 as an absolute contraindication requiring three months at or below 1,000. Two incompatible rules cannot both govern the same listing decision, and transplant surgery must also name who monitors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histotripsy begin as trial-only or registry-only, and under what credentialing, target criteria, consent language and outcome review cadence?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pivotal trial met a technical endpoint in a population no tumour board would send for ablation: only 18 of 44 participants had HCC, none of the tumours were in segments VII or VIII, and the one-year local control is 63.4% on the prespecified core-laboratory read against 90% post hoc. The registry must record the prespecified read, not the post hoc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TACE combined with checkpoint inhibitors protocol-only until an overall-survival benefit is demonstrated, and are the trial toxicity rates part of the consent conversation?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All three phase 3 trials met a progression-free survival endpoint and none has shown an overall-survival benefit, while grade 3 or worse treatment-related events ran at 71% against 32% and 63% against 19%, with immune-mediated events in 48% and treatment-related deaths in both trials. The position is defensible on absent benefit, not on demonstrated harm, so the trigger to re-review has to be named too.</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any adjuvant locoregional therapy, TACE or hepatic arterial infusion, offered after high-risk resection?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AASLD statement against adjuvant therapy concerns atezolizumab plus bevacizumab, whose recurrence-free survival signal was lost on updated analysis; it is not a statement about every adjuvant strategy. The two randomised adjuvant locoregional trials that do report benefit are single-country hepatitis B populations with unblinded controls, so whether they apply here is a local judgement.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pre-transplant checkpoint-inhibitor washout is required, through what approval route, and is local transplant policy at least as strict as OPTN policy?</w:t>
            </w:r>
          </w:p>
        </w:tc>
        <w:tc>
          <w:tcPr>
            <w:tcW w:type="dxa" w:w="4740"/>
            <w:tcMar>
              <w:top w:type="dxa" w:w="70"/>
              <w:left w:type="dxa" w:w="110"/>
              <w:bottom w:type="dxa" w:w="70"/>
              <w:right w:type="dxa" w:w="110"/>
            </w:tcMar>
            <w:vAlign w:val="top"/>
          </w:tcPr>
          <w:p>
            <w:pPr>
              <w:spacing w:after="0" w:line="276"/>
            </w:pPr>
            <w:r>
              <w:t xml:space="preserve">The earlier 52-patient review concerns ICI AFTER LT and cannot define a pre-LT washout. Pre-LT cohorts provide observational timing evidence, not a universally safe cutoff. Agree the plan before the first dose and record last exposure, proposed interval, urgency, alternatives and transplant-governance approval. The transplant protocol’s OPEN decision remains controlling.</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Ni0xMV08L0Rpc3BsYXlUZXh0PjxyZWNvcmQ+PHJlYy1udW1iZXI+MTE8L3JlYy1udW1iZXI+PGZvcmVpZ24ta2V5cz48a2V5IGFwcD0iRU4iIGRiLWlkPSIyYjI4NzQ5NS1hMmM3LTU0YzItODM3OC02MjhkMGY1MjliOWIiIHRpbWVzdGFtcD0iMTc5MzI4MzY4OS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SBRT be used as a transplant bridge, and who adjudicates the choice of bridging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only comparative series explant complete necrosis was 13.3% after SBRT against 24.3% after TACE and 49.2% after radiofrequency ablation, with liver function deteriorating in 38.9% against 19.4% and 13.0% — but SBRT was reserved by design for patients who could not have the other two, so the arms are not comparable. Someone has to own the choice rather than let availability decide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the response-assessment call, which LI-RADS treatment-response algorithm applies after radiation-based therapy, and how is a discordant read resolved?</w:t>
            </w:r>
          </w:p>
        </w:tc>
        <w:tc>
          <w:tcPr>
            <w:tcW w:type="dxa" w:w="4740"/>
            <w:tcMar>
              <w:top w:type="dxa" w:w="70"/>
              <w:left w:type="dxa" w:w="110"/>
              <w:bottom w:type="dxa" w:w="70"/>
              <w:right w:type="dxa" w:w="110"/>
            </w:tcMar>
            <w:vAlign w:val="top"/>
          </w:tcPr>
          <w:p>
            <w:pPr>
              <w:spacing w:after="0" w:line="276"/>
            </w:pPr>
            <w:r>
              <w:rPr>
                <w:color w:val="15181F"/>
                <w:sz w:val="17"/>
                <w:szCs w:val="17"/>
              </w:rPr>
              <w:t xml:space="preserve">Applying the nonradiation algorithm after radioembolisation or SBRT turns expected delayed necrosis into a false call of residual tumour, and it is a recurring and consequential error in this pathway. The treatment-response algorithms have no outcome validation at all, so the owner and the tie-break rule are the only controls available.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Are the 90% and 95% quality thresholds, the one-business-day urgent triage standard and the three-procedure investigation trigger accepted as operational judgements set for the pilot and revisable?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None of these numbers is derived from comparative outcome evidence; they were chosen, and the curative-first discipline measure is new and was previously unmeasured. Agreeing that openly is what keeps them auditable for adherence rather than quoted as effectiveness targets.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re-verifying OPTN Policy 9 criteria, drug labelling and device authorisations against this document, and by what calendar date?</w:t>
            </w:r>
          </w:p>
        </w:tc>
        <w:tc>
          <w:tcPr>
            <w:tcW w:type="dxa" w:w="4740"/>
            <w:tcMar>
              <w:top w:type="dxa" w:w="70"/>
              <w:left w:type="dxa" w:w="110"/>
              <w:bottom w:type="dxa" w:w="70"/>
              <w:right w:type="dxa" w:w="110"/>
            </w:tcMar>
            <w:vAlign w:val="top"/>
          </w:tcPr>
          <w:p>
            <w:pPr>
              <w:spacing w:after="0" w:line="276"/>
            </w:pPr>
            <w:r>
              <w:rPr>
                <w:color w:val="15181F"/>
                <w:sz w:val="17"/>
                <w:szCs w:val="17"/>
              </w:rPr>
              <w:t xml:space="preserve">OPTN policy is binding and changes without notice to this document, and every numeric criterion must be re-verified against the current Policy 9 text before it is applied to a listing decision. Without a named owner and a date, the page silently goes stale.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pathway piloted for 90 days and audited over 20 consecutive cases before it is approved as a clinical practice guideline?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page is a draft for multidisciplinary and institutional governance review, not active clinical policy, and the operating requirements are evidence grade D by construction. A pilot with a fixed audit is what converts a stakeholder-derived document into something that can be approved.</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Content is taken from the Memorial Hermann Adult Hepatocellular Carcinoma System Roadmap, draft v0.8 (Batch 07, evidence-audit corrections, 4 October 2026), and converted to the shared pathway schema on 7 October 2026 (Batch 08) so that this page and its document set are driven by one file. The five units here are BCLC stages rather than sequential gates: stage assignment is itself the decision tree, and performance status and spread are settled before tumour burden is asked. The liver-directed matrix and its 79 references come from LRT_Evidence_Matrix in the same batch, where every PMID was verified against PubMed on 3 October 2026; 78 of those 79 now have a full text in Ref_Depot_LRT, 53 of them downloaded through the TMC resolver and filed on 5 October, each identified from its own full text rather than its download file name. One is still outstanding: Ng 2017 (Br J Surg, PMID 29091283), which is also the one paper this page cites without holding its full text. Batch 08: all 71 papers in the HCC depot were read in full and abstracted, each with the limitations the authors state themselves and an independent critique of what the text supports but the authors do not raise. The ‘what we do that is not evidence based’ table was rebuilt against those abstracts and grew from 6 statements to 34, and the ratification list from 9 items to 20. Nothing was removed from the pathway: where the full-text read weakened the basis for a position, the position stands and the table says how well supported it actually is. Batch 07 had already changed 14 HCC statements — 4 discrepant, 10 partly matching, across 29 text edits — and the ablation, SBRT, HAIC, Y-90, TACE-plus-immunotherapy and first-line systemic rows were reworded where a one-line evidence string had carried only the favourable half of a result. Quoted NCCN positions are from Hepatocellular Carcinoma v2.2026 (14 August 2026) with original PDF page numbers. OPTN criteria are from Policy 9.5.I and Policy 9.4.C–E, checked 1 October 2026; OPTN policy is binding and changes without notice to this document, while the Adult MELD Exceptions for Transplant Oncology document is review-board guidance and not policy. The Child-Pugh, ECOG and LI-RADS tables in the quick reference are standard reference material rather than roadmap content, and must be verified against the ACR CT/MRI LI-RADS v2018 core and v2024 treatment-response algorithms before they are used for reporting. Status: draft for multidisciplinary and institutional governance review. Not active clinical policy. It does not replace clinician judgement, current drug labelling, OPTN policy, or patient-specific informed consent. Every criterion drawn from OPTN policy, drug labelling or device authorisation must be re-verified against the current source at implementation and at each scheduled review, and clinical transplant candidacy and allocation eligibility remain separate judgements.</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HCC_R1"/>
      <w:r>
        <w:t xml:space="preserve">HCC-R1 — Liver treatment after extrahepatic disease responds</w:t>
      </w:r>
      <w:bookmarkEnd w:id="16010"/>
    </w:p>
    <w:p>
      <w:pPr>
        <w:pStyle w:val="Normal"/>
        <w:widowControl/>
        <w:spacing w:after="120"/>
      </w:pPr>
      <w:r>
        <w:t xml:space="preserve">Status: Proposed; MDT selection. OPEN proposal for multidisciplinary review; not activated.</w:t>
      </w:r>
    </w:p>
    <w:p>
      <w:pPr>
        <w:pStyle w:val="Normal"/>
        <w:widowControl/>
        <w:spacing w:after="120"/>
      </w:pPr>
      <w:r>
        <w:t xml:space="preserve">Question: After extrahepatic HCC responds to systemic therapy or is treated locally, when should resection or ablation of the liver tumor be offered?</w:t>
      </w:r>
    </w:p>
    <w:p>
      <w:pPr>
        <w:pStyle w:val="Normal"/>
        <w:widowControl/>
        <w:spacing w:after="120"/>
      </w:pPr>
      <w:r>
        <w:t xml:space="preserve">Proposed position (OPEN): Offer curative-intent liver resection or ablation, with treatment of every residual extrahepatic site, only to selected patients after MDT review, and present it as life-prolonging multimodal therapy, not cure. Use the JLCA definition of localized extrahepatic spread; all other extrahepatic disease stays systemic-therapy-led. This roadmap position does not open transplantation (HCC-B5).</w:t>
      </w:r>
    </w:p>
    <w:p>
      <w:pPr>
        <w:pStyle w:val="Heading3"/>
        <w:widowControl/>
        <w:keepNext/>
      </w:pPr>
      <w:r>
        <w:t xml:space="preserve">Proposed rules</w:t>
      </w:r>
    </w:p>
    <w:p>
      <w:pPr>
        <w:pStyle w:val="Normal"/>
        <w:widowControl/>
        <w:spacing w:after="120"/>
        <w:numPr>
          <w:ilvl w:val="0"/>
          <w:numId w:val="6"/>
        </w:numPr>
      </w:pPr>
      <w:r>
        <w:t xml:space="preserve">Localized extrahepatic spread (JLCA 2023, BR1): a solitary node at station 3, 8 or 12; localized peritoneal disease (P1); a unilateral adrenal metastasis; or a few lung metastases. All other extrahepatic disease is BR2: benefit of surgery uncertain.</w:t>
      </w:r>
    </w:p>
    <w:p>
      <w:pPr>
        <w:pStyle w:val="Normal"/>
        <w:widowControl/>
        <w:spacing w:after="120"/>
        <w:numPr>
          <w:ilvl w:val="0"/>
          <w:numId w:val="6"/>
        </w:numPr>
      </w:pPr>
      <w:r>
        <w:t xml:space="preserve">Before surgery: response or stable disease of every extrahepatic site on serial imaging, no new lesions, current whole-body staging, every intrahepatic and extrahepatic site treatable (resection, ablation or stereotactic radiotherapy), adequate liver reserve, ECOG 0–1. No guideline sets the interval; the MDT records the interval it uses.</w:t>
      </w:r>
    </w:p>
    <w:p>
      <w:pPr>
        <w:pStyle w:val="Normal"/>
        <w:widowControl/>
        <w:spacing w:after="120"/>
        <w:numPr>
          <w:ilvl w:val="0"/>
          <w:numId w:val="6"/>
        </w:numPr>
      </w:pPr>
      <w:r>
        <w:t xml:space="preserve">AASLD 2023 does not support systemic therapy before resection outside trials. Record the decision as an MDT exception or enroll in a study or registry; plan continued systemic therapy and surveillance.</w:t>
      </w:r>
    </w:p>
    <w:p>
      <w:pPr>
        <w:pStyle w:val="Normal"/>
        <w:widowControl/>
        <w:spacing w:after="120"/>
        <w:numPr>
          <w:ilvl w:val="0"/>
          <w:numId w:val="6"/>
        </w:numPr>
      </w:pPr>
      <w:r>
        <w:t xml:space="preserve">Counsel that recurrence is the rule: after stereotactic radiotherapy to oligometastases, 2-year progression-free survival was 0%; after borderline-resectable surgery, 3-year recurrence-free survival was 19.7%.</w:t>
      </w:r>
    </w:p>
    <w:p>
      <w:pPr>
        <w:pStyle w:val="Normal"/>
        <w:widowControl/>
        <w:spacing w:after="120"/>
      </w:pPr>
      <w:r>
        <w:t xml:space="preserve">Why: National and multicentre cohorts associate surgery after response with longer survival, but every comparison is biased toward the operated patients. JLCA gives the only explicit definition of the limited extrahepatic disease for which surgery may help.</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JLCA/JSHBPS 2023 resectability consensus (Akahoshi 2024)</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Japanese expert consensus on oncological resectability (17 panelists). Statement 9 (15/17): extrahepatic spread is basically BR2; localized spread could be BR1 (solitary node at station 3, 8 or 12; P1 peritoneum; unilateral adrenal; few lung metastases).</w:t>
            </w:r>
          </w:p>
        </w:tc>
        <w:tc>
          <w:tcPr>
            <w:tcW w:w="4180" w:type="dxa"/>
            <w:vAlign w:val="top"/>
            <w:shd w:fill="F1F5F8"/>
          </w:tcPr>
          <w:p>
            <w:pPr>
              <w:pStyle w:val="Normal"/>
              <w:widowControl/>
              <w:spacing w:after="55" w:line="240" w:lineRule="auto"/>
              <w:keepNext w:val="0"/>
              <w:keepLines/>
            </w:pPr>
            <w:r>
              <w:rPr>
                <w:sz w:val="21"/>
                <w:szCs w:val="21"/>
              </w:rPr>
              <w:t xml:space="preserve">Results: Cites 5-year survival of 29.5% after resection of node-positive HCC and 27–66% after lung metastasectomy.</w:t>
            </w:r>
          </w:p>
          <w:p>
            <w:pPr>
              <w:pStyle w:val="Normal"/>
              <w:widowControl/>
              <w:spacing w:after="55" w:line="240" w:lineRule="auto"/>
              <w:keepNext w:val="0"/>
              <w:keepLines/>
            </w:pPr>
            <w:r>
              <w:rPr>
                <w:sz w:val="21"/>
                <w:szCs w:val="21"/>
              </w:rPr>
              <w:t xml:space="preserve">Limits: Surgeon-only panel; a classification, not a treatment recommendation; permissive (“could be”); no response or interval criteria.</w:t>
            </w:r>
          </w:p>
          <w:p>
            <w:pPr>
              <w:pStyle w:val="Normal"/>
              <w:widowControl/>
              <w:spacing w:after="55" w:line="240" w:lineRule="auto"/>
              <w:keepNext w:val="0"/>
              <w:keepLines/>
            </w:pPr>
            <w:r>
              <w:rPr>
                <w:sz w:val="21"/>
                <w:szCs w:val="21"/>
              </w:rPr>
              <w:t xml:space="preserve">Liver Cancer 2024; Statement 9 and summary.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E1OS8wMDA1Mzg2Mjc8L3VybD48L3JlbGF0ZWQtdXJscz48L3VybHM+PC9yZWNvcmQ+PC9DaXRlPjwvRW5kTm90ZT4=</w:fldData>
              </w:fldChar>
            </w:r>
            <w:r>
              <w:instrText xml:space="preserve"> ADDIN EN.CITE.DATA </w:instrText>
            </w:r>
            <w:r>
              <w:fldChar w:fldCharType="end"/>
            </w:r>
            <w:r>
              <w:fldChar w:fldCharType="separate"/>
            </w:r>
            <w:r>
              <w:t xml:space="preserve">[V16-39]</w:t>
            </w:r>
            <w:r>
              <w:fldChar w:fldCharType="end"/>
            </w:r>
            <w:r>
              <w:br/>
            </w:r>
            <w:hyperlink r:id="rId41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Zhang 2024 · surgery after response with EHD</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15-centre cohort, 150 patients with extrahepatic metastases whose intrahepatic tumor reached partial or complete response (mRECIST). Only 8 of 26 operated patients had their metastases removed; 85% had partial (not complete) response of extrahepatic disease.</w:t>
            </w:r>
          </w:p>
        </w:tc>
        <w:tc>
          <w:tcPr>
            <w:tcW w:w="4180" w:type="dxa"/>
            <w:vAlign w:val="top"/>
            <w:shd w:fill="FFFFFF"/>
          </w:tcPr>
          <w:p>
            <w:pPr>
              <w:pStyle w:val="Normal"/>
              <w:widowControl/>
              <w:spacing w:after="55" w:line="240" w:lineRule="auto"/>
              <w:keepNext w:val="0"/>
              <w:keepLines/>
            </w:pPr>
            <w:r>
              <w:rPr>
                <w:sz w:val="21"/>
                <w:szCs w:val="21"/>
              </w:rPr>
              <w:t xml:space="preserve">Results: Median survival 16.5 vs 11.3 months from response (surgery vs none); progression-free survival not different.</w:t>
            </w:r>
          </w:p>
          <w:p>
            <w:pPr>
              <w:pStyle w:val="Normal"/>
              <w:widowControl/>
              <w:spacing w:after="55" w:line="240" w:lineRule="auto"/>
              <w:keepNext w:val="0"/>
              <w:keepLines/>
            </w:pPr>
            <w:r>
              <w:rPr>
                <w:sz w:val="21"/>
                <w:szCs w:val="21"/>
              </w:rPr>
              <w:t xml:space="preserve">Limits: Immortal-time bias; operated patients more often oligometastatic; counts inconsistent.</w:t>
            </w:r>
          </w:p>
          <w:p>
            <w:pPr>
              <w:pStyle w:val="Normal"/>
              <w:widowControl/>
              <w:spacing w:after="55" w:line="240" w:lineRule="auto"/>
              <w:keepNext w:val="0"/>
              <w:keepLines/>
            </w:pPr>
            <w:r>
              <w:rPr>
                <w:sz w:val="21"/>
                <w:szCs w:val="21"/>
              </w:rPr>
              <w:t xml:space="preserve">Sci Rep 2024;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zOC9zNDE1OTgtMDI0LTYwMzc5LXg8L3VybD48L3JlbGF0ZWQtdXJscz48L3VybHM+PC9yZWNvcmQ+PC9DaXRlPjwvRW5kTm90ZT4=</w:fldData>
              </w:fldChar>
            </w:r>
            <w:r>
              <w:instrText xml:space="preserve"> ADDIN EN.CITE.DATA </w:instrText>
            </w:r>
            <w:r>
              <w:fldChar w:fldCharType="end"/>
            </w:r>
            <w:r>
              <w:fldChar w:fldCharType="separate"/>
            </w:r>
            <w:r>
              <w:t xml:space="preserve">[V16-40]</w:t>
            </w:r>
            <w:r>
              <w:fldChar w:fldCharType="end"/>
            </w:r>
            <w:r>
              <w:br/>
            </w:r>
            <w:hyperlink r:id="rId415">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Choi 2025 · NCDB curative treatment after ICI</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US national cancer database, 4,329 patients on first-line immunotherapy. 138 (3.2%) had curative treatment afterwards, including 15 with distant and 10 with nodal metastasis.</w:t>
            </w:r>
          </w:p>
        </w:tc>
        <w:tc>
          <w:tcPr>
            <w:tcW w:w="4180" w:type="dxa"/>
            <w:vAlign w:val="top"/>
            <w:shd w:fill="F1F5F8"/>
          </w:tcPr>
          <w:p>
            <w:pPr>
              <w:pStyle w:val="Normal"/>
              <w:widowControl/>
              <w:spacing w:after="55" w:line="240" w:lineRule="auto"/>
              <w:keepNext w:val="0"/>
              <w:keepLines/>
            </w:pPr>
            <w:r>
              <w:rPr>
                <w:sz w:val="21"/>
                <w:szCs w:val="21"/>
              </w:rPr>
              <w:t xml:space="preserve">Results: Propensity-matched HR 0.22 (0.14–0.33) for death with curative treatment.</w:t>
            </w:r>
          </w:p>
          <w:p>
            <w:pPr>
              <w:pStyle w:val="Normal"/>
              <w:widowControl/>
              <w:spacing w:after="55" w:line="240" w:lineRule="auto"/>
              <w:keepNext w:val="0"/>
              <w:keepLines/>
            </w:pPr>
            <w:r>
              <w:rPr>
                <w:sz w:val="21"/>
                <w:szCs w:val="21"/>
              </w:rPr>
              <w:t xml:space="preserve">Limits: Immortal-time bias; curative intent uncertain; modality not separated for the 15 distant and 10 nodal patients.</w:t>
            </w:r>
          </w:p>
          <w:p>
            <w:pPr>
              <w:pStyle w:val="Normal"/>
              <w:widowControl/>
              <w:spacing w:after="55" w:line="240" w:lineRule="auto"/>
              <w:keepNext w:val="0"/>
              <w:keepLines/>
            </w:pPr>
            <w:r>
              <w:rPr>
                <w:sz w:val="21"/>
                <w:szCs w:val="21"/>
              </w:rPr>
              <w:t xml:space="preserve">Liver Cancer 2025;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U5LzAwMDU0NzIzMDwvdXJsPjwvcmVsYXRlZC11cmxzPjwvdXJscz48L3JlY29yZD48L0NpdGU+PC9FbmROb3RlPg==</w:fldData>
              </w:fldChar>
            </w:r>
            <w:r>
              <w:instrText xml:space="preserve"> ADDIN EN.CITE.DATA </w:instrText>
            </w:r>
            <w:r>
              <w:fldChar w:fldCharType="end"/>
            </w:r>
            <w:r>
              <w:fldChar w:fldCharType="separate"/>
            </w:r>
            <w:r>
              <w:t xml:space="preserve">[V16-41]</w:t>
            </w:r>
            <w:r>
              <w:fldChar w:fldCharType="end"/>
            </w:r>
            <w:r>
              <w:br/>
            </w:r>
            <w:hyperlink r:id="rId416">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Hasegawa 2014 · node-positive HCC, Japanese survey</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Japanese national survey, 14,872 resections. 112 with pathologically proven nodal metastasis.</w:t>
            </w:r>
          </w:p>
        </w:tc>
        <w:tc>
          <w:tcPr>
            <w:tcW w:w="4180" w:type="dxa"/>
            <w:vAlign w:val="top"/>
            <w:shd w:fill="FFFFFF"/>
          </w:tcPr>
          <w:p>
            <w:pPr>
              <w:pStyle w:val="Normal"/>
              <w:widowControl/>
              <w:spacing w:after="55" w:line="240" w:lineRule="auto"/>
              <w:keepNext w:val="0"/>
              <w:keepLines/>
            </w:pPr>
            <w:r>
              <w:rPr>
                <w:sz w:val="21"/>
                <w:szCs w:val="21"/>
              </w:rPr>
              <w:t xml:space="preserve">Results: 3-year survival 38.9% (nodal) vs 27.2% (distant stage IVB).</w:t>
            </w:r>
          </w:p>
          <w:p>
            <w:pPr>
              <w:pStyle w:val="Normal"/>
              <w:widowControl/>
              <w:spacing w:after="55" w:line="240" w:lineRule="auto"/>
              <w:keepNext w:val="0"/>
              <w:keepLines/>
            </w:pPr>
            <w:r>
              <w:rPr>
                <w:sz w:val="21"/>
                <w:szCs w:val="21"/>
              </w:rPr>
              <w:t xml:space="preserve">Limits: Pre-immunotherapy era; surgeon-selected patients.</w:t>
            </w:r>
          </w:p>
          <w:p>
            <w:pPr>
              <w:pStyle w:val="Normal"/>
              <w:widowControl/>
              <w:spacing w:after="55" w:line="240" w:lineRule="auto"/>
              <w:keepNext w:val="0"/>
              <w:keepLines/>
            </w:pPr>
            <w:r>
              <w:rPr>
                <w:sz w:val="21"/>
                <w:szCs w:val="21"/>
              </w:rPr>
              <w:t xml:space="preserve">Ann Surg 2014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</w:fldData>
              </w:fldChar>
            </w:r>
            <w:r>
              <w:instrText xml:space="preserve"> ADDIN EN.CITE.DATA </w:instrText>
            </w:r>
            <w:r>
              <w:fldChar w:fldCharType="end"/>
            </w:r>
            <w:r>
              <w:fldChar w:fldCharType="separate"/>
            </w:r>
            <w:r>
              <w:t xml:space="preserve">[V16-42]</w:t>
            </w:r>
            <w:r>
              <w:fldChar w:fldCharType="end"/>
            </w:r>
            <w:r>
              <w:br/>
            </w:r>
            <w:hyperlink r:id="rId417">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Midorikawa 2020 · resection of extrahepatic recurrence</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Comparison of 64 patients with extrahepatic recurrence and controlled liver disease. Nodes, adrenal, peritoneum, lung or brain; resectable.</w:t>
            </w:r>
          </w:p>
        </w:tc>
        <w:tc>
          <w:tcPr>
            <w:tcW w:w="4180" w:type="dxa"/>
            <w:vAlign w:val="top"/>
            <w:shd w:fill="F1F5F8"/>
          </w:tcPr>
          <w:p>
            <w:pPr>
              <w:pStyle w:val="Normal"/>
              <w:widowControl/>
              <w:spacing w:after="55" w:line="240" w:lineRule="auto"/>
              <w:keepNext w:val="0"/>
              <w:keepLines/>
            </w:pPr>
            <w:r>
              <w:rPr>
                <w:sz w:val="21"/>
                <w:szCs w:val="21"/>
              </w:rPr>
              <w:t xml:space="preserve">Results: 5-year survival 60.5% with resection vs 9.1% without.</w:t>
            </w:r>
          </w:p>
          <w:p>
            <w:pPr>
              <w:pStyle w:val="Normal"/>
              <w:widowControl/>
              <w:spacing w:after="55" w:line="240" w:lineRule="auto"/>
              <w:keepNext w:val="0"/>
              <w:keepLines/>
            </w:pPr>
            <w:r>
              <w:rPr>
                <w:sz w:val="21"/>
                <w:szCs w:val="21"/>
              </w:rPr>
              <w:t xml:space="preserve">Limits: Small, strongly selected, pre-immunotherapy.</w:t>
            </w:r>
          </w:p>
          <w:p>
            <w:pPr>
              <w:pStyle w:val="Normal"/>
              <w:widowControl/>
              <w:spacing w:after="55" w:line="240" w:lineRule="auto"/>
              <w:keepNext w:val="0"/>
              <w:keepLines/>
            </w:pPr>
            <w:r>
              <w:rPr>
                <w:sz w:val="21"/>
                <w:szCs w:val="21"/>
              </w:rPr>
              <w:t xml:space="preserve">Hepatol Res 2020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</w:fldData>
              </w:fldChar>
            </w:r>
            <w:r>
              <w:instrText xml:space="preserve"> ADDIN EN.CITE.DATA </w:instrText>
            </w:r>
            <w:r>
              <w:fldChar w:fldCharType="end"/>
            </w:r>
            <w:r>
              <w:fldChar w:fldCharType="separate"/>
            </w:r>
            <w:r>
              <w:t xml:space="preserve">[V16-43]</w:t>
            </w:r>
            <w:r>
              <w:fldChar w:fldCharType="end"/>
            </w:r>
            <w:r>
              <w:br/>
            </w:r>
            <w:hyperlink r:id="rId418">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Choi 2024 · SABR for oligometastatic HCC, phase II</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Phase II trial, 40 patients with controlled HCC and 1–5 metastases. Stereotactic ablative radiotherapy to all metastases.</w:t>
            </w:r>
          </w:p>
        </w:tc>
        <w:tc>
          <w:tcPr>
            <w:tcW w:w="4180" w:type="dxa"/>
            <w:vAlign w:val="top"/>
            <w:shd w:fill="FFFFFF"/>
          </w:tcPr>
          <w:p>
            <w:pPr>
              <w:pStyle w:val="Normal"/>
              <w:widowControl/>
              <w:spacing w:after="55" w:line="240" w:lineRule="auto"/>
              <w:keepNext w:val="0"/>
              <w:keepLines/>
            </w:pPr>
            <w:r>
              <w:rPr>
                <w:sz w:val="21"/>
                <w:szCs w:val="21"/>
              </w:rPr>
              <w:t xml:space="preserve">Results: 2-year survival 80%; 2-year progression-free survival 0%.</w:t>
            </w:r>
          </w:p>
          <w:p>
            <w:pPr>
              <w:pStyle w:val="Normal"/>
              <w:widowControl/>
              <w:spacing w:after="55" w:line="240" w:lineRule="auto"/>
              <w:keepNext w:val="0"/>
              <w:keepLines/>
            </w:pPr>
            <w:r>
              <w:rPr>
                <w:sz w:val="21"/>
                <w:szCs w:val="21"/>
              </w:rPr>
              <w:t xml:space="preserve">Limits: Single arm, short follow-up.</w:t>
            </w:r>
          </w:p>
          <w:p>
            <w:pPr>
              <w:pStyle w:val="Normal"/>
              <w:widowControl/>
              <w:spacing w:after="55" w:line="240" w:lineRule="auto"/>
              <w:keepNext w:val="0"/>
              <w:keepLines/>
            </w:pPr>
            <w:r>
              <w:rPr>
                <w:sz w:val="21"/>
                <w:szCs w:val="21"/>
              </w:rPr>
              <w:t xml:space="preserve">J Hepatol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</w:fldData>
              </w:fldChar>
            </w:r>
            <w:r>
              <w:instrText xml:space="preserve"> ADDIN EN.CITE.DATA </w:instrText>
            </w:r>
            <w:r>
              <w:fldChar w:fldCharType="end"/>
            </w:r>
            <w:r>
              <w:fldChar w:fldCharType="separate"/>
            </w:r>
            <w:r>
              <w:t xml:space="preserve">[V16-44]</w:t>
            </w:r>
            <w:r>
              <w:fldChar w:fldCharType="end"/>
            </w:r>
            <w:r>
              <w:br/>
            </w:r>
            <w:hyperlink r:id="rId419">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Shin 2024 · lung metastasectomy vs SBRT</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Weighted comparison, 209 patients with lung oligometastases. Metastasectomy vs stereotactic radiotherapy.</w:t>
            </w:r>
          </w:p>
        </w:tc>
        <w:tc>
          <w:tcPr>
            <w:tcW w:w="4180" w:type="dxa"/>
            <w:vAlign w:val="top"/>
            <w:shd w:fill="F1F5F8"/>
          </w:tcPr>
          <w:p>
            <w:pPr>
              <w:pStyle w:val="Normal"/>
              <w:widowControl/>
              <w:spacing w:after="55" w:line="240" w:lineRule="auto"/>
              <w:keepNext w:val="0"/>
              <w:keepLines/>
            </w:pPr>
            <w:r>
              <w:rPr>
                <w:sz w:val="21"/>
                <w:szCs w:val="21"/>
              </w:rPr>
              <w:t xml:space="preserve">Results: 2-year local control 98.2% vs 97.0% (unweighted); weighted 2-year progression-free survival 23.0% vs 24.7%.</w:t>
            </w:r>
          </w:p>
          <w:p>
            <w:pPr>
              <w:pStyle w:val="Normal"/>
              <w:widowControl/>
              <w:spacing w:after="55" w:line="240" w:lineRule="auto"/>
              <w:keepNext w:val="0"/>
              <w:keepLines/>
            </w:pPr>
            <w:r>
              <w:rPr>
                <w:sz w:val="21"/>
                <w:szCs w:val="21"/>
              </w:rPr>
              <w:t xml:space="preserve">Limits: No systemic-only comparator.</w:t>
            </w:r>
          </w:p>
          <w:p>
            <w:pPr>
              <w:pStyle w:val="Normal"/>
              <w:widowControl/>
              <w:spacing w:after="55" w:line="240" w:lineRule="auto"/>
              <w:keepNext w:val="0"/>
              <w:keepLines/>
            </w:pPr>
            <w:r>
              <w:rPr>
                <w:sz w:val="21"/>
                <w:szCs w:val="21"/>
              </w:rPr>
              <w:t xml:space="preserve">Int J Radiat Oncol Biol Phys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r>
              <w:br/>
            </w:r>
            <w:hyperlink r:id="rId420">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Shindoh 2025 · borderline-resectable HCC</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Nationwide Japanese study, 1,509 borderline-resectable HCC. BR1 as defined by the 2023 consensus, which includes localized extrahepatic spread; the number with extrahepatic spread is not given in the abstract.</w:t>
            </w:r>
          </w:p>
        </w:tc>
        <w:tc>
          <w:tcPr>
            <w:tcW w:w="4180" w:type="dxa"/>
            <w:vAlign w:val="top"/>
            <w:shd w:fill="FFFFFF"/>
          </w:tcPr>
          <w:p>
            <w:pPr>
              <w:pStyle w:val="Normal"/>
              <w:widowControl/>
              <w:spacing w:after="55" w:line="240" w:lineRule="auto"/>
              <w:keepNext w:val="0"/>
              <w:keepLines/>
            </w:pPr>
            <w:r>
              <w:rPr>
                <w:sz w:val="21"/>
                <w:szCs w:val="21"/>
              </w:rPr>
              <w:t xml:space="preserve">Results: 5-year disease-specific survival 40.8%; 3-year recurrence-free survival 19.7%.</w:t>
            </w:r>
          </w:p>
          <w:p>
            <w:pPr>
              <w:pStyle w:val="Normal"/>
              <w:widowControl/>
              <w:spacing w:after="55" w:line="240" w:lineRule="auto"/>
              <w:keepNext w:val="0"/>
              <w:keepLines/>
            </w:pPr>
            <w:r>
              <w:rPr>
                <w:sz w:val="21"/>
                <w:szCs w:val="21"/>
              </w:rPr>
              <w:t xml:space="preserve">Limits: No extrahepatic subgroup in the abstract.</w:t>
            </w:r>
          </w:p>
          <w:p>
            <w:pPr>
              <w:pStyle w:val="Normal"/>
              <w:widowControl/>
              <w:spacing w:after="55" w:line="240" w:lineRule="auto"/>
              <w:keepNext w:val="0"/>
              <w:keepLines/>
            </w:pPr>
            <w:r>
              <w:rPr>
                <w:sz w:val="21"/>
                <w:szCs w:val="21"/>
              </w:rPr>
              <w:t xml:space="preserve">J Hepatobiliary Pancreat Sci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</w:fldData>
              </w:fldChar>
            </w:r>
            <w:r>
              <w:instrText xml:space="preserve"> ADDIN EN.CITE.DATA </w:instrText>
            </w:r>
            <w:r>
              <w:fldChar w:fldCharType="end"/>
            </w:r>
            <w:r>
              <w:fldChar w:fldCharType="separate"/>
            </w:r>
            <w:r>
              <w:t xml:space="preserve">[V16-46]</w:t>
            </w:r>
            <w:r>
              <w:fldChar w:fldCharType="end"/>
            </w:r>
            <w:r>
              <w:br/>
            </w:r>
            <w:hyperlink r:id="rId42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AASLD 2023 HCC practice guidance</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AASLD 2023 practice guidance. No section on surgery after treated extrahepatic disease.</w:t>
            </w:r>
          </w:p>
        </w:tc>
        <w:tc>
          <w:tcPr>
            <w:tcW w:w="4180" w:type="dxa"/>
            <w:vAlign w:val="top"/>
            <w:shd w:fill="F1F5F8"/>
          </w:tcPr>
          <w:p>
            <w:pPr>
              <w:pStyle w:val="Normal"/>
              <w:widowControl/>
              <w:spacing w:after="55" w:line="240" w:lineRule="auto"/>
              <w:keepNext w:val="0"/>
              <w:keepLines/>
            </w:pPr>
            <w:r>
              <w:rPr>
                <w:sz w:val="21"/>
                <w:szCs w:val="21"/>
              </w:rPr>
              <w:t xml:space="preserve">Results: Does not recommend systemic therapy before resection outside trials.</w:t>
            </w:r>
          </w:p>
          <w:p>
            <w:pPr>
              <w:pStyle w:val="Normal"/>
              <w:widowControl/>
              <w:spacing w:after="55" w:line="240" w:lineRule="auto"/>
              <w:keepNext w:val="0"/>
              <w:keepLines/>
            </w:pPr>
            <w:r>
              <w:rPr>
                <w:sz w:val="21"/>
                <w:szCs w:val="21"/>
              </w:rPr>
              <w:t xml:space="preserve">Limits: Pre-dates most conversion data.</w:t>
            </w:r>
          </w:p>
          <w:p>
            <w:pPr>
              <w:pStyle w:val="Normal"/>
              <w:widowControl/>
              <w:spacing w:after="55" w:line="240" w:lineRule="auto"/>
              <w:keepNext w:val="0"/>
              <w:keepLines/>
            </w:pPr>
            <w:r>
              <w:rPr>
                <w:sz w:val="21"/>
                <w:szCs w:val="21"/>
              </w:rPr>
              <w:t xml:space="preserve">Hepatology 2023 (relevant sections read).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br/>
            </w:r>
            <w:hyperlink r:id="rId422">
              <w:r>
                <w:rPr>
                  <w:color w:val="0563C1"/>
                  <w:u w:val="single"/>
                </w:rPr>
                <w:t>Source</w:t>
              </w:r>
            </w:hyperlink>
            <w:r>
              <w:t xml:space="preserve"> · </w:t>
            </w:r>
            <w:hyperlink r:id="rId423">
              <w:r>
                <w:rPr>
                  <w:color w:val="0563C1"/>
                  <w:u w:val="single"/>
                </w:rPr>
                <w:t>PDF</w:t>
              </w:r>
            </w:hyperlink>
          </w:p>
        </w:tc>
      </w:tr>
    </w:tbl>
    <w:p>
      <w:pPr>
        <w:pStyle w:val="Normal"/>
        <w:widowControl/>
        <w:spacing w:after="120"/>
      </w:pPr>
      <w:r>
        <w:t xml:space="preserve"/>
      </w:r>
    </w:p>
    <w:p>
      <w:pPr>
        <w:pStyle w:val="Normal"/>
        <w:widowControl/>
        <w:spacing w:after="120"/>
      </w:pPr>
      <w:r>
        <w:t xml:space="preserve">Against, or uncertain: All cohorts select fit patients with few lesions; benefit may reflect biology rather than surgery. AASLD does not support preoperative systemic therapy outside trials.</w:t>
      </w:r>
    </w:p>
    <w:p>
      <w:pPr>
        <w:pStyle w:val="Normal"/>
        <w:widowControl/>
        <w:spacing w:after="120"/>
      </w:pPr>
      <w:r>
        <w:t xml:space="preserve">Certainty: Low for longer survival after resection of limited, responded extrahepatic disease; very low for cure.</w:t>
      </w:r>
    </w:p>
    <w:p>
      <w:pPr>
        <w:pStyle w:val="Normal"/>
        <w:widowControl/>
        <w:spacing w:after="120"/>
      </w:pPr>
      <w:r>
        <w:t xml:space="preserve">What would change the answer: Prospective or randomized data on surgery after response in oligometastatic HCC.</w:t>
      </w:r>
    </w:p>
    <w:p>
      <w:pPr>
        <w:pStyle w:val="Heading3"/>
        <w:widowControl/>
        <w:keepNext/>
      </w:pPr>
      <w:r>
        <w:t xml:space="preserve">HCC-R1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t xml:space="preserve">Original roadmap references and study critiques are retained below. The newly linked treatment-matrix references are listed separately at the end; this update does not claim a fresh full reread of every retained source.</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2023. </w:t>
      </w:r>
      <w:r>
        <w:rPr>
          <w:sz w:val="17"/>
          <w:szCs w:val="17"/>
        </w:rPr>
        <w:t xml:space="preserve">Singal AG, Llovet JM, Yarchoan M, et al. AASLD Practice Guidance on prevention, diagnosis, and treatment of hepatocellular carcinoma. Hepatology. 2023;78(6):1922-1965.</w:t>
      </w:r>
    </w:p>
    <w:p>
      <w:pPr>
        <w:spacing w:after="70"/>
        <w:ind w:left="360" w:hanging="360"/>
      </w:pPr>
      <w:r>
        <w:rPr>
          <w:b/>
          <w:bCs/>
          <w:color w:val="17365D"/>
          <w:sz w:val="17"/>
          <w:szCs w:val="17"/>
        </w:rPr>
        <w:t xml:space="preserve">AASLD critical update. </w:t>
      </w:r>
      <w:r>
        <w:rPr>
          <w:sz w:val="17"/>
          <w:szCs w:val="17"/>
        </w:rPr>
        <w:t xml:space="preserve">Taddei TH, Brown DB, Yarchoan M, et al. Critical Update: AASLD Practice Guidance on prevention, diagnosis, and treatment of hepatocellular carcinoma. Hepatology. 2025;82(1):272-274.</w:t>
      </w:r>
    </w:p>
    <w:p>
      <w:pPr>
        <w:spacing w:after="70"/>
        <w:ind w:left="360" w:hanging="360"/>
      </w:pPr>
      <w:r>
        <w:rPr>
          <w:b/>
          <w:bCs/>
          <w:color w:val="17365D"/>
          <w:sz w:val="17"/>
          <w:szCs w:val="17"/>
        </w:rPr>
        <w:t xml:space="preserve">ASTRO EBRT. </w:t>
      </w:r>
      <w:r>
        <w:rPr>
          <w:sz w:val="17"/>
          <w:szCs w:val="17"/>
        </w:rPr>
        <w:t xml:space="preserve">Apisarnthanarax S, Barry A, Cao M, et al. External beam radiation therapy for primary liver cancers: an ASTRO clinical practice guideline. Pract Radiat Oncol. 2022;12(1):28-51.</w:t>
      </w:r>
    </w:p>
    <w:p>
      <w:pPr>
        <w:spacing w:after="70"/>
        <w:ind w:left="360" w:hanging="360"/>
      </w:pPr>
      <w:r>
        <w:rPr>
          <w:b/>
          <w:bCs/>
          <w:color w:val="17365D"/>
          <w:sz w:val="17"/>
          <w:szCs w:val="17"/>
        </w:rPr>
        <w:t xml:space="preserve">BCLC 2022. </w:t>
      </w:r>
      <w:r>
        <w:rPr>
          <w:sz w:val="17"/>
          <w:szCs w:val="17"/>
        </w:rPr>
        <w:t xml:space="preserve">Reig M, Forner A, Rimola J, et al. BCLC strategy for prognosis prediction and treatment recommendation: the 2022 update. J Hepatol. 2022;76(3):681-693.</w:t>
      </w:r>
    </w:p>
    <w:p>
      <w:pPr>
        <w:spacing w:after="70"/>
        <w:ind w:left="360" w:hanging="360"/>
      </w:pPr>
      <w:r>
        <w:rPr>
          <w:b/>
          <w:bCs/>
          <w:color w:val="17365D"/>
          <w:sz w:val="17"/>
          <w:szCs w:val="17"/>
        </w:rPr>
        <w:t xml:space="preserve">BCLC 2026. </w:t>
      </w:r>
      <w:r>
        <w:rPr>
          <w:sz w:val="17"/>
          <w:szCs w:val="17"/>
        </w:rPr>
        <w:t xml:space="preserve">Reig M, Sanduzzi-Zamparelli M, Forner A, et al. BCLC strategy for prognosis prediction and treatment recommendations: the 2026 update. J Hepatol. 2026;84(3):631-654.</w:t>
      </w:r>
    </w:p>
    <w:p>
      <w:pPr>
        <w:spacing w:after="70"/>
        <w:ind w:left="360" w:hanging="360"/>
      </w:pPr>
      <w:r>
        <w:rPr>
          <w:b/>
          <w:bCs/>
          <w:color w:val="17365D"/>
          <w:sz w:val="17"/>
          <w:szCs w:val="17"/>
        </w:rPr>
        <w:t xml:space="preserve">EASL 2025. </w:t>
      </w:r>
      <w:r>
        <w:rPr>
          <w:sz w:val="17"/>
          <w:szCs w:val="17"/>
        </w:rPr>
        <w:t xml:space="preserve">EASL Clinical Practice Guidelines on the management of hepatocellular carcinoma. J Hepatol. 2025;82(2):315-374.</w:t>
      </w:r>
    </w:p>
    <w:p>
      <w:pPr>
        <w:spacing w:after="70"/>
        <w:ind w:left="360" w:hanging="360"/>
      </w:pPr>
      <w:r>
        <w:rPr>
          <w:b/>
          <w:bCs/>
          <w:color w:val="17365D"/>
          <w:sz w:val="17"/>
          <w:szCs w:val="17"/>
        </w:rPr>
        <w:t xml:space="preserve">LI-RADS. </w:t>
      </w:r>
      <w:r>
        <w:rPr>
          <w:sz w:val="17"/>
          <w:szCs w:val="17"/>
        </w:rPr>
        <w:t xml:space="preserve">American College of Radiology. CT/MRI LI-RADS v2018 core, CT/MRI Treatment Response Assessment v2024 (separate nonradiation and radiation algorithms), US LI-RADS Surveillance v2024.</w:t>
      </w:r>
    </w:p>
    <w:p>
      <w:pPr>
        <w:spacing w:after="70"/>
        <w:ind w:left="360" w:hanging="360"/>
      </w:pPr>
      <w:r>
        <w:rPr>
          <w:b/>
          <w:bCs/>
          <w:color w:val="17365D"/>
          <w:sz w:val="17"/>
          <w:szCs w:val="17"/>
        </w:rPr>
        <w:t xml:space="preserve">NCCN v2.2026. </w:t>
      </w:r>
      <w:r>
        <w:rPr>
          <w:sz w:val="17"/>
          <w:szCs w:val="17"/>
        </w:rPr>
        <w:t xml:space="preserve">National Comprehensive Cancer Network. NCCN Clinical Practice Guidelines in Oncology: Hepatocellular Carcinoma. Version 2.2026, 14 August 2026.</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Policy 9.5 MELD or PELD score exceptions. HRSA. Verify the current effective version before applying any criterion.</w:t>
      </w:r>
    </w:p>
    <w:p>
      <w:pPr>
        <w:pStyle w:val="Heading3"/>
        <w:keepNext/>
        <w:spacing w:after="110" w:before="240"/>
      </w:pPr>
      <w:r>
        <w:rPr>
          <w:rFonts w:ascii="Cambria" w:cs="Cambria" w:eastAsia="Cambria" w:hAnsi="Cambria"/>
          <w:b/>
          <w:bCs/>
          <w:color w:val="17365D"/>
          <w:sz w:val="22"/>
          <w:szCs w:val="22"/>
        </w:rPr>
        <w:t xml:space="preserve">Adjuvant therapy</w:t>
      </w:r>
    </w:p>
    <w:p>
      <w:pPr>
        <w:spacing w:after="70"/>
        <w:ind w:left="360" w:hanging="360"/>
      </w:pPr>
      <w:r>
        <w:rPr>
          <w:b/>
          <w:bCs/>
          <w:color w:val="17365D"/>
          <w:sz w:val="17"/>
          <w:szCs w:val="17"/>
        </w:rPr>
        <w:t xml:space="preserve">IMbrave050. </w:t>
      </w:r>
      <w:r>
        <w:rPr>
          <w:sz w:val="17"/>
          <w:szCs w:val="17"/>
        </w:rPr>
        <w:t xml:space="preserve">Qin S, Chen M, Cheng AL, et al. Atezolizumab plus bevacizumab versus active surveillance in patients with resected or ablated high-risk hepatocellular carcinoma (IMbrave050). Lancet. 2023;402(10415):1835-1847.</w:t>
      </w:r>
    </w:p>
    <w:p>
      <w:pPr>
        <w:spacing w:after="70"/>
        <w:ind w:left="360" w:hanging="360"/>
      </w:pPr>
      <w:r>
        <w:rPr>
          <w:b/>
          <w:bCs/>
          <w:color w:val="17365D"/>
          <w:sz w:val="17"/>
          <w:szCs w:val="17"/>
        </w:rPr>
        <w:t xml:space="preserve">IMbrave050 update. </w:t>
      </w:r>
      <w:r>
        <w:rPr>
          <w:sz w:val="17"/>
          <w:szCs w:val="17"/>
        </w:rPr>
        <w:t xml:space="preserve">Yopp A, Chen M, Cheng AL, et al. Updated data from IMbrave050: adjuvant atezolizumab plus bevacizumab for high-risk hepatocellular carcinoma. J Hepatol. 2026;84(6):1102-1111.</w:t>
      </w:r>
    </w:p>
    <w:p>
      <w:pPr>
        <w:pStyle w:val="Heading3"/>
        <w:keepNext/>
        <w:spacing w:after="110" w:before="240"/>
      </w:pPr>
      <w:r>
        <w:rPr>
          <w:rFonts w:ascii="Cambria" w:cs="Cambria" w:eastAsia="Cambria" w:hAnsi="Cambria"/>
          <w:b/>
          <w:bCs/>
          <w:color w:val="17365D"/>
          <w:sz w:val="22"/>
          <w:szCs w:val="22"/>
        </w:rPr>
        <w:t xml:space="preserve">Chemoembolisation</w:t>
      </w:r>
    </w:p>
    <w:p>
      <w:pPr>
        <w:spacing w:after="70"/>
        <w:ind w:left="360" w:hanging="360"/>
      </w:pPr>
      <w:r>
        <w:rPr>
          <w:b/>
          <w:bCs/>
          <w:color w:val="17365D"/>
          <w:sz w:val="17"/>
          <w:szCs w:val="17"/>
        </w:rPr>
        <w:t xml:space="preserve">DEB vs cTACE. </w:t>
      </w:r>
      <w:r>
        <w:rPr>
          <w:sz w:val="17"/>
          <w:szCs w:val="17"/>
        </w:rPr>
        <w:t xml:space="preserve">Golfieri R, Giampalma E, Renzulli M, et al. Randomised controlled trial of doxorubicin-eluting beads vs conventional chemoembolisation for hepatocellular carcinoma. Br J Cancer. 2014;111(2):255-264.</w:t>
      </w:r>
    </w:p>
    <w:p>
      <w:pPr>
        <w:spacing w:after="70"/>
        <w:ind w:left="360" w:hanging="360"/>
      </w:pPr>
      <w:r>
        <w:rPr>
          <w:b/>
          <w:bCs/>
          <w:color w:val="17365D"/>
          <w:sz w:val="17"/>
          <w:szCs w:val="17"/>
        </w:rPr>
        <w:t xml:space="preserve">PRECISION V. </w:t>
      </w:r>
      <w:r>
        <w:rPr>
          <w:sz w:val="17"/>
          <w:szCs w:val="17"/>
        </w:rPr>
        <w:t xml:space="preserve">Lammer J, Malagari K, Vogl T, et al. Prospective randomized study of doxorubicin-eluting-bead embolization in the treatment of hepatocellular carcinoma: results of the PRECISION V study. Cardiovasc Intervent Radiol. 2010;33(1):41-52.</w:t>
      </w:r>
    </w:p>
    <w:p>
      <w:pPr>
        <w:pStyle w:val="Heading3"/>
        <w:keepNext/>
        <w:spacing w:after="110" w:before="240"/>
      </w:pPr>
      <w:r>
        <w:rPr>
          <w:rFonts w:ascii="Cambria" w:cs="Cambria" w:eastAsia="Cambria" w:hAnsi="Cambria"/>
          <w:b/>
          <w:bCs/>
          <w:color w:val="17365D"/>
          <w:sz w:val="22"/>
          <w:szCs w:val="22"/>
        </w:rPr>
        <w:t xml:space="preserve">Histotripsy</w:t>
      </w:r>
    </w:p>
    <w:p>
      <w:pPr>
        <w:spacing w:after="70"/>
        <w:ind w:left="360" w:hanging="360"/>
      </w:pPr>
      <w:r>
        <w:rPr>
          <w:b/>
          <w:bCs/>
          <w:color w:val="17365D"/>
          <w:sz w:val="17"/>
          <w:szCs w:val="17"/>
        </w:rPr>
        <w:t xml:space="preserve">#HOPE4LIVER. </w:t>
      </w:r>
      <w:r>
        <w:rPr>
          <w:sz w:val="17"/>
          <w:szCs w:val="17"/>
        </w:rPr>
        <w:t xml:space="preserve">Mendiratta-Lala M, Wiggermann P, Pech M, et al. The #HOPE4LIVER single-arm pivotal trial for histotripsy of primary and metastatic liver tumors. Radiology. 2024;312(3):e233051.</w:t>
      </w:r>
    </w:p>
    <w:p>
      <w:pPr>
        <w:pStyle w:val="Heading3"/>
        <w:keepNext/>
        <w:spacing w:after="110" w:before="240"/>
      </w:pPr>
      <w:r>
        <w:rPr>
          <w:rFonts w:ascii="Cambria" w:cs="Cambria" w:eastAsia="Cambria" w:hAnsi="Cambria"/>
          <w:b/>
          <w:bCs/>
          <w:color w:val="17365D"/>
          <w:sz w:val="22"/>
          <w:szCs w:val="22"/>
        </w:rPr>
        <w:t xml:space="preserve">Locoregional + systemic</w:t>
      </w:r>
    </w:p>
    <w:p>
      <w:pPr>
        <w:spacing w:after="70"/>
        <w:ind w:left="360" w:hanging="360"/>
      </w:pPr>
      <w:r>
        <w:rPr>
          <w:b/>
          <w:bCs/>
          <w:color w:val="17365D"/>
          <w:sz w:val="17"/>
          <w:szCs w:val="17"/>
        </w:rPr>
        <w:t xml:space="preserve">EMERALD-1. </w:t>
      </w:r>
      <w:r>
        <w:rPr>
          <w:sz w:val="17"/>
          <w:szCs w:val="17"/>
        </w:rPr>
        <w:t xml:space="preserve">Sangro B, Kudo M, Erinjeri JP, et al. Durvalumab with or without bevacizumab with transarterial chemoembolisation in hepatocellular carcinoma (EMERALD-1). Lancet. 2025;405(10474):216-232.</w:t>
      </w:r>
    </w:p>
    <w:p>
      <w:pPr>
        <w:spacing w:after="70"/>
        <w:ind w:left="360" w:hanging="360"/>
      </w:pPr>
      <w:r>
        <w:rPr>
          <w:b/>
          <w:bCs/>
          <w:color w:val="17365D"/>
          <w:sz w:val="17"/>
          <w:szCs w:val="17"/>
        </w:rPr>
        <w:t xml:space="preserve">EMERALD-1 registry. </w:t>
      </w:r>
      <w:r>
        <w:rPr>
          <w:sz w:val="17"/>
          <w:szCs w:val="17"/>
        </w:rPr>
        <w:t xml:space="preserve">ClinicalTrials.gov NCT03778957 (EMERALD-1). Final overall-survival analysis did not demonstrate a benefit. Registry or sponsor disclosure; confirm against the peer-reviewed report before use.</w:t>
      </w:r>
    </w:p>
    <w:p>
      <w:pPr>
        <w:spacing w:after="70"/>
        <w:ind w:left="360" w:hanging="360"/>
      </w:pPr>
      <w:r>
        <w:rPr>
          <w:b/>
          <w:bCs/>
          <w:color w:val="17365D"/>
          <w:sz w:val="17"/>
          <w:szCs w:val="17"/>
        </w:rPr>
        <w:t xml:space="preserve">EMERALD-3. </w:t>
      </w:r>
      <w:r>
        <w:rPr>
          <w:sz w:val="17"/>
          <w:szCs w:val="17"/>
        </w:rPr>
        <w:t xml:space="preserve">Kudo M, Abou-Alfa GK, Ren Z, et al. Durvalumab and tremelimumab, with or without lenvatinib, combined with transarterial chemoembolisation in embolisation-eligible hepatocellular carcinoma (EMERALD-3). Lancet Oncol. 2026;27(9):1077-1093.</w:t>
      </w:r>
    </w:p>
    <w:p>
      <w:pPr>
        <w:spacing w:after="70"/>
        <w:ind w:left="360" w:hanging="360"/>
      </w:pPr>
      <w:r>
        <w:rPr>
          <w:b/>
          <w:bCs/>
          <w:color w:val="17365D"/>
          <w:sz w:val="17"/>
          <w:szCs w:val="17"/>
        </w:rPr>
        <w:t xml:space="preserve">FOHAIC-1. </w:t>
      </w:r>
      <w:r>
        <w:rPr>
          <w:sz w:val="17"/>
          <w:szCs w:val="17"/>
        </w:rPr>
        <w:t xml:space="preserve">Lyu N, Wang X, Li JB, et al. Arterial chemotherapy of oxaliplatin plus fluorouracil versus sorafenib in advanced hepatocellular carcinoma: a biomolecular exploratory, randomized, phase III trial (FOHAIC-1). J Clin Oncol. 2022;40(5):468-480.</w:t>
      </w:r>
    </w:p>
    <w:p>
      <w:pPr>
        <w:spacing w:after="70"/>
        <w:ind w:left="360" w:hanging="360"/>
      </w:pPr>
      <w:r>
        <w:rPr>
          <w:b/>
          <w:bCs/>
          <w:color w:val="17365D"/>
          <w:sz w:val="17"/>
          <w:szCs w:val="17"/>
        </w:rPr>
        <w:t xml:space="preserve">LEAP-012. </w:t>
      </w:r>
      <w:r>
        <w:rPr>
          <w:sz w:val="17"/>
          <w:szCs w:val="17"/>
        </w:rPr>
        <w:t xml:space="preserve">Kudo M, Ren Z, Guo Y, et al. Transarterial chemoembolisation combined with lenvatinib plus pembrolizumab versus dual placebo for unresectable, non-metastatic hepatocellular carcinoma (LEAP-012). Lancet. 2025;405(10474):203-215.</w:t>
      </w:r>
    </w:p>
    <w:p>
      <w:pPr>
        <w:spacing w:after="70"/>
        <w:ind w:left="360" w:hanging="360"/>
      </w:pPr>
      <w:r>
        <w:rPr>
          <w:b/>
          <w:bCs/>
          <w:color w:val="17365D"/>
          <w:sz w:val="17"/>
          <w:szCs w:val="17"/>
        </w:rPr>
        <w:t xml:space="preserve">LEAP-012 / EMERALD-1 commentary. </w:t>
      </w:r>
      <w:r>
        <w:rPr>
          <w:sz w:val="17"/>
          <w:szCs w:val="17"/>
        </w:rPr>
        <w:t xml:space="preserve">Singal AG, Garcia-Reyes K, Kelley RK, Kim E. Impact of LEAP-012 and EMERALD-1 in the management of HCC. JHEP Rep. 2026;8:101664.</w:t>
      </w:r>
    </w:p>
    <w:p>
      <w:pPr>
        <w:spacing w:after="70"/>
        <w:ind w:left="360" w:hanging="360"/>
      </w:pPr>
      <w:r>
        <w:rPr>
          <w:b/>
          <w:bCs/>
          <w:color w:val="17365D"/>
          <w:sz w:val="17"/>
          <w:szCs w:val="17"/>
        </w:rPr>
        <w:t xml:space="preserve">LEAP-012 registry. </w:t>
      </w:r>
      <w:r>
        <w:rPr>
          <w:sz w:val="17"/>
          <w:szCs w:val="17"/>
        </w:rPr>
        <w:t xml:space="preserve">ClinicalTrials.gov NCT04246177 (LEAP-012). Final overall-survival results posted to the registry; no overall-survival benefit demonstrated. Registry posting, not peer reviewed at the time of writing.</w:t>
      </w:r>
    </w:p>
    <w:p>
      <w:pPr>
        <w:pStyle w:val="Heading3"/>
        <w:keepNext/>
        <w:spacing w:after="110" w:before="240"/>
      </w:pPr>
      <w:r>
        <w:rPr>
          <w:rFonts w:ascii="Cambria" w:cs="Cambria" w:eastAsia="Cambria" w:hAnsi="Cambria"/>
          <w:b/>
          <w:bCs/>
          <w:color w:val="17365D"/>
          <w:sz w:val="22"/>
          <w:szCs w:val="22"/>
        </w:rPr>
        <w:t xml:space="preserve">Portal hypertension</w:t>
      </w:r>
    </w:p>
    <w:p>
      <w:pPr>
        <w:spacing w:after="70"/>
        <w:ind w:left="360" w:hanging="360"/>
      </w:pPr>
      <w:r>
        <w:rPr>
          <w:b/>
          <w:bCs/>
          <w:color w:val="17365D"/>
          <w:sz w:val="17"/>
          <w:szCs w:val="17"/>
        </w:rPr>
        <w:t xml:space="preserve">Baveno VII. </w:t>
      </w:r>
      <w:r>
        <w:rPr>
          <w:sz w:val="17"/>
          <w:szCs w:val="17"/>
        </w:rPr>
        <w:t xml:space="preserve">de Franchis R, Bosch J, Garcia-Tsao G, et al. Baveno VII — renewing consensus in portal hypertension. J Hepatol. 2022;76:959-974.</w:t>
      </w:r>
    </w:p>
    <w:p>
      <w:pPr>
        <w:spacing w:after="70"/>
        <w:ind w:left="360" w:hanging="360"/>
      </w:pPr>
      <w:r>
        <w:rPr>
          <w:b/>
          <w:bCs/>
          <w:color w:val="17365D"/>
          <w:sz w:val="17"/>
          <w:szCs w:val="17"/>
        </w:rPr>
        <w:t xml:space="preserve">Baveno VIII. </w:t>
      </w:r>
      <w:r>
        <w:rPr>
          <w:sz w:val="17"/>
          <w:szCs w:val="17"/>
        </w:rPr>
        <w:t xml:space="preserve">Berzigotti A, Mandorfer M, Pons M, et al; Baveno VIII Faculty. Baveno VIII — advancing consensus in portal hypertension. J Hepatol. 2026. Epub ahead of print.</w:t>
      </w:r>
    </w:p>
    <w:p>
      <w:pPr>
        <w:spacing w:after="70"/>
        <w:ind w:left="360" w:hanging="360"/>
      </w:pPr>
      <w:r>
        <w:rPr>
          <w:b/>
          <w:bCs/>
          <w:color w:val="17365D"/>
          <w:sz w:val="17"/>
          <w:szCs w:val="17"/>
        </w:rPr>
        <w:t xml:space="preserve">Berzigotti meta-analysis. </w:t>
      </w:r>
      <w:r>
        <w:rPr>
          <w:sz w:val="17"/>
          <w:szCs w:val="17"/>
        </w:rPr>
        <w:t xml:space="preserve">Berzigotti A, Reig M, Abraldes JG, et al. Portal hypertension and the outcome of surgery for hepatocellular carcinoma in compensated cirrhosis: a systematic review and meta-analysis. Hepatology. 2015;61:526-536.</w:t>
      </w:r>
    </w:p>
    <w:p>
      <w:pPr>
        <w:spacing w:after="70"/>
        <w:ind w:left="360" w:hanging="360"/>
      </w:pPr>
      <w:r>
        <w:rPr>
          <w:b/>
          <w:bCs/>
          <w:color w:val="17365D"/>
          <w:sz w:val="17"/>
          <w:szCs w:val="17"/>
        </w:rPr>
        <w:t xml:space="preserve">Bruix 1996. </w:t>
      </w:r>
      <w:r>
        <w:rPr>
          <w:sz w:val="17"/>
          <w:szCs w:val="17"/>
        </w:rPr>
        <w:t xml:space="preserve">Bruix J, Castells A, Bosch J, et al. Surgical resection of hepatocellular carcinoma in cirrhotic patients: prognostic value of preoperative portal pressure. Gastroenterology. 1996;111:1018-1022.</w:t>
      </w:r>
    </w:p>
    <w:p>
      <w:pPr>
        <w:spacing w:after="70"/>
        <w:ind w:left="360" w:hanging="360"/>
      </w:pPr>
      <w:r>
        <w:rPr>
          <w:b/>
          <w:bCs/>
          <w:color w:val="17365D"/>
          <w:sz w:val="17"/>
          <w:szCs w:val="17"/>
        </w:rPr>
        <w:t xml:space="preserve">Citterio 2016. </w:t>
      </w:r>
      <w:r>
        <w:rPr>
          <w:sz w:val="17"/>
          <w:szCs w:val="17"/>
        </w:rPr>
        <w:t xml:space="preserve">Citterio D, Facciorusso A, Sposito C, et al. Hierarchic interaction of factors associated with liver decompensation after resection for hepatocellular carcinoma. JAMA Surg. 2016;151:846-853.</w:t>
      </w:r>
    </w:p>
    <w:p>
      <w:pPr>
        <w:spacing w:after="70"/>
        <w:ind w:left="360" w:hanging="360"/>
      </w:pPr>
      <w:r>
        <w:rPr>
          <w:b/>
          <w:bCs/>
          <w:color w:val="17365D"/>
          <w:sz w:val="17"/>
          <w:szCs w:val="17"/>
        </w:rPr>
        <w:t xml:space="preserve">Yuan 2024 RCT. </w:t>
      </w:r>
      <w:r>
        <w:rPr>
          <w:sz w:val="17"/>
          <w:szCs w:val="17"/>
        </w:rPr>
        <w:t xml:space="preserve">Yuan Y, Peng H, He W, et al. Partial hepatectomy versus interventional treatment in patients with HBV-related hepatocellular carcinoma and clinically significant portal hypertension: a randomized comparative clinical trial. Cancer Commun. 2024;44:1337-1349.</w:t>
      </w:r>
    </w:p>
    <w:p>
      <w:pPr>
        <w:pStyle w:val="Heading3"/>
        <w:keepNext/>
        <w:spacing w:after="110" w:before="240"/>
      </w:pPr>
      <w:r>
        <w:rPr>
          <w:rFonts w:ascii="Cambria" w:cs="Cambria" w:eastAsia="Cambria" w:hAnsi="Cambria"/>
          <w:b/>
          <w:bCs/>
          <w:color w:val="17365D"/>
          <w:sz w:val="22"/>
          <w:szCs w:val="22"/>
        </w:rPr>
        <w:t xml:space="preserve">Radioembolisation</w:t>
      </w:r>
    </w:p>
    <w:p>
      <w:pPr>
        <w:spacing w:after="70"/>
        <w:ind w:left="360" w:hanging="360"/>
      </w:pPr>
      <w:r>
        <w:rPr>
          <w:b/>
          <w:bCs/>
          <w:color w:val="17365D"/>
          <w:sz w:val="17"/>
          <w:szCs w:val="17"/>
        </w:rPr>
        <w:t xml:space="preserve">DOSISPHERE-01. </w:t>
      </w:r>
      <w:r>
        <w:rPr>
          <w:sz w:val="17"/>
          <w:szCs w:val="17"/>
        </w:rPr>
        <w:t xml:space="preserve">Garin E, Tselikas L, Guiu B, et al. Personalised versus standard dosimetry approach of selective internal radiation therapy in locally advanced HCC (DOSISPHERE-01): a randomised, multicentre, open-label phase 2 trial. Lancet Gastroenterol Hepatol. 2021;6(1):17-29.</w:t>
      </w:r>
    </w:p>
    <w:p>
      <w:pPr>
        <w:spacing w:after="70"/>
        <w:ind w:left="360" w:hanging="360"/>
      </w:pPr>
      <w:r>
        <w:rPr>
          <w:b/>
          <w:bCs/>
          <w:color w:val="17365D"/>
          <w:sz w:val="17"/>
          <w:szCs w:val="17"/>
        </w:rPr>
        <w:t xml:space="preserve">LEGACY. </w:t>
      </w:r>
      <w:r>
        <w:rPr>
          <w:sz w:val="17"/>
          <w:szCs w:val="17"/>
        </w:rPr>
        <w:t xml:space="preserve">Salem R, Johnson GE, Kim E, et al. Yttrium-90 radioembolization for solitary, unresectable HCC: the LEGACY study. Hepatology. 2021;74(5):2342-2352.</w:t>
      </w:r>
    </w:p>
    <w:p>
      <w:pPr>
        <w:spacing w:after="70"/>
        <w:ind w:left="360" w:hanging="360"/>
      </w:pPr>
      <w:r>
        <w:rPr>
          <w:b/>
          <w:bCs/>
          <w:color w:val="17365D"/>
          <w:sz w:val="17"/>
          <w:szCs w:val="17"/>
        </w:rPr>
        <w:t xml:space="preserve">PREMIERE. </w:t>
      </w:r>
      <w:r>
        <w:rPr>
          <w:sz w:val="17"/>
          <w:szCs w:val="17"/>
        </w:rPr>
        <w:t xml:space="preserve">Salem R, Gordon AC, Mouli S, et al. Y90 radioembolization significantly prolongs time to progression compared with chemoembolization in patients with hepatocellular carcinoma. Gastroenterology. 2016;151(6):1155-1163.</w:t>
      </w:r>
    </w:p>
    <w:p>
      <w:pPr>
        <w:spacing w:after="70"/>
        <w:ind w:left="360" w:hanging="360"/>
      </w:pPr>
      <w:r>
        <w:rPr>
          <w:b/>
          <w:bCs/>
          <w:color w:val="17365D"/>
          <w:sz w:val="17"/>
          <w:szCs w:val="17"/>
        </w:rPr>
        <w:t xml:space="preserve">RASER. </w:t>
      </w:r>
      <w:r>
        <w:rPr>
          <w:sz w:val="17"/>
          <w:szCs w:val="17"/>
        </w:rPr>
        <w:t xml:space="preserve">Kim E, Sher A, Abboud G, et al. Radiation segmentectomy for curative intent of unresectable very early to early stage HCC (RASER): a single-centre, single-arm study. Lancet Gastroenterol Hepatol. 2022;7(9):843-850.</w:t>
      </w:r>
    </w:p>
    <w:p>
      <w:pPr>
        <w:spacing w:after="70"/>
        <w:ind w:left="360" w:hanging="360"/>
      </w:pPr>
      <w:r>
        <w:rPr>
          <w:b/>
          <w:bCs/>
          <w:color w:val="17365D"/>
          <w:sz w:val="17"/>
          <w:szCs w:val="17"/>
        </w:rPr>
        <w:t xml:space="preserve">SARAH. </w:t>
      </w:r>
      <w:r>
        <w:rPr>
          <w:sz w:val="17"/>
          <w:szCs w:val="17"/>
        </w:rPr>
        <w:t xml:space="preserve">Vilgrain V, Pereira H, Assenat E, et al. Efficacy and safety of selective internal radiotherapy with yttrium-90 resin microspheres compared with sorafenib in locally advanced and inoperable HCC (SARAH). Lancet Oncol. 2017;18(12):1624-1636.</w:t>
      </w:r>
    </w:p>
    <w:p>
      <w:pPr>
        <w:spacing w:after="70"/>
        <w:ind w:left="360" w:hanging="360"/>
      </w:pPr>
      <w:r>
        <w:rPr>
          <w:b/>
          <w:bCs/>
          <w:color w:val="17365D"/>
          <w:sz w:val="17"/>
          <w:szCs w:val="17"/>
        </w:rPr>
        <w:t xml:space="preserve">SIRveNIB. </w:t>
      </w:r>
      <w:r>
        <w:rPr>
          <w:sz w:val="17"/>
          <w:szCs w:val="17"/>
        </w:rPr>
        <w:t xml:space="preserve">Chow PKH, Gandhi M, Tan SB, et al. SIRveNIB: selective internal radiation therapy versus sorafenib in Asia-Pacific patients with hepatocellular carcinoma. J Clin Oncol. 2018;36(19):1913-1921.</w:t>
      </w:r>
    </w:p>
    <w:p>
      <w:pPr>
        <w:spacing w:after="70"/>
        <w:ind w:left="360" w:hanging="360"/>
      </w:pPr>
      <w:r>
        <w:rPr>
          <w:b/>
          <w:bCs/>
          <w:color w:val="17365D"/>
          <w:sz w:val="17"/>
          <w:szCs w:val="17"/>
        </w:rPr>
        <w:t xml:space="preserve">TRACE. </w:t>
      </w:r>
      <w:r>
        <w:rPr>
          <w:sz w:val="17"/>
          <w:szCs w:val="17"/>
        </w:rPr>
        <w:t xml:space="preserve">Dhondt E, Lambert B, Hermie L, et al. Y-90 radioembolization versus drug-eluting bead chemoembolization for unresectable HCC: the TRACE phase II randomized controlled trial. Radiology. 2022;303(3):699-710.</w:t>
      </w:r>
    </w:p>
    <w:p>
      <w:pPr>
        <w:pStyle w:val="Heading3"/>
        <w:keepNext/>
        <w:spacing w:after="110" w:before="240"/>
      </w:pPr>
      <w:r>
        <w:rPr>
          <w:rFonts w:ascii="Cambria" w:cs="Cambria" w:eastAsia="Cambria" w:hAnsi="Cambria"/>
          <w:b/>
          <w:bCs/>
          <w:color w:val="17365D"/>
          <w:sz w:val="22"/>
          <w:szCs w:val="22"/>
        </w:rPr>
        <w:t xml:space="preserve">Radiotherapy</w:t>
      </w:r>
    </w:p>
    <w:p>
      <w:pPr>
        <w:spacing w:after="70"/>
        <w:ind w:left="360" w:hanging="360"/>
      </w:pPr>
      <w:r>
        <w:rPr>
          <w:b/>
          <w:bCs/>
          <w:color w:val="17365D"/>
          <w:sz w:val="17"/>
          <w:szCs w:val="17"/>
        </w:rPr>
        <w:t xml:space="preserve">EBRT cohort. </w:t>
      </w:r>
      <w:r>
        <w:rPr>
          <w:sz w:val="17"/>
          <w:szCs w:val="17"/>
        </w:rPr>
        <w:t xml:space="preserve">Moon AM, Yanagihara TK, Dawson LA, et al. Overall survival among patients with hepatocellular carcinoma treated with external beam radiation therapy: individual patient data from a multinational cohort. J Clin Oncol. 2026;44(19):1784-1797.</w:t>
      </w:r>
    </w:p>
    <w:p>
      <w:pPr>
        <w:spacing w:after="70"/>
        <w:ind w:left="360" w:hanging="360"/>
      </w:pPr>
      <w:r>
        <w:rPr>
          <w:b/>
          <w:bCs/>
          <w:color w:val="17365D"/>
          <w:sz w:val="17"/>
          <w:szCs w:val="17"/>
        </w:rPr>
        <w:t xml:space="preserve">RTOG 1112. </w:t>
      </w:r>
      <w:r>
        <w:rPr>
          <w:sz w:val="17"/>
          <w:szCs w:val="17"/>
        </w:rPr>
        <w:t xml:space="preserve">Dawson LA, Winter KA, Knox JJ, et al. Stereotactic body radiotherapy vs sorafenib alone in hepatocellular carcinoma: the NRG Oncology/RTOG 1112 phase 3 randomized clinical trial. JAMA Oncol. 2025;11(2):136-144.</w:t>
      </w:r>
    </w:p>
    <w:p>
      <w:pPr>
        <w:spacing w:after="70"/>
        <w:ind w:left="360" w:hanging="360"/>
      </w:pPr>
      <w:r>
        <w:rPr>
          <w:b/>
          <w:bCs/>
          <w:color w:val="17365D"/>
          <w:sz w:val="17"/>
          <w:szCs w:val="17"/>
        </w:rPr>
        <w:t xml:space="preserve">SBRT vs RFA. </w:t>
      </w:r>
      <w:r>
        <w:rPr>
          <w:sz w:val="17"/>
          <w:szCs w:val="17"/>
        </w:rPr>
        <w:t xml:space="preserve">Xi M, Yang Z, Hu L, et al. Radiofrequency ablation versus stereotactic body radiotherapy for recurrent small hepatocellular carcinoma: a randomized, open-label, controlled trial. J Clin Oncol. 2025;43(9):1073-1082.</w:t>
      </w:r>
    </w:p>
    <w:p>
      <w:pPr>
        <w:spacing w:after="70"/>
        <w:ind w:left="360" w:hanging="360"/>
      </w:pPr>
      <w:r>
        <w:rPr>
          <w:b/>
          <w:bCs/>
          <w:color w:val="17365D"/>
          <w:sz w:val="17"/>
          <w:szCs w:val="17"/>
        </w:rPr>
        <w:t xml:space="preserve">TACE + EBRT. </w:t>
      </w:r>
      <w:r>
        <w:rPr>
          <w:sz w:val="17"/>
          <w:szCs w:val="17"/>
        </w:rPr>
        <w:t xml:space="preserve">Yoon SM, Ryoo BY, Lee SJ, et al. Efficacy and safety of transarterial chemoembolization plus external beam radiotherapy vs sorafenib in HCC with macroscopic vascular invasion: a randomized clinical trial. JAMA Oncol. 2018;4(5):661-669.</w:t>
      </w:r>
    </w:p>
    <w:p>
      <w:pPr>
        <w:pStyle w:val="Heading3"/>
        <w:keepNext/>
        <w:spacing w:after="110" w:before="240"/>
      </w:pPr>
      <w:r>
        <w:rPr>
          <w:rFonts w:ascii="Cambria" w:cs="Cambria" w:eastAsia="Cambria" w:hAnsi="Cambria"/>
          <w:b/>
          <w:bCs/>
          <w:color w:val="17365D"/>
          <w:sz w:val="22"/>
          <w:szCs w:val="22"/>
        </w:rPr>
        <w:t xml:space="preserve">Resection &amp; ablation</w:t>
      </w:r>
    </w:p>
    <w:p>
      <w:pPr>
        <w:spacing w:after="70"/>
        <w:ind w:left="360" w:hanging="360"/>
      </w:pPr>
      <w:r>
        <w:rPr>
          <w:b/>
          <w:bCs/>
          <w:color w:val="17365D"/>
          <w:sz w:val="17"/>
          <w:szCs w:val="17"/>
        </w:rPr>
        <w:t xml:space="preserve">Chen RCT. </w:t>
      </w:r>
      <w:r>
        <w:rPr>
          <w:sz w:val="17"/>
          <w:szCs w:val="17"/>
        </w:rPr>
        <w:t xml:space="preserve">Chen MS, Li JQ, Zheng Y, et al. A prospective randomized trial comparing percutaneous local ablative therapy and partial hepatectomy for small hepatocellular carcinoma. Ann Surg. 2006.</w:t>
      </w:r>
    </w:p>
    <w:p>
      <w:pPr>
        <w:spacing w:after="70"/>
        <w:ind w:left="360" w:hanging="360"/>
      </w:pPr>
      <w:r>
        <w:rPr>
          <w:b/>
          <w:bCs/>
          <w:color w:val="17365D"/>
          <w:sz w:val="17"/>
          <w:szCs w:val="17"/>
        </w:rPr>
        <w:t xml:space="preserve">Livraghi. </w:t>
      </w:r>
      <w:r>
        <w:rPr>
          <w:sz w:val="17"/>
          <w:szCs w:val="17"/>
        </w:rPr>
        <w:t xml:space="preserve">Livraghi T, Meloni F, Di Stasi M, et al. Sustained complete response and complications rates after radiofrequency ablation of very early hepatocellular carcinoma in cirrhosis: is resection still the treatment of choice? Hepatology. 2008.</w:t>
      </w:r>
    </w:p>
    <w:p>
      <w:pPr>
        <w:spacing w:after="70"/>
        <w:ind w:left="360" w:hanging="360"/>
      </w:pPr>
      <w:r>
        <w:rPr>
          <w:b/>
          <w:bCs/>
          <w:color w:val="17365D"/>
          <w:sz w:val="17"/>
          <w:szCs w:val="17"/>
        </w:rPr>
        <w:t xml:space="preserve">MWA vs RFA. </w:t>
      </w:r>
      <w:r>
        <w:rPr>
          <w:sz w:val="17"/>
          <w:szCs w:val="17"/>
        </w:rPr>
        <w:t xml:space="preserve">Vietti Violi N, Duran R, Guiu B, et al. Efficacy of microwave ablation versus radiofrequency ablation for hepatocellular carcinoma in chronic liver disease: a randomised controlled phase 2 trial. Lancet Gastroenterol Hepatol. 2018;3(5):317-325.</w:t>
      </w:r>
    </w:p>
    <w:p>
      <w:pPr>
        <w:spacing w:after="70"/>
        <w:ind w:left="360" w:hanging="360"/>
      </w:pPr>
      <w:r>
        <w:rPr>
          <w:b/>
          <w:bCs/>
          <w:color w:val="17365D"/>
          <w:sz w:val="17"/>
          <w:szCs w:val="17"/>
        </w:rPr>
        <w:t xml:space="preserve">Ng RCT. </w:t>
      </w:r>
      <w:r>
        <w:rPr>
          <w:sz w:val="17"/>
          <w:szCs w:val="17"/>
        </w:rPr>
        <w:t xml:space="preserve">Ng KKC, Chok KSH, Chan ACY, et al. Randomized clinical trial of hepatic resection versus radiofrequency ablation for early-stage hepatocellular carcinoma. Br J Surg. 2017.</w:t>
      </w:r>
    </w:p>
    <w:p>
      <w:pPr>
        <w:spacing w:after="70"/>
        <w:ind w:left="360" w:hanging="360"/>
      </w:pPr>
      <w:r>
        <w:rPr>
          <w:b/>
          <w:bCs/>
          <w:color w:val="17365D"/>
          <w:sz w:val="17"/>
          <w:szCs w:val="17"/>
        </w:rPr>
        <w:t xml:space="preserve">SURF final. </w:t>
      </w:r>
      <w:r>
        <w:rPr>
          <w:sz w:val="17"/>
          <w:szCs w:val="17"/>
        </w:rPr>
        <w:t xml:space="preserve">Kawaguchi Y, Takayama T, Hasegawa K, et al. Surgery versus ablation for hepatocellular carcinoma: a randomized controlled trial (SURF-RCT) and a nonrandomized prospective observational trial (SURF-Cohort). J Clin Oncol. 2025.</w:t>
      </w:r>
    </w:p>
    <w:p>
      <w:pPr>
        <w:spacing w:after="70"/>
        <w:ind w:left="360" w:hanging="360"/>
      </w:pPr>
      <w:r>
        <w:rPr>
          <w:b/>
          <w:bCs/>
          <w:color w:val="17365D"/>
          <w:sz w:val="17"/>
          <w:szCs w:val="17"/>
        </w:rPr>
        <w:t xml:space="preserve">SURF trial. </w:t>
      </w:r>
      <w:r>
        <w:rPr>
          <w:sz w:val="17"/>
          <w:szCs w:val="17"/>
        </w:rPr>
        <w:t xml:space="preserve">Takayama T, Hasegawa K, Izumi N, et al. Surgery versus radiofrequency ablation for small hepatocellular carcinoma: a randomized controlled trial (SURF). Liver Cancer. 2022;11(3):209-218.</w:t>
      </w:r>
    </w:p>
    <w:p>
      <w:pPr>
        <w:spacing w:after="70"/>
        <w:ind w:left="360" w:hanging="360"/>
      </w:pPr>
      <w:r>
        <w:rPr>
          <w:b/>
          <w:bCs/>
          <w:color w:val="17365D"/>
          <w:sz w:val="17"/>
          <w:szCs w:val="17"/>
        </w:rPr>
        <w:t xml:space="preserve">Xia RCT. </w:t>
      </w:r>
      <w:r>
        <w:rPr>
          <w:sz w:val="17"/>
          <w:szCs w:val="17"/>
        </w:rPr>
        <w:t xml:space="preserve">Xia Y, Li J, Liu G, et al. Long-term effects of repeat hepatectomy vs percutaneous radiofrequency ablation among patients with recurrent hepatocellular carcinoma: a randomized clinical trial. JAMA Oncol. 2020.</w:t>
      </w:r>
    </w:p>
    <w:p>
      <w:pPr>
        <w:pStyle w:val="Heading3"/>
        <w:keepNext/>
        <w:spacing w:after="110" w:before="240"/>
      </w:pPr>
      <w:r>
        <w:rPr>
          <w:rFonts w:ascii="Cambria" w:cs="Cambria" w:eastAsia="Cambria" w:hAnsi="Cambria"/>
          <w:b/>
          <w:bCs/>
          <w:color w:val="17365D"/>
          <w:sz w:val="22"/>
          <w:szCs w:val="22"/>
        </w:rPr>
        <w:t xml:space="preserve">Surveillance &amp; diagnosis</w:t>
      </w:r>
    </w:p>
    <w:p>
      <w:pPr>
        <w:spacing w:after="70"/>
        <w:ind w:left="360" w:hanging="360"/>
      </w:pPr>
      <w:r>
        <w:rPr>
          <w:b/>
          <w:bCs/>
          <w:color w:val="17365D"/>
          <w:sz w:val="17"/>
          <w:szCs w:val="17"/>
        </w:rPr>
        <w:t xml:space="preserve">Surveillance RCT. </w:t>
      </w:r>
      <w:r>
        <w:rPr>
          <w:sz w:val="17"/>
          <w:szCs w:val="17"/>
        </w:rPr>
        <w:t xml:space="preserve">Zhang BH, Yang BH, Tang ZY. Randomized controlled trial of screening for hepatocellular carcinoma. J Cancer Res Clin Oncol. 2004;130(7):417-422.</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CELESTIAL. </w:t>
      </w:r>
      <w:r>
        <w:rPr>
          <w:sz w:val="17"/>
          <w:szCs w:val="17"/>
        </w:rPr>
        <w:t xml:space="preserve">Abou-Alfa GK, Meyer T, Cheng AL, et al. Cabozantinib in patients with advanced and progressing hepatocellular carcinoma. N Engl J Med. 2018;379(1):54-63.</w:t>
      </w:r>
    </w:p>
    <w:p>
      <w:pPr>
        <w:spacing w:after="70"/>
        <w:ind w:left="360" w:hanging="360"/>
      </w:pPr>
      <w:r>
        <w:rPr>
          <w:b/>
          <w:bCs/>
          <w:color w:val="17365D"/>
          <w:sz w:val="17"/>
          <w:szCs w:val="17"/>
        </w:rPr>
        <w:t xml:space="preserve">CheckMate 9DW. </w:t>
      </w:r>
      <w:r>
        <w:rPr>
          <w:sz w:val="17"/>
          <w:szCs w:val="17"/>
        </w:rPr>
        <w:t xml:space="preserve">Yau T, Galle PR, Decaens T, et al. Nivolumab plus ipilimumab versus lenvatinib or sorafenib as first-line treatment for unresectable hepatocellular carcinoma (CheckMate 9DW): an open-label, randomised, phase 3 trial. Lancet. 2025;405(10492):1851-1864.</w:t>
      </w:r>
    </w:p>
    <w:p>
      <w:pPr>
        <w:spacing w:after="70"/>
        <w:ind w:left="360" w:hanging="360"/>
      </w:pPr>
      <w:r>
        <w:rPr>
          <w:b/>
          <w:bCs/>
          <w:color w:val="17365D"/>
          <w:sz w:val="17"/>
          <w:szCs w:val="17"/>
        </w:rPr>
        <w:t xml:space="preserve">HIMALAYA / STRIDE. </w:t>
      </w:r>
      <w:r>
        <w:rPr>
          <w:sz w:val="17"/>
          <w:szCs w:val="17"/>
        </w:rPr>
        <w:t xml:space="preserve">Abou-Alfa GK, Lau G, Kudo M, et al. Tremelimumab plus durvalumab in unresectable hepatocellular carcinoma. NEJM Evid. 2022;1(8):EVIDoa2100070.</w:t>
      </w:r>
    </w:p>
    <w:p>
      <w:pPr>
        <w:spacing w:after="70"/>
        <w:ind w:left="360" w:hanging="360"/>
      </w:pPr>
      <w:r>
        <w:rPr>
          <w:b/>
          <w:bCs/>
          <w:color w:val="17365D"/>
          <w:sz w:val="17"/>
          <w:szCs w:val="17"/>
        </w:rPr>
        <w:t xml:space="preserve">IMbrave150. </w:t>
      </w:r>
      <w:r>
        <w:rPr>
          <w:sz w:val="17"/>
          <w:szCs w:val="17"/>
        </w:rPr>
        <w:t xml:space="preserve">Finn RS, Qin S, Ikeda M, et al. Atezolizumab plus bevacizumab in unresectable hepatocellular carcinoma. N Engl J Med. 2020;382(20):1894-1905.</w:t>
      </w:r>
    </w:p>
    <w:p>
      <w:pPr>
        <w:spacing w:after="70"/>
        <w:ind w:left="360" w:hanging="360"/>
      </w:pPr>
      <w:r>
        <w:rPr>
          <w:b/>
          <w:bCs/>
          <w:color w:val="17365D"/>
          <w:sz w:val="17"/>
          <w:szCs w:val="17"/>
        </w:rPr>
        <w:t xml:space="preserve">IMbrave150 update. </w:t>
      </w:r>
      <w:r>
        <w:rPr>
          <w:sz w:val="17"/>
          <w:szCs w:val="17"/>
        </w:rPr>
        <w:t xml:space="preserve">Cheng AL, Qin S, Ikeda M, et al. Updated efficacy and safety data from IMbrave150: atezolizumab plus bevacizumab vs sorafenib for unresectable hepatocellular carcinoma. J Hepatol. 2022;76(4):862-873.</w:t>
      </w:r>
    </w:p>
    <w:p>
      <w:pPr>
        <w:spacing w:after="70"/>
        <w:ind w:left="360" w:hanging="360"/>
      </w:pPr>
      <w:r>
        <w:rPr>
          <w:b/>
          <w:bCs/>
          <w:color w:val="17365D"/>
          <w:sz w:val="17"/>
          <w:szCs w:val="17"/>
        </w:rPr>
        <w:t xml:space="preserve">KEYNOTE-394. </w:t>
      </w:r>
      <w:r>
        <w:rPr>
          <w:sz w:val="17"/>
          <w:szCs w:val="17"/>
        </w:rPr>
        <w:t xml:space="preserve">Qin S, Chen Z, Fang W, et al. Pembrolizumab versus placebo as second-line therapy in patients from Asia with advanced hepatocellular carcinoma: a randomized, double-blind, phase III trial. J Clin Oncol. 2023;41(7):1434-1443.</w:t>
      </w:r>
    </w:p>
    <w:p>
      <w:pPr>
        <w:spacing w:after="70"/>
        <w:ind w:left="360" w:hanging="360"/>
      </w:pPr>
      <w:r>
        <w:rPr>
          <w:b/>
          <w:bCs/>
          <w:color w:val="17365D"/>
          <w:sz w:val="17"/>
          <w:szCs w:val="17"/>
        </w:rPr>
        <w:t xml:space="preserve">REACH-2. </w:t>
      </w:r>
      <w:r>
        <w:rPr>
          <w:sz w:val="17"/>
          <w:szCs w:val="17"/>
        </w:rPr>
        <w:t xml:space="preserve">Zhu AX, Kang YK, Yen CJ, et al. Ramucirumab after sorafenib in patients with advanced hepatocellular carcinoma and increased α-fetoprotein concentrations (REACH-2). Lancet Oncol. 2019;20(2):282-296.</w:t>
      </w:r>
    </w:p>
    <w:p>
      <w:pPr>
        <w:spacing w:after="70"/>
        <w:ind w:left="360" w:hanging="360"/>
      </w:pPr>
      <w:r>
        <w:rPr>
          <w:b/>
          <w:bCs/>
          <w:color w:val="17365D"/>
          <w:sz w:val="17"/>
          <w:szCs w:val="17"/>
        </w:rPr>
        <w:t xml:space="preserve">RESORCE. </w:t>
      </w:r>
      <w:r>
        <w:rPr>
          <w:sz w:val="17"/>
          <w:szCs w:val="17"/>
        </w:rPr>
        <w:t xml:space="preserve">Bruix J, Qin S, Merle P, et al. Regorafenib for patients with hepatocellular carcinoma who progressed on sorafenib treatment (RESORCE). Lancet. 2017;389(10064):56-66.</w:t>
      </w:r>
    </w:p>
    <w:p>
      <w:pPr>
        <w:pStyle w:val="Heading3"/>
        <w:keepNext/>
        <w:spacing w:after="110" w:before="240"/>
      </w:pPr>
      <w:r>
        <w:rPr>
          <w:rFonts w:ascii="Cambria" w:cs="Cambria" w:eastAsia="Cambria" w:hAnsi="Cambria"/>
          <w:b/>
          <w:bCs/>
          <w:color w:val="17365D"/>
          <w:sz w:val="22"/>
          <w:szCs w:val="22"/>
        </w:rPr>
        <w:t xml:space="preserve">Transplant &amp; downstaging</w:t>
      </w:r>
    </w:p>
    <w:p>
      <w:pPr>
        <w:spacing w:after="70"/>
        <w:ind w:left="360" w:hanging="360"/>
      </w:pPr>
      <w:r>
        <w:rPr>
          <w:b/>
          <w:bCs/>
          <w:color w:val="17365D"/>
          <w:sz w:val="17"/>
          <w:szCs w:val="17"/>
        </w:rPr>
        <w:t xml:space="preserve">ICI after transplant. </w:t>
      </w:r>
      <w:r>
        <w:rPr>
          <w:sz w:val="17"/>
          <w:szCs w:val="17"/>
        </w:rPr>
        <w:t xml:space="preserve">Kayali S, Pasta A, Plaz Torres MC, et al. Immune checkpoint inhibitors in malignancies after liver transplantation: a systematic review and pooled analysis. Liver Int. 2023;43(1):8-17.</w:t>
      </w:r>
    </w:p>
    <w:p>
      <w:pPr>
        <w:spacing w:after="70"/>
        <w:ind w:left="360" w:hanging="360"/>
      </w:pPr>
      <w:r>
        <w:rPr>
          <w:b/>
          <w:bCs/>
          <w:color w:val="17365D"/>
          <w:sz w:val="17"/>
          <w:szCs w:val="17"/>
        </w:rPr>
        <w:t xml:space="preserve">MERITS-LT. </w:t>
      </w:r>
      <w:r>
        <w:rPr>
          <w:sz w:val="17"/>
          <w:szCs w:val="17"/>
        </w:rPr>
        <w:t xml:space="preserve">Mehta N, Frenette C, Tabrizian P, et al. Downstaging outcomes for hepatocellular carcinoma: results from the MERITS-LT consortium. Gastroenterology. 2021;161(5):1502-1512.</w:t>
      </w:r>
    </w:p>
    <w:p>
      <w:pPr>
        <w:spacing w:after="70"/>
        <w:ind w:left="360" w:hanging="360"/>
      </w:pPr>
      <w:r>
        <w:rPr>
          <w:b/>
          <w:bCs/>
          <w:color w:val="17365D"/>
          <w:sz w:val="17"/>
          <w:szCs w:val="17"/>
        </w:rPr>
        <w:t xml:space="preserve">Milan criteria. </w:t>
      </w:r>
      <w:r>
        <w:rPr>
          <w:sz w:val="17"/>
          <w:szCs w:val="17"/>
        </w:rPr>
        <w:t xml:space="preserve">Mazzaferro V, Regalia E, Doci R, et al. Liver transplantation for the treatment of small hepatocellular carcinomas in patients with cirrhosis. N Engl J Med. 1996;334(11):693-699.</w:t>
      </w:r>
    </w:p>
    <w:p>
      <w:pPr>
        <w:spacing w:after="70"/>
        <w:ind w:left="360" w:hanging="360"/>
      </w:pPr>
      <w:r>
        <w:rPr>
          <w:b/>
          <w:bCs/>
          <w:color w:val="17365D"/>
          <w:sz w:val="17"/>
          <w:szCs w:val="17"/>
        </w:rPr>
        <w:t xml:space="preserve">XXL trial. </w:t>
      </w:r>
      <w:r>
        <w:rPr>
          <w:sz w:val="17"/>
          <w:szCs w:val="17"/>
        </w:rPr>
        <w:t xml:space="preserve">Mazzaferro V, Citterio D, Bhoori S, et al. Liver transplantation in hepatocellular carcinoma after tumour downstaging (XXL): a randomised, controlled, phase 2b/3 trial. Lancet Oncol. 2020;21(7):947-956.</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52 of this pathway's 58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#HOPE4LIVER</w:t>
      </w:r>
      <w:r>
        <w:rPr>
          <w:b/>
          <w:bCs/>
          <w:color w:val="176A87"/>
          <w:sz w:val="15"/>
          <w:szCs w:val="15"/>
        </w:rPr>
        <w:t xml:space="preserve">   cohort</w:t>
      </w:r>
      <w:r>
        <w:rPr>
          <w:color w:val="5A6069"/>
          <w:sz w:val="15"/>
          <w:szCs w:val="15"/>
        </w:rPr>
        <w:t xml:space="preserve">   PMID 39225612</w:t>
      </w:r>
    </w:p>
    <w:p>
      <w:pPr>
        <w:spacing w:after="50" w:line="276"/>
      </w:pPr>
      <w:r>
        <w:rPr>
          <w:color w:val="5A6069"/>
          <w:sz w:val="17"/>
          <w:szCs w:val="17"/>
        </w:rPr>
        <w:t xml:space="preserve">The #HOPE4LIVER Single-Arm Pivotal Trial for Histotripsy of Primary and Metastatic Liver Tumors</w:t>
      </w:r>
    </w:p>
    <w:p>
      <w:pPr>
        <w:spacing w:after="50"/>
      </w:pPr>
      <w:r>
        <w:rPr>
          <w:b/>
          <w:bCs/>
          <w:color w:val="176A87"/>
          <w:sz w:val="16"/>
          <w:szCs w:val="16"/>
        </w:rPr>
        <w:t xml:space="preserve">Population. </w:t>
      </w:r>
      <w:r>
        <w:rPr>
          <w:sz w:val="16"/>
          <w:szCs w:val="16"/>
        </w:rPr>
        <w:t xml:space="preserve">First 44 consecutive participants (49 tumours) of the pooled #HOPE4LIVER United States and European Union/England single-arm trials, enrolled at 14 sites between January 2021 and July 2022; 18 (41 percent) had HCC and 26 (59 percent) non-HCC liver metastases</w:t>
      </w:r>
    </w:p>
    <w:p>
      <w:pPr>
        <w:spacing w:after="70"/>
      </w:pPr>
      <w:r>
        <w:rPr>
          <w:b/>
          <w:bCs/>
          <w:color w:val="17365D"/>
          <w:sz w:val="16"/>
          <w:szCs w:val="16"/>
        </w:rPr>
        <w:t xml:space="preserve">Bottom line. </w:t>
      </w:r>
      <w:r>
        <w:rPr>
          <w:sz w:val="16"/>
          <w:szCs w:val="16"/>
        </w:rPr>
        <w:t xml:space="preserve">The pivotal device trial that supported FDA de novo clearance: histotripsy covered the targeted tumour in 42 of 44 lesions (95 percent, 95% CI 84 to 100) against a performance goal of more than 70 percent, with procedure-related major complications in 3 of 44 participants (7 percent, 95% CI 2 to 18) against a goal of less than 25 percent. Both endpoints are 36-hour imaging coverage and 30-day safety in a population only 41 percent of whom had HCC and whose tumours averaged 1.5 cm in segments II to VI, so the trial establishes that the device can destroy a prescribed volume and nothing about local control, recurrence or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and short post-procedure follow-up, which the authors attribute to the study design</w:t>
            </w:r>
          </w:p>
          <w:p>
            <w:pPr>
              <w:pStyle w:val="ListParagraph"/>
              <w:numPr>
                <w:ilvl w:val="0"/>
                <w:numId w:val="2"/>
              </w:numPr>
              <w:spacing w:after="45"/>
            </w:pPr>
            <w:r>
              <w:rPr>
                <w:sz w:val="15"/>
                <w:szCs w:val="15"/>
              </w:rPr>
              <w:t xml:space="preserve">The technical-success performance goal, although literature-based, was agreed with the FDA on the basis of achievable enrolment and was not intended to identify a difference from existing therapies</w:t>
            </w:r>
          </w:p>
          <w:p>
            <w:pPr>
              <w:pStyle w:val="ListParagraph"/>
              <w:numPr>
                <w:ilvl w:val="0"/>
                <w:numId w:val="2"/>
              </w:numPr>
              <w:spacing w:after="45"/>
            </w:pPr>
            <w:r>
              <w:rPr>
                <w:sz w:val="15"/>
                <w:szCs w:val="15"/>
              </w:rPr>
              <w:t xml:space="preserve">The 30-day efficacy assessment was extrapolated from thermal-ablation response standards despite histotripsy's different mechanism, with no validated treatment-response criteria available</w:t>
            </w:r>
          </w:p>
          <w:p>
            <w:pPr>
              <w:pStyle w:val="ListParagraph"/>
              <w:numPr>
                <w:ilvl w:val="0"/>
                <w:numId w:val="2"/>
              </w:numPr>
              <w:spacing w:after="45"/>
            </w:pPr>
            <w:r>
              <w:rPr>
                <w:sz w:val="15"/>
                <w:szCs w:val="15"/>
              </w:rPr>
              <w:t xml:space="preserve">Total procedure time could not be compared with existing therapies because investigators had no prior experience with this or any similar externally delivered therapy</w:t>
            </w:r>
          </w:p>
          <w:p>
            <w:pPr>
              <w:pStyle w:val="ListParagraph"/>
              <w:numPr>
                <w:ilvl w:val="0"/>
                <w:numId w:val="2"/>
              </w:numPr>
              <w:spacing w:after="45"/>
            </w:pPr>
            <w:r>
              <w:rPr>
                <w:sz w:val="15"/>
                <w:szCs w:val="15"/>
              </w:rPr>
              <w:t xml:space="preserve">The population was not typical of patients who undergo ablative therapy because many had stage IV metastatic disease, which the authors say limits comparison with established local-regional treatments</w:t>
            </w:r>
          </w:p>
          <w:p>
            <w:pPr>
              <w:pStyle w:val="ListParagraph"/>
              <w:numPr>
                <w:ilvl w:val="0"/>
                <w:numId w:val="2"/>
              </w:numPr>
              <w:spacing w:after="45"/>
            </w:pPr>
            <w:r>
              <w:rPr>
                <w:sz w:val="15"/>
                <w:szCs w:val="15"/>
              </w:rPr>
              <w:t xml:space="preserve">The authors acknowledge the grade 5 complication and note that although the participant met the hepatic-function entry criteria their underlying liver function was likely tenuous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technical-success denominator was reduced from 49 treated tumours to 44 by excluding five tumours with poor image quality or no contrast, and the protocol states that only participants with complete imaging data entered the technical-success cohort, so the lesions in which coverage could not be confirmed were removed from the measure of whether coverage was achieved</w:t>
            </w:r>
          </w:p>
          <w:p>
            <w:pPr>
              <w:pStyle w:val="ListParagraph"/>
              <w:numPr>
                <w:ilvl w:val="0"/>
                <w:numId w:val="2"/>
              </w:numPr>
              <w:spacing w:after="45"/>
            </w:pPr>
            <w:r>
              <w:rPr>
                <w:sz w:val="15"/>
                <w:szCs w:val="15"/>
              </w:rPr>
              <w:t xml:space="preserve">A 70 percent performance goal sits at the bottom of the comparison range the authors themselves cite for radiofrequency and microwave ablation (48 to 95 percent), so meeting it does not distinguish the device from poor performance by an established technique</w:t>
            </w:r>
          </w:p>
          <w:p>
            <w:pPr>
              <w:pStyle w:val="ListParagraph"/>
              <w:numPr>
                <w:ilvl w:val="0"/>
                <w:numId w:val="2"/>
              </w:numPr>
              <w:spacing w:after="45"/>
            </w:pPr>
            <w:r>
              <w:rPr>
                <w:sz w:val="15"/>
                <w:szCs w:val="15"/>
              </w:rPr>
              <w:t xml:space="preserve">The co-primary endpoint is imaging coverage within 36 hours, not tumour destruction: by 30 days technique efficacy had already fallen to 83 percent (30 of 36 lesions), and that figure is itself computed after dropping six lesions without 30-day imaging and two the core laboratory could not read</w:t>
            </w:r>
          </w:p>
          <w:p>
            <w:pPr>
              <w:pStyle w:val="ListParagraph"/>
              <w:numPr>
                <w:ilvl w:val="0"/>
                <w:numId w:val="2"/>
              </w:numPr>
              <w:spacing w:after="45"/>
            </w:pPr>
            <w:r>
              <w:rPr>
                <w:sz w:val="15"/>
                <w:szCs w:val="15"/>
              </w:rPr>
              <w:t xml:space="preserve">The 30-day technique efficacy differed starkly by geography, 14 of 20 (70 percent) at United States sites versus 16 of 16 (100 percent) in Europe, a difference visible in Table 2 that is not reported in the text or examined</w:t>
            </w:r>
          </w:p>
          <w:p>
            <w:pPr>
              <w:pStyle w:val="ListParagraph"/>
              <w:numPr>
                <w:ilvl w:val="0"/>
                <w:numId w:val="2"/>
              </w:numPr>
              <w:spacing w:after="45"/>
            </w:pPr>
            <w:r>
              <w:rPr>
                <w:sz w:val="15"/>
                <w:szCs w:val="15"/>
              </w:rPr>
              <w:t xml:space="preserve">Treated tumours averaged 1.5 cm and sat in segments II, III, IVa, IVb, V and VI, with 24 of 44 in segment III and none in segments VII or VIII; treatment depth was not even recorded, so feasibility in the deep, dome and subdiaphragmatic locations where percutaneous ablation is hardest is untested</w:t>
            </w:r>
          </w:p>
          <w:p>
            <w:pPr>
              <w:pStyle w:val="ListParagraph"/>
              <w:numPr>
                <w:ilvl w:val="0"/>
                <w:numId w:val="2"/>
              </w:numPr>
              <w:spacing w:after="45"/>
            </w:pPr>
            <w:r>
              <w:rPr>
                <w:sz w:val="15"/>
                <w:szCs w:val="15"/>
              </w:rPr>
              <w:t xml:space="preserve">The treatment zone averaged 3.6 cm in diameter and 17.5 cm3 in volume for a tumour averaging 1.5 cm and 1.6 cm3, roughly a tenfold excess of destroyed parenchyma, which is presented as reassurance about margins rather than quantified as a harm in patients with cirrhosis</w:t>
            </w:r>
          </w:p>
          <w:p>
            <w:pPr>
              <w:pStyle w:val="ListParagraph"/>
              <w:numPr>
                <w:ilvl w:val="0"/>
                <w:numId w:val="2"/>
              </w:numPr>
              <w:spacing w:after="45"/>
            </w:pPr>
            <w:r>
              <w:rPr>
                <w:sz w:val="15"/>
                <w:szCs w:val="15"/>
              </w:rPr>
              <w:t xml:space="preserve">The one grade 5 event, hepatic failure on day 12 leading to death on day 37, occurred in a participant in whom the planned treatment volume was achieved, so the fatality cannot be attributed to technical failure; the Results nonetheless state that no deaths were reported in the first 30 days, which is true only because death fell outside the window</w:t>
            </w:r>
          </w:p>
          <w:p>
            <w:pPr>
              <w:pStyle w:val="ListParagraph"/>
              <w:numPr>
                <w:ilvl w:val="0"/>
                <w:numId w:val="2"/>
              </w:numPr>
              <w:spacing w:after="45"/>
            </w:pPr>
            <w:r>
              <w:rPr>
                <w:sz w:val="15"/>
                <w:szCs w:val="15"/>
              </w:rPr>
              <w:t xml:space="preserve">Four of 25 participants with metastatic disease had more than 20 liver lesions and one HCC patient had 11 to 15, so in several cases a 1.5 cm target was treated in a liver full of untreated tumour, and the trial reports no measure of untreated disease burden</w:t>
            </w:r>
          </w:p>
          <w:p>
            <w:pPr>
              <w:pStyle w:val="ListParagraph"/>
              <w:numPr>
                <w:ilvl w:val="0"/>
                <w:numId w:val="2"/>
              </w:numPr>
              <w:spacing w:after="45"/>
            </w:pPr>
            <w:r>
              <w:rPr>
                <w:sz w:val="15"/>
                <w:szCs w:val="15"/>
              </w:rPr>
              <w:t xml:space="preserve">Nine of the ten reference ranges used to argue that 95 percent technical success and 7 percent major complications compare favourably with ablation are drawn selectively from the literature, with no systematic review, no matching and no attempt to align grading systems, which the authors concede are not comparable across studies</w:t>
            </w:r>
          </w:p>
          <w:p>
            <w:pPr>
              <w:pStyle w:val="ListParagraph"/>
              <w:numPr>
                <w:ilvl w:val="0"/>
                <w:numId w:val="2"/>
              </w:numPr>
              <w:spacing w:after="45"/>
            </w:pPr>
            <w:r>
              <w:rPr>
                <w:sz w:val="15"/>
                <w:szCs w:val="15"/>
              </w:rPr>
              <w:t xml:space="preserve">The medical writing and the analysis of the clinical data filed with the FDA were done by two HistoSonics employees, the data were provided by a third party with requests directed back to the sponsor, individual data are not available, and the conclusion that the result supports early clinical adoption therefore comes from a sponsor-written manuscript</w:t>
            </w:r>
          </w:p>
          <w:p>
            <w:pPr>
              <w:pStyle w:val="ListParagraph"/>
              <w:numPr>
                <w:ilvl w:val="0"/>
                <w:numId w:val="2"/>
              </w:numPr>
              <w:spacing w:after="45"/>
            </w:pPr>
            <w:r>
              <w:rPr>
                <w:sz w:val="15"/>
                <w:szCs w:val="15"/>
              </w:rPr>
              <w:t xml:space="preserve">Core laboratory review used two radiologists through a commercial imaging vendor but the paper does not report any inter-reader agreement statistic for the co-primary endpoint, which is a qualitative judgment of complete tumour coverage</w:t>
            </w:r>
          </w:p>
          <w:p>
            <w:pPr>
              <w:pStyle w:val="ListParagraph"/>
              <w:numPr>
                <w:ilvl w:val="0"/>
                <w:numId w:val="2"/>
              </w:numPr>
              <w:spacing w:after="45"/>
            </w:pPr>
            <w:r>
              <w:rPr>
                <w:sz w:val="15"/>
                <w:szCs w:val="15"/>
              </w:rPr>
              <w:t xml:space="preserve">Off-target liver damage occurred in 6 of 44 cases (14 percent), including one in which histotripsy was delivered anterior to the tumour, a rate reported descriptively and excluded from the safety endpoint because it did not reach CTCAE grade 3</w:t>
            </w:r>
          </w:p>
        </w:tc>
      </w:tr>
    </w:tbl>
    <w:p>
      <w:pPr>
        <w:spacing w:after="0" w:line="276"/>
      </w:pPr>
      <w:r>
        <w:rPr>
          <w:color w:val="5A6069"/>
          <w:sz w:val="14"/>
          <w:szCs w:val="14"/>
        </w:rPr>
        <w:t xml:space="preserve">Funding: Sponsored and financed by HistoSonics; the senior author also supported by National Cancer Institute grant RO1CA262474; medical writing and analysis of the clinical data submitted to the FDA were performed by two HistoSonics employees; the device co-inventor is a HistoSonics stockholder, a co-investigator holds a histotripsy tumour-vaccine patent, and the senior author holds HistoSonics stock, grants and institutional equipment</w:t>
      </w:r>
    </w:p>
    <w:p>
      <w:pPr>
        <w:keepNext/>
        <w:spacing w:after="50" w:before="260"/>
      </w:pPr>
      <w:r>
        <w:rPr>
          <w:rFonts w:ascii="Cambria" w:cs="Cambria" w:eastAsia="Cambria" w:hAnsi="Cambria"/>
          <w:b/>
          <w:bCs/>
          <w:color w:val="17365D"/>
          <w:sz w:val="20"/>
          <w:szCs w:val="20"/>
        </w:rPr>
        <w:t xml:space="preserve">AASLD 2023</w:t>
      </w:r>
      <w:r>
        <w:rPr>
          <w:b/>
          <w:bCs/>
          <w:color w:val="176A87"/>
          <w:sz w:val="15"/>
          <w:szCs w:val="15"/>
        </w:rPr>
        <w:t xml:space="preserve">   Guideline</w:t>
      </w:r>
      <w:r>
        <w:rPr>
          <w:color w:val="5A6069"/>
          <w:sz w:val="15"/>
          <w:szCs w:val="15"/>
        </w:rPr>
        <w:t xml:space="preserve">   PMID 37199193</w:t>
      </w:r>
    </w:p>
    <w:p>
      <w:pPr>
        <w:spacing w:after="50" w:line="276"/>
      </w:pPr>
      <w:r>
        <w:rPr>
          <w:color w:val="5A6069"/>
          <w:sz w:val="17"/>
          <w:szCs w:val="17"/>
        </w:rPr>
        <w:t xml:space="preserve">AASLD Practice Guidance on prevention, diagnosis, and treatment of hepatocellular carcinoma</w:t>
      </w:r>
    </w:p>
    <w:p>
      <w:pPr>
        <w:spacing w:after="70"/>
      </w:pPr>
      <w:r>
        <w:rPr>
          <w:b/>
          <w:bCs/>
          <w:color w:val="17365D"/>
          <w:sz w:val="16"/>
          <w:szCs w:val="16"/>
        </w:rPr>
        <w:t xml:space="preserve">Bottom line. </w:t>
      </w:r>
      <w:r>
        <w:rPr>
          <w:sz w:val="16"/>
          <w:szCs w:val="16"/>
        </w:rPr>
        <w:t xml:space="preserve">Establishes a complete US reference for HCC, from at-risk populations and surveillance intervals through diagnosis, expanded transplant and downstaging criteria, TACE and Y-90 suitability, and first- and second-line systemic therapy, with tables a tumour board can use directly. It does not establish its recommendations at the strength their labels imply: there was no mandatory systematic review, no GRADE and no meta-analysis, Strong Recommendations are permitted on expert opinion, and two of its positions, adjuvant immunotherapy and the prohibition on TACE plus systemic therapy, have since been reversed or overtaken. Use the tables; check the statements against the 2025 critical update and the 2026 BCLC update before acting on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concedes only that this is a consensus process without mandatory systematic review, GRADE or meta-analysis, writing that the literature review was 'comprehensive and unbiased' while allowing that 'the lack of mandatory systematic reviews facilitated more rapid publication'; that it is unclear which HCC risk scores, if any, are accurate enough and none is recommended for routine use; that the optimal recall strategy is unknown both for patients with LI-RADS visualisation scores B or C and for those with an AFP of 200 ng/ml or more and no mass on imaging; that a rising or doubling AFP still requires validation as a recall trigger; that it is unclear whether the three positive Asian trials apply to Western patients given that fewer than 20% of their participants were recruited outside the region; and that no specific coffee dose can be recommended.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guidance, not a guideline, and the distinction carries the whole weight of its grading. There is no mandatory systematic review, no GRADE and no meta-analysis, and Strong Recommendations are permitted at Oxford Level 5, which is expert opinion. A reader who takes a Strong Recommendation here to mean what a strong GRADE recommendation means elsewhere is reading one word for two different things.</w:t>
            </w:r>
          </w:p>
          <w:p>
            <w:pPr>
              <w:pStyle w:val="ListParagraph"/>
              <w:numPr>
                <w:ilvl w:val="0"/>
                <w:numId w:val="2"/>
              </w:numPr>
              <w:spacing w:after="45"/>
            </w:pPr>
            <w:r>
              <w:rPr>
                <w:sz w:val="15"/>
                <w:szCs w:val="15"/>
              </w:rPr>
              <w:t xml:space="preserve">Panel disagreement is reported exactly once, on coffee, as '12 of 15 agree'. Every other statement is printed with no vote count, so the only place the panel is known to have been divided is visible because someone chose to print it, and the reader cannot tell whether the transplant, TACE or systemic-therapy statements were unanimous.</w:t>
            </w:r>
          </w:p>
          <w:p>
            <w:pPr>
              <w:pStyle w:val="ListParagraph"/>
              <w:numPr>
                <w:ilvl w:val="0"/>
                <w:numId w:val="2"/>
              </w:numPr>
              <w:spacing w:after="45"/>
            </w:pPr>
            <w:r>
              <w:rPr>
                <w:sz w:val="15"/>
                <w:szCs w:val="15"/>
              </w:rPr>
              <w:t xml:space="preserve">The strong recommendation for adjuvant atezolizumab plus bevacizumab after resection or ablation was made on an interim, recurrence-free-survival-only readout of IMbrave050 with no mature overall survival, and the guidance cites a Roche press release alongside the trial. The same authors withdrew the recommendation in 2025 when the benefit did not hold, which makes this statement a worked example of the grading problem rather than a position to act on.</w:t>
            </w:r>
          </w:p>
          <w:p>
            <w:pPr>
              <w:pStyle w:val="ListParagraph"/>
              <w:numPr>
                <w:ilvl w:val="0"/>
                <w:numId w:val="2"/>
              </w:numPr>
              <w:spacing w:after="45"/>
            </w:pPr>
            <w:r>
              <w:rPr>
                <w:sz w:val="15"/>
                <w:szCs w:val="15"/>
              </w:rPr>
              <w:t xml:space="preserve">Statement 44 advises against combining systemic with transarterial therapy for BCLC B outside a trial, reasoning that fewer than 20% of patients in the positive Asian trials were recruited outside the region and that TACE plus a tyrosine kinase inhibitor had failed in advanced disease. Phase 3 trials have since overtaken the position and the 2026 BCLC update incorporates them, so a reader using this document now is advised against a treatment that has become standard.</w:t>
            </w:r>
          </w:p>
          <w:p>
            <w:pPr>
              <w:pStyle w:val="ListParagraph"/>
              <w:numPr>
                <w:ilvl w:val="0"/>
                <w:numId w:val="2"/>
              </w:numPr>
              <w:spacing w:after="45"/>
            </w:pPr>
            <w:r>
              <w:rPr>
                <w:sz w:val="15"/>
                <w:szCs w:val="15"/>
              </w:rPr>
              <w:t xml:space="preserve">Radiotherapy is handled thinly. External beam radiotherapy and radiation segmentectomy appear only as alternatives to thermal ablation in BCLC A, with no stage-specific recommendation for stereotactic body radiotherapy or proton therapy, and the document adopts the BCLC 2022 algorithm as its Figure 9, carrying forward the same omission radiation oncologists had already objected to in print.</w:t>
            </w:r>
          </w:p>
          <w:p>
            <w:pPr>
              <w:pStyle w:val="ListParagraph"/>
              <w:numPr>
                <w:ilvl w:val="0"/>
                <w:numId w:val="2"/>
              </w:numPr>
              <w:spacing w:after="45"/>
            </w:pPr>
            <w:r>
              <w:rPr>
                <w:sz w:val="15"/>
                <w:szCs w:val="15"/>
              </w:rPr>
              <w:t xml:space="preserve">Transplant sections are built around US allocation policy: UNOS downstaging criteria, median MELD at transplant minus three exception scoring, OPTN class 5 imaging. These are administrative rules rather than biology and change on a different timetable from the evidence, so the recommendations date quickly and transfer poorly outside the United States, and the document does not say so.</w:t>
            </w:r>
          </w:p>
          <w:p>
            <w:pPr>
              <w:pStyle w:val="ListParagraph"/>
              <w:numPr>
                <w:ilvl w:val="0"/>
                <w:numId w:val="2"/>
              </w:numPr>
              <w:spacing w:after="45"/>
            </w:pPr>
            <w:r>
              <w:rPr>
                <w:sz w:val="15"/>
                <w:szCs w:val="15"/>
              </w:rPr>
              <w:t xml:space="preserve">Surveillance is set by incidence thresholds in Table 1 while the text concedes that no risk score is accurate enough to recommend. The thresholds are therefore applied through aetiology and fibrosis stage alone, which is the practice the risk scores were built to improve on, and the circularity is not acknowledged.</w:t>
            </w:r>
          </w:p>
          <w:p>
            <w:pPr>
              <w:pStyle w:val="ListParagraph"/>
              <w:numPr>
                <w:ilvl w:val="0"/>
                <w:numId w:val="2"/>
              </w:numPr>
              <w:spacing w:after="45"/>
            </w:pPr>
            <w:r>
              <w:rPr>
                <w:sz w:val="15"/>
                <w:szCs w:val="15"/>
              </w:rPr>
              <w:t xml:space="preserve">The table of expanded transplant criteria reports a single survival figure per criterion (UCSF 81%, total tumour volume under 115 cm3 75%, up-to-seven 71%, extended Toronto 68%, Kyoto 65%) with no confidence intervals and no indication that these come from different cohorts, eras and allocation systems. Set out as a list they invite the direct comparison the underlying studies cannot support.</w:t>
            </w:r>
          </w:p>
          <w:p>
            <w:pPr>
              <w:pStyle w:val="ListParagraph"/>
              <w:numPr>
                <w:ilvl w:val="0"/>
                <w:numId w:val="2"/>
              </w:numPr>
              <w:spacing w:after="45"/>
            </w:pPr>
            <w:r>
              <w:rPr>
                <w:sz w:val="15"/>
                <w:szCs w:val="15"/>
              </w:rPr>
              <w:t xml:space="preserve">The definitions that drive treatment are expert opinion presented as criteria. Table 5 lists factors making a patient TACE or Y-90 unsuitable and Table 6 defines refractoriness, but no threshold of tumour burden is given at which TACE becomes unsuitable, which is the decision those tables exist to serve; the 2026 BCLC update concedes the same gap.</w:t>
            </w:r>
          </w:p>
          <w:p>
            <w:pPr>
              <w:pStyle w:val="ListParagraph"/>
              <w:numPr>
                <w:ilvl w:val="0"/>
                <w:numId w:val="2"/>
              </w:numPr>
              <w:spacing w:after="45"/>
            </w:pPr>
            <w:r>
              <w:rPr>
                <w:sz w:val="15"/>
                <w:szCs w:val="15"/>
              </w:rPr>
              <w:t xml:space="preserve">Fifty numbered statements carry Oxford evidence levels, but the levels are not tabulated anywhere alongside the statements, so how much of the document rests on Level 5 can be established only by reading all fifty and counting.</w:t>
            </w:r>
          </w:p>
          <w:p>
            <w:pPr>
              <w:pStyle w:val="ListParagraph"/>
              <w:numPr>
                <w:ilvl w:val="0"/>
                <w:numId w:val="2"/>
              </w:numPr>
              <w:spacing w:after="45"/>
            </w:pPr>
            <w:r>
              <w:rPr>
                <w:sz w:val="15"/>
                <w:szCs w:val="15"/>
              </w:rPr>
              <w:t xml:space="preserve">This document appears twice in this depot, as REF-003_2023_10-1097-hep-0000000000000466 and as Singal_2023_PMID37199193, with byte-identical full text; the two stems are one document and only one should be presented.</w:t>
            </w:r>
          </w:p>
        </w:tc>
      </w:tr>
    </w:tbl>
    <w:p>
      <w:pPr>
        <w:spacing w:after="0" w:line="276"/>
      </w:pPr>
      <w:r>
        <w:rPr>
          <w:color w:val="5A6069"/>
          <w:sz w:val="14"/>
          <w:szCs w:val="14"/>
        </w:rPr>
        <w:t xml:space="preserve">Funding: Funding for the development of this Practice Guidance was provided by the AASLD. Conflicts are declared at length: the first author consults for Genentech, AstraZeneca, Eisai, Bayer, Boston Scientific, Exelixis, FujiFilm Medical Sciences, Exact Sciences, Glycotest and Universal Diagnostics; the second consults for and has received grants from Eisai, Bayer and Ipsen and consults for eleven further companies; other authors report institutional grants from Merck, Genentech, Incyte, Bristol-Myers Squibb and Gilead, stock in a pharmaceutical company, and speakers' bureau roles, while the remaining authors report none</w:t>
      </w:r>
    </w:p>
    <w:p>
      <w:pPr>
        <w:keepNext/>
        <w:spacing w:after="50" w:before="260"/>
      </w:pPr>
      <w:r>
        <w:rPr>
          <w:rFonts w:ascii="Cambria" w:cs="Cambria" w:eastAsia="Cambria" w:hAnsi="Cambria"/>
          <w:b/>
          <w:bCs/>
          <w:color w:val="17365D"/>
          <w:sz w:val="20"/>
          <w:szCs w:val="20"/>
        </w:rPr>
        <w:t xml:space="preserve">AASLD critical update</w:t>
      </w:r>
      <w:r>
        <w:rPr>
          <w:b/>
          <w:bCs/>
          <w:color w:val="176A87"/>
          <w:sz w:val="15"/>
          <w:szCs w:val="15"/>
        </w:rPr>
        <w:t xml:space="preserve">   Guideline</w:t>
      </w:r>
      <w:r>
        <w:rPr>
          <w:color w:val="5A6069"/>
          <w:sz w:val="15"/>
          <w:szCs w:val="15"/>
        </w:rPr>
        <w:t xml:space="preserve">   PMID 39992051</w:t>
      </w:r>
    </w:p>
    <w:p>
      <w:pPr>
        <w:spacing w:after="50" w:line="276"/>
      </w:pPr>
      <w:r>
        <w:rPr>
          <w:color w:val="5A6069"/>
          <w:sz w:val="17"/>
          <w:szCs w:val="17"/>
        </w:rPr>
        <w:t xml:space="preserve">Critical Update: AASLD Practice Guidance on prevention, diagnosis, and treatment of hepatocellular carcinoma</w:t>
      </w:r>
    </w:p>
    <w:p>
      <w:pPr>
        <w:spacing w:after="70"/>
      </w:pPr>
      <w:r>
        <w:rPr>
          <w:b/>
          <w:bCs/>
          <w:color w:val="17365D"/>
          <w:sz w:val="16"/>
          <w:szCs w:val="16"/>
        </w:rPr>
        <w:t xml:space="preserve">Bottom line. </w:t>
      </w:r>
      <w:r>
        <w:rPr>
          <w:sz w:val="16"/>
          <w:szCs w:val="16"/>
        </w:rPr>
        <w:t xml:space="preserve">Establishes that AASLD now advises against adjuvant and neoadjuvant systemic therapy after resection or local ablation for HCC, because the recurrence-free survival benefit of adjuvant atezolizumab plus bevacizumab in IMbrave050 did not hold at a second interim analysis (hazard ratio 0.90, 95% CI 0.72 to 1.12) while overall survival numerically favoured surveillance (1.26, 95% CI 0.85 to 1.87). It does not establish how to avoid the error it corrects: the reversal rests on a conference abstract and a still-interim analysis, carries the same Level 1 Strong label as the recommendation it overturns, extends to neoadjuvant therapy for which no randomised trial is cited, and leaves patients already on adjuvant treatment unaddressed. Its lasting value is as evidence about interim analyses rather than about atezolizumab.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recurrence-free survival is a composite endpoint combining recurrence, which affects 40% of patients at three years, with death that may follow from cirrhosis or from treatment toxicity; that the initially positive and ultimately negative result may be explained by a lack of proportional hazards; that the episode is 'a cautionary note to assessing data at early interim time points' and underscores the importance of designing an interim analysis robust enough to call a trial positive under conventional stopping rules; that overall survival remained immature with more than 80% of patients alive in both arms at two years; that follow-up is continuing; and that non-proportional hazards in neoadjuvant and adjuvant HCC trials 'will require a thorough analysis' which they do not provide.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reversal and the recommendation it reverses carry the same label. Guidance statement 32 was a Strong Recommendation in 2023 and its negation is Level 1, Strong here, and both derive from interim analyses of one trial. The update offers no rule for when an interim readout is strong enough to recommend on, which is precisely the question its own cautionary note raises.</w:t>
            </w:r>
          </w:p>
          <w:p>
            <w:pPr>
              <w:pStyle w:val="ListParagraph"/>
              <w:numPr>
                <w:ilvl w:val="0"/>
                <w:numId w:val="2"/>
              </w:numPr>
              <w:spacing w:after="45"/>
            </w:pPr>
            <w:r>
              <w:rPr>
                <w:sz w:val="15"/>
                <w:szCs w:val="15"/>
              </w:rPr>
              <w:t xml:space="preserve">Reference 3, which supports the quoted account of the original positive result, is a Roche press release titled 'Roche's Tecentriq plus Avastin is the first treatment combination to reduce the risk of cancer returning in people with certain types of early-stage liver cancer in a Phase III trial', with no journal, year, date or locator. The update reproduces the 2023 guidance's citation of a company announcement instead of replacing it with the peer-reviewed report, in the document whose purpose is to correct what that announcement supported.</w:t>
            </w:r>
          </w:p>
          <w:p>
            <w:pPr>
              <w:pStyle w:val="ListParagraph"/>
              <w:numPr>
                <w:ilvl w:val="0"/>
                <w:numId w:val="2"/>
              </w:numPr>
              <w:spacing w:after="45"/>
            </w:pPr>
            <w:r>
              <w:rPr>
                <w:sz w:val="15"/>
                <w:szCs w:val="15"/>
              </w:rPr>
              <w:t xml:space="preserve">The updated analysis is cited only as Yopp et al., Annals of Oncology 2024;35:S1230, abstract LBA39. A Level 1 Strong recommendation against a whole class of perioperative therapy rests on a one-page conference abstract with no protocol, no analysis plan and no peer review.</w:t>
            </w:r>
          </w:p>
          <w:p>
            <w:pPr>
              <w:pStyle w:val="ListParagraph"/>
              <w:numPr>
                <w:ilvl w:val="0"/>
                <w:numId w:val="2"/>
              </w:numPr>
              <w:spacing w:after="45"/>
            </w:pPr>
            <w:r>
              <w:rPr>
                <w:sz w:val="15"/>
                <w:szCs w:val="15"/>
              </w:rPr>
              <w:t xml:space="preserve">The overall survival hazard ratio is 1.26 (95% CI 0.85 to 1.87), a point estimate favouring surveillance over treatment, and the authors print it and then write that recurrence-free and overall survival results were consistent across subgroups. A numerical signal of harm with an interval that excludes nothing clinically important draws no comment at all.</w:t>
            </w:r>
          </w:p>
          <w:p>
            <w:pPr>
              <w:pStyle w:val="ListParagraph"/>
              <w:numPr>
                <w:ilvl w:val="0"/>
                <w:numId w:val="2"/>
              </w:numPr>
              <w:spacing w:after="45"/>
            </w:pPr>
            <w:r>
              <w:rPr>
                <w:sz w:val="15"/>
                <w:szCs w:val="15"/>
              </w:rPr>
              <w:t xml:space="preserve">The recommendation extends beyond the evidence that prompted it. Statement 32 now advises against neoadjuvant as well as adjuvant systemic therapy at Level 1, Strong, but IMbrave050 was an adjuvant trial. The neoadjuvant evidence the update cites is a single-arm phase Ib study of 15 patients and a phase 2 study in which 20 patients underwent resection, so a Level 1 Strong recommendation against neoadjuvant therapy is issued without a randomised trial of neoadjuvant therapy.</w:t>
            </w:r>
          </w:p>
          <w:p>
            <w:pPr>
              <w:pStyle w:val="ListParagraph"/>
              <w:numPr>
                <w:ilvl w:val="0"/>
                <w:numId w:val="2"/>
              </w:numPr>
              <w:spacing w:after="45"/>
            </w:pPr>
            <w:r>
              <w:rPr>
                <w:sz w:val="15"/>
                <w:szCs w:val="15"/>
              </w:rPr>
              <w:t xml:space="preserve">The second interim analysis is still an interim analysis, at 35.1 months median follow-up with follow-up ongoing. The reversal therefore rests on data of the same kind as the data that produced the original error, and the update does not say what would make it change again or when it will be revisited.</w:t>
            </w:r>
          </w:p>
          <w:p>
            <w:pPr>
              <w:pStyle w:val="ListParagraph"/>
              <w:numPr>
                <w:ilvl w:val="0"/>
                <w:numId w:val="2"/>
              </w:numPr>
              <w:spacing w:after="45"/>
            </w:pPr>
            <w:r>
              <w:rPr>
                <w:sz w:val="15"/>
                <w:szCs w:val="15"/>
              </w:rPr>
              <w:t xml:space="preserve">Patients already receiving adjuvant atezolizumab plus bevacizumab under the 2023 recommendation are not mentioned. A guidance that created a treatment population withdraws the recommendation without saying whether those patients should stop, complete the eleven-to-twelve-month course, or be managed some other way.</w:t>
            </w:r>
          </w:p>
          <w:p>
            <w:pPr>
              <w:pStyle w:val="ListParagraph"/>
              <w:numPr>
                <w:ilvl w:val="0"/>
                <w:numId w:val="2"/>
              </w:numPr>
              <w:spacing w:after="45"/>
            </w:pPr>
            <w:r>
              <w:rPr>
                <w:sz w:val="15"/>
                <w:szCs w:val="15"/>
              </w:rPr>
              <w:t xml:space="preserve">Recurrence after adjuvant therapy is left to the revised Figure 11, which is the generic recurrence algorithm and draws no distinction for patients who have already had a checkpoint inhibitor. Prior exposure bears on salvage transplantation and on first-line systemic choice, and the 2023 document had at least addressed it by expert opinion.</w:t>
            </w:r>
          </w:p>
          <w:p>
            <w:pPr>
              <w:pStyle w:val="ListParagraph"/>
              <w:numPr>
                <w:ilvl w:val="0"/>
                <w:numId w:val="2"/>
              </w:numPr>
              <w:spacing w:after="45"/>
            </w:pPr>
            <w:r>
              <w:rPr>
                <w:sz w:val="15"/>
                <w:szCs w:val="15"/>
              </w:rPr>
              <w:t xml:space="preserve">The remedy offered for the methodological failure is a pointer rather than a method. The update cites a triple-negative breast cancer trial that used restricted mean survival time and says the hazards problem will require thorough analysis, but sets no endpoint standard, no alpha-spending requirement and no minimum follow-up for future HCC adjuvant trials, while naming four ongoing phase 3 adjuvant trials that will report under the same conventions.</w:t>
            </w:r>
          </w:p>
          <w:p>
            <w:pPr>
              <w:pStyle w:val="ListParagraph"/>
              <w:numPr>
                <w:ilvl w:val="0"/>
                <w:numId w:val="2"/>
              </w:numPr>
              <w:spacing w:after="45"/>
            </w:pPr>
            <w:r>
              <w:rPr>
                <w:sz w:val="15"/>
                <w:szCs w:val="15"/>
              </w:rPr>
              <w:t xml:space="preserve">The update says AASLD 'is considering innovative methods to bring timely updates, such as this one, to the field'. No process, trigger or interval is described, so the mechanism that produced this correction is not one a reader can rely on for the next one.</w:t>
            </w:r>
          </w:p>
          <w:p>
            <w:pPr>
              <w:pStyle w:val="ListParagraph"/>
              <w:numPr>
                <w:ilvl w:val="0"/>
                <w:numId w:val="2"/>
              </w:numPr>
              <w:spacing w:after="45"/>
            </w:pPr>
            <w:r>
              <w:rPr>
                <w:sz w:val="15"/>
                <w:szCs w:val="15"/>
              </w:rPr>
              <w:t xml:space="preserve">In the published version preserved text is in quotation marks and altered text is underlined. The underlining is lost in this extracted copy, so which sentences were changed and which were carried across cannot be determined from the text as read here.</w:t>
            </w:r>
          </w:p>
        </w:tc>
      </w:tr>
    </w:tbl>
    <w:p>
      <w:pPr>
        <w:spacing w:after="0" w:line="276"/>
      </w:pPr>
      <w:r>
        <w:rPr>
          <w:color w:val="5A6069"/>
          <w:sz w:val="14"/>
          <w:szCs w:val="14"/>
        </w:rPr>
        <w:t xml:space="preserve">Funding: No funding statement appears anywhere in the three-page update. Two of the five authors declare conflicts: one consults for Exelixis, Genentech and AstraZeneca, and the senior author consults for Eisai, Merck, Roche, Genentech, AstraZeneca, Bayer, AbbVie, Sanofi, Moderna, Glycotest and Exelixis and sits on a data safety monitoring board for BMS, with all fees paid to his institution; the remaining three report none</w:t>
      </w:r>
    </w:p>
    <w:p>
      <w:pPr>
        <w:keepNext/>
        <w:spacing w:after="50" w:before="260"/>
      </w:pPr>
      <w:r>
        <w:rPr>
          <w:rFonts w:ascii="Cambria" w:cs="Cambria" w:eastAsia="Cambria" w:hAnsi="Cambria"/>
          <w:b/>
          <w:bCs/>
          <w:color w:val="17365D"/>
          <w:sz w:val="20"/>
          <w:szCs w:val="20"/>
        </w:rPr>
        <w:t xml:space="preserve">ASTRO EBRT</w:t>
      </w:r>
      <w:r>
        <w:rPr>
          <w:b/>
          <w:bCs/>
          <w:color w:val="176A87"/>
          <w:sz w:val="15"/>
          <w:szCs w:val="15"/>
        </w:rPr>
        <w:t xml:space="preserve">   Guideline</w:t>
      </w:r>
      <w:r>
        <w:rPr>
          <w:color w:val="5A6069"/>
          <w:sz w:val="15"/>
          <w:szCs w:val="15"/>
        </w:rPr>
        <w:t xml:space="preserve">   PMID 34688956</w:t>
      </w:r>
    </w:p>
    <w:p>
      <w:pPr>
        <w:spacing w:after="50" w:line="276"/>
      </w:pPr>
      <w:r>
        <w:rPr>
          <w:color w:val="5A6069"/>
          <w:sz w:val="17"/>
          <w:szCs w:val="17"/>
        </w:rPr>
        <w:t xml:space="preserve">External Beam Radiation Therapy for Primary Liver Cancers: An ASTRO Clinical Practice Guideline</w:t>
      </w:r>
    </w:p>
    <w:p>
      <w:pPr>
        <w:spacing w:after="70"/>
      </w:pPr>
      <w:r>
        <w:rPr>
          <w:b/>
          <w:bCs/>
          <w:color w:val="17365D"/>
          <w:sz w:val="16"/>
          <w:szCs w:val="16"/>
        </w:rPr>
        <w:t xml:space="preserve">Bottom line. </w:t>
      </w:r>
      <w:r>
        <w:rPr>
          <w:sz w:val="16"/>
          <w:szCs w:val="16"/>
        </w:rPr>
        <w:t xml:space="preserve">Establishes a graded, multidisciplinary framework for where external beam radiotherapy fits in HCC and intrahepatic cholangiocarcinoma, with dose, fractionation and organ-at-risk tables a radiation oncologist can work from, and makes EBRT a named first-line option for liver-confined HCC when curative treatment is not available. It does not establish that EBRT is equivalent or preferable to ablation, embolisation or surgery, because no randomised comparison with any of them existed at the February 2020 search cut-off and the grading scheme permits a Strong recommendation to rest on expert opinion. Read it as radiation oncology's consensus on how to deliver EBRT well, not as evidence on whether to choose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evidence review closed in February 2020, so a Korean randomised trial of proton therapy versus radiofrequency ablation for recurrent HCC and a completed randomised trial of EBRT after incomplete TAE or TACE appeared too late to be assessed; the task force says so explicitly.</w:t>
            </w:r>
          </w:p>
          <w:p>
            <w:pPr>
              <w:pStyle w:val="ListParagraph"/>
              <w:numPr>
                <w:ilvl w:val="0"/>
                <w:numId w:val="2"/>
              </w:numPr>
              <w:spacing w:after="45"/>
            </w:pPr>
            <w:r>
              <w:rPr>
                <w:sz w:val="15"/>
                <w:szCs w:val="15"/>
              </w:rPr>
              <w:t xml:space="preserve">No published randomised trial compares EBRT with thermal ablation or with catheter-based therapy for liver-confined HCC. The task force names the main limitations of the studies it relied on as the absence of randomised data, the paucity of direct comparison with systemic or other therapies, and selection bias between treatment groups in observational designs.</w:t>
            </w:r>
          </w:p>
          <w:p>
            <w:pPr>
              <w:pStyle w:val="ListParagraph"/>
              <w:numPr>
                <w:ilvl w:val="0"/>
                <w:numId w:val="2"/>
              </w:numPr>
              <w:spacing w:after="45"/>
            </w:pPr>
            <w:r>
              <w:rPr>
                <w:sz w:val="15"/>
                <w:szCs w:val="15"/>
              </w:rPr>
              <w:t xml:space="preserve">The literature search was restricted to studies in which EBRT formed part of the treatment, so outcome data on non-EBRT liver-directed therapies were limited; a supplementary search of meta-analyses and systematic reviews was run but, by the task force's own account, heterogeneity in populations, tumour characteristics and outcome metrics meant it did not provide meaningful comparative data, and it was kept out of the evidence tables.</w:t>
            </w:r>
          </w:p>
          <w:p>
            <w:pPr>
              <w:pStyle w:val="ListParagraph"/>
              <w:numPr>
                <w:ilvl w:val="0"/>
                <w:numId w:val="2"/>
              </w:numPr>
              <w:spacing w:after="45"/>
            </w:pPr>
            <w:r>
              <w:rPr>
                <w:sz w:val="15"/>
                <w:szCs w:val="15"/>
              </w:rPr>
              <w:t xml:space="preserve">Supporting studies largely excluded Child-Pugh B8 or worse disease, and in the best prospective dose study 50% of Child-Pugh A patients progressed to a higher Child-Pugh class and 33% of Child-Pugh B patients to class C.</w:t>
            </w:r>
          </w:p>
          <w:p>
            <w:pPr>
              <w:pStyle w:val="ListParagraph"/>
              <w:numPr>
                <w:ilvl w:val="0"/>
                <w:numId w:val="2"/>
              </w:numPr>
              <w:spacing w:after="45"/>
            </w:pPr>
            <w:r>
              <w:rPr>
                <w:sz w:val="15"/>
                <w:szCs w:val="15"/>
              </w:rPr>
              <w:t xml:space="preserve">Technique, dose-constraint and motion-management recommendations combine evidence with expert opinion. Whether protons are better than photons is unresolved pending NRG GI-003 (NCT03186898), and the single-institution retrospective comparison that favoured protons is conceded to be insufficient to recommend one modality over another.</w:t>
            </w:r>
          </w:p>
          <w:p>
            <w:pPr>
              <w:pStyle w:val="ListParagraph"/>
              <w:numPr>
                <w:ilvl w:val="0"/>
                <w:numId w:val="2"/>
              </w:numPr>
              <w:spacing w:after="45"/>
            </w:pPr>
            <w:r>
              <w:rPr>
                <w:sz w:val="15"/>
                <w:szCs w:val="15"/>
              </w:rPr>
              <w:t xml:space="preserve">The task force states the guideline is not a substitute for multidisciplinary evaluation and discussion, and that future studies should further define the role of EBRT in the context of liver-directed and systemic therapies.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ASTRO's own grading table permits a Strong recommendation at any quality of evidence, listed as 'usually high, moderate, or expert opinion', so the Strong first-line recommendation for EBRT carries no guarantee that randomised data lie behind it. A reader who treats 'strong recommendation' as a statement about evidence is being misled by the grading scheme rather than by the prose.</w:t>
            </w:r>
          </w:p>
          <w:p>
            <w:pPr>
              <w:pStyle w:val="ListParagraph"/>
              <w:numPr>
                <w:ilvl w:val="0"/>
                <w:numId w:val="2"/>
              </w:numPr>
              <w:spacing w:after="45"/>
            </w:pPr>
            <w:r>
              <w:rPr>
                <w:sz w:val="15"/>
                <w:szCs w:val="15"/>
              </w:rPr>
              <w:t xml:space="preserve">Consensus is assessed by a confidential modified Delphi on a five-point Likert scale with a threshold of 75% agreement, or 90% for expert-opinion recommendations, and recommendations failing the threshold are 'removed or revised'. No agreement percentage is printed for any recommendation in the document, so the reader cannot distinguish a unanimous recommendation from one that just cleared 75%, and cannot see what was dropped.</w:t>
            </w:r>
          </w:p>
          <w:p>
            <w:pPr>
              <w:pStyle w:val="ListParagraph"/>
              <w:numPr>
                <w:ilvl w:val="0"/>
                <w:numId w:val="2"/>
              </w:numPr>
              <w:spacing w:after="45"/>
            </w:pPr>
            <w:r>
              <w:rPr>
                <w:sz w:val="15"/>
                <w:szCs w:val="15"/>
              </w:rPr>
              <w:t xml:space="preserve">The Society of Interventional Radiology participated early and then withdrew as a collaborating society during development, a fact disclosed only in the acknowledgements. The withdrawn society is the one that delivers the TACE and TARE against which EBRT is being positioned, so the comparator specialty is absent from a guideline that recommends sequencing with and substituting for its treatments.</w:t>
            </w:r>
          </w:p>
          <w:p>
            <w:pPr>
              <w:pStyle w:val="ListParagraph"/>
              <w:numPr>
                <w:ilvl w:val="0"/>
                <w:numId w:val="2"/>
              </w:numPr>
              <w:spacing w:after="45"/>
            </w:pPr>
            <w:r>
              <w:rPr>
                <w:sz w:val="15"/>
                <w:szCs w:val="15"/>
              </w:rPr>
              <w:t xml:space="preserve">The task force is drawn almost entirely from radiation oncology, with single representatives from surgical oncology, transplant surgery and medical oncology. A guideline making a modality first-line is written predominantly by the specialty that delivers it, and surgical oncologists published a dissenting 'surgical perspective' in Annals of Surgical Oncology the following year; that commentary is identified here from its citation and abstract and was not obtained in full.</w:t>
            </w:r>
          </w:p>
          <w:p>
            <w:pPr>
              <w:pStyle w:val="ListParagraph"/>
              <w:numPr>
                <w:ilvl w:val="0"/>
                <w:numId w:val="2"/>
              </w:numPr>
              <w:spacing w:after="45"/>
            </w:pPr>
            <w:r>
              <w:rPr>
                <w:sz w:val="15"/>
                <w:szCs w:val="15"/>
              </w:rPr>
              <w:t xml:space="preserve">The first-line recommendation converts an absence of comparison into a permission. EBRT is recommended for patients with liver-confined HCC 'who are not candidates for curative therapy', and the guideline supplies no criteria for who is not a candidate, so the boundary between the recommended population and patients who should have resection, ablation or transplantation is set by whoever applies it.</w:t>
            </w:r>
          </w:p>
          <w:p>
            <w:pPr>
              <w:pStyle w:val="ListParagraph"/>
              <w:numPr>
                <w:ilvl w:val="0"/>
                <w:numId w:val="2"/>
              </w:numPr>
              <w:spacing w:after="45"/>
            </w:pPr>
            <w:r>
              <w:rPr>
                <w:sz w:val="15"/>
                <w:szCs w:val="15"/>
              </w:rPr>
              <w:t xml:space="preserve">Cost, access and equipment availability appear nowhere; the word cost does not occur in the document. Recommendations that rest on proton therapy and on motion-managed ultrahypofractionated delivery presuppose technology concentrated in a few centres, and the guideline addresses a reader with neither only by saying the choice should reflect 'available technology'.</w:t>
            </w:r>
          </w:p>
          <w:p>
            <w:pPr>
              <w:pStyle w:val="ListParagraph"/>
              <w:numPr>
                <w:ilvl w:val="0"/>
                <w:numId w:val="2"/>
              </w:numPr>
              <w:spacing w:after="45"/>
            </w:pPr>
            <w:r>
              <w:rPr>
                <w:sz w:val="15"/>
                <w:szCs w:val="15"/>
              </w:rPr>
              <w:t xml:space="preserve">HCC and intrahepatic cholangiocarcinoma are handled in one document under shared key questions despite different natural history, systemic options and surgical pathways. The dose and constraint tables serve both diseases, and the bolded regimens in them are identified as the most common prescriptions 'based on consensus of the task force' rather than derived from dose-response data.</w:t>
            </w:r>
          </w:p>
          <w:p>
            <w:pPr>
              <w:pStyle w:val="ListParagraph"/>
              <w:numPr>
                <w:ilvl w:val="0"/>
                <w:numId w:val="2"/>
              </w:numPr>
              <w:spacing w:after="45"/>
            </w:pPr>
            <w:r>
              <w:rPr>
                <w:sz w:val="15"/>
                <w:szCs w:val="15"/>
              </w:rPr>
              <w:t xml:space="preserve">Hepatic toxicity is reported as change in Child-Pugh class rather than as decompensating events, hospital admissions or deaths, so the figures cited (50% of Child-Pugh A patients rising a class, 33% of Child-Pugh B patients reaching C) cannot be set against the complication rates reported for ablation or embolisation, and no numerical risk of radiation-induced liver disease is attached to any recommended regimen.</w:t>
            </w:r>
          </w:p>
          <w:p>
            <w:pPr>
              <w:pStyle w:val="ListParagraph"/>
              <w:numPr>
                <w:ilvl w:val="0"/>
                <w:numId w:val="2"/>
              </w:numPr>
              <w:spacing w:after="45"/>
            </w:pPr>
            <w:r>
              <w:rPr>
                <w:sz w:val="15"/>
                <w:szCs w:val="15"/>
              </w:rPr>
              <w:t xml:space="preserve">The adjuvant recommendation for resected intrahepatic cholangiocarcinoma is extrapolated from SWOG S0809, a single-arm phase 2 study of postoperative chemoradiation in extrahepatic cholangiocarcinoma that explicitly excluded intrahepatic disease. The task force recommends on the stated grounds that the clinical context and nodal target volumes are similar.</w:t>
            </w:r>
          </w:p>
          <w:p>
            <w:pPr>
              <w:pStyle w:val="ListParagraph"/>
              <w:numPr>
                <w:ilvl w:val="0"/>
                <w:numId w:val="2"/>
              </w:numPr>
              <w:spacing w:after="45"/>
            </w:pPr>
            <w:r>
              <w:rPr>
                <w:sz w:val="15"/>
                <w:szCs w:val="15"/>
              </w:rPr>
              <w:t xml:space="preserve">Biologically effective dose is tabulated throughout on an assumed alpha-beta ratio of 10, applied unchanged across standard fractionation, moderate hypofractionation and ultrahypofractionation. The equivalence between the listed regimens depends entirely on that single assumed value and no sensitivity to it is shown.</w:t>
            </w:r>
          </w:p>
        </w:tc>
      </w:tr>
    </w:tbl>
    <w:p>
      <w:pPr>
        <w:spacing w:after="0" w:line="276"/>
      </w:pPr>
      <w:r>
        <w:rPr>
          <w:color w:val="5A6069"/>
          <w:sz w:val="14"/>
          <w:szCs w:val="14"/>
        </w:rPr>
        <w:t xml:space="preserve">Funding: Funded by the American Society for Radiation Oncology, which states it develops and publishes guidelines without commercial support and that task force members volunteer their time; individual disclosures are printed, including the vice chair's honoraria and consultancy from Medtronic and members' relationships with Varian, Elekta, General Electric, Philips, Boston Scientific, Blueprint Medicines and Eli Lilly, while the chair and five other members report none</w:t>
      </w:r>
    </w:p>
    <w:p>
      <w:pPr>
        <w:keepNext/>
        <w:spacing w:after="50" w:before="260"/>
      </w:pPr>
      <w:r>
        <w:rPr>
          <w:rFonts w:ascii="Cambria" w:cs="Cambria" w:eastAsia="Cambria" w:hAnsi="Cambria"/>
          <w:b/>
          <w:bCs/>
          <w:color w:val="17365D"/>
          <w:sz w:val="20"/>
          <w:szCs w:val="20"/>
        </w:rPr>
        <w:t xml:space="preserve">Baveno VII</w:t>
      </w:r>
      <w:r>
        <w:rPr>
          <w:b/>
          <w:bCs/>
          <w:color w:val="176A87"/>
          <w:sz w:val="15"/>
          <w:szCs w:val="15"/>
        </w:rPr>
        <w:t xml:space="preserve">   Consensus statement</w:t>
      </w:r>
      <w:r>
        <w:rPr>
          <w:color w:val="5A6069"/>
          <w:sz w:val="15"/>
          <w:szCs w:val="15"/>
        </w:rPr>
        <w:t xml:space="preserve">   PMID 35120736</w:t>
      </w:r>
    </w:p>
    <w:p>
      <w:pPr>
        <w:spacing w:after="50" w:line="276"/>
      </w:pPr>
      <w:r>
        <w:rPr>
          <w:color w:val="5A6069"/>
          <w:sz w:val="17"/>
          <w:szCs w:val="17"/>
        </w:rPr>
        <w:t xml:space="preserve">Baveno VII - Renewing consensus in portal hypertension</w:t>
      </w:r>
    </w:p>
    <w:p>
      <w:pPr>
        <w:spacing w:after="70"/>
      </w:pPr>
      <w:r>
        <w:rPr>
          <w:b/>
          <w:bCs/>
          <w:color w:val="17365D"/>
          <w:sz w:val="16"/>
          <w:szCs w:val="16"/>
        </w:rPr>
        <w:t xml:space="preserve">Bottom line. </w:t>
      </w:r>
      <w:r>
        <w:rPr>
          <w:sz w:val="16"/>
          <w:szCs w:val="16"/>
        </w:rPr>
        <w:t xml:space="preserve">Establishes the definitions a liver surgeon now works to: clinically significant portal hypertension as an HVPG of 10 mmHg or more, ruled out by liver stiffness of 15 kPa or less with platelets of 150 x 10^9/L or more, ruled in at 25 kPa or more, with an ANTICIPATE-handled grey zone between, and it names clinically significant portal hypertension as a risk marker for decompensation and death after resection for HCC. It does not establish a threshold at which resection should be declined, and says so; the thresholds it does give are validated only in viral, alcohol-related and non-obese NASH disease, and in NASH cirrhosis the faculty concede portal hypertension can be clinically evident below the 10 mmHg definition. Use the numbers to describe risk, not to decide operability.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faculty concede only that COVID-19 forced the workshop to be postponed and held virtually rather than face to face and call this a limitation, that the non-invasive thresholds are unestablished in obese NASH, in primary biliary cholangitis where a pre-sinusoidal component makes HVPG underestimate portal hypertension, and in other aetiologies, that in NASH cirrhosis clinical signs of portal hypertension can be present with an HVPG below 10 mmHg (statement 1.12, evidence level C.2), and, in the research agenda, that the prognostic role of HVPG before surgery needs prospective study against non-invasive tests and that non-invasive tools for clinically significant portal hypertension need validation in NASH and other aetiologies.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disclosure is not credible as written. Participants declared nothing to disclose regarding funding while the same document thanks EASL, AASLD and eight other bodies for the unrestricted grants that paid for the meeting, and three authors declare company relationships a few pages earlier. The declaration appears to cover the manuscript rather than the conference and the document does not say which.</w:t>
            </w:r>
          </w:p>
          <w:p>
            <w:pPr>
              <w:pStyle w:val="ListParagraph"/>
              <w:numPr>
                <w:ilvl w:val="0"/>
                <w:numId w:val="2"/>
              </w:numPr>
              <w:spacing w:after="45"/>
            </w:pPr>
            <w:r>
              <w:rPr>
                <w:sz w:val="15"/>
                <w:szCs w:val="15"/>
              </w:rPr>
              <w:t xml:space="preserve">The statement an HCC board needs most is the one without a number. Statement 1.18 makes clinically significant portal hypertension an A.1 risk marker for decompensation and death after resection for HCC and names no HVPG or liver stiffness threshold at which resection should be declined, so it identifies a contraindication-shaped risk without defining the contraindication.</w:t>
            </w:r>
          </w:p>
          <w:p>
            <w:pPr>
              <w:pStyle w:val="ListParagraph"/>
              <w:numPr>
                <w:ilvl w:val="0"/>
                <w:numId w:val="2"/>
              </w:numPr>
              <w:spacing w:after="45"/>
            </w:pPr>
            <w:r>
              <w:rPr>
                <w:sz w:val="15"/>
                <w:szCs w:val="15"/>
              </w:rPr>
              <w:t xml:space="preserve">A single HVPG definition of 10 mmHg is applied across aetiologies the document itself says behave differently. Statement 1.12 concedes at evidence level C.2 that in NASH cirrhosis clinical signs of portal hypertension occur below 10 mmHg, so the threshold does not mean the same thing across the aetiology mix a Western hepatobiliary practice now sees, and no alternative is offered.</w:t>
            </w:r>
          </w:p>
          <w:p>
            <w:pPr>
              <w:pStyle w:val="ListParagraph"/>
              <w:numPr>
                <w:ilvl w:val="0"/>
                <w:numId w:val="2"/>
              </w:numPr>
              <w:spacing w:after="45"/>
            </w:pPr>
            <w:r>
              <w:rPr>
                <w:sz w:val="15"/>
                <w:szCs w:val="15"/>
              </w:rPr>
              <w:t xml:space="preserve">The grey zone between the rule-out (liver stiffness 15 kPa or less with platelets 150 x 10^9/L or more) and the rule-in (25 kPa or more) is handled by ANTICIPATE at a 60% probability of clinically significant portal hypertension, as a weak B.2 recommendation. Sixty per cent is not a decision threshold for something as irreversible as declining resection, and the band it covers is wide: 20 to 25 kPa with platelets under 150, or 15 to 20 kPa with platelets under 110.</w:t>
            </w:r>
          </w:p>
          <w:p>
            <w:pPr>
              <w:pStyle w:val="ListParagraph"/>
              <w:numPr>
                <w:ilvl w:val="0"/>
                <w:numId w:val="2"/>
              </w:numPr>
              <w:spacing w:after="45"/>
            </w:pPr>
            <w:r>
              <w:rPr>
                <w:sz w:val="15"/>
                <w:szCs w:val="15"/>
              </w:rPr>
              <w:t xml:space="preserve">Thresholds are given to the kilopascal without the measurement conditions that generate them. Vibration-controlled transient elastography values vary with fasting state, operator, probe and hepatic inflammation, and no statement reports the variability around a single measurement or requires a repeat before a 15 or 25 kPa value is acted on.</w:t>
            </w:r>
          </w:p>
          <w:p>
            <w:pPr>
              <w:pStyle w:val="ListParagraph"/>
              <w:numPr>
                <w:ilvl w:val="0"/>
                <w:numId w:val="2"/>
              </w:numPr>
              <w:spacing w:after="45"/>
            </w:pPr>
            <w:r>
              <w:rPr>
                <w:sz w:val="15"/>
                <w:szCs w:val="15"/>
              </w:rPr>
              <w:t xml:space="preserve">Evidence grades are assigned per statement but the studies behind them are not tabulated, and the document is 12,632 words of statements with the derivations left in the narrative. For the surgically decisive statements this means a reader cannot see how many patients, in which aetiologies, support a given kilopascal value.</w:t>
            </w:r>
          </w:p>
          <w:p>
            <w:pPr>
              <w:pStyle w:val="ListParagraph"/>
              <w:numPr>
                <w:ilvl w:val="0"/>
                <w:numId w:val="2"/>
              </w:numPr>
              <w:spacing w:after="45"/>
            </w:pPr>
            <w:r>
              <w:rPr>
                <w:sz w:val="15"/>
                <w:szCs w:val="15"/>
              </w:rPr>
              <w:t xml:space="preserve">Baveno VII sits awkwardly beside BCLC and EASL guidance, which treat clinically significant portal hypertension as effectively excluding resection, and it does not address the conflict. A later randomised trial reported equivalent survival after resection versus ablation or TACE in hepatitis B-related HCC with clinically significant portal hypertension, which is the study the research agenda asked for and which cuts against how the marker is used.</w:t>
            </w:r>
          </w:p>
          <w:p>
            <w:pPr>
              <w:pStyle w:val="ListParagraph"/>
              <w:numPr>
                <w:ilvl w:val="0"/>
                <w:numId w:val="2"/>
              </w:numPr>
              <w:spacing w:after="45"/>
            </w:pPr>
            <w:r>
              <w:rPr>
                <w:sz w:val="15"/>
                <w:szCs w:val="15"/>
              </w:rPr>
              <w:t xml:space="preserve">Patients starting atezolizumab plus bevacizumab are not covered. Bevacizumab carries a bleeding risk and these patients have portal hypertension by definition, yet no statement addresses variceal screening or prophylaxis before systemic therapy. A letter in the Journal of Hepatology made this point within months; that letter is identified here from its citation and title and was not obtained in full.</w:t>
            </w:r>
          </w:p>
          <w:p>
            <w:pPr>
              <w:pStyle w:val="ListParagraph"/>
              <w:numPr>
                <w:ilvl w:val="0"/>
                <w:numId w:val="2"/>
              </w:numPr>
              <w:spacing w:after="45"/>
            </w:pPr>
            <w:r>
              <w:rPr>
                <w:sz w:val="15"/>
                <w:szCs w:val="15"/>
              </w:rPr>
              <w:t xml:space="preserve">Pre-sinusoidal disease defeats the whole framework and is handled in a clause. Where HVPG underestimates portal pressure, as in primary biliary cholangitis, the reference standard and the non-invasive tests calibrated against it fail together, and the document says only that the thresholds are unestablished there.</w:t>
            </w:r>
          </w:p>
          <w:p>
            <w:pPr>
              <w:pStyle w:val="ListParagraph"/>
              <w:numPr>
                <w:ilvl w:val="0"/>
                <w:numId w:val="2"/>
              </w:numPr>
              <w:spacing w:after="45"/>
            </w:pPr>
            <w:r>
              <w:rPr>
                <w:sz w:val="15"/>
                <w:szCs w:val="15"/>
              </w:rPr>
              <w:t xml:space="preserve">Consensus is reported as statement-level evidence and strength grades with no agreement percentages and no record of which proposed statements failed, so, as in the later Baveno conferences, the published document shows only what survived the room.</w:t>
            </w:r>
          </w:p>
          <w:p>
            <w:pPr>
              <w:pStyle w:val="ListParagraph"/>
              <w:numPr>
                <w:ilvl w:val="0"/>
                <w:numId w:val="2"/>
              </w:numPr>
              <w:spacing w:after="45"/>
            </w:pPr>
            <w:r>
              <w:rPr>
                <w:sz w:val="15"/>
                <w:szCs w:val="15"/>
              </w:rPr>
              <w:t xml:space="preserve">The extracted file is the accepted journal pre-proof: pagination and final figure placement are absent and inequality signs are unreliable in the extracted text, so the kilopascal and platelet thresholds that decide management must be checked against the published typesetting before use.</w:t>
            </w:r>
          </w:p>
        </w:tc>
      </w:tr>
    </w:tbl>
    <w:p>
      <w:pPr>
        <w:spacing w:after="0" w:line="276"/>
      </w:pPr>
      <w:r>
        <w:rPr>
          <w:color w:val="5A6069"/>
          <w:sz w:val="14"/>
          <w:szCs w:val="14"/>
        </w:rPr>
        <w:t xml:space="preserve">Funding: The participants declared that they have nothing to disclose regarding funding or conflict of interest with respect to the manuscript, while the acknowledgements record that the workshop was endorsed and supported by unrestricted grants from EASL, AASLD and eight further national societies and research networks; separately, three named authors declare consultancy or research support from Zydus, Surrozen, Actelion, AbbVie, Bayer, Boehringer-Ingelheim, Gilead, Intercept, MSD, Philips, Pliant Pharmaceuticals, Roche and Siemens, and one is supported by the Stiftung für Leberkrankheiten</w:t>
      </w:r>
    </w:p>
    <w:p>
      <w:pPr>
        <w:keepNext/>
        <w:spacing w:after="50" w:before="260"/>
      </w:pPr>
      <w:r>
        <w:rPr>
          <w:rFonts w:ascii="Cambria" w:cs="Cambria" w:eastAsia="Cambria" w:hAnsi="Cambria"/>
          <w:b/>
          <w:bCs/>
          <w:color w:val="17365D"/>
          <w:sz w:val="20"/>
          <w:szCs w:val="20"/>
        </w:rPr>
        <w:t xml:space="preserve">Baveno VIII</w:t>
      </w:r>
      <w:r>
        <w:rPr>
          <w:b/>
          <w:bCs/>
          <w:color w:val="176A87"/>
          <w:sz w:val="15"/>
          <w:szCs w:val="15"/>
        </w:rPr>
        <w:t xml:space="preserve">   Consensus statement</w:t>
      </w:r>
      <w:r>
        <w:rPr>
          <w:color w:val="5A6069"/>
          <w:sz w:val="15"/>
          <w:szCs w:val="15"/>
        </w:rPr>
        <w:t xml:space="preserve">   PMID 42624290</w:t>
      </w:r>
    </w:p>
    <w:p>
      <w:pPr>
        <w:spacing w:after="50" w:line="276"/>
      </w:pPr>
      <w:r>
        <w:rPr>
          <w:color w:val="5A6069"/>
          <w:sz w:val="17"/>
          <w:szCs w:val="17"/>
        </w:rPr>
        <w:t xml:space="preserve">Baveno VIII - Advancing Consensus in Portal Hypertension</w:t>
      </w:r>
    </w:p>
    <w:p>
      <w:pPr>
        <w:spacing w:after="70"/>
      </w:pPr>
      <w:r>
        <w:rPr>
          <w:b/>
          <w:bCs/>
          <w:color w:val="17365D"/>
          <w:sz w:val="16"/>
          <w:szCs w:val="16"/>
        </w:rPr>
        <w:t xml:space="preserve">Bottom line. </w:t>
      </w:r>
      <w:r>
        <w:rPr>
          <w:sz w:val="16"/>
          <w:szCs w:val="16"/>
        </w:rPr>
        <w:t xml:space="preserve">Establishes the current consensus thresholds for ruling clinically significant portal hypertension in and out without catheterisation, extends them for the first time to patients with HCC across BCLC stages 0 to C, and tells a tumour board that endoscopy may be omitted when liver stiffness is 15 kPa or less with platelets of 150 x 10^9/L or more. It does not establish any of this as validated practice: the three HCC statements are new, LoE 3 and weak, the 5 cm right-lobe caveat is unexplained, the tests are withdrawn where there is macrovascular invasion, and the whole document carries seven references, all to earlier Baveno meetings, so no statement can be checked against the evidence behind it. Take the numbers as the field's working agreement, not as a tested rule.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faculty concede only that recommendations from earlier conferences not specifically revised here remain valid, including the whole of HVPG measurement methodology, that the criteria for diagnosing clinically significant portal hypertension carry 'individual limitations' which statement 1.16 asks the clinician to consider without naming them, that non-invasive tests for clinically significant portal hypertension and high-risk varices may not be applicable where there is macrovascular invasion (1.21, LoE 3, weak), that patients in the indeterminate range are handled by re-evaluation at 12 months on LoE 4 weak evidence, and that 153 topics remain open on the research agenda, among them the incidence of and value of six-monthly surveillance for HCC in Budd-Chiari syndrome and whether Milan and AFP-based listing criteria apply in that setting.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list contains seven items, all of them previous Baveno conference reports published between 1992 and 2022. Two hundred and seventy-two statements carry a graded level of evidence, the three new HCC statements among them at LoE 3, with no citation to a single primary study, so no grade in this document can be traced to the evidence that produced it.</w:t>
            </w:r>
          </w:p>
          <w:p>
            <w:pPr>
              <w:pStyle w:val="ListParagraph"/>
              <w:numPr>
                <w:ilvl w:val="0"/>
                <w:numId w:val="2"/>
              </w:numPr>
              <w:spacing w:after="45"/>
            </w:pPr>
            <w:r>
              <w:rPr>
                <w:sz w:val="15"/>
                <w:szCs w:val="15"/>
              </w:rPr>
              <w:t xml:space="preserve">No disclosures are printed for any of the 84 faculty while the acknowledgements thank fifteen industry partners for financial support. Echosens manufactures the vibration-controlled transient elastography platform to which the footnote on statement 1.15 ties every liver stiffness threshold in the document, and Mindray makes ultrasound systems; a conference part-funded by the makers of the measuring devices has issued the cut-offs at which those devices decide management, and names no competing interest.</w:t>
            </w:r>
          </w:p>
          <w:p>
            <w:pPr>
              <w:pStyle w:val="ListParagraph"/>
              <w:numPr>
                <w:ilvl w:val="0"/>
                <w:numId w:val="2"/>
              </w:numPr>
              <w:spacing w:after="45"/>
            </w:pPr>
            <w:r>
              <w:rPr>
                <w:sz w:val="15"/>
                <w:szCs w:val="15"/>
              </w:rPr>
              <w:t xml:space="preserve">Baveno VII's participants declared they had nothing to disclose regarding funding or conflict of interest while acknowledging unrestricted grants. Baveno VIII drops the declaration altogether rather than extending it to the industry support it now names, so disclosure in this series has moved from implausible to absent.</w:t>
            </w:r>
          </w:p>
          <w:p>
            <w:pPr>
              <w:pStyle w:val="ListParagraph"/>
              <w:numPr>
                <w:ilvl w:val="0"/>
                <w:numId w:val="2"/>
              </w:numPr>
              <w:spacing w:after="45"/>
            </w:pPr>
            <w:r>
              <w:rPr>
                <w:sz w:val="15"/>
                <w:szCs w:val="15"/>
              </w:rPr>
              <w:t xml:space="preserve">Only statements reaching the threshold are published, and the document says so. Nothing shows how many statements were voted on, which failed, or how the agreement figures were distributed, so a reader cannot separate a settled position from a contested one that was dropped; the printed agreement figures run from 80% to 100% and those at the bottom of that range are indistinguishable from statements that never appeared.</w:t>
            </w:r>
          </w:p>
          <w:p>
            <w:pPr>
              <w:pStyle w:val="ListParagraph"/>
              <w:numPr>
                <w:ilvl w:val="0"/>
                <w:numId w:val="2"/>
              </w:numPr>
              <w:spacing w:after="45"/>
            </w:pPr>
            <w:r>
              <w:rPr>
                <w:sz w:val="15"/>
                <w:szCs w:val="15"/>
              </w:rPr>
              <w:t xml:space="preserve">Strong consensus is defined as above 80% faculty agreement. Four in five is a low bar for a document that presents itself as consensus, and it means a statement opposed by up to one voting expert in five is printed without that dissent being visible anywhere.</w:t>
            </w:r>
          </w:p>
          <w:p>
            <w:pPr>
              <w:pStyle w:val="ListParagraph"/>
              <w:numPr>
                <w:ilvl w:val="0"/>
                <w:numId w:val="2"/>
              </w:numPr>
              <w:spacing w:after="45"/>
            </w:pPr>
            <w:r>
              <w:rPr>
                <w:sz w:val="15"/>
                <w:szCs w:val="15"/>
              </w:rPr>
              <w:t xml:space="preserve">The three HCC statements are all new, LoE 3 and weak, yet written as operational rules. Statement 1.22 extends the rule-out of clinically significant portal hypertension across BCLC stages 0 to C and licenses omitting endoscopy; 1.23 restricts the ANTICIPATE route to BCLC 0 to A 'without large (&gt;5cm) nodules in the right liver lobe'. The 5 cm figure and the right-lobe restriction are stated with no derivation, so the reader cannot tell whether they come from data, from an argument about hepatic vein compression, or from the discussion in the room.</w:t>
            </w:r>
          </w:p>
          <w:p>
            <w:pPr>
              <w:pStyle w:val="ListParagraph"/>
              <w:numPr>
                <w:ilvl w:val="0"/>
                <w:numId w:val="2"/>
              </w:numPr>
              <w:spacing w:after="45"/>
            </w:pPr>
            <w:r>
              <w:rPr>
                <w:sz w:val="15"/>
                <w:szCs w:val="15"/>
              </w:rPr>
              <w:t xml:space="preserve">Statement 1.21 withdraws the non-invasive tests exactly where an HCC board needs them, saying they may not be applicable when there is macrovascular invasion, and offers no alternative. The patient in whom portal pressure matters most is returned to unguided judgement, and the retained Baveno VII statement linking clinically significant portal hypertension to decompensation and mortality after resection for HCC still names no threshold at which resection should be declined.</w:t>
            </w:r>
          </w:p>
          <w:p>
            <w:pPr>
              <w:pStyle w:val="ListParagraph"/>
              <w:numPr>
                <w:ilvl w:val="0"/>
                <w:numId w:val="2"/>
              </w:numPr>
              <w:spacing w:after="45"/>
            </w:pPr>
            <w:r>
              <w:rPr>
                <w:sz w:val="15"/>
                <w:szCs w:val="15"/>
              </w:rPr>
              <w:t xml:space="preserve">The statements that bear on surgery are not new work. The link between clinically significant portal hypertension and post-resection outcome, and the whole of HVPG methodology, sit in the summary box of prior statements that 'remain valid' but were not re-examined. The box then asks the reader to interpret those statements 'in the context of current Baveno VIII recommendations which favor non-invasive tests over routine HVPG measurements', which is to apply the conclusions of an invasive reference standard through tests this conference has not validated against it in this population.</w:t>
            </w:r>
          </w:p>
          <w:p>
            <w:pPr>
              <w:pStyle w:val="ListParagraph"/>
              <w:numPr>
                <w:ilvl w:val="0"/>
                <w:numId w:val="2"/>
              </w:numPr>
              <w:spacing w:after="45"/>
            </w:pPr>
            <w:r>
              <w:rPr>
                <w:sz w:val="15"/>
                <w:szCs w:val="15"/>
              </w:rPr>
              <w:t xml:space="preserve">Thresholds are specific to device, frequency and measurement conditions, spleen stiffness above 55 kPa at 100 Hz and liver stiffness by vibration-controlled transient elastography, but no guidance is given for centres using other elastography platforms or point shear-wave techniques. The aetiology caveat that matters most appears as a parenthesis in the figure, 'except in obese MASLD', rather than being carried into the statements themselves.</w:t>
            </w:r>
          </w:p>
          <w:p>
            <w:pPr>
              <w:pStyle w:val="ListParagraph"/>
              <w:numPr>
                <w:ilvl w:val="0"/>
                <w:numId w:val="2"/>
              </w:numPr>
              <w:spacing w:after="45"/>
            </w:pPr>
            <w:r>
              <w:rPr>
                <w:sz w:val="15"/>
                <w:szCs w:val="15"/>
              </w:rPr>
              <w:t xml:space="preserve">This is an accepted journal pre-proof dated 31 July 2026: the statements may change at copy-editing, pagination is absent, and no independent editorial or commentary on Baveno VIII was indexed in PubMed when this record was made, so the document has had no published external scrutiny.</w:t>
            </w:r>
          </w:p>
          <w:p>
            <w:pPr>
              <w:pStyle w:val="ListParagraph"/>
              <w:numPr>
                <w:ilvl w:val="0"/>
                <w:numId w:val="2"/>
              </w:numPr>
              <w:spacing w:after="45"/>
            </w:pPr>
            <w:r>
              <w:rPr>
                <w:sz w:val="15"/>
                <w:szCs w:val="15"/>
              </w:rPr>
              <w:t xml:space="preserve">The paediatric statements are new and were voted by the same faculty, with paediatric hepatologists added to only some panels and the composition of the vote for each statement not reported. The paediatric symposium held alongside the conference was sponsored by a single children's hospital, and the research agenda concedes that paediatric cut-offs for varices still need validation.</w:t>
            </w:r>
          </w:p>
        </w:tc>
      </w:tr>
    </w:tbl>
    <w:p>
      <w:pPr>
        <w:spacing w:after="0" w:line="276"/>
      </w:pPr>
      <w:r>
        <w:rPr>
          <w:color w:val="5A6069"/>
          <w:sz w:val="14"/>
          <w:szCs w:val="14"/>
        </w:rPr>
        <w:t xml:space="preserve">Funding: The acknowledgements record financial support from fifteen named industry partners, among them Echosens, Mindray, Boehringer Ingelheim, Roche/89bio, Madrigal, Grifols, GSK, Cook, CSL and W.L. Gore, alongside scientific partner organisations including EASL, ESGE, AEEH, AISF, BASL, CIBEREHD, JSH and VALDIG; no conflict-of-interest or disclosure statement for any of the 84 faculty members appears anywhere in the document</w:t>
      </w:r>
    </w:p>
    <w:p>
      <w:pPr>
        <w:keepNext/>
        <w:spacing w:after="50" w:before="260"/>
      </w:pPr>
      <w:r>
        <w:rPr>
          <w:rFonts w:ascii="Cambria" w:cs="Cambria" w:eastAsia="Cambria" w:hAnsi="Cambria"/>
          <w:b/>
          <w:bCs/>
          <w:color w:val="17365D"/>
          <w:sz w:val="20"/>
          <w:szCs w:val="20"/>
        </w:rPr>
        <w:t xml:space="preserve">BCLC 2022</w:t>
      </w:r>
      <w:r>
        <w:rPr>
          <w:b/>
          <w:bCs/>
          <w:color w:val="176A87"/>
          <w:sz w:val="15"/>
          <w:szCs w:val="15"/>
        </w:rPr>
        <w:t xml:space="preserve">   Guideline</w:t>
      </w:r>
      <w:r>
        <w:rPr>
          <w:color w:val="5A6069"/>
          <w:sz w:val="15"/>
          <w:szCs w:val="15"/>
        </w:rPr>
        <w:t xml:space="preserve">   PMID 34801630</w:t>
      </w:r>
    </w:p>
    <w:p>
      <w:pPr>
        <w:spacing w:after="50" w:line="276"/>
      </w:pPr>
      <w:r>
        <w:rPr>
          <w:color w:val="5A6069"/>
          <w:sz w:val="17"/>
          <w:szCs w:val="17"/>
        </w:rPr>
        <w:t xml:space="preserve">BCLC strategy for prognosis prediction and treatment recommendation: The 2022 update</w:t>
      </w:r>
    </w:p>
    <w:p>
      <w:pPr>
        <w:spacing w:after="70"/>
      </w:pPr>
      <w:r>
        <w:rPr>
          <w:b/>
          <w:bCs/>
          <w:color w:val="17365D"/>
          <w:sz w:val="16"/>
          <w:szCs w:val="16"/>
        </w:rPr>
        <w:t xml:space="preserve">Bottom line. </w:t>
      </w:r>
      <w:r>
        <w:rPr>
          <w:sz w:val="16"/>
          <w:szCs w:val="16"/>
        </w:rPr>
        <w:t xml:space="preserve">Establishes the 2022 version of the staging and treatment algorithm most of the world uses for HCC, adds a liver-function and patient-characterisation layer above tumour burden, and brings radioembolisation in for single nodules up to 8 cm. It does not establish any of this systematically: it is an expert narrative review drafted by two of its eighteen authors, with no search strategy, no voting, no thresholds for the liver-function variables it introduces, and no rule for the treatment stage migration on which the model depends. Use it as the field's shared vocabulary, and read the published correspondence from radiation oncologists, surgeons and hepatologists as part of the document.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no portal pressure cut-off can be given for resection in the presence of clinically significant portal hypertension, that robust cut-offs are likewise lacking for the BCLC B subdivision, that the LEGACY cohort supporting radioembolisation for single nodules up to 8 cm awaits external validation, that there is no evidence base for sequencing after a first-line immunotherapy doublet, and, in general terms, that data for some encouraging interventions are still too immature to be incorporated into an evidence-based model and that observational studies have limitations for robust causal inference.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expert narrative review, not a systematically reviewed or GRADE-graded guideline. No search strategy, inclusion criteria, evidence tables or voting procedure are reported, so the reader cannot establish which literature was considered or how the recommendations in Figure 1 were reached.</w:t>
            </w:r>
          </w:p>
          <w:p>
            <w:pPr>
              <w:pStyle w:val="ListParagraph"/>
              <w:numPr>
                <w:ilvl w:val="0"/>
                <w:numId w:val="2"/>
              </w:numPr>
              <w:spacing w:after="45"/>
            </w:pPr>
            <w:r>
              <w:rPr>
                <w:sz w:val="15"/>
                <w:szCs w:val="15"/>
              </w:rPr>
              <w:t xml:space="preserve">The author contribution statement records that initial and final writing of the manuscript was by two authors, with the remaining sixteen contributing 'critical reading and suggestions'. The document carries the authority of an eighteen-author international panel while having been drafted by the two senior figures of the group whose system it is.</w:t>
            </w:r>
          </w:p>
          <w:p>
            <w:pPr>
              <w:pStyle w:val="ListParagraph"/>
              <w:numPr>
                <w:ilvl w:val="0"/>
                <w:numId w:val="2"/>
              </w:numPr>
              <w:spacing w:after="45"/>
            </w:pPr>
            <w:r>
              <w:rPr>
                <w:sz w:val="15"/>
                <w:szCs w:val="15"/>
              </w:rPr>
              <w:t xml:space="preserve">The new liver-function layer is introduced without thresholds. ALBI, AFP, MELD and ascites grade are named as inputs to patient characterisation and no cut-off is given for any of them, so two boards can apply BCLC 2022 to the same patient, assign different stages and different treatments, and both be following the algorithm; a correspondence in the same journal made exactly this point.</w:t>
            </w:r>
          </w:p>
          <w:p>
            <w:pPr>
              <w:pStyle w:val="ListParagraph"/>
              <w:numPr>
                <w:ilvl w:val="0"/>
                <w:numId w:val="2"/>
              </w:numPr>
              <w:spacing w:after="45"/>
            </w:pPr>
            <w:r>
              <w:rPr>
                <w:sz w:val="15"/>
                <w:szCs w:val="15"/>
              </w:rPr>
              <w:t xml:space="preserve">Treatment stage migration is central to the model and has no rule. The document says when to consider migrating a patient to the treatment of an adjacent stage but gives no criterion for doing it, which places the most consequential judgement in the algorithm outside the algorithm.</w:t>
            </w:r>
          </w:p>
          <w:p>
            <w:pPr>
              <w:pStyle w:val="ListParagraph"/>
              <w:numPr>
                <w:ilvl w:val="0"/>
                <w:numId w:val="2"/>
              </w:numPr>
              <w:spacing w:after="45"/>
            </w:pPr>
            <w:r>
              <w:rPr>
                <w:sz w:val="15"/>
                <w:szCs w:val="15"/>
              </w:rPr>
              <w:t xml:space="preserve">The radioembolisation recommendation for single nodules up to 8 cm rests on LEGACY, one retrospective single-arm cohort whose median tumour size was 2.6 cm. The upper bound of the recommendation is three times the median of the series that generated it, and nothing in the figure signals that the evidence thins across that range.</w:t>
            </w:r>
          </w:p>
          <w:p>
            <w:pPr>
              <w:pStyle w:val="ListParagraph"/>
              <w:numPr>
                <w:ilvl w:val="0"/>
                <w:numId w:val="2"/>
              </w:numPr>
              <w:spacing w:after="45"/>
            </w:pPr>
            <w:r>
              <w:rPr>
                <w:sz w:val="15"/>
                <w:szCs w:val="15"/>
              </w:rPr>
              <w:t xml:space="preserve">Resection is not recommended for multinodular disease or in the presence of clinically significant portal hypertension, and surgeons wrote to the journal to say the model stays too restrictive and accommodates neither bile duct tumour thrombus nor the distinction between tumour-related and comorbidity-related performance status. The exchange, including the authors' reply, is identified here from the citations and abstracts and was not obtained in full.</w:t>
            </w:r>
          </w:p>
          <w:p>
            <w:pPr>
              <w:pStyle w:val="ListParagraph"/>
              <w:numPr>
                <w:ilvl w:val="0"/>
                <w:numId w:val="2"/>
              </w:numPr>
              <w:spacing w:after="45"/>
            </w:pPr>
            <w:r>
              <w:rPr>
                <w:sz w:val="15"/>
                <w:szCs w:val="15"/>
              </w:rPr>
              <w:t xml:space="preserve">External beam radiotherapy, stereotactic body radiotherapy included, is absent from the algorithm, and radiation oncologists published a correspondence saying so within months. Omitting a modality in routine use is a positive claim about its place, made here by silence rather than argument, and the same group reversed the position in its 2026 update.</w:t>
            </w:r>
          </w:p>
          <w:p>
            <w:pPr>
              <w:pStyle w:val="ListParagraph"/>
              <w:numPr>
                <w:ilvl w:val="0"/>
                <w:numId w:val="2"/>
              </w:numPr>
              <w:spacing w:after="45"/>
            </w:pPr>
            <w:r>
              <w:rPr>
                <w:sz w:val="15"/>
                <w:szCs w:val="15"/>
              </w:rPr>
              <w:t xml:space="preserve">The figure is the product. Most readers will use Figure 1 alone and a figure cannot carry the qualifications the text attaches to it, so the caveats that make the recommendations defensible are separated from the thing that gets applied. The 2023 AASLD guidance reproduces this figure as its own Figure 9, carrying the algorithm into a second document without the text that qualifies it.</w:t>
            </w:r>
          </w:p>
          <w:p>
            <w:pPr>
              <w:pStyle w:val="ListParagraph"/>
              <w:numPr>
                <w:ilvl w:val="0"/>
                <w:numId w:val="2"/>
              </w:numPr>
              <w:spacing w:after="45"/>
            </w:pPr>
            <w:r>
              <w:rPr>
                <w:sz w:val="15"/>
                <w:szCs w:val="15"/>
              </w:rPr>
              <w:t xml:space="preserve">The evidence cut-off is 15 November 2021, so the document neither addresses adjuvant systemic therapy nor considers TACE combined with systemic therapy. It continued to be cited and reproduced as current for years, and nothing in it states an expiry or an update interval.</w:t>
            </w:r>
          </w:p>
          <w:p>
            <w:pPr>
              <w:pStyle w:val="ListParagraph"/>
              <w:numPr>
                <w:ilvl w:val="0"/>
                <w:numId w:val="2"/>
              </w:numPr>
              <w:spacing w:after="45"/>
            </w:pPr>
            <w:r>
              <w:rPr>
                <w:sz w:val="15"/>
                <w:szCs w:val="15"/>
              </w:rPr>
              <w:t xml:space="preserve">BCLC D survival is given as around three months, a figure the same group revised to under twelve months in 2026 on data largely available earlier. For a stage where the quoted prognosis is itself part of the decision to treat or not, a fourfold revision between editions means the 2022 figure was shaping choices it could not support.</w:t>
            </w:r>
          </w:p>
        </w:tc>
      </w:tr>
    </w:tbl>
    <w:p>
      <w:pPr>
        <w:spacing w:after="0" w:line="276"/>
      </w:pPr>
      <w:r>
        <w:rPr>
          <w:color w:val="5A6069"/>
          <w:sz w:val="14"/>
          <w:szCs w:val="14"/>
        </w:rPr>
        <w:t xml:space="preserve">Funding: No commercial funding; the authors' research is partially supported by Instituto de Salud Carlos III, the Spanish Health Ministry's National Strategic Plan against Hepatitis C, AECC, CIBERehd, an EASL grant, NIH R01 MD012565 and Horizon 2020 grant agreement 952103. Industry relationships are printed in full and are extensive: the first and last authors each declare consultancy, lecture or travel support from more than ten companies including Bayer, BMS, Roche, Ipsen, AstraZeneca, Eisai, Lilly, Sirtex and Terumo, with institutional research funding from Bayer and Ipsen, while two of the eighteen authors declare nothing</w:t>
      </w:r>
    </w:p>
    <w:p>
      <w:pPr>
        <w:keepNext/>
        <w:spacing w:after="50" w:before="260"/>
      </w:pPr>
      <w:r>
        <w:rPr>
          <w:rFonts w:ascii="Cambria" w:cs="Cambria" w:eastAsia="Cambria" w:hAnsi="Cambria"/>
          <w:b/>
          <w:bCs/>
          <w:color w:val="17365D"/>
          <w:sz w:val="20"/>
          <w:szCs w:val="20"/>
        </w:rPr>
        <w:t xml:space="preserve">BCLC 2026</w:t>
      </w:r>
      <w:r>
        <w:rPr>
          <w:b/>
          <w:bCs/>
          <w:color w:val="176A87"/>
          <w:sz w:val="15"/>
          <w:szCs w:val="15"/>
        </w:rPr>
        <w:t xml:space="preserve">   Guideline</w:t>
      </w:r>
      <w:r>
        <w:rPr>
          <w:color w:val="5A6069"/>
          <w:sz w:val="15"/>
          <w:szCs w:val="15"/>
        </w:rPr>
        <w:t xml:space="preserve">   PMID 41151697</w:t>
      </w:r>
    </w:p>
    <w:p>
      <w:pPr>
        <w:spacing w:after="50" w:line="276"/>
      </w:pPr>
      <w:r>
        <w:rPr>
          <w:color w:val="5A6069"/>
          <w:sz w:val="17"/>
          <w:szCs w:val="17"/>
        </w:rPr>
        <w:t xml:space="preserve">BCLC strategy for prognosis prediction and treatment recommendations: The 2026 update</w:t>
      </w:r>
    </w:p>
    <w:p>
      <w:pPr>
        <w:spacing w:after="70"/>
      </w:pPr>
      <w:r>
        <w:rPr>
          <w:b/>
          <w:bCs/>
          <w:color w:val="17365D"/>
          <w:sz w:val="16"/>
          <w:szCs w:val="16"/>
        </w:rPr>
        <w:t xml:space="preserve">Bottom line. </w:t>
      </w:r>
      <w:r>
        <w:rPr>
          <w:sz w:val="16"/>
          <w:szCs w:val="16"/>
        </w:rPr>
        <w:t xml:space="preserve">Establishes the current BCLC algorithm, bringing external beam radiotherapy and radioembolisation into early-stage disease, preferring microwave to radiofrequency up to 3 to 4 cm, admitting ECOG 2 and four first-line doublets to BCLC C, defining multifocal disease numerically and revising BCLC D survival upward from three months to under twelve. It does not establish the thresholds that decide individual cases: no HVPG cut-off for resection with portal hypertension, no AFP decline for downstaging eligibility, no cut-off for TACE-unsuitable disease, no definition of major response, and a decision framework whose effect on practice the authors say has not been studied. The positions moved, and most of them moved on observational and single-arm evidence the update itself qualifies.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no HVPG cut-off licenses resection in mild portal hypertension, that no AFP decline is defined as qualifying a downstaged patient for transplantation, that no strict cut-off separates TACE-eligible from TACE-unsuitable disease, that there is no consensus definition of major response and no staging framework for BCLC upon response, that the structural selection bias in the comparative observational literature 'cannot be fully eliminated', that overall survival is immature in the curative-intent trials and that some first-line radiotherapy trials failed to meet accrual targets, that evidence in portal vein invasion is limited with only 18 such patients in DOSISPHERE-01, and that the CUSE framework's effect on practice and outcomes has not been studied and its web tool is not yet developed.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methods are printed under the heading 'Data availability'. The PubMed search was restricted to humans, adults over 19 and English-language records, which removes much of the Japanese and Chinese literature on particle therapy, hepatic arterial infusion chemotherapy and conversion surgery; Japanese proton therapy investigators wrote to the journal to say particle therapy is not integrated into the strategy, and the language restriction is part of why.</w:t>
            </w:r>
          </w:p>
          <w:p>
            <w:pPr>
              <w:pStyle w:val="ListParagraph"/>
              <w:numPr>
                <w:ilvl w:val="0"/>
                <w:numId w:val="2"/>
              </w:numPr>
              <w:spacing w:after="45"/>
            </w:pPr>
            <w:r>
              <w:rPr>
                <w:sz w:val="15"/>
                <w:szCs w:val="15"/>
              </w:rPr>
              <w:t xml:space="preserve">Two of the three evidence syntheses underpinning the update are the authors' own: an individual-participant-data meta-analysis of external beam radiotherapy in about 5,000 patients and an aggregate-data meta-analysis of 73 studies in macrovascular invasion. The group that sets the algorithm also produced the evidence that moved it, and the update does not treat that as a source of bias.</w:t>
            </w:r>
          </w:p>
          <w:p>
            <w:pPr>
              <w:pStyle w:val="ListParagraph"/>
              <w:numPr>
                <w:ilvl w:val="0"/>
                <w:numId w:val="2"/>
              </w:numPr>
              <w:spacing w:after="45"/>
            </w:pPr>
            <w:r>
              <w:rPr>
                <w:sz w:val="15"/>
                <w:szCs w:val="15"/>
              </w:rPr>
              <w:t xml:space="preserve">CUSE is a process presented as an advance. It names four dimensions, prescribes GO, CONSIDER and NO-GO thresholds and points to a web tool at bclccuse.ai, and the authors concede the tool is not developed and the framework's effect on practice and outcomes has not been studied. A tumour board gains a vocabulary and no reproducible rule, and CUSE is also where the structural selection bias in the observational literature is said to be 'explicitly acknowledged' rather than addressed.</w:t>
            </w:r>
          </w:p>
          <w:p>
            <w:pPr>
              <w:pStyle w:val="ListParagraph"/>
              <w:numPr>
                <w:ilvl w:val="0"/>
                <w:numId w:val="2"/>
              </w:numPr>
              <w:spacing w:after="45"/>
            </w:pPr>
            <w:r>
              <w:rPr>
                <w:sz w:val="15"/>
                <w:szCs w:val="15"/>
              </w:rPr>
              <w:t xml:space="preserve">EBRT and TARE enter the figure for BCLC 0 and A on data the update itself qualifies in the same paragraphs: RASER with a mean tumour size of 2.1 cm and standard deviation 0.4, LEGACY with a median of 2.6 cm and a range to 8.1 cm, and an EBRT literature described as limited by heterogeneity and selection bias with trials that failed to meet accrual. The position changed; the class of evidence did not.</w:t>
            </w:r>
          </w:p>
          <w:p>
            <w:pPr>
              <w:pStyle w:val="ListParagraph"/>
              <w:numPr>
                <w:ilvl w:val="0"/>
                <w:numId w:val="2"/>
              </w:numPr>
              <w:spacing w:after="45"/>
            </w:pPr>
            <w:r>
              <w:rPr>
                <w:sz w:val="15"/>
                <w:szCs w:val="15"/>
              </w:rPr>
              <w:t xml:space="preserve">Microwave is made the preferred percutaneous technique up to 3 to 4 cm. The randomised comparison on which that rests failed to show superiority of microwave over radiofrequency, and EASL, reading the same trials in the same period, recommends no preference. The update neither notes the disagreement nor explains what turns a null trial into a preference.</w:t>
            </w:r>
          </w:p>
          <w:p>
            <w:pPr>
              <w:pStyle w:val="ListParagraph"/>
              <w:numPr>
                <w:ilvl w:val="0"/>
                <w:numId w:val="2"/>
              </w:numPr>
              <w:spacing w:after="45"/>
            </w:pPr>
            <w:r>
              <w:rPr>
                <w:sz w:val="15"/>
                <w:szCs w:val="15"/>
              </w:rPr>
              <w:t xml:space="preserve">The update refuses to present cross-trial hazard ratios or survival-curve metrics so as not to imply a hierarchy unsupported by direct evidence, then admits four first-line doublets to BCLC C with no means of choosing between them. The refusal is methodologically defensible and leaves the clinician holding the decision the document exists to inform.</w:t>
            </w:r>
          </w:p>
          <w:p>
            <w:pPr>
              <w:pStyle w:val="ListParagraph"/>
              <w:numPr>
                <w:ilvl w:val="0"/>
                <w:numId w:val="2"/>
              </w:numPr>
              <w:spacing w:after="45"/>
            </w:pPr>
            <w:r>
              <w:rPr>
                <w:sz w:val="15"/>
                <w:szCs w:val="15"/>
              </w:rPr>
              <w:t xml:space="preserve">BCLC D survival is revised from about three months to under twelve without the data behind the revision being set out. A prognostic estimate that moves fourfold between editions of the same algorithm, having been used in the interim to decide against active treatment, needs an account of why it changed.</w:t>
            </w:r>
          </w:p>
          <w:p>
            <w:pPr>
              <w:pStyle w:val="ListParagraph"/>
              <w:numPr>
                <w:ilvl w:val="0"/>
                <w:numId w:val="2"/>
              </w:numPr>
              <w:spacing w:after="45"/>
            </w:pPr>
            <w:r>
              <w:rPr>
                <w:sz w:val="15"/>
                <w:szCs w:val="15"/>
              </w:rPr>
              <w:t xml:space="preserve">The divergence from the 2023 AASLD guidance on adjuvant systemic therapy is stated without engaging the 2025 AASLD critical update, which reversed that guidance and now agrees with BCLC. The reader is left to discover elsewhere that the disagreement has resolved.</w:t>
            </w:r>
          </w:p>
          <w:p>
            <w:pPr>
              <w:pStyle w:val="ListParagraph"/>
              <w:numPr>
                <w:ilvl w:val="0"/>
                <w:numId w:val="2"/>
              </w:numPr>
              <w:spacing w:after="45"/>
            </w:pPr>
            <w:r>
              <w:rPr>
                <w:sz w:val="15"/>
                <w:szCs w:val="15"/>
              </w:rPr>
              <w:t xml:space="preserve">Figure 4 argues that progression-free survival is an unreliable surrogate for overall survival because the same interval can be produced by indolent progression, lethal progression, aggressive biology or treatment-related death. The argument is correct, and the update does not apply it to its own reliance on objective response, complete pathological response and local control in the BCLC 0 and A recommendations it has just expanded.</w:t>
            </w:r>
          </w:p>
          <w:p>
            <w:pPr>
              <w:pStyle w:val="ListParagraph"/>
              <w:numPr>
                <w:ilvl w:val="0"/>
                <w:numId w:val="2"/>
              </w:numPr>
              <w:spacing w:after="45"/>
            </w:pPr>
            <w:r>
              <w:rPr>
                <w:sz w:val="15"/>
                <w:szCs w:val="15"/>
              </w:rPr>
              <w:t xml:space="preserve">Complete pathological response is used as supporting evidence across modalities with incompatible denominators: 34% versus 20% on explant in a UNOS retrospective comparison of TARE and TACE, 25% in a series of 88 patients given SBRT, and 'frequent' after superselective TACE, while the same passage notes that radiologic complete response does not consistently predict histologic necrosis. The figures are set side by side and are not comparable.</w:t>
            </w:r>
          </w:p>
          <w:p>
            <w:pPr>
              <w:pStyle w:val="ListParagraph"/>
              <w:numPr>
                <w:ilvl w:val="0"/>
                <w:numId w:val="2"/>
              </w:numPr>
              <w:spacing w:after="45"/>
            </w:pPr>
            <w:r>
              <w:rPr>
                <w:sz w:val="15"/>
                <w:szCs w:val="15"/>
              </w:rPr>
              <w:t xml:space="preserve">The competing-interest record is corrupted in this copy: one author's entry ends 'and grants from;' with no list, another repeats the same company list twice, and a third reads ': ; none'. For a document whose recommendations now favour named devices and agents, the disclosures as published here cannot be read in full.</w:t>
            </w:r>
          </w:p>
        </w:tc>
      </w:tr>
    </w:tbl>
    <w:p>
      <w:pPr>
        <w:spacing w:after="0" w:line="276"/>
      </w:pPr>
      <w:r>
        <w:rPr>
          <w:color w:val="5A6069"/>
          <w:sz w:val="14"/>
          <w:szCs w:val="14"/>
        </w:rPr>
        <w:t xml:space="preserve">Funding: No commercial funding for the update; grant support is listed author by author from Instituto de Salud Carlos III, CIBER and CIBEREHD, AECC, World Cancer Research, an EASL registry grant and institutional research support, with several authors reporting none. Industry relationships are printed in full and are extensive, including consultancy, lecture, travel and institutional educational support from AstraZeneca, Bayer, BMS, Roche/Genentech, Eisai, Lilly, Ipsen, Boston Scientific, Sirtex, Terumo, Guerbet and others; one entry reads 'and grants from;' with nothing after it and another repeats an identical company list twice</w:t>
      </w:r>
    </w:p>
    <w:p>
      <w:pPr>
        <w:keepNext/>
        <w:spacing w:after="50" w:before="260"/>
      </w:pPr>
      <w:r>
        <w:rPr>
          <w:rFonts w:ascii="Cambria" w:cs="Cambria" w:eastAsia="Cambria" w:hAnsi="Cambria"/>
          <w:b/>
          <w:bCs/>
          <w:color w:val="17365D"/>
          <w:sz w:val="20"/>
          <w:szCs w:val="20"/>
        </w:rPr>
        <w:t xml:space="preserve">Berzigotti meta-analysis</w:t>
      </w:r>
      <w:r>
        <w:rPr>
          <w:b/>
          <w:bCs/>
          <w:color w:val="176A87"/>
          <w:sz w:val="15"/>
          <w:szCs w:val="15"/>
        </w:rPr>
        <w:t xml:space="preserve">   Meta-analysis</w:t>
      </w:r>
      <w:r>
        <w:rPr>
          <w:color w:val="5A6069"/>
          <w:sz w:val="15"/>
          <w:szCs w:val="15"/>
        </w:rPr>
        <w:t xml:space="preserve">   PMID 25212123</w:t>
      </w:r>
    </w:p>
    <w:p>
      <w:pPr>
        <w:spacing w:after="50" w:line="276"/>
      </w:pPr>
      <w:r>
        <w:rPr>
          <w:color w:val="5A6069"/>
          <w:sz w:val="17"/>
          <w:szCs w:val="17"/>
        </w:rPr>
        <w:t xml:space="preserve">Portal Hypertension and the Outcome of Surgery for Hepatocellular Carcinoma in Compensated Cirrhosis: A Systematic Review and Meta-analysis</w:t>
      </w:r>
    </w:p>
    <w:p>
      <w:pPr>
        <w:spacing w:after="50"/>
      </w:pPr>
      <w:r>
        <w:rPr>
          <w:b/>
          <w:bCs/>
          <w:color w:val="176A87"/>
          <w:sz w:val="16"/>
          <w:szCs w:val="16"/>
        </w:rPr>
        <w:t xml:space="preserve">Population. </w:t>
      </w:r>
      <w:r>
        <w:rPr>
          <w:sz w:val="16"/>
          <w:szCs w:val="16"/>
        </w:rPr>
        <w:t xml:space="preserve">11 studies with 1,737 patients with cirrhosis and HCC treated surgically; 1,572 patients (574 with and 998 without clinically significant portal hypertension) in the survival analysis with 491 deaths at 3 years and 694 at 5 years, and 1,108 patients (386 with and 722 without) with 197 decompensation events</w:t>
      </w:r>
    </w:p>
    <w:p>
      <w:pPr>
        <w:spacing w:after="70"/>
      </w:pPr>
      <w:r>
        <w:rPr>
          <w:b/>
          <w:bCs/>
          <w:color w:val="17365D"/>
          <w:sz w:val="16"/>
          <w:szCs w:val="16"/>
        </w:rPr>
        <w:t xml:space="preserve">Bottom line. </w:t>
      </w:r>
      <w:r>
        <w:rPr>
          <w:sz w:val="16"/>
          <w:szCs w:val="16"/>
        </w:rPr>
        <w:t xml:space="preserve">Pools 11 observational studies and finds that clinically significant portal hypertension roughly doubles 3- and 5-year mortality after resection for HCC (pooled OR 2.09 and 2.07) and triples the odds of postoperative decompensation (OR 3.04). Every estimate is crude and unadjusted, portal hypertension is a marker of more advanced cirrhosis, and the dramatic subgroup figures that justify measuring the hepatic venous pressure gradient come from three small studies totalling 115 patients, two of them the authors' 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analysis pools observational and mostly retrospective data, which the authors state limits the ability to control for confounding</w:t>
            </w:r>
          </w:p>
          <w:p>
            <w:pPr>
              <w:pStyle w:val="ListParagraph"/>
              <w:numPr>
                <w:ilvl w:val="0"/>
                <w:numId w:val="2"/>
              </w:numPr>
              <w:spacing w:after="45"/>
            </w:pPr>
            <w:r>
              <w:rPr>
                <w:sz w:val="15"/>
                <w:szCs w:val="15"/>
              </w:rPr>
              <w:t xml:space="preserve">Because most included studies did not adjust for known confounders, the authors were forced to use crude measures of association</w:t>
            </w:r>
          </w:p>
          <w:p>
            <w:pPr>
              <w:pStyle w:val="ListParagraph"/>
              <w:numPr>
                <w:ilvl w:val="0"/>
                <w:numId w:val="2"/>
              </w:numPr>
              <w:spacing w:after="45"/>
            </w:pPr>
            <w:r>
              <w:rPr>
                <w:sz w:val="15"/>
                <w:szCs w:val="15"/>
              </w:rPr>
              <w:t xml:space="preserve">Four of the eleven studies scored 10 on the QUIPS tool and were rated high risk of bias</w:t>
            </w:r>
          </w:p>
          <w:p>
            <w:pPr>
              <w:pStyle w:val="ListParagraph"/>
              <w:numPr>
                <w:ilvl w:val="0"/>
                <w:numId w:val="2"/>
              </w:numPr>
              <w:spacing w:after="45"/>
            </w:pPr>
            <w:r>
              <w:rPr>
                <w:sz w:val="15"/>
                <w:szCs w:val="15"/>
              </w:rPr>
              <w:t xml:space="preserve">The definition of clinical decompensation varied across studies, although all included jaundice and ascites</w:t>
            </w:r>
          </w:p>
          <w:p>
            <w:pPr>
              <w:pStyle w:val="ListParagraph"/>
              <w:numPr>
                <w:ilvl w:val="0"/>
                <w:numId w:val="2"/>
              </w:numPr>
              <w:spacing w:after="45"/>
            </w:pPr>
            <w:r>
              <w:rPr>
                <w:sz w:val="15"/>
                <w:szCs w:val="15"/>
              </w:rPr>
              <w:t xml:space="preserve">The authors acknowledge that surgical practice has moved on since the included cohorts, naming laparoscopic resection, reduced clamping and portal vein embolisation, though they argue resection does not lower portal pressure</w:t>
            </w:r>
          </w:p>
          <w:p>
            <w:pPr>
              <w:pStyle w:val="ListParagraph"/>
              <w:numPr>
                <w:ilvl w:val="0"/>
                <w:numId w:val="2"/>
              </w:numPr>
              <w:spacing w:after="45"/>
            </w:pPr>
            <w:r>
              <w:rPr>
                <w:sz w:val="15"/>
                <w:szCs w:val="15"/>
              </w:rPr>
              <w:t xml:space="preserve">The authors note that the reliability of observational methodology is hard to judge from published reports, which is why they restricted the search to full publications and excluded the grey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search window opens in January 1996 because that is when the authors' own first paper on the question appeared, and four of the eleven included studies come from the authors' own group, so a meta-analysis described in its Discussion as validating the EASL and AASLD recommendations is conducted by the authors of those recommendations using their own data</w:t>
            </w:r>
          </w:p>
          <w:p>
            <w:pPr>
              <w:pStyle w:val="ListParagraph"/>
              <w:numPr>
                <w:ilvl w:val="0"/>
                <w:numId w:val="2"/>
              </w:numPr>
              <w:spacing w:after="45"/>
            </w:pPr>
            <w:r>
              <w:rPr>
                <w:sz w:val="15"/>
                <w:szCs w:val="15"/>
              </w:rPr>
              <w:t xml:space="preserve">The decompensation subgroup estimate that drives the recommendation to measure the hepatic venous pressure gradient (pooled OR 14.59, 95% CI 2.81 to 80.06) rests on three studies of 29, 40 and 46 patients, two of them from the authors' unit, and the smallest of the three has perfect separation so its true odds ratio is unbounded</w:t>
            </w:r>
          </w:p>
          <w:p>
            <w:pPr>
              <w:pStyle w:val="ListParagraph"/>
              <w:numPr>
                <w:ilvl w:val="0"/>
                <w:numId w:val="2"/>
              </w:numPr>
              <w:spacing w:after="45"/>
            </w:pPr>
            <w:r>
              <w:rPr>
                <w:sz w:val="15"/>
                <w:szCs w:val="15"/>
              </w:rPr>
              <w:t xml:space="preserve">The corresponding mortality subgroup estimate for gradient-based studies (OR 8.00, 95% CI 2.59 to 24.69) comes from the same group's 1996 and 1999 papers, so the claim that invasive measurement outperforms surrogates is a comparison between the authors' small prospective series and other groups' larger retrospective ones</w:t>
            </w:r>
          </w:p>
          <w:p>
            <w:pPr>
              <w:pStyle w:val="ListParagraph"/>
              <w:numPr>
                <w:ilvl w:val="0"/>
                <w:numId w:val="2"/>
              </w:numPr>
              <w:spacing w:after="45"/>
            </w:pPr>
            <w:r>
              <w:rPr>
                <w:sz w:val="15"/>
                <w:szCs w:val="15"/>
              </w:rPr>
              <w:t xml:space="preserve">That comparison is made between subgroups of studies rather than within patients: no included study measured the gradient and the surrogate criteria in the same patients and compared their prognostic performance, so the conclusion that surrogates cannot exclude clinically significant portal hypertension is not something the pooled data can establish</w:t>
            </w:r>
          </w:p>
          <w:p>
            <w:pPr>
              <w:pStyle w:val="ListParagraph"/>
              <w:numPr>
                <w:ilvl w:val="0"/>
                <w:numId w:val="2"/>
              </w:numPr>
              <w:spacing w:after="45"/>
            </w:pPr>
            <w:r>
              <w:rPr>
                <w:sz w:val="15"/>
                <w:szCs w:val="15"/>
              </w:rPr>
              <w:t xml:space="preserve">Only 2 of the 8 survival studies reported portal hypertension as an independent predictor on multivariable analysis, a fact placed in a supplementary table while the abstract and conclusions report the pooled crude odds ratio, so the headline estimate cannot distinguish the harm of operating from the natural history of more advanced cirrhosis</w:t>
            </w:r>
          </w:p>
          <w:p>
            <w:pPr>
              <w:pStyle w:val="ListParagraph"/>
              <w:numPr>
                <w:ilvl w:val="0"/>
                <w:numId w:val="2"/>
              </w:numPr>
              <w:spacing w:after="45"/>
            </w:pPr>
            <w:r>
              <w:rPr>
                <w:sz w:val="15"/>
                <w:szCs w:val="15"/>
              </w:rPr>
              <w:t xml:space="preserve">Operative mortality did not differ by portal hypertension status in any study that reported it (11.1 versus 5.1 percent, 4.6 versus 1.1 percent, 0.5 versus 0 percent, all non-significant), so whatever the pooled survival difference represents, it is not perioperative death</w:t>
            </w:r>
          </w:p>
          <w:p>
            <w:pPr>
              <w:pStyle w:val="ListParagraph"/>
              <w:numPr>
                <w:ilvl w:val="0"/>
                <w:numId w:val="2"/>
              </w:numPr>
              <w:spacing w:after="45"/>
            </w:pPr>
            <w:r>
              <w:rPr>
                <w:sz w:val="15"/>
                <w:szCs w:val="15"/>
              </w:rPr>
              <w:t xml:space="preserve">Patients with portal hypertension systematically received different operations: anatomical resection in 39 versus 68 percent in the largest study (p &lt; 0.001), 12.1 versus 33.1 percent in another (p = 0.0003), 15.0 versus 31.1 percent in a third (p = 0.001), with less transfusion, so the exposure is confounded with the extent of surgery, and the stratified analysis the authors say addresses this is reported only as data not shown</w:t>
            </w:r>
          </w:p>
          <w:p>
            <w:pPr>
              <w:pStyle w:val="ListParagraph"/>
              <w:numPr>
                <w:ilvl w:val="0"/>
                <w:numId w:val="2"/>
              </w:numPr>
              <w:spacing w:after="45"/>
            </w:pPr>
            <w:r>
              <w:rPr>
                <w:sz w:val="15"/>
                <w:szCs w:val="15"/>
              </w:rPr>
              <w:t xml:space="preserve">Several of the sensitivity analyses that support the robustness claim, including the QUIPS low-versus-moderate-to-high comparison and the anatomic-resection strata, are reported as data not shown and cannot be checked</w:t>
            </w:r>
          </w:p>
          <w:p>
            <w:pPr>
              <w:pStyle w:val="ListParagraph"/>
              <w:numPr>
                <w:ilvl w:val="0"/>
                <w:numId w:val="2"/>
              </w:numPr>
              <w:spacing w:after="45"/>
            </w:pPr>
            <w:r>
              <w:rPr>
                <w:sz w:val="15"/>
                <w:szCs w:val="15"/>
              </w:rPr>
              <w:t xml:space="preserve">Four different constructs are pooled as one exposure: a gradient of 10 mmHg or more, portal vein pressure of 20 cmH2O or more, the presence of gastro-oesophageal varices, and platelets below 100,000 with a spleen above 12 cm; the prevalence of the resulting exposure ranges from 21.7 to 51.7 percent across studies</w:t>
            </w:r>
          </w:p>
          <w:p>
            <w:pPr>
              <w:pStyle w:val="ListParagraph"/>
              <w:numPr>
                <w:ilvl w:val="0"/>
                <w:numId w:val="2"/>
              </w:numPr>
              <w:spacing w:after="45"/>
            </w:pPr>
            <w:r>
              <w:rPr>
                <w:sz w:val="15"/>
                <w:szCs w:val="15"/>
              </w:rPr>
              <w:t xml:space="preserve">No funnel plot, Egger test or any formal assessment of small-study or publication bias is presented, in an analysis whose most extreme subgroup estimates come from its smallest studies</w:t>
            </w:r>
          </w:p>
          <w:p>
            <w:pPr>
              <w:pStyle w:val="ListParagraph"/>
              <w:numPr>
                <w:ilvl w:val="0"/>
                <w:numId w:val="2"/>
              </w:numPr>
              <w:spacing w:after="45"/>
            </w:pPr>
            <w:r>
              <w:rPr>
                <w:sz w:val="15"/>
                <w:szCs w:val="15"/>
              </w:rPr>
              <w:t xml:space="preserve">The search covered MEDLINE only, in English only, with no grey literature, no registries and no non-English reports; four full texts could not be obtained and were excluded; only 2 of 11 studies are Asian, and the principal dissenting Asian study was eligible for the survival analysis alone</w:t>
            </w:r>
          </w:p>
          <w:p>
            <w:pPr>
              <w:pStyle w:val="ListParagraph"/>
              <w:numPr>
                <w:ilvl w:val="0"/>
                <w:numId w:val="2"/>
              </w:numPr>
              <w:spacing w:after="45"/>
            </w:pPr>
            <w:r>
              <w:rPr>
                <w:sz w:val="15"/>
                <w:szCs w:val="15"/>
              </w:rPr>
              <w:t xml:space="preserve">The one study showing no effect of portal hypertension on 3- or 5-year mortality is the only multicentre study in the set, and the paper offers no examination of why the largest and least selected cohort is the discordant one</w:t>
            </w:r>
          </w:p>
          <w:p>
            <w:pPr>
              <w:pStyle w:val="ListParagraph"/>
              <w:numPr>
                <w:ilvl w:val="0"/>
                <w:numId w:val="2"/>
              </w:numPr>
              <w:spacing w:after="45"/>
            </w:pPr>
            <w:r>
              <w:rPr>
                <w:sz w:val="15"/>
                <w:szCs w:val="15"/>
              </w:rPr>
              <w:t xml:space="preserve">Two of the included studies come from the same unit over overlapping years (1989 to 1997 and 1991 to 1994), and the stated rule against duplicate cohorts is satisfied by entering one into the survival pool and the other into the decompensation pool, which conceals rather than removes the overlap</w:t>
            </w:r>
          </w:p>
          <w:p>
            <w:pPr>
              <w:pStyle w:val="ListParagraph"/>
              <w:numPr>
                <w:ilvl w:val="0"/>
                <w:numId w:val="2"/>
              </w:numPr>
              <w:spacing w:after="45"/>
            </w:pPr>
            <w:r>
              <w:rPr>
                <w:sz w:val="15"/>
                <w:szCs w:val="15"/>
              </w:rPr>
              <w:t xml:space="preserve">The senior author declares consultancy and grants from Bayer and relationships with nine other companies, and the practical consequence of the recommendation is to move patients with portal hypertension from resection to transplantation, ablation or chemoembolisation, the last of which the Discussion endorses by citing the group's own drug-eluting-bead series</w:t>
            </w:r>
          </w:p>
        </w:tc>
      </w:tr>
    </w:tbl>
    <w:p>
      <w:pPr>
        <w:spacing w:after="0" w:line="276"/>
      </w:pPr>
      <w:r>
        <w:rPr>
          <w:color w:val="5A6069"/>
          <w:sz w:val="14"/>
          <w:szCs w:val="14"/>
        </w:rPr>
        <w:t xml:space="preserve">Funding: Supported by Instituto de Salud Carlos III grants PI11/01830 to Bruix and FIS 13/00341 to Bosch, and by FEDER; CIBERehd is funded by the Instituto de Salud Carlos III. Bruix declares consultancy, advisory roles and grants from Bayer and relationships with BioCompatibles, Novartis, Daichi, Arqule, Abbott, Bristol-Myers Squibb, GlaxoSmithKline, Kowa, Lilly and Roche</w:t>
      </w:r>
    </w:p>
    <w:p>
      <w:pPr>
        <w:keepNext/>
        <w:spacing w:after="50" w:before="260"/>
      </w:pPr>
      <w:r>
        <w:rPr>
          <w:rFonts w:ascii="Cambria" w:cs="Cambria" w:eastAsia="Cambria" w:hAnsi="Cambria"/>
          <w:b/>
          <w:bCs/>
          <w:color w:val="17365D"/>
          <w:sz w:val="20"/>
          <w:szCs w:val="20"/>
        </w:rPr>
        <w:t xml:space="preserve">Bruix 1996</w:t>
      </w:r>
      <w:r>
        <w:rPr>
          <w:b/>
          <w:bCs/>
          <w:color w:val="176A87"/>
          <w:sz w:val="15"/>
          <w:szCs w:val="15"/>
        </w:rPr>
        <w:t xml:space="preserve">   cohort</w:t>
      </w:r>
      <w:r>
        <w:rPr>
          <w:color w:val="5A6069"/>
          <w:sz w:val="15"/>
          <w:szCs w:val="15"/>
        </w:rPr>
        <w:t xml:space="preserve">   PMID 8831597</w:t>
      </w:r>
    </w:p>
    <w:p>
      <w:pPr>
        <w:spacing w:after="50" w:line="276"/>
      </w:pPr>
      <w:r>
        <w:rPr>
          <w:color w:val="5A6069"/>
          <w:sz w:val="17"/>
          <w:szCs w:val="17"/>
        </w:rPr>
        <w:t xml:space="preserve">Surgical Resection of Hepatocellular Carcinoma in Cirrhotic Patients: Prognostic Value of Preoperative Portal Pressure</w:t>
      </w:r>
    </w:p>
    <w:p>
      <w:pPr>
        <w:spacing w:after="50"/>
      </w:pPr>
      <w:r>
        <w:rPr>
          <w:b/>
          <w:bCs/>
          <w:color w:val="176A87"/>
          <w:sz w:val="16"/>
          <w:szCs w:val="16"/>
        </w:rPr>
        <w:t xml:space="preserve">Population. </w:t>
      </w:r>
      <w:r>
        <w:rPr>
          <w:sz w:val="16"/>
          <w:szCs w:val="16"/>
        </w:rPr>
        <w:t xml:space="preserve">29 consecutive Child-Pugh A cirrhotic patients with HCC (28 of 29 solitary and under 5 cm) resected at one Barcelona hospital between May 1991 and June 1994; 11 developed unresolved hepatic decompensation at 3 months</w:t>
      </w:r>
    </w:p>
    <w:p>
      <w:pPr>
        <w:spacing w:after="70"/>
      </w:pPr>
      <w:r>
        <w:rPr>
          <w:b/>
          <w:bCs/>
          <w:color w:val="17365D"/>
          <w:sz w:val="16"/>
          <w:szCs w:val="16"/>
        </w:rPr>
        <w:t xml:space="preserve">Bottom line. </w:t>
      </w:r>
      <w:r>
        <w:rPr>
          <w:sz w:val="16"/>
          <w:szCs w:val="16"/>
        </w:rPr>
        <w:t xml:space="preserve">The index study behind the rule that resection should be restricted to patients without portal hypertension: in 29 Child-Pugh A patients, 11 of 15 with a hepatic venous pressure gradient of 10 mmHg or more had unresolved decompensation at 3 months against none of 14 below that gradient. The separation is perfect in a cohort of 29 with 11 events screened against 44 candidate variables, the 10 mmHg line was imported rather than derived here, the endpoint is almost entirely diuretic-requiring ascites, and no survival outcome is reported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Unresolved decompensation was intentionally screened for, which the authors say probably explains their 38 percent rate against the lower figures in retrospective series</w:t>
            </w:r>
          </w:p>
          <w:p>
            <w:pPr>
              <w:pStyle w:val="ListParagraph"/>
              <w:numPr>
                <w:ilvl w:val="0"/>
                <w:numId w:val="2"/>
              </w:numPr>
              <w:spacing w:after="45"/>
            </w:pPr>
            <w:r>
              <w:rPr>
                <w:sz w:val="15"/>
                <w:szCs w:val="15"/>
              </w:rPr>
              <w:t xml:space="preserve">Hepatic vein catheterisation is not performed routinely in most centres, as the authors concede, and the non-invasive alternatives they examined were significant only on univariate analysis</w:t>
            </w:r>
          </w:p>
          <w:p>
            <w:pPr>
              <w:pStyle w:val="ListParagraph"/>
              <w:numPr>
                <w:ilvl w:val="0"/>
                <w:numId w:val="2"/>
              </w:numPr>
              <w:spacing w:after="45"/>
            </w:pPr>
            <w:r>
              <w:rPr>
                <w:sz w:val="15"/>
                <w:szCs w:val="15"/>
              </w:rPr>
              <w:t xml:space="preserve">The authors cannot explain why a lower blood urea nitrogen was associated with decompensation and note that the values stayed within the normal range</w:t>
            </w:r>
          </w:p>
          <w:p>
            <w:pPr>
              <w:pStyle w:val="ListParagraph"/>
              <w:numPr>
                <w:ilvl w:val="0"/>
                <w:numId w:val="2"/>
              </w:numPr>
              <w:spacing w:after="45"/>
            </w:pPr>
            <w:r>
              <w:rPr>
                <w:sz w:val="15"/>
                <w:szCs w:val="15"/>
              </w:rPr>
              <w:t xml:space="preserve">The authors note that mean bilirubin was within the normal range in both groups, so a normal bilirubin does not rule out the risk of postoperative decompensation</w:t>
            </w:r>
          </w:p>
          <w:p>
            <w:pPr>
              <w:pStyle w:val="ListParagraph"/>
              <w:numPr>
                <w:ilvl w:val="0"/>
                <w:numId w:val="2"/>
              </w:numPr>
              <w:spacing w:after="45"/>
            </w:pPr>
            <w:r>
              <w:rPr>
                <w:sz w:val="15"/>
                <w:szCs w:val="15"/>
              </w:rPr>
              <w:t xml:space="preserve">The authors state that their recommendation rests on patients selected by the best available criteria at one centre in one era, and defend the result against alternative explanations by reference to their own concurrent surgical series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Forty-four clinical, laboratory, tumour and haemodynamic parameters were screened univariably and six carried into a logistic regression fitted to 11 events, so the model is overfitted by any standard and the odds ratio of 1.90 per mmHg (95% CI 1.12 to 3.22) is not a stable estimate</w:t>
            </w:r>
          </w:p>
          <w:p>
            <w:pPr>
              <w:pStyle w:val="ListParagraph"/>
              <w:numPr>
                <w:ilvl w:val="0"/>
                <w:numId w:val="2"/>
              </w:numPr>
              <w:spacing w:after="45"/>
            </w:pPr>
            <w:r>
              <w:rPr>
                <w:sz w:val="15"/>
                <w:szCs w:val="15"/>
              </w:rPr>
              <w:t xml:space="preserve">The dichotomy is perfectly separating (11 of 15 versus 0 of 14), and a logistic regression containing a near-perfectly separating covariate does not produce trustworthy coefficients or p values; the reported P = 0.0001 for the multivariable term is no stronger than the univariable comparison it repeats</w:t>
            </w:r>
          </w:p>
          <w:p>
            <w:pPr>
              <w:pStyle w:val="ListParagraph"/>
              <w:numPr>
                <w:ilvl w:val="0"/>
                <w:numId w:val="2"/>
              </w:numPr>
              <w:spacing w:after="45"/>
            </w:pPr>
            <w:r>
              <w:rPr>
                <w:sz w:val="15"/>
                <w:szCs w:val="15"/>
              </w:rPr>
              <w:t xml:space="preserve">No derivation of the 10 mmHg threshold is described: no cut-point search, no receiver-operating analysis and no alternative thresholds are reported, because 10 mmHg is the conventional definition of clinically significant portal hypertension carried over from the variceal literature and applied here after the fact</w:t>
            </w:r>
          </w:p>
          <w:p>
            <w:pPr>
              <w:pStyle w:val="ListParagraph"/>
              <w:numPr>
                <w:ilvl w:val="0"/>
                <w:numId w:val="2"/>
              </w:numPr>
              <w:spacing w:after="45"/>
            </w:pPr>
            <w:r>
              <w:rPr>
                <w:sz w:val="15"/>
                <w:szCs w:val="15"/>
              </w:rPr>
              <w:t xml:space="preserve">The cohort mean gradient was 9.9 plus or minus 4.4 mmHg, so the cut-point sits almost exactly at the mean of a narrow continuous distribution, which is the split that maximises apparent separation and the one least likely to reproduce</w:t>
            </w:r>
          </w:p>
          <w:p>
            <w:pPr>
              <w:pStyle w:val="ListParagraph"/>
              <w:numPr>
                <w:ilvl w:val="0"/>
                <w:numId w:val="2"/>
              </w:numPr>
              <w:spacing w:after="45"/>
            </w:pPr>
            <w:r>
              <w:rPr>
                <w:sz w:val="15"/>
                <w:szCs w:val="15"/>
              </w:rPr>
              <w:t xml:space="preserve">The endpoint is not liver failure: 16 of the 17 early events were ascites, all 11 unresolved events had ascites requiring diuretics with one jaundice and one encephalopathy, and the single death was septic shock with multiorgan failure, so the guideline-shaping outcome is diuretic-requiring ascites at 3 months</w:t>
            </w:r>
          </w:p>
          <w:p>
            <w:pPr>
              <w:pStyle w:val="ListParagraph"/>
              <w:numPr>
                <w:ilvl w:val="0"/>
                <w:numId w:val="2"/>
              </w:numPr>
              <w:spacing w:after="45"/>
            </w:pPr>
            <w:r>
              <w:rPr>
                <w:sz w:val="15"/>
                <w:szCs w:val="15"/>
              </w:rPr>
              <w:t xml:space="preserve">Ascites management was protocolised (40 mEq sodium, furosemide and spironolactone as needed) by the same unblinded team that had measured the gradient, so the endpoint of requiring diuretics is partly a treatment decision by clinicians who knew the exposure</w:t>
            </w:r>
          </w:p>
          <w:p>
            <w:pPr>
              <w:pStyle w:val="ListParagraph"/>
              <w:numPr>
                <w:ilvl w:val="0"/>
                <w:numId w:val="2"/>
              </w:numPr>
              <w:spacing w:after="45"/>
            </w:pPr>
            <w:r>
              <w:rPr>
                <w:sz w:val="15"/>
                <w:szCs w:val="15"/>
              </w:rPr>
              <w:t xml:space="preserve">The paper reports no survival outcome of any kind, yet its recommendation is that resection be restricted; recurrence was in fact numerically more common in the group without decompensation (9 versus 4), and the claim that decompensation shortens survival is supported only by the authors' own prior abstract</w:t>
            </w:r>
          </w:p>
          <w:p>
            <w:pPr>
              <w:pStyle w:val="ListParagraph"/>
              <w:numPr>
                <w:ilvl w:val="0"/>
                <w:numId w:val="2"/>
              </w:numPr>
              <w:spacing w:after="45"/>
            </w:pPr>
            <w:r>
              <w:rPr>
                <w:sz w:val="15"/>
                <w:szCs w:val="15"/>
              </w:rPr>
              <w:t xml:space="preserve">No postoperative haemodynamic measurement was made in any patient, so the mechanism offered, unchanged portal inflow through a reduced non-compliant vascular bed, is imported from a rat model and never tested in this cohort</w:t>
            </w:r>
          </w:p>
          <w:p>
            <w:pPr>
              <w:pStyle w:val="ListParagraph"/>
              <w:numPr>
                <w:ilvl w:val="0"/>
                <w:numId w:val="2"/>
              </w:numPr>
              <w:spacing w:after="45"/>
            </w:pPr>
            <w:r>
              <w:rPr>
                <w:sz w:val="15"/>
                <w:szCs w:val="15"/>
              </w:rPr>
              <w:t xml:space="preserve">The authors conclude that surgical factors cannot explain the findings because resection type, ischaemia time and transfusion did not differ, but those comparisons are made between 11 and 18 patients and have essentially no power to exclude a surgical effect</w:t>
            </w:r>
          </w:p>
          <w:p>
            <w:pPr>
              <w:pStyle w:val="ListParagraph"/>
              <w:numPr>
                <w:ilvl w:val="0"/>
                <w:numId w:val="2"/>
              </w:numPr>
              <w:spacing w:after="45"/>
            </w:pPr>
            <w:r>
              <w:rPr>
                <w:sz w:val="15"/>
                <w:szCs w:val="15"/>
              </w:rPr>
              <w:t xml:space="preserve">Two of the six univariable predictors point in directions the authors cannot account for, a lower blood urea nitrogen and a bilirubin difference within the normal range, which is what fitting six variables to 11 events in 29 patients produces</w:t>
            </w:r>
          </w:p>
          <w:p>
            <w:pPr>
              <w:pStyle w:val="ListParagraph"/>
              <w:numPr>
                <w:ilvl w:val="0"/>
                <w:numId w:val="2"/>
              </w:numPr>
              <w:spacing w:after="45"/>
            </w:pPr>
            <w:r>
              <w:rPr>
                <w:sz w:val="15"/>
                <w:szCs w:val="15"/>
              </w:rPr>
              <w:t xml:space="preserve">The gradient was measured once, in the right hepatic vein, within 10 days of surgery, with no repeat measurement, no reproducibility estimate and no interobserver data, in a study where the clinical decision turns on a few mmHg either side of the cut-point</w:t>
            </w:r>
          </w:p>
          <w:p>
            <w:pPr>
              <w:pStyle w:val="ListParagraph"/>
              <w:numPr>
                <w:ilvl w:val="0"/>
                <w:numId w:val="2"/>
              </w:numPr>
              <w:spacing w:after="45"/>
            </w:pPr>
            <w:r>
              <w:rPr>
                <w:sz w:val="15"/>
                <w:szCs w:val="15"/>
              </w:rPr>
              <w:t xml:space="preserve">Follow-up for the endpoint stops at 3 months and no longer-term liver or oncological outcome is reported, so the paper cannot show that the patients it would exclude from resection do better with any alternative</w:t>
            </w:r>
          </w:p>
          <w:p>
            <w:pPr>
              <w:pStyle w:val="ListParagraph"/>
              <w:numPr>
                <w:ilvl w:val="0"/>
                <w:numId w:val="2"/>
              </w:numPr>
              <w:spacing w:after="45"/>
            </w:pPr>
            <w:r>
              <w:rPr>
                <w:sz w:val="15"/>
                <w:szCs w:val="15"/>
              </w:rPr>
              <w:t xml:space="preserve">The Discussion's proposed algorithm ends by recommending percutaneous ethanol injection as potentially radical only in tumours larger than 3 cm, the opposite of the finding in the reference it cites for that claim, which reported that efficacy falls with increasing tumour size</w:t>
            </w:r>
          </w:p>
          <w:p>
            <w:pPr>
              <w:pStyle w:val="ListParagraph"/>
              <w:numPr>
                <w:ilvl w:val="0"/>
                <w:numId w:val="2"/>
              </w:numPr>
              <w:spacing w:after="45"/>
            </w:pPr>
            <w:r>
              <w:rPr>
                <w:sz w:val="15"/>
                <w:szCs w:val="15"/>
              </w:rPr>
              <w:t xml:space="preserve">No conflict-of-interest statement appears, and the same group went on to embed this single-centre threshold in the BCLC staging system and in the EASL and AASLD recommendations it now underwrites</w:t>
            </w:r>
          </w:p>
        </w:tc>
      </w:tr>
    </w:tbl>
    <w:p>
      <w:pPr>
        <w:spacing w:after="0" w:line="276"/>
      </w:pPr>
      <w:r>
        <w:rPr>
          <w:color w:val="5A6069"/>
          <w:sz w:val="14"/>
          <w:szCs w:val="14"/>
        </w:rPr>
        <w:t xml:space="preserve">Funding: Supported in part by grants from the Fondo de Investigaciones Sanitarias (FIS 93/0544 and 94/0757) and the Direccion General de Investigacion Cientifica y Tecnica (DGICYT PB94-1562); no conflict-of-interest statement appears in the article</w:t>
      </w:r>
    </w:p>
    <w:p>
      <w:pPr>
        <w:keepNext/>
        <w:spacing w:after="50" w:before="260"/>
      </w:pPr>
      <w:r>
        <w:rPr>
          <w:rFonts w:ascii="Cambria" w:cs="Cambria" w:eastAsia="Cambria" w:hAnsi="Cambria"/>
          <w:b/>
          <w:bCs/>
          <w:color w:val="17365D"/>
          <w:sz w:val="20"/>
          <w:szCs w:val="20"/>
        </w:rPr>
        <w:t xml:space="preserve">CELESTIAL</w:t>
      </w:r>
      <w:r>
        <w:rPr>
          <w:b/>
          <w:bCs/>
          <w:color w:val="176A87"/>
          <w:sz w:val="15"/>
          <w:szCs w:val="15"/>
        </w:rPr>
        <w:t xml:space="preserve">   Randomised trial</w:t>
      </w:r>
      <w:r>
        <w:rPr>
          <w:color w:val="5A6069"/>
          <w:sz w:val="15"/>
          <w:szCs w:val="15"/>
        </w:rPr>
        <w:t xml:space="preserve">   PMID 29972759</w:t>
      </w:r>
    </w:p>
    <w:p>
      <w:pPr>
        <w:spacing w:after="50" w:line="276"/>
      </w:pPr>
      <w:r>
        <w:rPr>
          <w:color w:val="5A6069"/>
          <w:sz w:val="17"/>
          <w:szCs w:val="17"/>
        </w:rPr>
        <w:t xml:space="preserve">Cabozantinib in Patients with Advanced and Progressing Hepatocellular Carcinoma</w:t>
      </w:r>
    </w:p>
    <w:p>
      <w:pPr>
        <w:spacing w:after="50"/>
      </w:pPr>
      <w:r>
        <w:rPr>
          <w:b/>
          <w:bCs/>
          <w:color w:val="176A87"/>
          <w:sz w:val="16"/>
          <w:szCs w:val="16"/>
        </w:rPr>
        <w:t xml:space="preserve">Population. </w:t>
      </w:r>
      <w:r>
        <w:rPr>
          <w:sz w:val="16"/>
          <w:szCs w:val="16"/>
        </w:rPr>
        <w:t xml:space="preserve">707 patients with advanced HCC, Child-Pugh A and ECOG 0 or 1, who had progressed after at least one systemic therapy including sorafenib, randomised 2:1 at 95 centres in 19 countries and included in the 1 June 2017 interim analysis; 773 were randomised in all by September 2017, and 27 percent of those analysed had received two prior systemic regimens</w:t>
      </w:r>
    </w:p>
    <w:p>
      <w:pPr>
        <w:spacing w:after="70"/>
      </w:pPr>
      <w:r>
        <w:rPr>
          <w:b/>
          <w:bCs/>
          <w:color w:val="17365D"/>
          <w:sz w:val="16"/>
          <w:szCs w:val="16"/>
        </w:rPr>
        <w:t xml:space="preserve">Bottom line. </w:t>
      </w:r>
      <w:r>
        <w:rPr>
          <w:sz w:val="16"/>
          <w:szCs w:val="16"/>
        </w:rPr>
        <w:t xml:space="preserve">CELESTIAL established cabozantinib as a second- or third-line option, with median overall survival 10.2 against 8.0 months (HR 0.76, 95% CI 0.63 to 0.92, p = 0.005) and progression-free survival 5.2 against 1.9 months. The result comes from the second of three planned interim analyses at 78 percent of the planned deaths, so the mature estimate will never be produced; the objective response rate was 4 percent, 68 percent had grade 3 or 4 toxicity and the median delivered dose was 35.8 mg of a 60 mg drug.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Child-Pugh class B or worse liver function and poorer performance status were excluded, and the authors state that further studies are needed to establish safety and efficacy in them</w:t>
            </w:r>
          </w:p>
          <w:p>
            <w:pPr>
              <w:pStyle w:val="ListParagraph"/>
              <w:numPr>
                <w:ilvl w:val="0"/>
                <w:numId w:val="2"/>
              </w:numPr>
              <w:spacing w:after="45"/>
            </w:pPr>
            <w:r>
              <w:rPr>
                <w:sz w:val="15"/>
                <w:szCs w:val="15"/>
              </w:rPr>
              <w:t xml:space="preserve">The authors report that the hazard ratio for death was 0.69 in hepatitis B-related and 1.11 in hepatitis C-related disease, and 0.86 in patients of Asian race but 1.01 in patients enrolled in Asia, and state that further analyses are needed to understand these differences</w:t>
            </w:r>
          </w:p>
          <w:p>
            <w:pPr>
              <w:pStyle w:val="ListParagraph"/>
              <w:numPr>
                <w:ilvl w:val="0"/>
                <w:numId w:val="2"/>
              </w:numPr>
              <w:spacing w:after="45"/>
            </w:pPr>
            <w:r>
              <w:rPr>
                <w:sz w:val="15"/>
                <w:szCs w:val="15"/>
              </w:rPr>
              <w:t xml:space="preserve">The authors note that hazard ratios in subgroups can be distorted by small numbers, imbalances in prognostic factors or differences in subsequent therapy, and that subgroup confidence intervals are descriptive with no adjustment for multiplicity</w:t>
            </w:r>
          </w:p>
          <w:p>
            <w:pPr>
              <w:pStyle w:val="ListParagraph"/>
              <w:numPr>
                <w:ilvl w:val="0"/>
                <w:numId w:val="2"/>
              </w:numPr>
              <w:spacing w:after="45"/>
            </w:pPr>
            <w:r>
              <w:rPr>
                <w:sz w:val="15"/>
                <w:szCs w:val="15"/>
              </w:rPr>
              <w:t xml:space="preserve">Dose reductions occurred in the majority of patients and the median average daily dose was 35.8 mg, which the authors compare with the 43 mg delivered in the renal-cell carcinoma trial</w:t>
            </w:r>
          </w:p>
          <w:p>
            <w:pPr>
              <w:pStyle w:val="ListParagraph"/>
              <w:numPr>
                <w:ilvl w:val="0"/>
                <w:numId w:val="2"/>
              </w:numPr>
              <w:spacing w:after="45"/>
            </w:pPr>
            <w:r>
              <w:rPr>
                <w:sz w:val="15"/>
                <w:szCs w:val="15"/>
              </w:rPr>
              <w:t xml:space="preserve">The authors state that the population studied represents a small percentage of patients with HCC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intention-to-treat population is defined by a data cutoff rather than by randomisation: 773 patients were randomised by September 2017 but only the 707 randomised before 1 June 2017 are analysed, so 66 randomised patients appear in no efficacy analysis of a trial described as intention to treat</w:t>
            </w:r>
          </w:p>
          <w:p>
            <w:pPr>
              <w:pStyle w:val="ListParagraph"/>
              <w:numPr>
                <w:ilvl w:val="0"/>
                <w:numId w:val="2"/>
              </w:numPr>
              <w:spacing w:after="45"/>
            </w:pPr>
            <w:r>
              <w:rPr>
                <w:sz w:val="15"/>
                <w:szCs w:val="15"/>
              </w:rPr>
              <w:t xml:space="preserve">The effect estimate shrank between the two looks, from a hazard ratio of 0.71 at 321 deaths to 0.76 at 484 deaths, which is the expected pattern when a trial is stopped at the first boundary crossing and means the published 0.76 is more likely an overestimate than an underestimate of the true effect</w:t>
            </w:r>
          </w:p>
          <w:p>
            <w:pPr>
              <w:pStyle w:val="ListParagraph"/>
              <w:numPr>
                <w:ilvl w:val="0"/>
                <w:numId w:val="2"/>
              </w:numPr>
              <w:spacing w:after="45"/>
            </w:pPr>
            <w:r>
              <w:rPr>
                <w:sz w:val="15"/>
                <w:szCs w:val="15"/>
              </w:rPr>
              <w:t xml:space="preserve">The protocol specified that no further analysis of overall survival would be performed once the null was rejected at an interim look, so the trial was designed in a way that guarantees the prespecified final estimate at 621 deaths can never exist</w:t>
            </w:r>
          </w:p>
          <w:p>
            <w:pPr>
              <w:pStyle w:val="ListParagraph"/>
              <w:numPr>
                <w:ilvl w:val="0"/>
                <w:numId w:val="2"/>
              </w:numPr>
              <w:spacing w:after="45"/>
            </w:pPr>
            <w:r>
              <w:rPr>
                <w:sz w:val="15"/>
                <w:szCs w:val="15"/>
              </w:rPr>
              <w:t xml:space="preserve">Placebo median progression-free survival was 1.9 months with a 95 percent confidence interval of 1.9 to 1.9, which is the first scheduled 8-week scan, so the progression-free survival hazard ratio of 0.44 is substantially an artefact of the assessment schedule rather than a measure of disease control</w:t>
            </w:r>
          </w:p>
          <w:p>
            <w:pPr>
              <w:pStyle w:val="ListParagraph"/>
              <w:numPr>
                <w:ilvl w:val="0"/>
                <w:numId w:val="2"/>
              </w:numPr>
              <w:spacing w:after="45"/>
            </w:pPr>
            <w:r>
              <w:rPr>
                <w:sz w:val="15"/>
                <w:szCs w:val="15"/>
              </w:rPr>
              <w:t xml:space="preserve">Progression and response were assessed by the investigator with no blinded independent central review, and an objective response rate of 4 percent (18 partial responses) against under 1 percent means the progression-free survival advantage consists almost entirely of stable disease on serial imaging</w:t>
            </w:r>
          </w:p>
          <w:p>
            <w:pPr>
              <w:pStyle w:val="ListParagraph"/>
              <w:numPr>
                <w:ilvl w:val="0"/>
                <w:numId w:val="2"/>
              </w:numPr>
              <w:spacing w:after="45"/>
            </w:pPr>
            <w:r>
              <w:rPr>
                <w:sz w:val="15"/>
                <w:szCs w:val="15"/>
              </w:rPr>
              <w:t xml:space="preserve">The subgroup whose only previous therapy was sorafenib, with a hazard ratio of 0.70, is the figure quoted in practice, and the paper states it was not among the prespecified subgroup analyses</w:t>
            </w:r>
          </w:p>
          <w:p>
            <w:pPr>
              <w:pStyle w:val="ListParagraph"/>
              <w:numPr>
                <w:ilvl w:val="0"/>
                <w:numId w:val="2"/>
              </w:numPr>
              <w:spacing w:after="45"/>
            </w:pPr>
            <w:r>
              <w:rPr>
                <w:sz w:val="15"/>
                <w:szCs w:val="15"/>
              </w:rPr>
              <w:t xml:space="preserve">Treatment-related grade 5 events occurred in 6 cabozantinib patients (hepatic failure, bronchoesophageal fistula, portal vein thrombosis, upper gastrointestinal haemorrhage, pulmonary embolism and hepatorenal syndrome) against 1 on placebo, so roughly 1.3 percent of patients died of the drug against a 2.2-month median gain</w:t>
            </w:r>
          </w:p>
          <w:p>
            <w:pPr>
              <w:pStyle w:val="ListParagraph"/>
              <w:numPr>
                <w:ilvl w:val="0"/>
                <w:numId w:val="2"/>
              </w:numPr>
              <w:spacing w:after="45"/>
            </w:pPr>
            <w:r>
              <w:rPr>
                <w:sz w:val="15"/>
                <w:szCs w:val="15"/>
              </w:rPr>
              <w:t xml:space="preserve">Health-related quality of life, pharmacokinetic and biomarker analyses are all stated not to be reported here, so in a drug whose principal cost is toxicity the patient-reported outcomes were withheld from the publication that established its use</w:t>
            </w:r>
          </w:p>
          <w:p>
            <w:pPr>
              <w:pStyle w:val="ListParagraph"/>
              <w:numPr>
                <w:ilvl w:val="0"/>
                <w:numId w:val="2"/>
              </w:numPr>
              <w:spacing w:after="45"/>
            </w:pPr>
            <w:r>
              <w:rPr>
                <w:sz w:val="15"/>
                <w:szCs w:val="15"/>
              </w:rPr>
              <w:t xml:space="preserve">The entire biological rationale rests on MET and AXL, yet no patient was selected or stratified by either marker, no biomarker result is reported, and the companion MET-selected phase 3 trial of tivantinib cited in the Discussion was negative</w:t>
            </w:r>
          </w:p>
          <w:p>
            <w:pPr>
              <w:pStyle w:val="ListParagraph"/>
              <w:numPr>
                <w:ilvl w:val="0"/>
                <w:numId w:val="2"/>
              </w:numPr>
              <w:spacing w:after="45"/>
            </w:pPr>
            <w:r>
              <w:rPr>
                <w:sz w:val="15"/>
                <w:szCs w:val="15"/>
              </w:rPr>
              <w:t xml:space="preserve">Only 26 percent of cabozantinib and 33 percent of placebo patients received any subsequent anticancer therapy, so this is a terminal-line population with little salvage, and the control arm received placebo plus best supportive care rather than any active drug</w:t>
            </w:r>
          </w:p>
          <w:p>
            <w:pPr>
              <w:pStyle w:val="ListParagraph"/>
              <w:numPr>
                <w:ilvl w:val="0"/>
                <w:numId w:val="2"/>
              </w:numPr>
              <w:spacing w:after="45"/>
            </w:pPr>
            <w:r>
              <w:rPr>
                <w:sz w:val="15"/>
                <w:szCs w:val="15"/>
              </w:rPr>
              <w:t xml:space="preserve">Aetiology, a stratification factor, was recorded from case-report forms with 16 to 20 percent unknown and alcohol-related disease imbalanced at 24 against 16 percent, so the factor used to balance the randomisation was itself imprecisely captured</w:t>
            </w:r>
          </w:p>
          <w:p>
            <w:pPr>
              <w:pStyle w:val="ListParagraph"/>
              <w:numPr>
                <w:ilvl w:val="0"/>
                <w:numId w:val="2"/>
              </w:numPr>
              <w:spacing w:after="45"/>
            </w:pPr>
            <w:r>
              <w:rPr>
                <w:sz w:val="15"/>
                <w:szCs w:val="15"/>
              </w:rPr>
              <w:t xml:space="preserve">One patient with ECOG performance status 2 was randomised despite the eligibility requirement of 0 or 1, acknowledged only in a footnote to the baseline table</w:t>
            </w:r>
          </w:p>
          <w:p>
            <w:pPr>
              <w:pStyle w:val="ListParagraph"/>
              <w:numPr>
                <w:ilvl w:val="0"/>
                <w:numId w:val="2"/>
              </w:numPr>
              <w:spacing w:after="45"/>
            </w:pPr>
            <w:r>
              <w:rPr>
                <w:sz w:val="15"/>
                <w:szCs w:val="15"/>
              </w:rPr>
              <w:t xml:space="preserve">The trial sponsor collected and analysed the data, co-wrote the first draft and paid for the medical writing and editorial assistance, with no independent statistical analysis of a result that was used for registration</w:t>
            </w:r>
          </w:p>
        </w:tc>
      </w:tr>
    </w:tbl>
    <w:p>
      <w:pPr>
        <w:spacing w:after="0" w:line="276"/>
      </w:pPr>
      <w:r>
        <w:rPr>
          <w:color w:val="5A6069"/>
          <w:sz w:val="14"/>
          <w:szCs w:val="14"/>
        </w:rPr>
        <w:t xml:space="preserve">Funding: Funded by Exelixis, which designed the trial with the first and last authors, was responsible with them for data collection and analysis, collaborated on the first draft and provided medical writing and editorial assistance; three authors are Exelixis employees holding company stock, and most academic authors report industry consultancy or advisory fees</w:t>
      </w:r>
    </w:p>
    <w:p>
      <w:pPr>
        <w:keepNext/>
        <w:spacing w:after="50" w:before="260"/>
      </w:pPr>
      <w:r>
        <w:rPr>
          <w:rFonts w:ascii="Cambria" w:cs="Cambria" w:eastAsia="Cambria" w:hAnsi="Cambria"/>
          <w:b/>
          <w:bCs/>
          <w:color w:val="17365D"/>
          <w:sz w:val="20"/>
          <w:szCs w:val="20"/>
        </w:rPr>
        <w:t xml:space="preserve">CheckMate 9DW</w:t>
      </w:r>
      <w:r>
        <w:rPr>
          <w:b/>
          <w:bCs/>
          <w:color w:val="176A87"/>
          <w:sz w:val="15"/>
          <w:szCs w:val="15"/>
        </w:rPr>
        <w:t xml:space="preserve">   Randomised trial</w:t>
      </w:r>
      <w:r>
        <w:rPr>
          <w:color w:val="5A6069"/>
          <w:sz w:val="15"/>
          <w:szCs w:val="15"/>
        </w:rPr>
        <w:t xml:space="preserve">   PMID 40349714</w:t>
      </w:r>
    </w:p>
    <w:p>
      <w:pPr>
        <w:spacing w:after="50" w:line="276"/>
      </w:pPr>
      <w:r>
        <w:rPr>
          <w:color w:val="5A6069"/>
          <w:sz w:val="17"/>
          <w:szCs w:val="17"/>
        </w:rPr>
        <w:t xml:space="preserve">Nivolumab plus ipilimumab versus lenvatinib or sorafenib as first-line treatment for unresectable hepatocellular carcinoma (CheckMate 9DW): an open-label, randomised, phase 3 trial</w:t>
      </w:r>
    </w:p>
    <w:p>
      <w:pPr>
        <w:spacing w:after="50"/>
      </w:pPr>
      <w:r>
        <w:rPr>
          <w:b/>
          <w:bCs/>
          <w:color w:val="176A87"/>
          <w:sz w:val="16"/>
          <w:szCs w:val="16"/>
        </w:rPr>
        <w:t xml:space="preserve">Population. </w:t>
      </w:r>
      <w:r>
        <w:rPr>
          <w:sz w:val="16"/>
          <w:szCs w:val="16"/>
        </w:rPr>
        <w:t xml:space="preserve">668 patients with unresectable HCC, Child-Pugh 5 or 6, ECOG 0 or 1 and no previous systemic therapy, randomised 1:1 at 163 centres in 25 countries between January 2020 and November 2021 to nivolumab plus ipilimumab (335) or investigator's choice of lenvatinib or sorafenib (333); of the 325 treated controls, 275 (85 percent) received lenvatinib and 50 (15 percent) sorafenib</w:t>
      </w:r>
    </w:p>
    <w:p>
      <w:pPr>
        <w:spacing w:after="70"/>
      </w:pPr>
      <w:r>
        <w:rPr>
          <w:b/>
          <w:bCs/>
          <w:color w:val="17365D"/>
          <w:sz w:val="16"/>
          <w:szCs w:val="16"/>
        </w:rPr>
        <w:t xml:space="preserve">Bottom line. </w:t>
      </w:r>
      <w:r>
        <w:rPr>
          <w:sz w:val="16"/>
          <w:szCs w:val="16"/>
        </w:rPr>
        <w:t xml:space="preserve">CheckMate 9DW's preplanned interim analysis shows median overall survival of 23.7 against 20.6 months with nivolumab plus ipilimumab (HR 0.79, 95% CI 0.65 to 0.96, p = 0.018) and a tripled response rate, but the survival curves cross: mortality was 65 percent higher in the first 6 months (HR 1.65, 1.12 to 2.43) before separating in favour of the combination. Progression-free survival did not differ, the restricted mean survival gain is 2.8 months only when the whole curve is integrated, and the comparator is a kinase inhibitor rather than a current immunotherapy combination.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Vp4 portal vein thrombosis were excluded</w:t>
            </w:r>
          </w:p>
          <w:p>
            <w:pPr>
              <w:pStyle w:val="ListParagraph"/>
              <w:numPr>
                <w:ilvl w:val="0"/>
                <w:numId w:val="2"/>
              </w:numPr>
              <w:spacing w:after="45"/>
            </w:pPr>
            <w:r>
              <w:rPr>
                <w:sz w:val="15"/>
                <w:szCs w:val="15"/>
              </w:rPr>
              <w:t xml:space="preserve">Open-label design; the authors state that although overall survival was not biased by the assigned treatment, the determination of adverse-event causality and health-related quality of life might have been influenced by awareness of treatment</w:t>
            </w:r>
          </w:p>
          <w:p>
            <w:pPr>
              <w:pStyle w:val="ListParagraph"/>
              <w:numPr>
                <w:ilvl w:val="0"/>
                <w:numId w:val="2"/>
              </w:numPr>
              <w:spacing w:after="45"/>
            </w:pPr>
            <w:r>
              <w:rPr>
                <w:sz w:val="15"/>
                <w:szCs w:val="15"/>
              </w:rPr>
              <w:t xml:space="preserve">The proportional hazards assumption was violated, so the authors report restricted mean survival time, piecewise hazard ratios and a MaxCombo test alongside the overall hazard ratio</w:t>
            </w:r>
          </w:p>
          <w:p>
            <w:pPr>
              <w:pStyle w:val="ListParagraph"/>
              <w:numPr>
                <w:ilvl w:val="0"/>
                <w:numId w:val="2"/>
              </w:numPr>
              <w:spacing w:after="45"/>
            </w:pPr>
            <w:r>
              <w:rPr>
                <w:sz w:val="15"/>
                <w:szCs w:val="15"/>
              </w:rPr>
              <w:t xml:space="preserve">The authors state that the cause of the early crossing of the survival curves is probably multifactorial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early excess of deaths is explained by the authors as an imbalance in deaths attributed to adverse events unrelated to study treatment, as assessed by investigators, so an excess of early deaths in the experimental arm of an open-label trial is set aside on the basis of unblinded causality judgments by the people delivering the treatment</w:t>
            </w:r>
          </w:p>
          <w:p>
            <w:pPr>
              <w:pStyle w:val="ListParagraph"/>
              <w:numPr>
                <w:ilvl w:val="0"/>
                <w:numId w:val="2"/>
              </w:numPr>
              <w:spacing w:after="45"/>
            </w:pPr>
            <w:r>
              <w:rPr>
                <w:sz w:val="15"/>
                <w:szCs w:val="15"/>
              </w:rPr>
              <w:t xml:space="preserve">The restricted mean survival time was similar between arms at 26 and 36 months and differs by only 2.8 months (95% CI 0.2 to 5.4) at 47 months, after nearly all follow-up had accrued, and the paper states that the restricted mean timepoints were explored post hoc</w:t>
            </w:r>
          </w:p>
          <w:p>
            <w:pPr>
              <w:pStyle w:val="ListParagraph"/>
              <w:numPr>
                <w:ilvl w:val="0"/>
                <w:numId w:val="2"/>
              </w:numPr>
              <w:spacing w:after="45"/>
            </w:pPr>
            <w:r>
              <w:rPr>
                <w:sz w:val="15"/>
                <w:szCs w:val="15"/>
              </w:rPr>
              <w:t xml:space="preserve">The cut-point for the piecewise hazard ratio was chosen by maximising the partial log likelihood over a grid of candidate timepoints, so the 6-month boundary that defines both the early hazard and the later benefit is data-derived rather than prespecified</w:t>
            </w:r>
          </w:p>
          <w:p>
            <w:pPr>
              <w:pStyle w:val="ListParagraph"/>
              <w:numPr>
                <w:ilvl w:val="0"/>
                <w:numId w:val="2"/>
              </w:numPr>
              <w:spacing w:after="45"/>
            </w:pPr>
            <w:r>
              <w:rPr>
                <w:sz w:val="15"/>
                <w:szCs w:val="15"/>
              </w:rPr>
              <w:t xml:space="preserve">Two protocol amendments between April 2019 and February 2023 changed the statistical assumptions to preserve power as events accrued, so the design against which the interim analysis was judged was revised during the trial</w:t>
            </w:r>
          </w:p>
          <w:p>
            <w:pPr>
              <w:pStyle w:val="ListParagraph"/>
              <w:numPr>
                <w:ilvl w:val="0"/>
                <w:numId w:val="2"/>
              </w:numPr>
              <w:spacing w:after="45"/>
            </w:pPr>
            <w:r>
              <w:rPr>
                <w:sz w:val="15"/>
                <w:szCs w:val="15"/>
              </w:rPr>
              <w:t xml:space="preserve">Tripling the response rate produced no progression-free survival advantage (9.1 against 9.2 months, HR 0.87, 0.72 to 1.06) and more progressive disease as best response, so the regimen's value for downstaging or for converting unresectable disease is unproven</w:t>
            </w:r>
          </w:p>
          <w:p>
            <w:pPr>
              <w:pStyle w:val="ListParagraph"/>
              <w:numPr>
                <w:ilvl w:val="0"/>
                <w:numId w:val="2"/>
              </w:numPr>
              <w:spacing w:after="45"/>
            </w:pPr>
            <w:r>
              <w:rPr>
                <w:sz w:val="15"/>
                <w:szCs w:val="15"/>
              </w:rPr>
              <w:t xml:space="preserve">No dose escalation or reduction was permitted for nivolumab or ipilimumab while dose reductions were allowed for lenvatinib and sorafenib, and treatment was capped at 2 years in the immunotherapy arm only, so the two arms were managed under different rules</w:t>
            </w:r>
          </w:p>
          <w:p>
            <w:pPr>
              <w:pStyle w:val="ListParagraph"/>
              <w:numPr>
                <w:ilvl w:val="0"/>
                <w:numId w:val="2"/>
              </w:numPr>
              <w:spacing w:after="45"/>
            </w:pPr>
            <w:r>
              <w:rPr>
                <w:sz w:val="15"/>
                <w:szCs w:val="15"/>
              </w:rPr>
              <w:t xml:space="preserve">All 332 treated immunotherapy patients had stopped treatment at cutoff but only 40 percent stopped for progression, against 69 percent of controls, so most discontinuations in the experimental arm were for toxicity or the protocol cap rather than for disease</w:t>
            </w:r>
          </w:p>
          <w:p>
            <w:pPr>
              <w:pStyle w:val="ListParagraph"/>
              <w:numPr>
                <w:ilvl w:val="0"/>
                <w:numId w:val="2"/>
              </w:numPr>
              <w:spacing w:after="45"/>
            </w:pPr>
            <w:r>
              <w:rPr>
                <w:sz w:val="15"/>
                <w:szCs w:val="15"/>
              </w:rPr>
              <w:t xml:space="preserve">Safety was an exploratory endpoint and no grade 5 treatment-related events are tabulated because grade 5 required death within 24 hours of onset; the 12 treatment-related deaths, 11 of them in the first 6 months, appear only in the text</w:t>
            </w:r>
          </w:p>
          <w:p>
            <w:pPr>
              <w:pStyle w:val="ListParagraph"/>
              <w:numPr>
                <w:ilvl w:val="0"/>
                <w:numId w:val="2"/>
              </w:numPr>
              <w:spacing w:after="45"/>
            </w:pPr>
            <w:r>
              <w:rPr>
                <w:sz w:val="15"/>
                <w:szCs w:val="15"/>
              </w:rPr>
              <w:t xml:space="preserve">The post hoc comparisons against each comparator separately give hazard ratios of 0.77 against lenvatinib and 0.42 against sorafenib, but only 50 patients received sorafenib, so the more favourable figure rests on a group smaller than most phase 2 trials</w:t>
            </w:r>
          </w:p>
          <w:p>
            <w:pPr>
              <w:pStyle w:val="ListParagraph"/>
              <w:numPr>
                <w:ilvl w:val="0"/>
                <w:numId w:val="2"/>
              </w:numPr>
              <w:spacing w:after="45"/>
            </w:pPr>
            <w:r>
              <w:rPr>
                <w:sz w:val="15"/>
                <w:szCs w:val="15"/>
              </w:rPr>
              <w:t xml:space="preserve">The control arm received later immunotherapy in only 13 percent of cases against 35 percent in the experimental arm, so post-progression care differed in the direction of the result</w:t>
            </w:r>
          </w:p>
          <w:p>
            <w:pPr>
              <w:pStyle w:val="ListParagraph"/>
              <w:numPr>
                <w:ilvl w:val="0"/>
                <w:numId w:val="2"/>
              </w:numPr>
              <w:spacing w:after="45"/>
            </w:pPr>
            <w:r>
              <w:rPr>
                <w:sz w:val="15"/>
                <w:szCs w:val="15"/>
              </w:rPr>
              <w:t xml:space="preserve">Eligibility excluded Vp4 invasion, significant ascites, grade 2 encephalopathy in the preceding year and prior transplantation, and required Child-Pugh 5 or 6, so the regimen's early hazard was measured in the fittest patients available</w:t>
            </w:r>
          </w:p>
          <w:p>
            <w:pPr>
              <w:pStyle w:val="ListParagraph"/>
              <w:numPr>
                <w:ilvl w:val="0"/>
                <w:numId w:val="2"/>
              </w:numPr>
              <w:spacing w:after="45"/>
            </w:pPr>
            <w:r>
              <w:rPr>
                <w:sz w:val="15"/>
                <w:szCs w:val="15"/>
              </w:rPr>
              <w:t xml:space="preserve">The comparator is a tyrosine kinase inhibitor at a time when immunotherapy combinations are first-line, so the trial cannot say whether this regimen should displace atezolizumab plus bevacizumab or durvalumab plus tremelimumab</w:t>
            </w:r>
          </w:p>
          <w:p>
            <w:pPr>
              <w:pStyle w:val="ListParagraph"/>
              <w:numPr>
                <w:ilvl w:val="0"/>
                <w:numId w:val="2"/>
              </w:numPr>
              <w:spacing w:after="45"/>
            </w:pPr>
            <w:r>
              <w:rPr>
                <w:sz w:val="15"/>
                <w:szCs w:val="15"/>
              </w:rPr>
              <w:t xml:space="preserve">The sponsor provided the agents, collaborated on design, collection, analysis and interpretation, employed or paid most authors and funded the writing of the first draft, and the four authors credited with the data analysis are sponsor-affiliated</w:t>
            </w:r>
          </w:p>
        </w:tc>
      </w:tr>
    </w:tbl>
    <w:p>
      <w:pPr>
        <w:spacing w:after="0" w:line="276"/>
      </w:pPr>
      <w:r>
        <w:rPr>
          <w:color w:val="5A6069"/>
          <w:sz w:val="14"/>
          <w:szCs w:val="14"/>
        </w:rPr>
        <w:t xml:space="preserve">Funding: Bristol Myers Squibb provided the trial agents and collaborated with the academic authors on design and on the collection, analysis and interpretation of the data, and funded medical writing including the first draft of the manuscript; four authors credited with the data analysis are sponsor-affiliated</w:t>
      </w:r>
    </w:p>
    <w:p>
      <w:pPr>
        <w:keepNext/>
        <w:spacing w:after="50" w:before="260"/>
      </w:pPr>
      <w:r>
        <w:rPr>
          <w:rFonts w:ascii="Cambria" w:cs="Cambria" w:eastAsia="Cambria" w:hAnsi="Cambria"/>
          <w:b/>
          <w:bCs/>
          <w:color w:val="17365D"/>
          <w:sz w:val="20"/>
          <w:szCs w:val="20"/>
        </w:rPr>
        <w:t xml:space="preserve">Chen RCT</w:t>
      </w:r>
      <w:r>
        <w:rPr>
          <w:b/>
          <w:bCs/>
          <w:color w:val="176A87"/>
          <w:sz w:val="15"/>
          <w:szCs w:val="15"/>
        </w:rPr>
        <w:t xml:space="preserve">   Randomised trial</w:t>
      </w:r>
      <w:r>
        <w:rPr>
          <w:color w:val="5A6069"/>
          <w:sz w:val="15"/>
          <w:szCs w:val="15"/>
        </w:rPr>
        <w:t xml:space="preserve">   PMID 16495695</w:t>
      </w:r>
    </w:p>
    <w:p>
      <w:pPr>
        <w:spacing w:after="50" w:line="276"/>
      </w:pPr>
      <w:r>
        <w:rPr>
          <w:color w:val="5A6069"/>
          <w:sz w:val="17"/>
          <w:szCs w:val="17"/>
        </w:rPr>
        <w:t xml:space="preserve">A prospective randomized trial comparing percutaneous local ablative therapy and partial hepatectomy for small hepatocellular carcinoma</w:t>
      </w:r>
    </w:p>
    <w:p>
      <w:pPr>
        <w:spacing w:after="50"/>
      </w:pPr>
      <w:r>
        <w:rPr>
          <w:b/>
          <w:bCs/>
          <w:color w:val="176A87"/>
          <w:sz w:val="16"/>
          <w:szCs w:val="16"/>
        </w:rPr>
        <w:t xml:space="preserve">Population. </w:t>
      </w:r>
      <w:r>
        <w:rPr>
          <w:sz w:val="16"/>
          <w:szCs w:val="16"/>
        </w:rPr>
        <w:t xml:space="preserve">180 patients with a solitary HCC of 5 cm or less randomised at one Guangzhou centre between November 1999 and June 2004, drawn from 3,775 patients with HCC hospitalised there; 90 to percutaneous ablation (of whom only 71 received it) and 90 to resection</w:t>
      </w:r>
    </w:p>
    <w:p>
      <w:pPr>
        <w:spacing w:after="70"/>
      </w:pPr>
      <w:r>
        <w:rPr>
          <w:b/>
          <w:bCs/>
          <w:color w:val="17365D"/>
          <w:sz w:val="16"/>
          <w:szCs w:val="16"/>
        </w:rPr>
        <w:t xml:space="preserve">Bottom line. </w:t>
      </w:r>
      <w:r>
        <w:rPr>
          <w:sz w:val="16"/>
          <w:szCs w:val="16"/>
        </w:rPr>
        <w:t xml:space="preserve">The first randomised comparison of percutaneous ablation with resection for a solitary HCC of 5 cm or less, reporting 4-year overall survival of 67.9 versus 64.0 percent and disease-free survival of 46.4 versus 51.6 percent with no significant difference. Nineteen of 90 patients assigned to ablation withdrew and had surgery instead, ablation as delivered needed repeat sessions to reach 91.5 percent necrosis from 62.0 percent after one treatment, and no hazard ratio or confidence interval for the primary comparison appears anywhere in the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Post-randomisation exclusion occurred in 19 of 90 patients assigned to ablation, all of whom withdrew consent and chose resection; the authors state they do not think this affected the results</w:t>
            </w:r>
          </w:p>
          <w:p>
            <w:pPr>
              <w:pStyle w:val="ListParagraph"/>
              <w:numPr>
                <w:ilvl w:val="0"/>
                <w:numId w:val="2"/>
              </w:numPr>
              <w:spacing w:after="45"/>
            </w:pPr>
            <w:r>
              <w:rPr>
                <w:sz w:val="15"/>
                <w:szCs w:val="15"/>
              </w:rPr>
              <w:t xml:space="preserve">Mean follow-up was only just beyond 2 years, and the authors state they do not expect a difference with longer follow-up</w:t>
            </w:r>
          </w:p>
          <w:p>
            <w:pPr>
              <w:pStyle w:val="ListParagraph"/>
              <w:numPr>
                <w:ilvl w:val="0"/>
                <w:numId w:val="2"/>
              </w:numPr>
              <w:spacing w:after="45"/>
            </w:pPr>
            <w:r>
              <w:rPr>
                <w:sz w:val="15"/>
                <w:szCs w:val="15"/>
              </w:rPr>
              <w:t xml:space="preserve">The sample size was relatively small, and the authors argue a larger sample would not have changed the result because the curves were almost identical</w:t>
            </w:r>
          </w:p>
          <w:p>
            <w:pPr>
              <w:pStyle w:val="ListParagraph"/>
              <w:numPr>
                <w:ilvl w:val="0"/>
                <w:numId w:val="2"/>
              </w:numPr>
              <w:spacing w:after="45"/>
            </w:pPr>
            <w:r>
              <w:rPr>
                <w:sz w:val="15"/>
                <w:szCs w:val="15"/>
              </w:rPr>
              <w:t xml:space="preserve">The authors concede that for ablation to work the first session must be followed by CT at 4 weeks and a further session of ablation or ethanol injection if viable tumour remains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analysis labelled intention to treat is not one: the 90-patient ablation arm includes the 19 patients who actually underwent resection, so 21 percent of the experimental arm received the comparator operation, and the abstract instead quotes the post-randomisation-exclusion analysis of 71 against 90</w:t>
            </w:r>
          </w:p>
          <w:p>
            <w:pPr>
              <w:pStyle w:val="ListParagraph"/>
              <w:numPr>
                <w:ilvl w:val="0"/>
                <w:numId w:val="2"/>
              </w:numPr>
              <w:spacing w:after="45"/>
            </w:pPr>
            <w:r>
              <w:rPr>
                <w:sz w:val="15"/>
                <w:szCs w:val="15"/>
              </w:rPr>
              <w:t xml:space="preserve">All 19 consent withdrawals went in the same direction, from ablation to surgery, which is the signature of unconcealed allocation; randomisation is described only as computer-generated numbers in a central registry with no concealment mechanism, no blinding and no independent outcome adjudication</w:t>
            </w:r>
          </w:p>
          <w:p>
            <w:pPr>
              <w:pStyle w:val="ListParagraph"/>
              <w:numPr>
                <w:ilvl w:val="0"/>
                <w:numId w:val="2"/>
              </w:numPr>
              <w:spacing w:after="45"/>
            </w:pPr>
            <w:r>
              <w:rPr>
                <w:sz w:val="15"/>
                <w:szCs w:val="15"/>
              </w:rPr>
              <w:t xml:space="preserve">No hazard ratio, confidence interval or p value is printed anywhere for the primary survival comparison; survival was computed by the life-table method and compared by Mantel-Cox, and the result is reported only as the assertion that no difference was found</w:t>
            </w:r>
          </w:p>
          <w:p>
            <w:pPr>
              <w:pStyle w:val="ListParagraph"/>
              <w:numPr>
                <w:ilvl w:val="0"/>
                <w:numId w:val="2"/>
              </w:numPr>
              <w:spacing w:after="45"/>
            </w:pPr>
            <w:r>
              <w:rPr>
                <w:sz w:val="15"/>
                <w:szCs w:val="15"/>
              </w:rPr>
              <w:t xml:space="preserve">The multivariable Cox model in Table 2 prints regression coefficients without their signs and no hazard ratios or confidence intervals, and reports serum albumin as the only predictor of survival (p = 0.0018) in a model of nine variables fitted to a cohort with roughly 50 deaths</w:t>
            </w:r>
          </w:p>
          <w:p>
            <w:pPr>
              <w:pStyle w:val="ListParagraph"/>
              <w:numPr>
                <w:ilvl w:val="0"/>
                <w:numId w:val="2"/>
              </w:numPr>
              <w:spacing w:after="45"/>
            </w:pPr>
            <w:r>
              <w:rPr>
                <w:sz w:val="15"/>
                <w:szCs w:val="15"/>
              </w:rPr>
              <w:t xml:space="preserve">Four-year survival is the longest estimate reported although mean follow-up was 27.9 and 29.2 months, and no at-risk numbers appear under any of the ten survival curves, so the terminal estimates rest on an unstated handful of patients</w:t>
            </w:r>
          </w:p>
          <w:p>
            <w:pPr>
              <w:pStyle w:val="ListParagraph"/>
              <w:numPr>
                <w:ilvl w:val="0"/>
                <w:numId w:val="2"/>
              </w:numPr>
              <w:spacing w:after="45"/>
            </w:pPr>
            <w:r>
              <w:rPr>
                <w:sz w:val="15"/>
                <w:szCs w:val="15"/>
              </w:rPr>
              <w:t xml:space="preserve">The morbidity comparison sets 50 of 90 resections against 3 of 71 ablations, mixing the two different analysis populations in one sentence, and 46 of the 50 surgical events are moderate-to-severe ascites (27) or jaundice beyond 30 days (19) counted as major complications with no validated grading system</w:t>
            </w:r>
          </w:p>
          <w:p>
            <w:pPr>
              <w:pStyle w:val="ListParagraph"/>
              <w:numPr>
                <w:ilvl w:val="0"/>
                <w:numId w:val="2"/>
              </w:numPr>
              <w:spacing w:after="45"/>
            </w:pPr>
            <w:r>
              <w:rPr>
                <w:sz w:val="15"/>
                <w:szCs w:val="15"/>
              </w:rPr>
              <w:t xml:space="preserve">The ablation arm's harms were captured only as skin burns (3) and fever (8), with no systematic ascertainment of ascites, jaundice or liver dysfunction at all, which is why its complication count is 3; the two arms were not monitored for the same events</w:t>
            </w:r>
          </w:p>
          <w:p>
            <w:pPr>
              <w:pStyle w:val="ListParagraph"/>
              <w:numPr>
                <w:ilvl w:val="0"/>
                <w:numId w:val="2"/>
              </w:numPr>
              <w:spacing w:after="45"/>
            </w:pPr>
            <w:r>
              <w:rPr>
                <w:sz w:val="15"/>
                <w:szCs w:val="15"/>
              </w:rPr>
              <w:t xml:space="preserve">Ablation as tested is a strategy rather than a procedure: complete necrosis was 62.0 percent after the first session and reached 91.5 percent only after repeat ablation or ethanol injection in 21 patients and chemoembolisation in 2, so 8.5 percent of the arm never achieved necrosis yet remained in its survival curve</w:t>
            </w:r>
          </w:p>
          <w:p>
            <w:pPr>
              <w:pStyle w:val="ListParagraph"/>
              <w:numPr>
                <w:ilvl w:val="0"/>
                <w:numId w:val="2"/>
              </w:numPr>
              <w:spacing w:after="45"/>
            </w:pPr>
            <w:r>
              <w:rPr>
                <w:sz w:val="15"/>
                <w:szCs w:val="15"/>
              </w:rPr>
              <w:t xml:space="preserve">A single device was used (RF 2000 with a 3.5 cm LeVeen expandable electrode) with the endpoint of a hyperechoic cloud larger than the tumour on ultrasound and no margin requirement, which is not an adequate technique for tumours approaching 5 cm, and 34 of 71 ablated tumours measured 3.1 to 5 cm</w:t>
            </w:r>
          </w:p>
          <w:p>
            <w:pPr>
              <w:pStyle w:val="ListParagraph"/>
              <w:numPr>
                <w:ilvl w:val="0"/>
                <w:numId w:val="2"/>
              </w:numPr>
              <w:spacing w:after="45"/>
            </w:pPr>
            <w:r>
              <w:rPr>
                <w:sz w:val="15"/>
                <w:szCs w:val="15"/>
              </w:rPr>
              <w:t xml:space="preserve">Diagnosis was imaging-based with an alpha-fetoprotein threshold: one resected specimen proved to be focal nodular hyperplasia and two patients had disseminated disease found at laparotomy, so at least 3 of 90 surgical patients did not have the disease under study and equivalent misclassification in the ablation arm could not be detected</w:t>
            </w:r>
          </w:p>
          <w:p>
            <w:pPr>
              <w:pStyle w:val="ListParagraph"/>
              <w:numPr>
                <w:ilvl w:val="0"/>
                <w:numId w:val="2"/>
              </w:numPr>
              <w:spacing w:after="45"/>
            </w:pPr>
            <w:r>
              <w:rPr>
                <w:sz w:val="15"/>
                <w:szCs w:val="15"/>
              </w:rPr>
              <w:t xml:space="preserve">The stated sample size calculation specifies an alpha risk of 0.05 and a beta risk of 0.8, which is the power rather than the beta risk, and the trial was powered on 2-year recurrence rather than on survival, so the survival conclusion that the paper advertises was never the question the design could answer</w:t>
            </w:r>
          </w:p>
          <w:p>
            <w:pPr>
              <w:pStyle w:val="ListParagraph"/>
              <w:numPr>
                <w:ilvl w:val="0"/>
                <w:numId w:val="2"/>
              </w:numPr>
              <w:spacing w:after="45"/>
            </w:pPr>
            <w:r>
              <w:rPr>
                <w:sz w:val="15"/>
                <w:szCs w:val="15"/>
              </w:rPr>
              <w:t xml:space="preserve">The 3 cm and 3.1 to 5 cm subgroup analyses involve 37 and 34 ablation patients and are reported as non-significant with no estimates, confidence intervals or interaction tests given</w:t>
            </w:r>
          </w:p>
          <w:p>
            <w:pPr>
              <w:pStyle w:val="ListParagraph"/>
              <w:numPr>
                <w:ilvl w:val="0"/>
                <w:numId w:val="2"/>
              </w:numPr>
              <w:spacing w:after="45"/>
            </w:pPr>
            <w:r>
              <w:rPr>
                <w:sz w:val="15"/>
                <w:szCs w:val="15"/>
              </w:rPr>
              <w:t xml:space="preserve">The comparator is open surgery as practised in one Chinese centre in 1999 to 2004, with a right subcostal incision, routine Pringle manoeuvre in 10 and 5 minute cycles and a mean 19.7-day hospital stay against 9.2 days, so the length-of-stay and analgesia advantages do not transfer to a laparoscopic era</w:t>
            </w:r>
          </w:p>
          <w:p>
            <w:pPr>
              <w:pStyle w:val="ListParagraph"/>
              <w:numPr>
                <w:ilvl w:val="0"/>
                <w:numId w:val="2"/>
              </w:numPr>
              <w:spacing w:after="45"/>
            </w:pPr>
            <w:r>
              <w:rPr>
                <w:sz w:val="15"/>
                <w:szCs w:val="15"/>
              </w:rPr>
              <w:t xml:space="preserve">The authors answer each of their three stated limitations by assuming the null they are defending, arguing in turn that the exclusions, the short follow-up and the small sample would not have changed a result whose curves were already superimposed</w:t>
            </w:r>
          </w:p>
        </w:tc>
      </w:tr>
    </w:tbl>
    <w:p>
      <w:pPr>
        <w:spacing w:after="0" w:line="276"/>
      </w:pPr>
      <w:r>
        <w:rPr>
          <w:color w:val="5A6069"/>
          <w:sz w:val="14"/>
          <w:szCs w:val="14"/>
        </w:rPr>
        <w:t xml:space="preserve">Funding: Supported by a grant from the Sciences and Technology Committee of Guangdong Province, China, 2002; no conflict-of-interest statement appears in the article</w:t>
      </w:r>
    </w:p>
    <w:p>
      <w:pPr>
        <w:keepNext/>
        <w:spacing w:after="50" w:before="260"/>
      </w:pPr>
      <w:r>
        <w:rPr>
          <w:rFonts w:ascii="Cambria" w:cs="Cambria" w:eastAsia="Cambria" w:hAnsi="Cambria"/>
          <w:b/>
          <w:bCs/>
          <w:color w:val="17365D"/>
          <w:sz w:val="20"/>
          <w:szCs w:val="20"/>
        </w:rPr>
        <w:t xml:space="preserve">Citterio 2016</w:t>
      </w:r>
      <w:r>
        <w:rPr>
          <w:b/>
          <w:bCs/>
          <w:color w:val="176A87"/>
          <w:sz w:val="15"/>
          <w:szCs w:val="15"/>
        </w:rPr>
        <w:t xml:space="preserve">   cohort</w:t>
      </w:r>
      <w:r>
        <w:rPr>
          <w:color w:val="5A6069"/>
          <w:sz w:val="15"/>
          <w:szCs w:val="15"/>
        </w:rPr>
        <w:t xml:space="preserve">   PMID 27248425</w:t>
      </w:r>
    </w:p>
    <w:p>
      <w:pPr>
        <w:spacing w:after="50" w:line="276"/>
      </w:pPr>
      <w:r>
        <w:rPr>
          <w:color w:val="5A6069"/>
          <w:sz w:val="17"/>
          <w:szCs w:val="17"/>
        </w:rPr>
        <w:t xml:space="preserve">Hierarchic Interaction of Factors Associated With Liver Decompensation After Resection for Hepatocellular Carcinoma</w:t>
      </w:r>
    </w:p>
    <w:p>
      <w:pPr>
        <w:spacing w:after="50"/>
      </w:pPr>
      <w:r>
        <w:rPr>
          <w:b/>
          <w:bCs/>
          <w:color w:val="176A87"/>
          <w:sz w:val="16"/>
          <w:szCs w:val="16"/>
        </w:rPr>
        <w:t xml:space="preserve">Population. </w:t>
      </w:r>
      <w:r>
        <w:rPr>
          <w:sz w:val="16"/>
          <w:szCs w:val="16"/>
        </w:rPr>
        <w:t xml:space="preserve">543 patients with chronic liver disease who underwent curative resection for HCC at the National Cancer Institute of Milan between 1 January 2000 and 31 December 2013; 108 (19.9 percent) developed postoperative liver decompensation and 5 (0.9 percent) died in hospital</w:t>
      </w:r>
    </w:p>
    <w:p>
      <w:pPr>
        <w:spacing w:after="70"/>
      </w:pPr>
      <w:r>
        <w:rPr>
          <w:b/>
          <w:bCs/>
          <w:color w:val="17365D"/>
          <w:sz w:val="16"/>
          <w:szCs w:val="16"/>
        </w:rPr>
        <w:t xml:space="preserve">Bottom line. </w:t>
      </w:r>
      <w:r>
        <w:rPr>
          <w:sz w:val="16"/>
          <w:szCs w:val="16"/>
        </w:rPr>
        <w:t xml:space="preserve">Builds a three-variable decision tree from 543 consecutive resections in which clinical portal hypertension, then extent of hepatectomy, then a MELD above 9 stratify postoperative liver decompensation into 4.9, 28.6 and 60.0 percent. The tree is internally cross-validated only, its high-risk class holds 20 patients, more than half the cohort lands in a single undifferentiated intermediate class, and the endpoint is dominated by grade 2 ascites, so it ranks risk rather than guiding an operation.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analysis, although the database was prospectively collected</w:t>
            </w:r>
          </w:p>
          <w:p>
            <w:pPr>
              <w:pStyle w:val="ListParagraph"/>
              <w:numPr>
                <w:ilvl w:val="0"/>
                <w:numId w:val="2"/>
              </w:numPr>
              <w:spacing w:after="45"/>
            </w:pPr>
            <w:r>
              <w:rPr>
                <w:sz w:val="15"/>
                <w:szCs w:val="15"/>
              </w:rPr>
              <w:t xml:space="preserve">The risk stratification was never externally validated, only internally cross-validated by 10-fold cross-validation</w:t>
            </w:r>
          </w:p>
          <w:p>
            <w:pPr>
              <w:pStyle w:val="ListParagraph"/>
              <w:numPr>
                <w:ilvl w:val="0"/>
                <w:numId w:val="2"/>
              </w:numPr>
              <w:spacing w:after="45"/>
            </w:pPr>
            <w:r>
              <w:rPr>
                <w:sz w:val="15"/>
                <w:szCs w:val="15"/>
              </w:rPr>
              <w:t xml:space="preserve">Surgical indications and tumour burden expanded over the 14-year study period</w:t>
            </w:r>
          </w:p>
          <w:p>
            <w:pPr>
              <w:pStyle w:val="ListParagraph"/>
              <w:numPr>
                <w:ilvl w:val="0"/>
                <w:numId w:val="2"/>
              </w:numPr>
              <w:spacing w:after="45"/>
            </w:pPr>
            <w:r>
              <w:rPr>
                <w:sz w:val="15"/>
                <w:szCs w:val="15"/>
              </w:rPr>
              <w:t xml:space="preserve">The authors acknowledge that definitions of postoperative decompensation vary widely between series, so their 19.9 percent rate is not comparable with others</w:t>
            </w:r>
          </w:p>
          <w:p>
            <w:pPr>
              <w:pStyle w:val="ListParagraph"/>
              <w:numPr>
                <w:ilvl w:val="0"/>
                <w:numId w:val="2"/>
              </w:numPr>
              <w:spacing w:after="45"/>
            </w:pPr>
            <w:r>
              <w:rPr>
                <w:sz w:val="15"/>
                <w:szCs w:val="15"/>
              </w:rPr>
              <w:t xml:space="preserve">The authors attribute the discrepancy between the random-forest variable ranking and the partitioning tree to the difference between the two methods</w:t>
            </w:r>
          </w:p>
          <w:p>
            <w:pPr>
              <w:pStyle w:val="ListParagraph"/>
              <w:numPr>
                <w:ilvl w:val="0"/>
                <w:numId w:val="2"/>
              </w:numPr>
              <w:spacing w:after="45"/>
            </w:pPr>
            <w:r>
              <w:rPr>
                <w:sz w:val="15"/>
                <w:szCs w:val="15"/>
              </w:rPr>
              <w:t xml:space="preserve">The authors predict the risk within each class will fall as hepatitis C is cured, so the absolute rates may overstate current risk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high-risk class contains 20 patients with 12 events, no confidence interval is given for its 60.0 percent decompensation rate or its 25.0 percent liver-related mortality (5 of 20), and 20 is exactly the minimum node size the tree was permitted to split at, so the class was created at the algorithm's own stopping boundary</w:t>
            </w:r>
          </w:p>
          <w:p>
            <w:pPr>
              <w:pStyle w:val="ListParagraph"/>
              <w:numPr>
                <w:ilvl w:val="0"/>
                <w:numId w:val="2"/>
              </w:numPr>
              <w:spacing w:after="45"/>
            </w:pPr>
            <w:r>
              <w:rPr>
                <w:sz w:val="15"/>
                <w:szCs w:val="15"/>
              </w:rPr>
              <w:t xml:space="preserve">The intermediate class holds 297 of 543 patients (54.7 percent) and merges three clinically unlike groups, no portal hypertension with a major resection, portal hypertension with a minor resection, and a minor resection with a MELD above 9, into a single 28.6 percent figure that cannot inform a decision about any of them</w:t>
            </w:r>
          </w:p>
          <w:p>
            <w:pPr>
              <w:pStyle w:val="ListParagraph"/>
              <w:numPr>
                <w:ilvl w:val="0"/>
                <w:numId w:val="2"/>
              </w:numPr>
              <w:spacing w:after="45"/>
            </w:pPr>
            <w:r>
              <w:rPr>
                <w:sz w:val="15"/>
                <w:szCs w:val="15"/>
              </w:rPr>
              <w:t xml:space="preserve">The cross-validated C index (0.78, 95% CI 0.74 to 0.82) exceeds the model's own apparent C index (0.76, 0.74 to 0.79), which is the wrong direction for cross-validation and indicates that the tree was re-grown within folds rather than the fixed tree being tested</w:t>
            </w:r>
          </w:p>
          <w:p>
            <w:pPr>
              <w:pStyle w:val="ListParagraph"/>
              <w:numPr>
                <w:ilvl w:val="0"/>
                <w:numId w:val="2"/>
              </w:numPr>
              <w:spacing w:after="45"/>
            </w:pPr>
            <w:r>
              <w:rPr>
                <w:sz w:val="15"/>
                <w:szCs w:val="15"/>
              </w:rPr>
              <w:t xml:space="preserve">The reported overall error rate of 0.06 is implausible for an outcome with 19.9 percent prevalence, since predicting no decompensation in everyone would err in about 20 percent of cases, and no confusion matrix appears in the main text</w:t>
            </w:r>
          </w:p>
          <w:p>
            <w:pPr>
              <w:pStyle w:val="ListParagraph"/>
              <w:numPr>
                <w:ilvl w:val="0"/>
                <w:numId w:val="2"/>
              </w:numPr>
              <w:spacing w:after="45"/>
            </w:pPr>
            <w:r>
              <w:rPr>
                <w:sz w:val="15"/>
                <w:szCs w:val="15"/>
              </w:rPr>
              <w:t xml:space="preserve">The odds ratios attached to the tree's splits are numerically identical to the univariable logistic odds ratios (portal hypertension 2.99, 1.93 to 4.62; major hepatectomy 2.98, 1.97 to 4.52 and 2.76, 1.85 to 4.77), so the hierarchy is presented with effect estimates that are not conditional on the splits they label</w:t>
            </w:r>
          </w:p>
          <w:p>
            <w:pPr>
              <w:pStyle w:val="ListParagraph"/>
              <w:numPr>
                <w:ilvl w:val="0"/>
                <w:numId w:val="2"/>
              </w:numPr>
              <w:spacing w:after="45"/>
            </w:pPr>
            <w:r>
              <w:rPr>
                <w:sz w:val="15"/>
                <w:szCs w:val="15"/>
              </w:rPr>
              <w:t xml:space="preserve">The random-forest importance measure ranks extent of hepatectomy above portal hypertension, reversing the order of the tree on which the paper's conclusion and title rest; the disagreement is instability in the ranking rather than a property of the two methods</w:t>
            </w:r>
          </w:p>
          <w:p>
            <w:pPr>
              <w:pStyle w:val="ListParagraph"/>
              <w:numPr>
                <w:ilvl w:val="0"/>
                <w:numId w:val="2"/>
              </w:numPr>
              <w:spacing w:after="45"/>
            </w:pPr>
            <w:r>
              <w:rPr>
                <w:sz w:val="15"/>
                <w:szCs w:val="15"/>
              </w:rPr>
              <w:t xml:space="preserve">The endpoint is a composite the authors defined in their own earlier work and is dominated by ascites: 101 of 108 events were Dindo-Clavien grade 2, 85 of those involved ascites, and 33 of the ascites cases drained less than 500 mL a day, so a large part of liver decompensation here is a mild drain output and a decision about when to remove a drain</w:t>
            </w:r>
          </w:p>
          <w:p>
            <w:pPr>
              <w:pStyle w:val="ListParagraph"/>
              <w:numPr>
                <w:ilvl w:val="0"/>
                <w:numId w:val="2"/>
              </w:numPr>
              <w:spacing w:after="45"/>
            </w:pPr>
            <w:r>
              <w:rPr>
                <w:sz w:val="15"/>
                <w:szCs w:val="15"/>
              </w:rPr>
              <w:t xml:space="preserve">Seventy-three patients with grade 1 liver-related complications were excluded from the endpoint as clinically irrelevant by the operating team, and moving that line turns a 19.9 percent rate into 33.3 percent</w:t>
            </w:r>
          </w:p>
          <w:p>
            <w:pPr>
              <w:pStyle w:val="ListParagraph"/>
              <w:numPr>
                <w:ilvl w:val="0"/>
                <w:numId w:val="2"/>
              </w:numPr>
              <w:spacing w:after="45"/>
            </w:pPr>
            <w:r>
              <w:rPr>
                <w:sz w:val="15"/>
                <w:szCs w:val="15"/>
              </w:rPr>
              <w:t xml:space="preserve">Portal hypertension, the tree's first and most important variable, was defined clinically by F1 varices or platelets below 100,000 with a spleen above 120 mm; no patient had a hepatic venous pressure gradient measured, so the model's top predictor is the surrogate definition that the guidelines it informs regard as insufficient</w:t>
            </w:r>
          </w:p>
          <w:p>
            <w:pPr>
              <w:pStyle w:val="ListParagraph"/>
              <w:numPr>
                <w:ilvl w:val="0"/>
                <w:numId w:val="2"/>
              </w:numPr>
              <w:spacing w:after="45"/>
            </w:pPr>
            <w:r>
              <w:rPr>
                <w:sz w:val="15"/>
                <w:szCs w:val="15"/>
              </w:rPr>
              <w:t xml:space="preserve">The MELD cut-point of 9 was selected by the tree's own maximisation in a cohort with a median MELD of 8 and an interquartile range of 7 to 10, so the third split divides the middle of the distribution at a data-driven threshold reported without any penalty for having searched for it</w:t>
            </w:r>
          </w:p>
          <w:p>
            <w:pPr>
              <w:pStyle w:val="ListParagraph"/>
              <w:numPr>
                <w:ilvl w:val="0"/>
                <w:numId w:val="2"/>
              </w:numPr>
              <w:spacing w:after="45"/>
            </w:pPr>
            <w:r>
              <w:rPr>
                <w:sz w:val="15"/>
                <w:szCs w:val="15"/>
              </w:rPr>
              <w:t xml:space="preserve">The extent of hepatectomy is a planned-operation variable chosen by surgeons who already knew the patient's portal hypertension status, so the second node partly encodes the team's own risk avoidance: only 20 of the 105 major resections were done in patients with portal hypertension, and those 20 are the high-risk class</w:t>
            </w:r>
          </w:p>
          <w:p>
            <w:pPr>
              <w:pStyle w:val="ListParagraph"/>
              <w:numPr>
                <w:ilvl w:val="0"/>
                <w:numId w:val="2"/>
              </w:numPr>
              <w:spacing w:after="45"/>
            </w:pPr>
            <w:r>
              <w:rPr>
                <w:sz w:val="15"/>
                <w:szCs w:val="15"/>
              </w:rPr>
              <w:t xml:space="preserve">Liver-related mortality by risk class (4.4, 9.0 and 25.0 percent) is cumulative over a median 66 months of follow-up and explicitly covers death at any time after surgery, yet it is presented alongside length of stay as though both described the perioperative period; 30-day mortality was zero and in-hospital mortality 0.9 percent</w:t>
            </w:r>
          </w:p>
          <w:p>
            <w:pPr>
              <w:pStyle w:val="ListParagraph"/>
              <w:numPr>
                <w:ilvl w:val="0"/>
                <w:numId w:val="2"/>
              </w:numPr>
              <w:spacing w:after="45"/>
            </w:pPr>
            <w:r>
              <w:rPr>
                <w:sz w:val="15"/>
                <w:szCs w:val="15"/>
              </w:rPr>
              <w:t xml:space="preserve">The cohort was deliberately operated beyond guidelines, with 24.9 percent outside Milan criteria, 22.7 percent multifocal, 11.8 percent BCLC B and 4.1 percent BCLC C, and 22.1 percent previously treated, by the same multidisciplinary board that four of the six authors sit on; no measure of tumour burden enters the model at any level</w:t>
            </w:r>
          </w:p>
          <w:p>
            <w:pPr>
              <w:pStyle w:val="ListParagraph"/>
              <w:numPr>
                <w:ilvl w:val="0"/>
                <w:numId w:val="2"/>
              </w:numPr>
              <w:spacing w:after="45"/>
            </w:pPr>
            <w:r>
              <w:rPr>
                <w:sz w:val="15"/>
                <w:szCs w:val="15"/>
              </w:rPr>
              <w:t xml:space="preserve">Liver-related mortality in the intermediate class is 27 of 297 (9.0 percent) in the text and 29 in Figure 2, final follow-up is 31 January 2015 in the abstract and 1 January 2015 in the Follow-up section, and the abstract quotes only the cross-validated C index while the Results give a lower apparent value</w:t>
            </w:r>
          </w:p>
          <w:p>
            <w:pPr>
              <w:pStyle w:val="ListParagraph"/>
              <w:numPr>
                <w:ilvl w:val="0"/>
                <w:numId w:val="2"/>
              </w:numPr>
              <w:spacing w:after="45"/>
            </w:pPr>
            <w:r>
              <w:rPr>
                <w:sz w:val="15"/>
                <w:szCs w:val="15"/>
              </w:rPr>
              <w:t xml:space="preserve">Fourteen years of single-centre practice are pooled with no year-of-surgery term in any model, across a period in which the unit's own technique changed (ultrasonic dissection, irrigated bipolar coagulation, central venous pressure below 5 mmHg, Pringle manoeuvre only on demand, intermittent clamping in 6.3 percent)</w:t>
            </w:r>
          </w:p>
        </w:tc>
      </w:tr>
    </w:tbl>
    <w:p>
      <w:pPr>
        <w:spacing w:after="0" w:line="276"/>
      </w:pPr>
      <w:r>
        <w:rPr>
          <w:color w:val="5A6069"/>
          <w:sz w:val="14"/>
          <w:szCs w:val="14"/>
        </w:rPr>
        <w:t xml:space="preserve">Funding: Institutional; no funding source or conflict of interest is reported in the article</w:t>
      </w:r>
    </w:p>
    <w:p>
      <w:pPr>
        <w:keepNext/>
        <w:spacing w:after="50" w:before="260"/>
      </w:pPr>
      <w:r>
        <w:rPr>
          <w:rFonts w:ascii="Cambria" w:cs="Cambria" w:eastAsia="Cambria" w:hAnsi="Cambria"/>
          <w:b/>
          <w:bCs/>
          <w:color w:val="17365D"/>
          <w:sz w:val="20"/>
          <w:szCs w:val="20"/>
        </w:rPr>
        <w:t xml:space="preserve">DEB vs cTACE</w:t>
      </w:r>
      <w:r>
        <w:rPr>
          <w:b/>
          <w:bCs/>
          <w:color w:val="176A87"/>
          <w:sz w:val="15"/>
          <w:szCs w:val="15"/>
        </w:rPr>
        <w:t xml:space="preserve">   Randomised trial</w:t>
      </w:r>
      <w:r>
        <w:rPr>
          <w:color w:val="5A6069"/>
          <w:sz w:val="15"/>
          <w:szCs w:val="15"/>
        </w:rPr>
        <w:t xml:space="preserve">   PMID 24937669</w:t>
      </w:r>
    </w:p>
    <w:p>
      <w:pPr>
        <w:spacing w:after="50" w:line="276"/>
      </w:pPr>
      <w:r>
        <w:rPr>
          <w:color w:val="5A6069"/>
          <w:sz w:val="17"/>
          <w:szCs w:val="17"/>
        </w:rPr>
        <w:t xml:space="preserve">Randomised controlled trial of doxorubicin-eluting beads vs conventional chemoembolisation for hepatocellular carcinoma</w:t>
      </w:r>
    </w:p>
    <w:p>
      <w:pPr>
        <w:spacing w:after="50"/>
      </w:pPr>
      <w:r>
        <w:rPr>
          <w:b/>
          <w:bCs/>
          <w:color w:val="176A87"/>
          <w:sz w:val="16"/>
          <w:szCs w:val="16"/>
        </w:rPr>
        <w:t xml:space="preserve">Population. </w:t>
      </w:r>
      <w:r>
        <w:rPr>
          <w:sz w:val="16"/>
          <w:szCs w:val="16"/>
        </w:rPr>
        <w:t xml:space="preserve">177 of a planned 214 patients with HCC randomised at five Italian centres to conventional chemoembolisation (88) or drug-eluting bead chemoembolisation (89), with a median of two procedures per arm; 46.3 percent were BCLC A, 26.0 percent BCLC C on ECOG 1 alone, and the median largest tumour was 2.6 cm</w:t>
      </w:r>
    </w:p>
    <w:p>
      <w:pPr>
        <w:spacing w:after="70"/>
      </w:pPr>
      <w:r>
        <w:rPr>
          <w:b/>
          <w:bCs/>
          <w:color w:val="17365D"/>
          <w:sz w:val="16"/>
          <w:szCs w:val="16"/>
        </w:rPr>
        <w:t xml:space="preserve">Bottom line. </w:t>
      </w:r>
      <w:r>
        <w:rPr>
          <w:sz w:val="16"/>
          <w:szCs w:val="16"/>
        </w:rPr>
        <w:t xml:space="preserve">PRECISION Italia is the independent test of drug-eluting beads and it was stopped for futility: median time to progression was 9 months in both arms, 2-year survival 56.8 against 55.4 percent (p = 0.949), with less post-procedural pain the only advantage of beads. It cannot establish equivalence, because it was powered for an implausible 20-point survival gain and stopped at 83 percent of its planned size, and nearly half its patients were early-stage with a median tumour under 3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Enrolment was stopped for futility on the recommendation of an external review committee after the second interim analysis, at 177 of 214 planned patients</w:t>
            </w:r>
          </w:p>
          <w:p>
            <w:pPr>
              <w:pStyle w:val="ListParagraph"/>
              <w:numPr>
                <w:ilvl w:val="0"/>
                <w:numId w:val="2"/>
              </w:numPr>
              <w:spacing w:after="45"/>
            </w:pPr>
            <w:r>
              <w:rPr>
                <w:sz w:val="15"/>
                <w:szCs w:val="15"/>
              </w:rPr>
              <w:t xml:space="preserve">The power calculation assumed a 40 percent 2-year survival with conventional chemoembolisation and a 20 percentage point absolute gain with beads, which the authors concede was an optimistic view based on the device's theoretical advantages</w:t>
            </w:r>
          </w:p>
          <w:p>
            <w:pPr>
              <w:pStyle w:val="ListParagraph"/>
              <w:numPr>
                <w:ilvl w:val="0"/>
                <w:numId w:val="2"/>
              </w:numPr>
              <w:spacing w:after="45"/>
            </w:pPr>
            <w:r>
              <w:rPr>
                <w:sz w:val="15"/>
                <w:szCs w:val="15"/>
              </w:rPr>
              <w:t xml:space="preserve">The pragmatic design permitted referring physicians to use ablation, resection, sorafenib or transplantation after two chemoembolisations, and 36 of 177 patients received further treatment</w:t>
            </w:r>
          </w:p>
          <w:p>
            <w:pPr>
              <w:pStyle w:val="ListParagraph"/>
              <w:numPr>
                <w:ilvl w:val="0"/>
                <w:numId w:val="2"/>
              </w:numPr>
              <w:spacing w:after="45"/>
            </w:pPr>
            <w:r>
              <w:rPr>
                <w:sz w:val="15"/>
                <w:szCs w:val="15"/>
              </w:rPr>
              <w:t xml:space="preserve">The authors note the inclusion of BCLC C patients in whom chemoembolisation is debatable</w:t>
            </w:r>
          </w:p>
          <w:p>
            <w:pPr>
              <w:pStyle w:val="ListParagraph"/>
              <w:numPr>
                <w:ilvl w:val="0"/>
                <w:numId w:val="2"/>
              </w:numPr>
              <w:spacing w:after="45"/>
            </w:pPr>
            <w:r>
              <w:rPr>
                <w:sz w:val="15"/>
                <w:szCs w:val="15"/>
              </w:rPr>
              <w:t xml:space="preserve">Response was judged by EASL criteria until 2010 and modified RECIST thereafter, mostly on multidetector CT, which the authors accept masks residual tumour after lipiodol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At one month the control arm achieved a significantly higher overall complete response than the beads (59.8 against 43.8 percent, p = 0.036), and the authors explain this as a spurious effect of lipiodol masking, which concedes that the response endpoint in a lipiodol-based comparison is uninterpretable in either direction</w:t>
            </w:r>
          </w:p>
          <w:p>
            <w:pPr>
              <w:pStyle w:val="ListParagraph"/>
              <w:numPr>
                <w:ilvl w:val="0"/>
                <w:numId w:val="2"/>
              </w:numPr>
              <w:spacing w:after="45"/>
            </w:pPr>
            <w:r>
              <w:rPr>
                <w:sz w:val="15"/>
                <w:szCs w:val="15"/>
              </w:rPr>
              <w:t xml:space="preserve">The post hoc subgroup analyses point the same way, with conventional chemoembolisation achieving significantly more complete responses in ECOG 0 (p = 0.014) and BCLC A patients (p = 0.027), findings the paper reports without reconciling them against the trend it prefers at 6 months</w:t>
            </w:r>
          </w:p>
          <w:p>
            <w:pPr>
              <w:pStyle w:val="ListParagraph"/>
              <w:numPr>
                <w:ilvl w:val="0"/>
                <w:numId w:val="2"/>
              </w:numPr>
              <w:spacing w:after="45"/>
            </w:pPr>
            <w:r>
              <w:rPr>
                <w:sz w:val="15"/>
                <w:szCs w:val="15"/>
              </w:rPr>
              <w:t xml:space="preserve">Survival of patients who became transplantable after downstaging was censored at the day before surgery, so the most successful outcomes in both arms were removed from the survival comparison the trial was powered on</w:t>
            </w:r>
          </w:p>
          <w:p>
            <w:pPr>
              <w:pStyle w:val="ListParagraph"/>
              <w:numPr>
                <w:ilvl w:val="0"/>
                <w:numId w:val="2"/>
              </w:numPr>
              <w:spacing w:after="45"/>
            </w:pPr>
            <w:r>
              <w:rPr>
                <w:sz w:val="15"/>
                <w:szCs w:val="15"/>
              </w:rPr>
              <w:t xml:space="preserve">Fewer than a third of patients had unambiguously intermediate-stage disease: 46.3 percent were BCLC A, 26.0 percent were classed BCLC C solely on an ECOG score of 1, and the median largest tumour was 2.6 cm, so the trial did not test beads where their larger drug payload is argued to matter</w:t>
            </w:r>
          </w:p>
          <w:p>
            <w:pPr>
              <w:pStyle w:val="ListParagraph"/>
              <w:numPr>
                <w:ilvl w:val="0"/>
                <w:numId w:val="2"/>
              </w:numPr>
              <w:spacing w:after="45"/>
            </w:pPr>
            <w:r>
              <w:rPr>
                <w:sz w:val="15"/>
                <w:szCs w:val="15"/>
              </w:rPr>
              <w:t xml:space="preserve">The reported median survival of 28 and 29 months is explicitly a projection from the 1- and 2-year rates rather than an observed median, since follow-up was a minimum of 2 years</w:t>
            </w:r>
          </w:p>
          <w:p>
            <w:pPr>
              <w:pStyle w:val="ListParagraph"/>
              <w:numPr>
                <w:ilvl w:val="0"/>
                <w:numId w:val="2"/>
              </w:numPr>
              <w:spacing w:after="45"/>
            </w:pPr>
            <w:r>
              <w:rPr>
                <w:sz w:val="15"/>
                <w:szCs w:val="15"/>
              </w:rPr>
              <w:t xml:space="preserve">The severe adverse event rate of 6.2 percent with a superselective technique is far below that of the manufacturer-sponsored trial it contradicts, so the absence of a safety advantage for beads may reflect an unusually good conventional technique rather than equivalence of the two devices</w:t>
            </w:r>
          </w:p>
          <w:p>
            <w:pPr>
              <w:pStyle w:val="ListParagraph"/>
              <w:numPr>
                <w:ilvl w:val="0"/>
                <w:numId w:val="2"/>
              </w:numPr>
              <w:spacing w:after="45"/>
            </w:pPr>
            <w:r>
              <w:rPr>
                <w:sz w:val="15"/>
                <w:szCs w:val="15"/>
              </w:rPr>
              <w:t xml:space="preserve">Twenty percent of patients received an additional non-randomised treatment after two chemoembolisations, which dilutes the comparison in a trial whose primary endpoint is time to progression and whose power was already compromised</w:t>
            </w:r>
          </w:p>
          <w:p>
            <w:pPr>
              <w:pStyle w:val="ListParagraph"/>
              <w:numPr>
                <w:ilvl w:val="0"/>
                <w:numId w:val="2"/>
              </w:numPr>
              <w:spacing w:after="45"/>
            </w:pPr>
            <w:r>
              <w:rPr>
                <w:sz w:val="15"/>
                <w:szCs w:val="15"/>
              </w:rPr>
              <w:t xml:space="preserve">Both arms also differed in the drug delivered (mean 47.2 mg of epirubicin with lipiodol against 57.8 mg of doxorubicin on beads), so the comparison is of two regimens rather than of two delivery systems</w:t>
            </w:r>
          </w:p>
          <w:p>
            <w:pPr>
              <w:pStyle w:val="ListParagraph"/>
              <w:numPr>
                <w:ilvl w:val="0"/>
                <w:numId w:val="2"/>
              </w:numPr>
              <w:spacing w:after="45"/>
            </w:pPr>
            <w:r>
              <w:rPr>
                <w:sz w:val="15"/>
                <w:szCs w:val="15"/>
              </w:rPr>
              <w:t xml:space="preserve">Response was assessed on CT at a time when the authors themselves say CT after lipiodol is inadequate, with the choice justified on grounds of availability rather than accuracy</w:t>
            </w:r>
          </w:p>
          <w:p>
            <w:pPr>
              <w:pStyle w:val="ListParagraph"/>
              <w:numPr>
                <w:ilvl w:val="0"/>
                <w:numId w:val="2"/>
              </w:numPr>
              <w:spacing w:after="45"/>
            </w:pPr>
            <w:r>
              <w:rPr>
                <w:sz w:val="15"/>
                <w:szCs w:val="15"/>
              </w:rPr>
              <w:t xml:space="preserve">The trial's conclusion that routine use of beads is hard to justify rests on a cost argument of at least 600 euros per treatment rather than on the trial's own data, which cannot exclude a clinically modest difference</w:t>
            </w:r>
          </w:p>
        </w:tc>
      </w:tr>
    </w:tbl>
    <w:p>
      <w:pPr>
        <w:spacing w:after="0" w:line="276"/>
      </w:pPr>
      <w:r>
        <w:rPr>
          <w:color w:val="5A6069"/>
          <w:sz w:val="14"/>
          <w:szCs w:val="14"/>
        </w:rPr>
        <w:t xml:space="preserve">Funding: No funding source is identified in the article; the authors declare no conflict of interest</w:t>
      </w:r>
    </w:p>
    <w:p>
      <w:pPr>
        <w:keepNext/>
        <w:spacing w:after="50" w:before="260"/>
      </w:pPr>
      <w:r>
        <w:rPr>
          <w:rFonts w:ascii="Cambria" w:cs="Cambria" w:eastAsia="Cambria" w:hAnsi="Cambria"/>
          <w:b/>
          <w:bCs/>
          <w:color w:val="17365D"/>
          <w:sz w:val="20"/>
          <w:szCs w:val="20"/>
        </w:rPr>
        <w:t xml:space="preserve">DOSISPHERE-01</w:t>
      </w:r>
      <w:r>
        <w:rPr>
          <w:b/>
          <w:bCs/>
          <w:color w:val="176A87"/>
          <w:sz w:val="15"/>
          <w:szCs w:val="15"/>
        </w:rPr>
        <w:t xml:space="preserve">   Randomised trial</w:t>
      </w:r>
      <w:r>
        <w:rPr>
          <w:color w:val="5A6069"/>
          <w:sz w:val="15"/>
          <w:szCs w:val="15"/>
        </w:rPr>
        <w:t xml:space="preserve">   PMID 33166497</w:t>
      </w:r>
    </w:p>
    <w:p>
      <w:pPr>
        <w:spacing w:after="50" w:line="276"/>
      </w:pPr>
      <w:r>
        <w:rPr>
          <w:color w:val="5A6069"/>
          <w:sz w:val="17"/>
          <w:szCs w:val="17"/>
        </w:rPr>
        <w:t xml:space="preserve">Personalised versus standard dosimetry approach of selective internal radiation therapy in patients with locally advanced hepatocellular carcinoma (DOSISPHERE-01): a randomised, multicentre, open-label phase 2 trial</w:t>
      </w:r>
    </w:p>
    <w:p>
      <w:pPr>
        <w:spacing w:after="50"/>
      </w:pPr>
      <w:r>
        <w:rPr>
          <w:b/>
          <w:bCs/>
          <w:color w:val="176A87"/>
          <w:sz w:val="16"/>
          <w:szCs w:val="16"/>
        </w:rPr>
        <w:t xml:space="preserve">Population. </w:t>
      </w:r>
      <w:r>
        <w:rPr>
          <w:sz w:val="16"/>
          <w:szCs w:val="16"/>
        </w:rPr>
        <w:t xml:space="preserve">60 patients with unresectable locally advanced HCC, an index lesion of 7 cm or more, at least 30 percent hepatic reserve after treatment and no extrahepatic spread, randomised 1:1 at four French centres between December 2015 and January 2018 after mapping scintigraphy to personalised dosimetry (31) or standard dosimetry (29); 56 were treated, 89 percent were BCLC C and 70 percent had portal vein invasion</w:t>
      </w:r>
    </w:p>
    <w:p>
      <w:pPr>
        <w:spacing w:after="70"/>
      </w:pPr>
      <w:r>
        <w:rPr>
          <w:b/>
          <w:bCs/>
          <w:color w:val="17365D"/>
          <w:sz w:val="16"/>
          <w:szCs w:val="16"/>
        </w:rPr>
        <w:t xml:space="preserve">Bottom line. </w:t>
      </w:r>
      <w:r>
        <w:rPr>
          <w:sz w:val="16"/>
          <w:szCs w:val="16"/>
        </w:rPr>
        <w:t xml:space="preserve">DOSISPHERE-01 is the trial that showed dose matters: targeting at least 205 Gy to the index lesion gave an objective response of 71 against 36 percent and median survival of 26.6 against 10.7 months compared with standard 120 Gy lobar dosimetry. It is a 60-patient phase 2 trial stopped early for efficacy with an unmasked single-lesion response endpoint, no significant difference in progression-free survival, and ten patients in the personalised arm going on to resection against one in the control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resulting from early stopping for efficacy at the planned interim analysis</w:t>
            </w:r>
          </w:p>
          <w:p>
            <w:pPr>
              <w:pStyle w:val="ListParagraph"/>
              <w:numPr>
                <w:ilvl w:val="0"/>
                <w:numId w:val="2"/>
              </w:numPr>
              <w:spacing w:after="45"/>
            </w:pPr>
            <w:r>
              <w:rPr>
                <w:sz w:val="15"/>
                <w:szCs w:val="15"/>
              </w:rPr>
              <w:t xml:space="preserve">Macroaggregated albumin scintigraphy was used as a surrogate for microsphere distribution</w:t>
            </w:r>
          </w:p>
          <w:p>
            <w:pPr>
              <w:pStyle w:val="ListParagraph"/>
              <w:numPr>
                <w:ilvl w:val="0"/>
                <w:numId w:val="2"/>
              </w:numPr>
              <w:spacing w:after="45"/>
            </w:pPr>
            <w:r>
              <w:rPr>
                <w:sz w:val="15"/>
                <w:szCs w:val="15"/>
              </w:rPr>
              <w:t xml:space="preserve">Generalisability to lesions smaller than 7 cm and to resin microspheres at 100 to 120 Gy is untested, which the authors state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at the planned interim analysis for efficacy and the survival difference is a secondary endpoint resting on 14 deaths in the personalised arm, so a 16-month median gain from 60 randomised patients is almost certainly an overestimate of the true effect</w:t>
            </w:r>
          </w:p>
          <w:p>
            <w:pPr>
              <w:pStyle w:val="ListParagraph"/>
              <w:numPr>
                <w:ilvl w:val="0"/>
                <w:numId w:val="2"/>
              </w:numPr>
              <w:spacing w:after="45"/>
            </w:pPr>
            <w:r>
              <w:rPr>
                <w:sz w:val="15"/>
                <w:szCs w:val="15"/>
              </w:rPr>
              <w:t xml:space="preserve">The primary endpoint was unmasked, investigator-read EASL response of a single index lesion at 3 months, which says nothing about the rest of the liver, and progression-free survival, the harder endpoint, did not differ significantly between the arms</w:t>
            </w:r>
          </w:p>
          <w:p>
            <w:pPr>
              <w:pStyle w:val="ListParagraph"/>
              <w:numPr>
                <w:ilvl w:val="0"/>
                <w:numId w:val="2"/>
              </w:numPr>
              <w:spacing w:after="45"/>
            </w:pPr>
            <w:r>
              <w:rPr>
                <w:sz w:val="15"/>
                <w:szCs w:val="15"/>
              </w:rPr>
              <w:t xml:space="preserve">Ten of 28 patients in the personalised arm went on to curative resection against one in the standard arm, so part of the survival difference is surgery rather than radiation, and although the difference persisted after post hoc censoring at the date of surgery, that censoring was not prespecified</w:t>
            </w:r>
          </w:p>
          <w:p>
            <w:pPr>
              <w:pStyle w:val="ListParagraph"/>
              <w:numPr>
                <w:ilvl w:val="0"/>
                <w:numId w:val="2"/>
              </w:numPr>
              <w:spacing w:after="45"/>
            </w:pPr>
            <w:r>
              <w:rPr>
                <w:sz w:val="15"/>
                <w:szCs w:val="15"/>
              </w:rPr>
              <w:t xml:space="preserve">Eligibility selected heavily for a result: an index lesion of 7 cm or more, at least 30 percent hepatic reserve preserved, satisfactory mapping and randomisation only after the scintigraphy, so patients whose anatomy would not permit personalised dosing never entered</w:t>
            </w:r>
          </w:p>
          <w:p>
            <w:pPr>
              <w:pStyle w:val="ListParagraph"/>
              <w:numPr>
                <w:ilvl w:val="0"/>
                <w:numId w:val="2"/>
              </w:numPr>
              <w:spacing w:after="45"/>
            </w:pPr>
            <w:r>
              <w:rPr>
                <w:sz w:val="15"/>
                <w:szCs w:val="15"/>
              </w:rPr>
              <w:t xml:space="preserve">Safety was analysed by the treatment actually received on central dosimetry rather than as randomised, so 8 patients randomised to standard dosimetry were reclassified, and some of the percentages in the safety table are internally inconsistent</w:t>
            </w:r>
          </w:p>
          <w:p>
            <w:pPr>
              <w:pStyle w:val="ListParagraph"/>
              <w:numPr>
                <w:ilvl w:val="0"/>
                <w:numId w:val="2"/>
              </w:numPr>
              <w:spacing w:after="45"/>
            </w:pPr>
            <w:r>
              <w:rPr>
                <w:sz w:val="15"/>
                <w:szCs w:val="15"/>
              </w:rPr>
              <w:t xml:space="preserve">The dose threshold of 205 Gy to the index lesion is applied as the intervention in the same trial that advances it, so the number is not independently derived</w:t>
            </w:r>
          </w:p>
          <w:p>
            <w:pPr>
              <w:pStyle w:val="ListParagraph"/>
              <w:numPr>
                <w:ilvl w:val="0"/>
                <w:numId w:val="2"/>
              </w:numPr>
              <w:spacing w:after="45"/>
            </w:pPr>
            <w:r>
              <w:rPr>
                <w:sz w:val="15"/>
                <w:szCs w:val="15"/>
              </w:rPr>
              <w:t xml:space="preserve">The control arm used 120 plus or minus 20 Gy to the perfused lobe, which the trial then shows to be inadequate, so the comparison is between a dose chosen to work and a dose the investigators already believed was too low</w:t>
            </w:r>
          </w:p>
          <w:p>
            <w:pPr>
              <w:pStyle w:val="ListParagraph"/>
              <w:numPr>
                <w:ilvl w:val="0"/>
                <w:numId w:val="2"/>
              </w:numPr>
              <w:spacing w:after="45"/>
            </w:pPr>
            <w:r>
              <w:rPr>
                <w:sz w:val="15"/>
                <w:szCs w:val="15"/>
              </w:rPr>
              <w:t xml:space="preserve">The device manufacturer funded the trial, validated the study design and paid for the editorial assistance, and the result supports its product's dosing approach</w:t>
            </w:r>
          </w:p>
        </w:tc>
      </w:tr>
    </w:tbl>
    <w:p>
      <w:pPr>
        <w:spacing w:after="0" w:line="276"/>
      </w:pPr>
      <w:r>
        <w:rPr>
          <w:color w:val="5A6069"/>
          <w:sz w:val="14"/>
          <w:szCs w:val="14"/>
        </w:rPr>
        <w:t xml:space="preserve">Funding: Funded by Biocompatibles UK, a Boston Scientific company and the maker of the TheraSphere glass microspheres used, which validated the study design and funded editorial assistance; the first author and most senior authors report grants or personal fees from the sponsor</w:t>
      </w:r>
    </w:p>
    <w:p>
      <w:pPr>
        <w:keepNext/>
        <w:spacing w:after="50" w:before="260"/>
      </w:pPr>
      <w:r>
        <w:rPr>
          <w:rFonts w:ascii="Cambria" w:cs="Cambria" w:eastAsia="Cambria" w:hAnsi="Cambria"/>
          <w:b/>
          <w:bCs/>
          <w:color w:val="17365D"/>
          <w:sz w:val="20"/>
          <w:szCs w:val="20"/>
        </w:rPr>
        <w:t xml:space="preserve">EASL 2025</w:t>
      </w:r>
      <w:r>
        <w:rPr>
          <w:b/>
          <w:bCs/>
          <w:color w:val="176A87"/>
          <w:sz w:val="15"/>
          <w:szCs w:val="15"/>
        </w:rPr>
        <w:t xml:space="preserve">   Guideline</w:t>
      </w:r>
      <w:r>
        <w:rPr>
          <w:color w:val="5A6069"/>
          <w:sz w:val="15"/>
          <w:szCs w:val="15"/>
        </w:rPr>
        <w:t xml:space="preserve">   PMID 39690085</w:t>
      </w:r>
    </w:p>
    <w:p>
      <w:pPr>
        <w:spacing w:after="50" w:line="276"/>
      </w:pPr>
      <w:r>
        <w:rPr>
          <w:color w:val="5A6069"/>
          <w:sz w:val="17"/>
          <w:szCs w:val="17"/>
        </w:rPr>
        <w:t xml:space="preserve">EASL Clinical Practice Guidelines on the management of hepatocellular carcinoma</w:t>
      </w:r>
    </w:p>
    <w:p>
      <w:pPr>
        <w:spacing w:after="70"/>
      </w:pPr>
      <w:r>
        <w:rPr>
          <w:b/>
          <w:bCs/>
          <w:color w:val="17365D"/>
          <w:sz w:val="16"/>
          <w:szCs w:val="16"/>
        </w:rPr>
        <w:t xml:space="preserve">Bottom line. </w:t>
      </w:r>
      <w:r>
        <w:rPr>
          <w:sz w:val="16"/>
          <w:szCs w:val="16"/>
        </w:rPr>
        <w:t xml:space="preserve">Establishes the current European position on surveillance, diagnosis, resection, ablation, transplantation and locoregional therapy for HCC as graded recommendations with Delphi agreement printed beside each, including the AFP ceiling of 1,000 ng/ml for listing, equivalence of radiofrequency and microwave ablation, and the prohibition on resection as a downstaging procedure. It does not provide a complete or externally checkable evidence base: every recommendation passed the Delphi, scope is restricted to a limited set of PICO questions with the 2018 guideline left standing elsewhere, some recommendations rest on conference abstracts, most surgical and transplant items are LoE 3 to 4 expert consensus, and no disclosures are printed. Treat it as the panel's position and read the trials behind any recommendation you intend to act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concedes only that the number of PICO questions was restricted, so the 2018 recommendations should still be followed in the scenarios this update does not cover and frequent further updates will be needed; that resection cannot be recommended over locoregional therapy or the reverse for cirrhotic patients with multiple resectable tumours owing to insufficient evidence; that HCC surveillance cannot be recommended in advanced fibrosis without cirrhosis owing to insufficient evidence; that HAP and similar scores cannot be recommended for treatment selection because selection bias precludes meaningful interpretation and the necessary randomised trial has not been done; that patients with Child-Pugh B disease are an unmet need the current data do not support treating with any approved therapy; and that patients with post-transplant recurrence have been systematically excluded from every systemic therapy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recommendation reached consensus. The methods state that under EASL methodology there was no need to rewrite any recommendation because all found consensus, '100% did'. A Delphi in which nothing fails does not separate settled positions from contested ones, and the printed percentages bear this out: the lowest, 75% for bland transarterial embolisation as an alternative to conventional and drug-eluting bead TACE, is the floor of the band the document calls consensus.</w:t>
            </w:r>
          </w:p>
          <w:p>
            <w:pPr>
              <w:pStyle w:val="ListParagraph"/>
              <w:numPr>
                <w:ilvl w:val="0"/>
                <w:numId w:val="2"/>
              </w:numPr>
              <w:spacing w:after="45"/>
            </w:pPr>
            <w:r>
              <w:rPr>
                <w:sz w:val="15"/>
                <w:szCs w:val="15"/>
              </w:rPr>
              <w:t xml:space="preserve">The panel states that where trial data had not been fully reported, abstracts presented at international meetings were used as bibliographic references. Abstracts carry no protocol, no analysis plan and no peer review, yet they feed the same Oxford level-of-evidence scheme as full reports, and no recommendation is marked as resting on one.</w:t>
            </w:r>
          </w:p>
          <w:p>
            <w:pPr>
              <w:pStyle w:val="ListParagraph"/>
              <w:numPr>
                <w:ilvl w:val="0"/>
                <w:numId w:val="2"/>
              </w:numPr>
              <w:spacing w:after="45"/>
            </w:pPr>
            <w:r>
              <w:rPr>
                <w:sz w:val="15"/>
                <w:szCs w:val="15"/>
              </w:rPr>
              <w:t xml:space="preserve">No disclosures are printed. The conflict-of-interest section is a single pointer to ICMJE forms held elsewhere, so a reader weighing the panel's positions on SIRT, on checkpoint inhibitors or on drug-eluting beads cannot see who is paid by the manufacturers. Both the 2022 BCLC update and the 2023 AASLD guidance print theirs in full.</w:t>
            </w:r>
          </w:p>
          <w:p>
            <w:pPr>
              <w:pStyle w:val="ListParagraph"/>
              <w:numPr>
                <w:ilvl w:val="0"/>
                <w:numId w:val="2"/>
              </w:numPr>
              <w:spacing w:after="45"/>
            </w:pPr>
            <w:r>
              <w:rPr>
                <w:sz w:val="15"/>
                <w:szCs w:val="15"/>
              </w:rPr>
              <w:t xml:space="preserve">The AFP rule for transplantation conflicts with US practice and the guideline does not say so. EASL makes an AFP above 1,000 ng/ml an absolute contraindication whatever the tumour burden and requires 1,000 or less for three months before listing, whereas AASLD 2023 guidance and UNOS policy allow listing once an AFP of 1,000 or more falls below 500 ng/ml. The same biochemistry lists a patient in one jurisdiction and bars them in the other.</w:t>
            </w:r>
          </w:p>
          <w:p>
            <w:pPr>
              <w:pStyle w:val="ListParagraph"/>
              <w:numPr>
                <w:ilvl w:val="0"/>
                <w:numId w:val="2"/>
              </w:numPr>
              <w:spacing w:after="45"/>
            </w:pPr>
            <w:r>
              <w:rPr>
                <w:sz w:val="15"/>
                <w:szCs w:val="15"/>
              </w:rPr>
              <w:t xml:space="preserve">The prohibition on resection as a downstaging procedure is graded LoE 4 and drew 83% consensus, the lowest among the surgical items, yet is written as a prohibition. It rules out the resection-first with salvage-transplantation pathway used in several high-volume centres on the strength of expert opinion, without setting out the cohort data those centres have published.</w:t>
            </w:r>
          </w:p>
          <w:p>
            <w:pPr>
              <w:pStyle w:val="ListParagraph"/>
              <w:numPr>
                <w:ilvl w:val="0"/>
                <w:numId w:val="2"/>
              </w:numPr>
              <w:spacing w:after="45"/>
            </w:pPr>
            <w:r>
              <w:rPr>
                <w:sz w:val="15"/>
                <w:szCs w:val="15"/>
              </w:rPr>
              <w:t xml:space="preserve">SIRT is ruled out as an alternative to systemic therapy for portal vein invasion at LoE 3, strong, 86% consensus. The document's own narrative grounds this on SARAH and SIRveNIB, trials of intermediate and advanced disease in which dosimetry was not personalised, and does not engage DOSISPHERE-01, which randomised personalised dosimetry and reported better response and survival. The recommendation is stronger than the evidence the guideline itself lays out.</w:t>
            </w:r>
          </w:p>
          <w:p>
            <w:pPr>
              <w:pStyle w:val="ListParagraph"/>
              <w:numPr>
                <w:ilvl w:val="0"/>
                <w:numId w:val="2"/>
              </w:numPr>
              <w:spacing w:after="45"/>
            </w:pPr>
            <w:r>
              <w:rPr>
                <w:sz w:val="15"/>
                <w:szCs w:val="15"/>
              </w:rPr>
              <w:t xml:space="preserve">The ablation recommendation that no thermal technique is preferred over another, LoE 2 with strong consensus, is the correct reading of a failed superiority trial, and it appears in the same year that the BCLC group concluded microwave gives more reliable local control than radiofrequency up to 3 to 4 cm and should be preferred. Two European groups read the same two trials to opposite operational conclusions within twelve months and neither notes the disagreement.</w:t>
            </w:r>
          </w:p>
          <w:p>
            <w:pPr>
              <w:pStyle w:val="ListParagraph"/>
              <w:numPr>
                <w:ilvl w:val="0"/>
                <w:numId w:val="2"/>
              </w:numPr>
              <w:spacing w:after="45"/>
            </w:pPr>
            <w:r>
              <w:rPr>
                <w:sz w:val="15"/>
                <w:szCs w:val="15"/>
              </w:rPr>
              <w:t xml:space="preserve">Levels of evidence are assigned per recommendation without a table showing the number and design of studies behind each, so the reader must follow the narrative and its reference numbers. For the recommendations that decide a surgical case, resection for single HCC above 2 cm at LoE 2 and the minimally invasive approach where feasible, that narrative rests on observational series and propensity analyses whose selection bias the document acknowledges elsewhere but not there.</w:t>
            </w:r>
          </w:p>
          <w:p>
            <w:pPr>
              <w:pStyle w:val="ListParagraph"/>
              <w:numPr>
                <w:ilvl w:val="0"/>
                <w:numId w:val="2"/>
              </w:numPr>
              <w:spacing w:after="45"/>
            </w:pPr>
            <w:r>
              <w:rPr>
                <w:sz w:val="15"/>
                <w:szCs w:val="15"/>
              </w:rPr>
              <w:t xml:space="preserve">The guideline is explicitly partial and says so once, in a paragraph next to the corresponding-author footnote. There is no list of what is and is not covered, so a reader cannot tell which parts of a sixty-page document are current and which have been left to the 2018 guideline by silence.</w:t>
            </w:r>
          </w:p>
          <w:p>
            <w:pPr>
              <w:pStyle w:val="ListParagraph"/>
              <w:numPr>
                <w:ilvl w:val="0"/>
                <w:numId w:val="2"/>
              </w:numPr>
              <w:spacing w:after="45"/>
            </w:pPr>
            <w:r>
              <w:rPr>
                <w:sz w:val="15"/>
                <w:szCs w:val="15"/>
              </w:rPr>
              <w:t xml:space="preserve">In the extracted text the inequality signs are repeatedly mangled, so the thresholds that decide eligibility read as 'solitary HCC &lt;-2 cm', '&lt;-3 tumours' and '&lt;-6.5 cm'. Every size and AFP cut-off in this copy must be checked against the published typesetting before it is used.</w:t>
            </w:r>
          </w:p>
        </w:tc>
      </w:tr>
    </w:tbl>
    <w:p>
      <w:pPr>
        <w:spacing w:after="0" w:line="276"/>
      </w:pPr>
      <w:r>
        <w:rPr>
          <w:color w:val="5A6069"/>
          <w:sz w:val="14"/>
          <w:szCs w:val="14"/>
        </w:rPr>
        <w:t xml:space="preserve">Funding: No financial support statement appears in the document. Conflicts of interest are handled by one sentence referring the reader to accompanying ICMJE disclosure forms, so no panel member's industry relationships are printed in the guideline itself; the panel was selected by the EASL Governing Board under EASL's standard operating procedure, and the Delphi panel of 30 included two patient representatives</w:t>
      </w:r>
    </w:p>
    <w:p>
      <w:pPr>
        <w:keepNext/>
        <w:spacing w:after="50" w:before="260"/>
      </w:pPr>
      <w:r>
        <w:rPr>
          <w:rFonts w:ascii="Cambria" w:cs="Cambria" w:eastAsia="Cambria" w:hAnsi="Cambria"/>
          <w:b/>
          <w:bCs/>
          <w:color w:val="17365D"/>
          <w:sz w:val="20"/>
          <w:szCs w:val="20"/>
        </w:rPr>
        <w:t xml:space="preserve">EBRT cohort</w:t>
      </w:r>
      <w:r>
        <w:rPr>
          <w:b/>
          <w:bCs/>
          <w:color w:val="176A87"/>
          <w:sz w:val="15"/>
          <w:szCs w:val="15"/>
        </w:rPr>
        <w:t xml:space="preserve">   Meta-analysis</w:t>
      </w:r>
      <w:r>
        <w:rPr>
          <w:color w:val="5A6069"/>
          <w:sz w:val="15"/>
          <w:szCs w:val="15"/>
        </w:rPr>
        <w:t xml:space="preserve">   PMID 42139645</w:t>
      </w:r>
    </w:p>
    <w:p>
      <w:pPr>
        <w:spacing w:after="50" w:line="276"/>
      </w:pPr>
      <w:r>
        <w:rPr>
          <w:color w:val="5A6069"/>
          <w:sz w:val="17"/>
          <w:szCs w:val="17"/>
        </w:rPr>
        <w:t xml:space="preserve">Overall Survival Among Patients With Hepatocellular Carcinoma Treated With External Beam Radiation Therapy: Individual Patient Data Outcomes From a Multinational Cohort</w:t>
      </w:r>
    </w:p>
    <w:p>
      <w:pPr>
        <w:spacing w:after="50"/>
      </w:pPr>
      <w:r>
        <w:rPr>
          <w:b/>
          <w:bCs/>
          <w:color w:val="176A87"/>
          <w:sz w:val="16"/>
          <w:szCs w:val="16"/>
        </w:rPr>
        <w:t xml:space="preserve">Population. </w:t>
      </w:r>
      <w:r>
        <w:rPr>
          <w:sz w:val="16"/>
          <w:szCs w:val="16"/>
        </w:rPr>
        <w:t xml:space="preserve">4,913 patients treated with ablative liver external beam radiotherapy at 30 of 96 invited centres in 11 countries, pooled as individual patient data after a systematic review to 15 December 2022; 60 percent had received prior locoregional therapy and there was no comparator arm</w:t>
      </w:r>
    </w:p>
    <w:p>
      <w:pPr>
        <w:spacing w:after="70"/>
      </w:pPr>
      <w:r>
        <w:rPr>
          <w:b/>
          <w:bCs/>
          <w:color w:val="17365D"/>
          <w:sz w:val="16"/>
          <w:szCs w:val="16"/>
        </w:rPr>
        <w:t xml:space="preserve">Bottom line. </w:t>
      </w:r>
      <w:r>
        <w:rPr>
          <w:sz w:val="16"/>
          <w:szCs w:val="16"/>
        </w:rPr>
        <w:t xml:space="preserve">The largest individual-patient dataset on ablative liver radiotherapy, reporting median overall survival by adjudicated BCLC stage and concluding that outcomes are comparable with resection and ablation. There is no comparator of any kind, only 31 percent of eligible centres contributed and they were identified by having published favourable results, 60 percent of patients had prior locoregional therapy, and the proportional hazards assumption was violated in all four Cox models.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non-random treatment assignment, which the authors state</w:t>
            </w:r>
          </w:p>
          <w:p>
            <w:pPr>
              <w:pStyle w:val="ListParagraph"/>
              <w:numPr>
                <w:ilvl w:val="0"/>
                <w:numId w:val="2"/>
              </w:numPr>
              <w:spacing w:after="45"/>
            </w:pPr>
            <w:r>
              <w:rPr>
                <w:sz w:val="15"/>
                <w:szCs w:val="15"/>
              </w:rPr>
              <w:t xml:space="preserve">Institutional heterogeneity in protocols and supportive care</w:t>
            </w:r>
          </w:p>
          <w:p>
            <w:pPr>
              <w:pStyle w:val="ListParagraph"/>
              <w:numPr>
                <w:ilvl w:val="0"/>
                <w:numId w:val="2"/>
              </w:numPr>
              <w:spacing w:after="45"/>
            </w:pPr>
            <w:r>
              <w:rPr>
                <w:sz w:val="15"/>
                <w:szCs w:val="15"/>
              </w:rPr>
              <w:t xml:space="preserve">BCLC misclassification between investigator-reported and adjudicated stage, since staging was re-adjudicated from component variables because reported staging was discordant and often missing</w:t>
            </w:r>
          </w:p>
          <w:p>
            <w:pPr>
              <w:pStyle w:val="ListParagraph"/>
              <w:numPr>
                <w:ilvl w:val="0"/>
                <w:numId w:val="2"/>
              </w:numPr>
              <w:spacing w:after="45"/>
            </w:pPr>
            <w:r>
              <w:rPr>
                <w:sz w:val="15"/>
                <w:szCs w:val="15"/>
              </w:rPr>
              <w:t xml:space="preserve">Formal violation of the proportional hazards assumption for several covariates in all four models, so the authors say their hazard ratios should be interpreted with caution and report 3-year restricted mean survival time instead</w:t>
            </w:r>
          </w:p>
          <w:p>
            <w:pPr>
              <w:pStyle w:val="ListParagraph"/>
              <w:numPr>
                <w:ilvl w:val="0"/>
                <w:numId w:val="2"/>
              </w:numPr>
              <w:spacing w:after="45"/>
            </w:pPr>
            <w:r>
              <w:rPr>
                <w:sz w:val="15"/>
                <w:szCs w:val="15"/>
              </w:rPr>
              <w:t xml:space="preserve">Confounding of the proton versus photon comparison by geography, access and insurance, which the authors acknowledge</w:t>
            </w:r>
          </w:p>
          <w:p>
            <w:pPr>
              <w:pStyle w:val="ListParagraph"/>
              <w:numPr>
                <w:ilvl w:val="0"/>
                <w:numId w:val="2"/>
              </w:numPr>
              <w:spacing w:after="45"/>
            </w:pPr>
            <w:r>
              <w:rPr>
                <w:sz w:val="15"/>
                <w:szCs w:val="15"/>
              </w:rPr>
              <w:t xml:space="preserve">The authors concede that advanced-stage patients included were those most suitable for radiotherapy, with liver-dominant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that radiotherapy survival is comparable with resection, thermal ablation and other ablative locoregional therapies rests on a comparison with guideline expectations rather than on any measured difference, because the dataset contains no resection, ablation or chemoembolisation arm</w:t>
            </w:r>
          </w:p>
          <w:p>
            <w:pPr>
              <w:pStyle w:val="ListParagraph"/>
              <w:numPr>
                <w:ilvl w:val="0"/>
                <w:numId w:val="2"/>
              </w:numPr>
              <w:spacing w:after="45"/>
            </w:pPr>
            <w:r>
              <w:rPr>
                <w:sz w:val="15"/>
                <w:szCs w:val="15"/>
              </w:rPr>
              <w:t xml:space="preserve">Only 30 of 96 eligible centres (31 percent) contributed, and the centres were identified because they had already published favourable technical standards and outcomes, so centre-level selection and publication selection both push the survival estimates upward</w:t>
            </w:r>
          </w:p>
          <w:p>
            <w:pPr>
              <w:pStyle w:val="ListParagraph"/>
              <w:numPr>
                <w:ilvl w:val="0"/>
                <w:numId w:val="2"/>
              </w:numPr>
              <w:spacing w:after="45"/>
            </w:pPr>
            <w:r>
              <w:rPr>
                <w:sz w:val="15"/>
                <w:szCs w:val="15"/>
              </w:rPr>
              <w:t xml:space="preserve">The internal pattern of the results shows how severe the selection is: treatment-naive BCLC B patients survived 6.3 years, longer than the whole BCLC B group and longer than treatment-naive BCLC A patients, which is not a possible ordering for a stage-based prognostic system and indicates that the stage labels no longer carry their usual meaning in this cohort</w:t>
            </w:r>
          </w:p>
          <w:p>
            <w:pPr>
              <w:pStyle w:val="ListParagraph"/>
              <w:numPr>
                <w:ilvl w:val="0"/>
                <w:numId w:val="2"/>
              </w:numPr>
              <w:spacing w:after="45"/>
            </w:pPr>
            <w:r>
              <w:rPr>
                <w:sz w:val="15"/>
                <w:szCs w:val="15"/>
              </w:rPr>
              <w:t xml:space="preserve">Re-adjudicating every patient with an ECOG score above 0 into BCLC C may have moved merely comorbid or cirrhotic patients out of the early-stage groups and so inflated early-stage survival, which the authors note but do not quantify</w:t>
            </w:r>
          </w:p>
          <w:p>
            <w:pPr>
              <w:pStyle w:val="ListParagraph"/>
              <w:numPr>
                <w:ilvl w:val="0"/>
                <w:numId w:val="2"/>
              </w:numPr>
              <w:spacing w:after="45"/>
            </w:pPr>
            <w:r>
              <w:rPr>
                <w:sz w:val="15"/>
                <w:szCs w:val="15"/>
              </w:rPr>
              <w:t xml:space="preserve">The apparent proton advantage was not a prespecified hypothesis, so the covariates that would be needed to interpret it, tumour volume, dose, fractionation and dosimetric goals, were never collected</w:t>
            </w:r>
          </w:p>
          <w:p>
            <w:pPr>
              <w:pStyle w:val="ListParagraph"/>
              <w:numPr>
                <w:ilvl w:val="0"/>
                <w:numId w:val="2"/>
              </w:numPr>
              <w:spacing w:after="45"/>
            </w:pPr>
            <w:r>
              <w:rPr>
                <w:sz w:val="15"/>
                <w:szCs w:val="15"/>
              </w:rPr>
              <w:t xml:space="preserve">Treatment spans 2000 to 2024, pooling planning, immobilisation, image guidance and motion management technologies that differ by a generation, with year of treatment entered only as a covariate</w:t>
            </w:r>
          </w:p>
          <w:p>
            <w:pPr>
              <w:pStyle w:val="ListParagraph"/>
              <w:numPr>
                <w:ilvl w:val="0"/>
                <w:numId w:val="2"/>
              </w:numPr>
              <w:spacing w:after="45"/>
            </w:pPr>
            <w:r>
              <w:rPr>
                <w:sz w:val="15"/>
                <w:szCs w:val="15"/>
              </w:rPr>
              <w:t xml:space="preserve">Sixty percent of patients had prior locoregional therapy, so for most of the cohort radiotherapy was salvage after another treatment rather than the first-line option the paper's framing invites</w:t>
            </w:r>
          </w:p>
          <w:p>
            <w:pPr>
              <w:pStyle w:val="ListParagraph"/>
              <w:numPr>
                <w:ilvl w:val="0"/>
                <w:numId w:val="2"/>
              </w:numPr>
              <w:spacing w:after="45"/>
            </w:pPr>
            <w:r>
              <w:rPr>
                <w:sz w:val="15"/>
                <w:szCs w:val="15"/>
              </w:rPr>
              <w:t xml:space="preserve">Table 4 in the published text contains corrupted confidence intervals (a hazard ratio of 0.82 with an interval of 0.72 to 0.03 and one of 1.60 with an interval of 1.41 to 1.28), and Table 2's modality proportions disagree with the narrative, so the paper's own numbers cannot all be read as printed</w:t>
            </w:r>
          </w:p>
          <w:p>
            <w:pPr>
              <w:pStyle w:val="ListParagraph"/>
              <w:numPr>
                <w:ilvl w:val="0"/>
                <w:numId w:val="2"/>
              </w:numPr>
              <w:spacing w:after="45"/>
            </w:pPr>
            <w:r>
              <w:rPr>
                <w:sz w:val="15"/>
                <w:szCs w:val="15"/>
              </w:rPr>
              <w:t xml:space="preserve">The journal's own relevance note frames radiotherapy as a treatment to be considered and further investigated in trials rather than as established first-line therapy, which is a materially weaker claim than the paper's conclusion</w:t>
            </w:r>
          </w:p>
        </w:tc>
      </w:tr>
    </w:tbl>
    <w:p>
      <w:pPr>
        <w:spacing w:after="0" w:line="276"/>
      </w:pPr>
      <w:r>
        <w:rPr>
          <w:color w:val="5A6069"/>
          <w:sz w:val="14"/>
          <w:szCs w:val="14"/>
        </w:rPr>
        <w:t xml:space="preserve">Funding: Coordinated by the University of North Carolina for the EBRT Collaboration Group and registered as PROSPERO CRD42023467399; no industry funding is identified</w:t>
      </w:r>
    </w:p>
    <w:p>
      <w:pPr>
        <w:keepNext/>
        <w:spacing w:after="50" w:before="260"/>
      </w:pPr>
      <w:r>
        <w:rPr>
          <w:rFonts w:ascii="Cambria" w:cs="Cambria" w:eastAsia="Cambria" w:hAnsi="Cambria"/>
          <w:b/>
          <w:bCs/>
          <w:color w:val="17365D"/>
          <w:sz w:val="20"/>
          <w:szCs w:val="20"/>
        </w:rPr>
        <w:t xml:space="preserve">EMERALD-1</w:t>
      </w:r>
      <w:r>
        <w:rPr>
          <w:b/>
          <w:bCs/>
          <w:color w:val="176A87"/>
          <w:sz w:val="15"/>
          <w:szCs w:val="15"/>
        </w:rPr>
        <w:t xml:space="preserve">   Randomised trial</w:t>
      </w:r>
      <w:r>
        <w:rPr>
          <w:color w:val="5A6069"/>
          <w:sz w:val="15"/>
          <w:szCs w:val="15"/>
        </w:rPr>
        <w:t xml:space="preserve">   PMID 39798579</w:t>
      </w:r>
    </w:p>
    <w:p>
      <w:pPr>
        <w:spacing w:after="50" w:line="276"/>
      </w:pPr>
      <w:r>
        <w:rPr>
          <w:color w:val="5A6069"/>
          <w:sz w:val="17"/>
          <w:szCs w:val="17"/>
        </w:rPr>
        <w:t xml:space="preserve">Durvalumab with or without bevacizumab with transarterial chemoembolisation in hepatocellular carcinoma (EMERALD-1): a multiregional, randomised, double-blind, placebo-controlled, phase 3 study</w:t>
      </w:r>
    </w:p>
    <w:p>
      <w:pPr>
        <w:spacing w:after="50"/>
      </w:pPr>
      <w:r>
        <w:rPr>
          <w:b/>
          <w:bCs/>
          <w:color w:val="176A87"/>
          <w:sz w:val="16"/>
          <w:szCs w:val="16"/>
        </w:rPr>
        <w:t xml:space="preserve">Population. </w:t>
      </w:r>
      <w:r>
        <w:rPr>
          <w:sz w:val="16"/>
          <w:szCs w:val="16"/>
        </w:rPr>
        <w:t xml:space="preserve">616 of 887 screened patients with unresectable HCC amenable to embolisation, BCLC A to C, randomised 1:1:1 at 157 sites in 18 countries between November 2018 and July 2021 to durvalumab plus bevacizumab plus TACE (204), durvalumab plus placebo plus TACE (207) or placebo plus TACE (205); about half were beyond up-to-7 criteria and 8 percent had portal vein macrovascular invasion</w:t>
      </w:r>
    </w:p>
    <w:p>
      <w:pPr>
        <w:spacing w:after="70"/>
      </w:pPr>
      <w:r>
        <w:rPr>
          <w:b/>
          <w:bCs/>
          <w:color w:val="17365D"/>
          <w:sz w:val="16"/>
          <w:szCs w:val="16"/>
        </w:rPr>
        <w:t xml:space="preserve">Bottom line. </w:t>
      </w:r>
      <w:r>
        <w:rPr>
          <w:sz w:val="16"/>
          <w:szCs w:val="16"/>
        </w:rPr>
        <w:t xml:space="preserve">EMERALD-1 is the first positive phase 3 trial of systemic therapy added to chemoembolisation, with median progression-free survival improved by 6.8 months (HR 0.77). The primary comparison was switched by amendment during the trial to the bevacizumab-containing arm; durvalumab plus TACE alone gave a hazard ratio of 0.94, so the benefit appears to come from bevacizumab; the interim overall survival analysis did not reach significance and is withheld, and the patient-reported outcomes have not been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Eligibility and TACE practice differ by region and randomisation was not stratified by site or country, which the authors state</w:t>
            </w:r>
          </w:p>
          <w:p>
            <w:pPr>
              <w:pStyle w:val="ListParagraph"/>
              <w:numPr>
                <w:ilvl w:val="0"/>
                <w:numId w:val="2"/>
              </w:numPr>
              <w:spacing w:after="45"/>
            </w:pPr>
            <w:r>
              <w:rPr>
                <w:sz w:val="15"/>
                <w:szCs w:val="15"/>
              </w:rPr>
              <w:t xml:space="preserve">Participants were not recruited from some high-incidence regions including Africa</w:t>
            </w:r>
          </w:p>
          <w:p>
            <w:pPr>
              <w:pStyle w:val="ListParagraph"/>
              <w:numPr>
                <w:ilvl w:val="0"/>
                <w:numId w:val="2"/>
              </w:numPr>
              <w:spacing w:after="45"/>
            </w:pPr>
            <w:r>
              <w:rPr>
                <w:sz w:val="15"/>
                <w:szCs w:val="15"/>
              </w:rPr>
              <w:t xml:space="preserve">Progression-free survival is a compound endpoint that might be confounded by competing deaths from cirrhosis in this population</w:t>
            </w:r>
          </w:p>
          <w:p>
            <w:pPr>
              <w:pStyle w:val="ListParagraph"/>
              <w:numPr>
                <w:ilvl w:val="0"/>
                <w:numId w:val="2"/>
              </w:numPr>
              <w:spacing w:after="45"/>
            </w:pPr>
            <w:r>
              <w:rPr>
                <w:sz w:val="15"/>
                <w:szCs w:val="15"/>
              </w:rPr>
              <w:t xml:space="preserve">Accessibility to the study and its regional variation might have been affected by socioeconomic or cultural factors</w:t>
            </w:r>
          </w:p>
          <w:p>
            <w:pPr>
              <w:pStyle w:val="ListParagraph"/>
              <w:numPr>
                <w:ilvl w:val="0"/>
                <w:numId w:val="2"/>
              </w:numPr>
              <w:spacing w:after="45"/>
            </w:pPr>
            <w:r>
              <w:rPr>
                <w:sz w:val="15"/>
                <w:szCs w:val="15"/>
              </w:rPr>
              <w:t xml:space="preserve">A full analysis of liver function is deferred until mature overall survival and subsequent-therapy data are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comparison was changed by protocol amendment in August 2020, after the Independent Data Monitoring Committee had reviewed safety data and in response to the positive IMbrave150 result, from durvalumab plus placebo to durvalumab plus bevacizumab, so the hypothesis that the trial reports as primary was selected during the trial in the light of external evidence about which arm would win</w:t>
            </w:r>
          </w:p>
          <w:p>
            <w:pPr>
              <w:pStyle w:val="ListParagraph"/>
              <w:numPr>
                <w:ilvl w:val="0"/>
                <w:numId w:val="2"/>
              </w:numPr>
              <w:spacing w:after="45"/>
            </w:pPr>
            <w:r>
              <w:rPr>
                <w:sz w:val="15"/>
                <w:szCs w:val="15"/>
              </w:rPr>
              <w:t xml:space="preserve">The interim progression-free survival analysis did not reach significance and the result reported is the final analysis against a threshold of 0.044, so the trial became positive only at its second look</w:t>
            </w:r>
          </w:p>
          <w:p>
            <w:pPr>
              <w:pStyle w:val="ListParagraph"/>
              <w:numPr>
                <w:ilvl w:val="0"/>
                <w:numId w:val="2"/>
              </w:numPr>
              <w:spacing w:after="45"/>
            </w:pPr>
            <w:r>
              <w:rPr>
                <w:sz w:val="15"/>
                <w:szCs w:val="15"/>
              </w:rPr>
              <w:t xml:space="preserve">The interim overall survival analysis co-occurred with the reported final progression-free survival analysis, did not reach significance, and the data are withheld to maintain masking, so the only survival information in existence is negative and unpublished while the paper's Interpretation claims the potential to set a new standard of care</w:t>
            </w:r>
          </w:p>
          <w:p>
            <w:pPr>
              <w:pStyle w:val="ListParagraph"/>
              <w:numPr>
                <w:ilvl w:val="0"/>
                <w:numId w:val="2"/>
              </w:numPr>
              <w:spacing w:after="45"/>
            </w:pPr>
            <w:r>
              <w:rPr>
                <w:sz w:val="15"/>
                <w:szCs w:val="15"/>
              </w:rPr>
              <w:t xml:space="preserve">Durvalumab plus TACE was no better than TACE alone (HR 0.94), so the effect is attributable to bevacizumab, and without a bevacizumab-plus-TACE arm the contribution of the checkpoint inhibitor cannot be separated from that of the anti-VEGF antibody</w:t>
            </w:r>
          </w:p>
          <w:p>
            <w:pPr>
              <w:pStyle w:val="ListParagraph"/>
              <w:numPr>
                <w:ilvl w:val="0"/>
                <w:numId w:val="2"/>
              </w:numPr>
              <w:spacing w:after="45"/>
            </w:pPr>
            <w:r>
              <w:rPr>
                <w:sz w:val="15"/>
                <w:szCs w:val="15"/>
              </w:rPr>
              <w:t xml:space="preserve">The time-to-deterioration patient-reported endpoints using the EORTC QLQ-C30 and QLQ-HCC18 were key secondary endpoints and have not been formally tested under the multiple-testing procedure, so no quality-of-life result is available for a regimen that adds months of infusions to a locoregional treatment</w:t>
            </w:r>
          </w:p>
          <w:p>
            <w:pPr>
              <w:pStyle w:val="ListParagraph"/>
              <w:numPr>
                <w:ilvl w:val="0"/>
                <w:numId w:val="2"/>
              </w:numPr>
              <w:spacing w:after="45"/>
            </w:pPr>
            <w:r>
              <w:rPr>
                <w:sz w:val="15"/>
                <w:szCs w:val="15"/>
              </w:rPr>
              <w:t xml:space="preserve">Safety is reported by treatment received rather than as randomised, with denominators of 154, 232 and 200 against randomised arms of 204, 207 and 205, so the 39 patients assigned to the triplet who never received bevacizumab are counted in the doublet safety group; the resulting table shows no treatment-related deaths in the triplet against three in each of the other groups, which is an artefact of that accounting rather than a finding</w:t>
            </w:r>
          </w:p>
          <w:p>
            <w:pPr>
              <w:pStyle w:val="ListParagraph"/>
              <w:numPr>
                <w:ilvl w:val="0"/>
                <w:numId w:val="2"/>
              </w:numPr>
              <w:spacing w:after="45"/>
            </w:pPr>
            <w:r>
              <w:rPr>
                <w:sz w:val="15"/>
                <w:szCs w:val="15"/>
              </w:rPr>
              <w:t xml:space="preserve">Grade 3 to 4 oesophageal variceal haemorrhage occurred after bevacizumab dosing in 4 of 40 participants with baseline varices (10 percent) in the triplet and in none elsewhere, in a population whose portal hypertension is the reason they are having chemoembolisation</w:t>
            </w:r>
          </w:p>
          <w:p>
            <w:pPr>
              <w:pStyle w:val="ListParagraph"/>
              <w:numPr>
                <w:ilvl w:val="0"/>
                <w:numId w:val="2"/>
              </w:numPr>
              <w:spacing w:after="45"/>
            </w:pPr>
            <w:r>
              <w:rPr>
                <w:sz w:val="15"/>
                <w:szCs w:val="15"/>
              </w:rPr>
              <w:t xml:space="preserve">TACE modality, timing and number of procedures (one to four) were all left to the investigator, and bevacizumab was started only after the last TACE, so the trial tests a sequence rather than a defined regimen and its result cannot be mapped onto a specific protocol</w:t>
            </w:r>
          </w:p>
          <w:p>
            <w:pPr>
              <w:pStyle w:val="ListParagraph"/>
              <w:numPr>
                <w:ilvl w:val="0"/>
                <w:numId w:val="2"/>
              </w:numPr>
              <w:spacing w:after="45"/>
            </w:pPr>
            <w:r>
              <w:rPr>
                <w:sz w:val="15"/>
                <w:szCs w:val="15"/>
              </w:rPr>
              <w:t xml:space="preserve">The population spans BCLC A (about a quarter) to BCLC C (about a sixth) with half beyond up-to-7, chosen deliberately for breadth, so there is no stage for which the 15-month progression-free survival figure can be said to apply</w:t>
            </w:r>
          </w:p>
          <w:p>
            <w:pPr>
              <w:pStyle w:val="ListParagraph"/>
              <w:numPr>
                <w:ilvl w:val="0"/>
                <w:numId w:val="2"/>
              </w:numPr>
              <w:spacing w:after="45"/>
            </w:pPr>
            <w:r>
              <w:rPr>
                <w:sz w:val="15"/>
                <w:szCs w:val="15"/>
              </w:rPr>
              <w:t xml:space="preserve">PD-L1 status, one of the prespecified correlative endpoints, is missing in 23 to 25 percent of participants, and the association of PD-L1 and alpha-fetoprotein with progression-free survival is listed among the secondary endpoints without a result that would identify who benefits</w:t>
            </w:r>
          </w:p>
          <w:p>
            <w:pPr>
              <w:pStyle w:val="ListParagraph"/>
              <w:numPr>
                <w:ilvl w:val="0"/>
                <w:numId w:val="2"/>
              </w:numPr>
              <w:spacing w:after="45"/>
            </w:pPr>
            <w:r>
              <w:rPr>
                <w:sz w:val="15"/>
                <w:szCs w:val="15"/>
              </w:rPr>
              <w:t xml:space="preserve">A substantial list of prespecified secondary endpoints is explicitly not reported, including the direct comparison between the two durvalumab arms and progression-free survival after subsequent therapy, which are the analyses that would clarify the contribution of each component</w:t>
            </w:r>
          </w:p>
          <w:p>
            <w:pPr>
              <w:pStyle w:val="ListParagraph"/>
              <w:numPr>
                <w:ilvl w:val="0"/>
                <w:numId w:val="2"/>
              </w:numPr>
              <w:spacing w:after="45"/>
            </w:pPr>
            <w:r>
              <w:rPr>
                <w:sz w:val="15"/>
                <w:szCs w:val="15"/>
              </w:rPr>
              <w:t xml:space="preserve">Child-Pugh class B patients were randomised (2 to 3 percent per arm) despite the eligibility criteria, disclosed only in the baseline table</w:t>
            </w:r>
          </w:p>
          <w:p>
            <w:pPr>
              <w:pStyle w:val="ListParagraph"/>
              <w:numPr>
                <w:ilvl w:val="0"/>
                <w:numId w:val="2"/>
              </w:numPr>
              <w:spacing w:after="45"/>
            </w:pPr>
            <w:r>
              <w:rPr>
                <w:sz w:val="15"/>
                <w:szCs w:val="15"/>
              </w:rPr>
              <w:t xml:space="preserve">The funder had a role in design, collection, analysis, interpretation and writing, sponsor statisticians are among the authors and among those who accessed and verified the data, so no analysis independent of AstraZeneca underlies the result</w:t>
            </w:r>
          </w:p>
        </w:tc>
      </w:tr>
    </w:tbl>
    <w:p>
      <w:pPr>
        <w:spacing w:after="0" w:line="276"/>
      </w:pPr>
      <w:r>
        <w:rPr>
          <w:color w:val="5A6069"/>
          <w:sz w:val="14"/>
          <w:szCs w:val="14"/>
        </w:rPr>
        <w:t xml:space="preserve">Funding: Funded by AstraZeneca, which had a role in study design, data collection, data analysis, data interpretation and writing of the report; sponsor statisticians are among the authors and most academic authors report AstraZeneca consultancy or honoraria</w:t>
      </w:r>
    </w:p>
    <w:p>
      <w:pPr>
        <w:keepNext/>
        <w:spacing w:after="50" w:before="260"/>
      </w:pPr>
      <w:r>
        <w:rPr>
          <w:rFonts w:ascii="Cambria" w:cs="Cambria" w:eastAsia="Cambria" w:hAnsi="Cambria"/>
          <w:b/>
          <w:bCs/>
          <w:color w:val="17365D"/>
          <w:sz w:val="20"/>
          <w:szCs w:val="20"/>
        </w:rPr>
        <w:t xml:space="preserve">EMERALD-3</w:t>
      </w:r>
      <w:r>
        <w:rPr>
          <w:b/>
          <w:bCs/>
          <w:color w:val="176A87"/>
          <w:sz w:val="15"/>
          <w:szCs w:val="15"/>
        </w:rPr>
        <w:t xml:space="preserve">   Randomised trial</w:t>
      </w:r>
      <w:r>
        <w:rPr>
          <w:color w:val="5A6069"/>
          <w:sz w:val="15"/>
          <w:szCs w:val="15"/>
        </w:rPr>
        <w:t xml:space="preserve">   PMID 42636832</w:t>
      </w:r>
    </w:p>
    <w:p>
      <w:pPr>
        <w:spacing w:after="50" w:line="276"/>
      </w:pPr>
      <w:r>
        <w:rPr>
          <w:color w:val="5A6069"/>
          <w:sz w:val="17"/>
          <w:szCs w:val="17"/>
        </w:rPr>
        <w:t xml:space="preserve">Durvalumab and tremelimumab, with or without lenvatinib, combined with transarterial chemoembolisation in participants with embolisation-eligible hepatocellular carcinoma (EMERALD-3): a global, randomised, open-label, sponsor-blinded, phase 3 study</w:t>
      </w:r>
    </w:p>
    <w:p>
      <w:pPr>
        <w:spacing w:after="50"/>
      </w:pPr>
      <w:r>
        <w:rPr>
          <w:b/>
          <w:bCs/>
          <w:color w:val="176A87"/>
          <w:sz w:val="16"/>
          <w:szCs w:val="16"/>
        </w:rPr>
        <w:t xml:space="preserve">Population. </w:t>
      </w:r>
      <w:r>
        <w:rPr>
          <w:sz w:val="16"/>
          <w:szCs w:val="16"/>
        </w:rPr>
        <w:t xml:space="preserve">760 of 1,124 screened patients with Child-Pugh A HCC not amenable to resection, ablation or transplantation but amenable to chemoembolisation, randomised at 177 sites in 21 countries between March 2022 and November 2024 to tremelimumab-durvalumab (STRIDE) plus lenvatinib plus TACE (293), STRIDE plus TACE (175) or TACE alone (292); 61 percent were beyond up-to-7, 10 percent had Vp1 or Vp2 invasion and 72 percent were Asian</w:t>
      </w:r>
    </w:p>
    <w:p>
      <w:pPr>
        <w:spacing w:after="70"/>
      </w:pPr>
      <w:r>
        <w:rPr>
          <w:b/>
          <w:bCs/>
          <w:color w:val="17365D"/>
          <w:sz w:val="16"/>
          <w:szCs w:val="16"/>
        </w:rPr>
        <w:t xml:space="preserve">Bottom line. </w:t>
      </w:r>
      <w:r>
        <w:rPr>
          <w:sz w:val="16"/>
          <w:szCs w:val="16"/>
        </w:rPr>
        <w:t xml:space="preserve">EMERALD-3 shows that dual checkpoint blockade plus lenvatinib added to chemoembolisation prolongs progression-free survival, but overall survival did not improve (HR 0.84, 95% CI 0.65 to 1.09, p = 0.18) at 40 percent maturity with a restricted mean survival difference of 1.48 months (-1.21 to 4.16). The allocation ratio changed mid-trial so the doublet arm is a non-concurrent subset of 175 patients that was never formally tested, and grade 3 to 4 treatment-related events were 63 against 19 percent with seven treatment-related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Over-representation of participants from Asia, which the authors concede</w:t>
            </w:r>
          </w:p>
          <w:p>
            <w:pPr>
              <w:pStyle w:val="ListParagraph"/>
              <w:numPr>
                <w:ilvl w:val="0"/>
                <w:numId w:val="2"/>
              </w:numPr>
              <w:spacing w:after="45"/>
            </w:pPr>
            <w:r>
              <w:rPr>
                <w:sz w:val="15"/>
                <w:szCs w:val="15"/>
              </w:rPr>
              <w:t xml:space="preserve">Open-label design, although the study was sponsor-blinded with centralised randomisation and blinded central review of the primary endpoint</w:t>
            </w:r>
          </w:p>
          <w:p>
            <w:pPr>
              <w:pStyle w:val="ListParagraph"/>
              <w:numPr>
                <w:ilvl w:val="0"/>
                <w:numId w:val="2"/>
              </w:numPr>
              <w:spacing w:after="45"/>
            </w:pPr>
            <w:r>
              <w:rPr>
                <w:sz w:val="15"/>
                <w:szCs w:val="15"/>
              </w:rPr>
              <w:t xml:space="preserve">Heterogeneity in treatment practices and investigator-driven post-randomisation decisions around progression, including repeat chemoembolisation and subsequent anticancer therapy, which the authors say could influence outcomes</w:t>
            </w:r>
          </w:p>
          <w:p>
            <w:pPr>
              <w:pStyle w:val="ListParagraph"/>
              <w:numPr>
                <w:ilvl w:val="0"/>
                <w:numId w:val="2"/>
              </w:numPr>
              <w:spacing w:after="45"/>
            </w:pPr>
            <w:r>
              <w:rPr>
                <w:sz w:val="15"/>
                <w:szCs w:val="15"/>
              </w:rPr>
              <w:t xml:space="preserve">Findings concern chemoembolisation only, so combinations with transarterial radioembolisation remain unstudied</w:t>
            </w:r>
          </w:p>
          <w:p>
            <w:pPr>
              <w:pStyle w:val="ListParagraph"/>
              <w:numPr>
                <w:ilvl w:val="0"/>
                <w:numId w:val="2"/>
              </w:numPr>
              <w:spacing w:after="45"/>
            </w:pPr>
            <w:r>
              <w:rPr>
                <w:sz w:val="15"/>
                <w:szCs w:val="15"/>
              </w:rPr>
              <w:t xml:space="preserve">The cause of a small number of deaths could not be established and remained classified as unknown</w:t>
            </w:r>
          </w:p>
          <w:p>
            <w:pPr>
              <w:pStyle w:val="ListParagraph"/>
              <w:numPr>
                <w:ilvl w:val="0"/>
                <w:numId w:val="2"/>
              </w:numPr>
              <w:spacing w:after="45"/>
            </w:pPr>
            <w:r>
              <w:rPr>
                <w:sz w:val="15"/>
                <w:szCs w:val="15"/>
              </w:rPr>
              <w:t xml:space="preserve">The authors note frequent lenvatinib dose modification and discontinuation for adverse events as a reflection of the tolerability burden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allocation ratio was changed from 1:1:1 to 1:1 during the trial after external trials were reviewed, so the doublet arm consists of the first 175 patients enrolled and is compared with a non-concurrent portion of the control arm; because the triplet's survival comparison failed, the doublet's results were never formally tested at all</w:t>
            </w:r>
          </w:p>
          <w:p>
            <w:pPr>
              <w:pStyle w:val="ListParagraph"/>
              <w:numPr>
                <w:ilvl w:val="0"/>
                <w:numId w:val="2"/>
              </w:numPr>
              <w:spacing w:after="45"/>
            </w:pPr>
            <w:r>
              <w:rPr>
                <w:sz w:val="15"/>
                <w:szCs w:val="15"/>
              </w:rPr>
              <w:t xml:space="preserve">Overall survival did not improve and the restricted mean survival difference of 1.48 months has a confidence interval spanning zero, so the trial's clinical value rests entirely on a progression endpoint at 40 percent survival maturity</w:t>
            </w:r>
          </w:p>
          <w:p>
            <w:pPr>
              <w:pStyle w:val="ListParagraph"/>
              <w:numPr>
                <w:ilvl w:val="0"/>
                <w:numId w:val="2"/>
              </w:numPr>
              <w:spacing w:after="45"/>
            </w:pPr>
            <w:r>
              <w:rPr>
                <w:sz w:val="15"/>
                <w:szCs w:val="15"/>
              </w:rPr>
              <w:t xml:space="preserve">Post-discontinuation systemic therapy was given to 29 percent of the triplet arm against 53 percent of the chemoembolisation arm, so the control group received more subsequent treatment, which works against the survival result the trial failed to show rather than explaining it away</w:t>
            </w:r>
          </w:p>
          <w:p>
            <w:pPr>
              <w:pStyle w:val="ListParagraph"/>
              <w:numPr>
                <w:ilvl w:val="0"/>
                <w:numId w:val="2"/>
              </w:numPr>
              <w:spacing w:after="45"/>
            </w:pPr>
            <w:r>
              <w:rPr>
                <w:sz w:val="15"/>
                <w:szCs w:val="15"/>
              </w:rPr>
              <w:t xml:space="preserve">Adding lenvatinib worsened toxicity without improving response over the doublet, so the component the trial made its primary comparison is the one that adds harm without adding efficacy</w:t>
            </w:r>
          </w:p>
          <w:p>
            <w:pPr>
              <w:pStyle w:val="ListParagraph"/>
              <w:numPr>
                <w:ilvl w:val="0"/>
                <w:numId w:val="2"/>
              </w:numPr>
              <w:spacing w:after="45"/>
            </w:pPr>
            <w:r>
              <w:rPr>
                <w:sz w:val="15"/>
                <w:szCs w:val="15"/>
              </w:rPr>
              <w:t xml:space="preserve">Grade 3 to 4 treatment-related events occurred in 63 against 19 percent, serious adverse events in 64 against 23 percent, and there were seven treatment-related deaths including two from myocarditis, in a population still eligible for embolisation</w:t>
            </w:r>
          </w:p>
          <w:p>
            <w:pPr>
              <w:pStyle w:val="ListParagraph"/>
              <w:numPr>
                <w:ilvl w:val="0"/>
                <w:numId w:val="2"/>
              </w:numPr>
              <w:spacing w:after="45"/>
            </w:pPr>
            <w:r>
              <w:rPr>
                <w:sz w:val="15"/>
                <w:szCs w:val="15"/>
              </w:rPr>
              <w:t xml:space="preserve">PD-L1 status is missing in about 80 percent of participants, so the only candidate biomarker is unavailable in four patients out of five</w:t>
            </w:r>
          </w:p>
          <w:p>
            <w:pPr>
              <w:pStyle w:val="ListParagraph"/>
              <w:numPr>
                <w:ilvl w:val="0"/>
                <w:numId w:val="2"/>
              </w:numPr>
              <w:spacing w:after="45"/>
            </w:pPr>
            <w:r>
              <w:rPr>
                <w:sz w:val="15"/>
                <w:szCs w:val="15"/>
              </w:rPr>
              <w:t xml:space="preserve">Repeat chemoembolisation and post-progression therapy were at investigator discretion in an open-label trial, and 55 percent of procedures were conventional against 42 percent drug-eluting bead, so neither the control intervention nor the post-progression pathway is standardised</w:t>
            </w:r>
          </w:p>
          <w:p>
            <w:pPr>
              <w:pStyle w:val="ListParagraph"/>
              <w:numPr>
                <w:ilvl w:val="0"/>
                <w:numId w:val="2"/>
              </w:numPr>
              <w:spacing w:after="45"/>
            </w:pPr>
            <w:r>
              <w:rPr>
                <w:sz w:val="15"/>
                <w:szCs w:val="15"/>
              </w:rPr>
              <w:t xml:space="preserve">The abstract quotes maximum grade 3 to 4 adverse events of any cause (hypertension 34 of 287, 12 percent) while Table 3 gives treatment-related grade 3 to 4 hypertension as 29 of 287 (10 percent), so the toxicity figures in the summary and the table are not the same quantity</w:t>
            </w:r>
          </w:p>
          <w:p>
            <w:pPr>
              <w:pStyle w:val="ListParagraph"/>
              <w:numPr>
                <w:ilvl w:val="0"/>
                <w:numId w:val="2"/>
              </w:numPr>
              <w:spacing w:after="45"/>
            </w:pPr>
            <w:r>
              <w:rPr>
                <w:sz w:val="15"/>
                <w:szCs w:val="15"/>
              </w:rPr>
              <w:t xml:space="preserve">Two separate data cutoffs are reported in one paper, progression-free survival on 2 September 2025 and overall survival on 23 February 2026, with a third cutoff still to come, so the efficacy and survival results describe different datasets</w:t>
            </w:r>
          </w:p>
          <w:p>
            <w:pPr>
              <w:pStyle w:val="ListParagraph"/>
              <w:numPr>
                <w:ilvl w:val="0"/>
                <w:numId w:val="2"/>
              </w:numPr>
              <w:spacing w:after="45"/>
            </w:pPr>
            <w:r>
              <w:rPr>
                <w:sz w:val="15"/>
                <w:szCs w:val="15"/>
              </w:rPr>
              <w:t xml:space="preserve">The online version required correction on 28 September 2026, so the figures as first published were not reliable</w:t>
            </w:r>
          </w:p>
          <w:p>
            <w:pPr>
              <w:pStyle w:val="ListParagraph"/>
              <w:numPr>
                <w:ilvl w:val="0"/>
                <w:numId w:val="2"/>
              </w:numPr>
              <w:spacing w:after="45"/>
            </w:pPr>
            <w:r>
              <w:rPr>
                <w:sz w:val="15"/>
                <w:szCs w:val="15"/>
              </w:rPr>
              <w:t xml:space="preserve">There is no arm receiving the systemic regimen without chemoembolisation, so the incremental value of the embolisation itself in a patient who could have systemic therapy alone is not addressed</w:t>
            </w:r>
          </w:p>
          <w:p>
            <w:pPr>
              <w:pStyle w:val="ListParagraph"/>
              <w:numPr>
                <w:ilvl w:val="0"/>
                <w:numId w:val="2"/>
              </w:numPr>
              <w:spacing w:after="45"/>
            </w:pPr>
            <w:r>
              <w:rPr>
                <w:sz w:val="15"/>
                <w:szCs w:val="15"/>
              </w:rPr>
              <w:t xml:space="preserve">AstraZeneca funded the trial, several authors are its employees, and sponsor staff are among those who accessed and verified the data</w:t>
            </w:r>
          </w:p>
        </w:tc>
      </w:tr>
    </w:tbl>
    <w:p>
      <w:pPr>
        <w:spacing w:after="0" w:line="276"/>
      </w:pPr>
      <w:r>
        <w:rPr>
          <w:color w:val="5A6069"/>
          <w:sz w:val="14"/>
          <w:szCs w:val="14"/>
        </w:rPr>
        <w:t xml:space="preserve">Funding: Funded by AstraZeneca; several authors are AstraZeneca employees and sponsor staff are among those who accessed and verified the data</w:t>
      </w:r>
    </w:p>
    <w:p>
      <w:pPr>
        <w:keepNext/>
        <w:spacing w:after="50" w:before="260"/>
      </w:pPr>
      <w:r>
        <w:rPr>
          <w:rFonts w:ascii="Cambria" w:cs="Cambria" w:eastAsia="Cambria" w:hAnsi="Cambria"/>
          <w:b/>
          <w:bCs/>
          <w:color w:val="17365D"/>
          <w:sz w:val="20"/>
          <w:szCs w:val="20"/>
        </w:rPr>
        <w:t xml:space="preserve">FOHAIC-1</w:t>
      </w:r>
      <w:r>
        <w:rPr>
          <w:b/>
          <w:bCs/>
          <w:color w:val="176A87"/>
          <w:sz w:val="15"/>
          <w:szCs w:val="15"/>
        </w:rPr>
        <w:t xml:space="preserve">   Randomised trial</w:t>
      </w:r>
      <w:r>
        <w:rPr>
          <w:color w:val="5A6069"/>
          <w:sz w:val="15"/>
          <w:szCs w:val="15"/>
        </w:rPr>
        <w:t xml:space="preserve">   PMID 34905388</w:t>
      </w:r>
    </w:p>
    <w:p>
      <w:pPr>
        <w:spacing w:after="50" w:line="276"/>
      </w:pPr>
      <w:r>
        <w:rPr>
          <w:color w:val="5A6069"/>
          <w:sz w:val="17"/>
          <w:szCs w:val="17"/>
        </w:rPr>
        <w:t xml:space="preserve">Arterial Chemotherapy of Oxaliplatin Plus Fluorouracil Versus Sorafenib in Advanced Hepatocellular Carcinoma: A Biomolecular Exploratory, Randomized, Phase III Trial (FOHAIC-1)</w:t>
      </w:r>
    </w:p>
    <w:p>
      <w:pPr>
        <w:spacing w:after="50"/>
      </w:pPr>
      <w:r>
        <w:rPr>
          <w:b/>
          <w:bCs/>
          <w:color w:val="176A87"/>
          <w:sz w:val="16"/>
          <w:szCs w:val="16"/>
        </w:rPr>
        <w:t xml:space="preserve">Population. </w:t>
      </w:r>
      <w:r>
        <w:rPr>
          <w:sz w:val="16"/>
          <w:szCs w:val="16"/>
        </w:rPr>
        <w:t xml:space="preserve">262 systemic-therapy-naive patients with advanced HCC and a dominant intrahepatic mass randomised 1:1 at Sun Yat-sen University Cancer Center between May 2017 and May 2020 to hepatic arterial infusion of FOLFOX (130) or sorafenib (132); 96 percent were BCLC C, median tumour diameter was 11.2 cm, 72.3 percent had macrovascular invasion and 49.2 percent had Vp4 thrombosis or more than 50 percent liver involvement</w:t>
      </w:r>
    </w:p>
    <w:p>
      <w:pPr>
        <w:spacing w:after="70"/>
      </w:pPr>
      <w:r>
        <w:rPr>
          <w:b/>
          <w:bCs/>
          <w:color w:val="17365D"/>
          <w:sz w:val="16"/>
          <w:szCs w:val="16"/>
        </w:rPr>
        <w:t xml:space="preserve">Bottom line. </w:t>
      </w:r>
      <w:r>
        <w:rPr>
          <w:sz w:val="16"/>
          <w:szCs w:val="16"/>
        </w:rPr>
        <w:t xml:space="preserve">FOHAIC-1 found hepatic arterial FOLFOX better than sorafenib in advanced HCC with a dominant intrahepatic mass (median overall survival 13.9 against 8.2 months, response 31.5 against 1.5 percent). It is a single-centre trial in a 92 percent hepatitis B population with a median tumour of 11.2 cm against a comparator that was already obsolete at publication, the response difference was read without blinding, and the accompanying 15-gene predictive model is internally derived with an implausible odds ratio.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its risk of differential discontinuation, which the authors state</w:t>
            </w:r>
          </w:p>
          <w:p>
            <w:pPr>
              <w:pStyle w:val="ListParagraph"/>
              <w:numPr>
                <w:ilvl w:val="0"/>
                <w:numId w:val="2"/>
              </w:numPr>
              <w:spacing w:after="45"/>
            </w:pPr>
            <w:r>
              <w:rPr>
                <w:sz w:val="15"/>
                <w:szCs w:val="15"/>
              </w:rPr>
              <w:t xml:space="preserve">A cohort dominated by hepatitis B-related disease with very high intrahepatic burden, leaving the benefit unclear for alcohol- or hepatitis C-related disease</w:t>
            </w:r>
          </w:p>
          <w:p>
            <w:pPr>
              <w:pStyle w:val="ListParagraph"/>
              <w:numPr>
                <w:ilvl w:val="0"/>
                <w:numId w:val="2"/>
              </w:numPr>
              <w:spacing w:after="45"/>
            </w:pPr>
            <w:r>
              <w:rPr>
                <w:sz w:val="15"/>
                <w:szCs w:val="15"/>
              </w:rPr>
              <w:t xml:space="preserve">The authors state the need for a head-to-head comparison with atezolizumab plus bevacizumab</w:t>
            </w:r>
          </w:p>
          <w:p>
            <w:pPr>
              <w:pStyle w:val="ListParagraph"/>
              <w:numPr>
                <w:ilvl w:val="0"/>
                <w:numId w:val="2"/>
              </w:numPr>
              <w:spacing w:after="45"/>
            </w:pPr>
            <w:r>
              <w:rPr>
                <w:sz w:val="15"/>
                <w:szCs w:val="15"/>
              </w:rPr>
              <w:t xml:space="preserve">The authors say the 15-gene model needs validating in external populations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15-gene predictive model is derived and tested entirely within 90 patients from this trial, split into a 54-patient training and 36-patient test set, reports an odds ratio of 217.0, and has no external validation, so it is an artefact of a small internal split rather than a usable biomarker</w:t>
            </w:r>
          </w:p>
          <w:p>
            <w:pPr>
              <w:pStyle w:val="ListParagraph"/>
              <w:numPr>
                <w:ilvl w:val="0"/>
                <w:numId w:val="2"/>
              </w:numPr>
              <w:spacing w:after="45"/>
            </w:pPr>
            <w:r>
              <w:rPr>
                <w:sz w:val="15"/>
                <w:szCs w:val="15"/>
              </w:rPr>
              <w:t xml:space="preserve">Downstaging, maintenance therapy and gene-model subgroup analyses are all post hoc analyses of patients who responded, so the 20.8-month median survival quoted for downstaged patients reflects selection of favourable biology rather than a treatment effect</w:t>
            </w:r>
          </w:p>
          <w:p>
            <w:pPr>
              <w:pStyle w:val="ListParagraph"/>
              <w:numPr>
                <w:ilvl w:val="0"/>
                <w:numId w:val="2"/>
              </w:numPr>
              <w:spacing w:after="45"/>
            </w:pPr>
            <w:r>
              <w:rPr>
                <w:sz w:val="15"/>
                <w:szCs w:val="15"/>
              </w:rPr>
              <w:t xml:space="preserve">Response of 31.5 against 1.5 percent was read without blinded central review in a trial where the two routes of administration make masking impossible, and 19.4 percent of sorafenib patients stopped for toxicity, so differential attrition and differential assessment both run in the same direction</w:t>
            </w:r>
          </w:p>
          <w:p>
            <w:pPr>
              <w:pStyle w:val="ListParagraph"/>
              <w:numPr>
                <w:ilvl w:val="0"/>
                <w:numId w:val="2"/>
              </w:numPr>
              <w:spacing w:after="45"/>
            </w:pPr>
            <w:r>
              <w:rPr>
                <w:sz w:val="15"/>
                <w:szCs w:val="15"/>
              </w:rPr>
              <w:t xml:space="preserve">The authors themselves cite a meta-analysis showing sorafenib performs less well in hepatitis B-related disease, and 92.3 and 86.4 percent of the two arms were hepatitis B positive, so the measured difference is inflated by the choice of population</w:t>
            </w:r>
          </w:p>
          <w:p>
            <w:pPr>
              <w:pStyle w:val="ListParagraph"/>
              <w:numPr>
                <w:ilvl w:val="0"/>
                <w:numId w:val="2"/>
              </w:numPr>
              <w:spacing w:after="45"/>
            </w:pPr>
            <w:r>
              <w:rPr>
                <w:sz w:val="15"/>
                <w:szCs w:val="15"/>
              </w:rPr>
              <w:t xml:space="preserve">Catheter implantation was not technically possible in 2 of 130 patients because no main feeding artery could be found, which illustrates that the intervention depends on arterial anatomy that the trial does not characterise</w:t>
            </w:r>
          </w:p>
          <w:p>
            <w:pPr>
              <w:pStyle w:val="ListParagraph"/>
              <w:numPr>
                <w:ilvl w:val="0"/>
                <w:numId w:val="2"/>
              </w:numPr>
              <w:spacing w:after="45"/>
            </w:pPr>
            <w:r>
              <w:rPr>
                <w:sz w:val="15"/>
                <w:szCs w:val="15"/>
              </w:rPr>
              <w:t xml:space="preserve">The paper's own effect estimates disagree: Figure 1A prints the overall survival hazard ratio as 0.408 (0.301 to 0.553) against 0.552 in the abstract, the median tumour size is 11.2 cm overall but 11.7 and 10.8 cm by arm, and median time to response is 9.3 weeks in the Results and 2.2 months in the Discussion</w:t>
            </w:r>
          </w:p>
          <w:p>
            <w:pPr>
              <w:pStyle w:val="ListParagraph"/>
              <w:numPr>
                <w:ilvl w:val="0"/>
                <w:numId w:val="2"/>
              </w:numPr>
              <w:spacing w:after="45"/>
            </w:pPr>
            <w:r>
              <w:rPr>
                <w:sz w:val="15"/>
                <w:szCs w:val="15"/>
              </w:rPr>
              <w:t xml:space="preserve">A single centre delivered every treatment in both arms, so neither the infusion technique nor the sorafenib management can be separated from local practice</w:t>
            </w:r>
          </w:p>
          <w:p>
            <w:pPr>
              <w:pStyle w:val="ListParagraph"/>
              <w:numPr>
                <w:ilvl w:val="0"/>
                <w:numId w:val="2"/>
              </w:numPr>
              <w:spacing w:after="45"/>
            </w:pPr>
            <w:r>
              <w:rPr>
                <w:sz w:val="15"/>
                <w:szCs w:val="15"/>
              </w:rPr>
              <w:t xml:space="preserve">The comparator was displaced by immunotherapy before the paper appeared, so a positive result against sorafenib leaves the clinically relevant comparison untested in exactly the high-burden patients the trial enrolled</w:t>
            </w:r>
          </w:p>
        </w:tc>
      </w:tr>
    </w:tbl>
    <w:p>
      <w:pPr>
        <w:spacing w:after="0" w:line="276"/>
      </w:pPr>
      <w:r>
        <w:rPr>
          <w:color w:val="5A6069"/>
          <w:sz w:val="14"/>
          <w:szCs w:val="14"/>
        </w:rPr>
        <w:t xml:space="preserve">Funding: No industry funding is identified for the FOHAIC-1 trial in the extracted text</w:t>
      </w:r>
    </w:p>
    <w:p>
      <w:pPr>
        <w:keepNext/>
        <w:spacing w:after="50" w:before="260"/>
      </w:pPr>
      <w:r>
        <w:rPr>
          <w:rFonts w:ascii="Cambria" w:cs="Cambria" w:eastAsia="Cambria" w:hAnsi="Cambria"/>
          <w:b/>
          <w:bCs/>
          <w:color w:val="17365D"/>
          <w:sz w:val="20"/>
          <w:szCs w:val="20"/>
        </w:rPr>
        <w:t xml:space="preserve">HIMALAYA / STRIDE</w:t>
      </w:r>
      <w:r>
        <w:rPr>
          <w:b/>
          <w:bCs/>
          <w:color w:val="176A87"/>
          <w:sz w:val="15"/>
          <w:szCs w:val="15"/>
        </w:rPr>
        <w:t xml:space="preserve">   Randomised trial</w:t>
      </w:r>
      <w:r>
        <w:rPr>
          <w:color w:val="5A6069"/>
          <w:sz w:val="15"/>
          <w:szCs w:val="15"/>
        </w:rPr>
        <w:t xml:space="preserve">   PMID 38319892</w:t>
      </w:r>
    </w:p>
    <w:p>
      <w:pPr>
        <w:spacing w:after="50" w:line="276"/>
      </w:pPr>
      <w:r>
        <w:rPr>
          <w:color w:val="5A6069"/>
          <w:sz w:val="17"/>
          <w:szCs w:val="17"/>
        </w:rPr>
        <w:t xml:space="preserve">Tremelimumab Plus Durvalumab in Unresectable Hepatocellular Carcinoma</w:t>
      </w:r>
    </w:p>
    <w:p>
      <w:pPr>
        <w:spacing w:after="50"/>
      </w:pPr>
      <w:r>
        <w:rPr>
          <w:b/>
          <w:bCs/>
          <w:color w:val="176A87"/>
          <w:sz w:val="16"/>
          <w:szCs w:val="16"/>
        </w:rPr>
        <w:t xml:space="preserve">Population. </w:t>
      </w:r>
      <w:r>
        <w:rPr>
          <w:sz w:val="16"/>
          <w:szCs w:val="16"/>
        </w:rPr>
        <w:t xml:space="preserve">1,171 patients with unresectable HCC, Child-Pugh A, BCLC B or C and no previous systemic therapy, randomised to STRIDE (393), durvalumab (389) or sorafenib (389) at 181 sites in 16 countries between October 2017 and June 2019 from 1,950 screened; a fourth arm of 155 patients given tremelimumab 75 mg plus durvalumab was closed early and contributes safety data only</w:t>
      </w:r>
    </w:p>
    <w:p>
      <w:pPr>
        <w:spacing w:after="70"/>
      </w:pPr>
      <w:r>
        <w:rPr>
          <w:b/>
          <w:bCs/>
          <w:color w:val="17365D"/>
          <w:sz w:val="16"/>
          <w:szCs w:val="16"/>
        </w:rPr>
        <w:t xml:space="preserve">Bottom line. </w:t>
      </w:r>
      <w:r>
        <w:rPr>
          <w:sz w:val="16"/>
          <w:szCs w:val="16"/>
        </w:rPr>
        <w:t xml:space="preserve">HIMALAYA showed that a single priming dose of tremelimumab added to durvalumab improved overall survival against sorafenib (median 16.43 against 13.77 months, HR 0.78, 96.02% CI 0.65 to 0.93) with 36-month survival of 30.7 against 20.2 percent, and that durvalumab alone was non-inferior. There was no progression-free survival benefit, the curves separate only after 9 months (piecewise HR 0.87 before, 0.70 after), and durvalumab monotherapy reached a numerically identical median without the trial being powered to compare the two immunotherapy arms.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investigator-assessed response and progression, which the authors list first</w:t>
            </w:r>
          </w:p>
          <w:p>
            <w:pPr>
              <w:pStyle w:val="ListParagraph"/>
              <w:numPr>
                <w:ilvl w:val="0"/>
                <w:numId w:val="2"/>
              </w:numPr>
              <w:spacing w:after="45"/>
            </w:pPr>
            <w:r>
              <w:rPr>
                <w:sz w:val="15"/>
                <w:szCs w:val="15"/>
              </w:rPr>
              <w:t xml:space="preserve">Randomisation was not stratified by geographic region, so variability in local treatment practice may be unbalanced</w:t>
            </w:r>
          </w:p>
          <w:p>
            <w:pPr>
              <w:pStyle w:val="ListParagraph"/>
              <w:numPr>
                <w:ilvl w:val="0"/>
                <w:numId w:val="2"/>
              </w:numPr>
              <w:spacing w:after="45"/>
            </w:pPr>
            <w:r>
              <w:rPr>
                <w:sz w:val="15"/>
                <w:szCs w:val="15"/>
              </w:rPr>
              <w:t xml:space="preserve">Patients with main portal vein thrombosis and with clinically meaningful ascites were excluded</w:t>
            </w:r>
          </w:p>
          <w:p>
            <w:pPr>
              <w:pStyle w:val="ListParagraph"/>
              <w:numPr>
                <w:ilvl w:val="0"/>
                <w:numId w:val="2"/>
              </w:numPr>
              <w:spacing w:after="45"/>
            </w:pPr>
            <w:r>
              <w:rPr>
                <w:sz w:val="15"/>
                <w:szCs w:val="15"/>
              </w:rPr>
              <w:t xml:space="preserve">The trial was neither designed nor powered to compare STRIDE with durvalumab monotherapy, which the authors state</w:t>
            </w:r>
          </w:p>
          <w:p>
            <w:pPr>
              <w:pStyle w:val="ListParagraph"/>
              <w:numPr>
                <w:ilvl w:val="0"/>
                <w:numId w:val="2"/>
              </w:numPr>
              <w:spacing w:after="45"/>
            </w:pPr>
            <w:r>
              <w:rPr>
                <w:sz w:val="15"/>
                <w:szCs w:val="15"/>
              </w:rPr>
              <w:t xml:space="preserve">Delayed separation of the survival curves indicated potential non-proportionality of hazards, which the authors addressed with piecewise hazard ratios rather than treating as a limitation of the average estimate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piecewise analysis shows no benefit in the first 9 months (HR 0.87, 95% CI 0.68 to 1.11 for STRIDE and 0.98, 0.77 to 1.24 for durvalumab), so patients who die within that window gained nothing and the design's assumed average hazard ratio of 0.70 conceals a treatment effect that begins late</w:t>
            </w:r>
          </w:p>
          <w:p>
            <w:pPr>
              <w:pStyle w:val="ListParagraph"/>
              <w:numPr>
                <w:ilvl w:val="0"/>
                <w:numId w:val="2"/>
              </w:numPr>
              <w:spacing w:after="45"/>
            </w:pPr>
            <w:r>
              <w:rPr>
                <w:sz w:val="15"/>
                <w:szCs w:val="15"/>
              </w:rPr>
              <w:t xml:space="preserve">Durvalumab monotherapy achieved a median overall survival of 16.56 months against STRIDE's 16.43, so the only measurable contribution of tremelimumab is a late tail difference (36-month survival 30.7 against 24.7 percent) in a comparison the trial explicitly cannot make</w:t>
            </w:r>
          </w:p>
          <w:p>
            <w:pPr>
              <w:pStyle w:val="ListParagraph"/>
              <w:numPr>
                <w:ilvl w:val="0"/>
                <w:numId w:val="2"/>
              </w:numPr>
              <w:spacing w:after="45"/>
            </w:pPr>
            <w:r>
              <w:rPr>
                <w:sz w:val="15"/>
                <w:szCs w:val="15"/>
              </w:rPr>
              <w:t xml:space="preserve">The non-inferiority margin for durvalumab against sorafenib was an upper bound of 1.08 and the observed bound was 1.03, so the claim rests on clearing a tight margin whose derivation is not shown in the paper</w:t>
            </w:r>
          </w:p>
          <w:p>
            <w:pPr>
              <w:pStyle w:val="ListParagraph"/>
              <w:numPr>
                <w:ilvl w:val="0"/>
                <w:numId w:val="2"/>
              </w:numPr>
              <w:spacing w:after="45"/>
            </w:pPr>
            <w:r>
              <w:rPr>
                <w:sz w:val="15"/>
                <w:szCs w:val="15"/>
              </w:rPr>
              <w:t xml:space="preserve">The final analysis was performed at 47 months with 555 events in the STRIDE and sorafenib arms against a plan of 515 events at about 37.5 months, and the paper does not explain the 10-month delay or the extra events</w:t>
            </w:r>
          </w:p>
          <w:p>
            <w:pPr>
              <w:pStyle w:val="ListParagraph"/>
              <w:numPr>
                <w:ilvl w:val="0"/>
                <w:numId w:val="2"/>
              </w:numPr>
              <w:spacing w:after="45"/>
            </w:pPr>
            <w:r>
              <w:rPr>
                <w:sz w:val="15"/>
                <w:szCs w:val="15"/>
              </w:rPr>
              <w:t xml:space="preserve">Progression-free survival did not differ significantly among the three arms and response, time to progression and duration of response were all investigator-assessed with no blinded independent central review, in a fully open-label trial</w:t>
            </w:r>
          </w:p>
          <w:p>
            <w:pPr>
              <w:pStyle w:val="ListParagraph"/>
              <w:numPr>
                <w:ilvl w:val="0"/>
                <w:numId w:val="2"/>
              </w:numPr>
              <w:spacing w:after="45"/>
            </w:pPr>
            <w:r>
              <w:rPr>
                <w:sz w:val="15"/>
                <w:szCs w:val="15"/>
              </w:rPr>
              <w:t xml:space="preserve">Treatment beyond progression was markedly asymmetric (46.9 percent of STRIDE and 48.5 percent of durvalumab patients against 35.8 percent on sorafenib) and 30 STRIDE patients were retreated with tremelimumab, so the arms differ in exposure and in post-progression management in a way an open-label design cannot separate from the drug effect</w:t>
            </w:r>
          </w:p>
          <w:p>
            <w:pPr>
              <w:pStyle w:val="ListParagraph"/>
              <w:numPr>
                <w:ilvl w:val="0"/>
                <w:numId w:val="2"/>
              </w:numPr>
              <w:spacing w:after="45"/>
            </w:pPr>
            <w:r>
              <w:rPr>
                <w:sz w:val="15"/>
                <w:szCs w:val="15"/>
              </w:rPr>
              <w:t xml:space="preserve">The T75 plus durvalumab arm was closed on the basis of a preplanned analysis of the still-running supporting phase 2 trial, so a design change in the phase 3 trial was driven by interim data from another study, and the 155 patients already randomised to it have no efficacy result reported at all</w:t>
            </w:r>
          </w:p>
          <w:p>
            <w:pPr>
              <w:pStyle w:val="ListParagraph"/>
              <w:numPr>
                <w:ilvl w:val="0"/>
                <w:numId w:val="2"/>
              </w:numPr>
              <w:spacing w:after="45"/>
            </w:pPr>
            <w:r>
              <w:rPr>
                <w:sz w:val="15"/>
                <w:szCs w:val="15"/>
              </w:rPr>
              <w:t xml:space="preserve">Only 40.7 to 45.0 percent of patients received any second-line therapy after discontinuation, so overall survival is largely the natural history of untreated progression and the trial says nothing about sequencing</w:t>
            </w:r>
          </w:p>
          <w:p>
            <w:pPr>
              <w:pStyle w:val="ListParagraph"/>
              <w:numPr>
                <w:ilvl w:val="0"/>
                <w:numId w:val="2"/>
              </w:numPr>
              <w:spacing w:after="45"/>
            </w:pPr>
            <w:r>
              <w:rPr>
                <w:sz w:val="15"/>
                <w:szCs w:val="15"/>
              </w:rPr>
              <w:t xml:space="preserve">Grade 3 or 4 treatment-emergent adverse events were 50.5 percent with STRIDE against 52.4 percent with sorafenib, so the regimen is differently toxic rather than less toxic, an observation the abstract reports numerically without making</w:t>
            </w:r>
          </w:p>
          <w:p>
            <w:pPr>
              <w:pStyle w:val="ListParagraph"/>
              <w:numPr>
                <w:ilvl w:val="0"/>
                <w:numId w:val="2"/>
              </w:numPr>
              <w:spacing w:after="45"/>
            </w:pPr>
            <w:r>
              <w:rPr>
                <w:sz w:val="15"/>
                <w:szCs w:val="15"/>
              </w:rPr>
              <w:t xml:space="preserve">Histological confirmation and a fresh or recent biopsy were required, which selects a biopsy-willing and biopsy-feasible population unrepresentative of HCC practice, and PD-L1 status was still missing in 11 to 13 percent of patients</w:t>
            </w:r>
          </w:p>
          <w:p>
            <w:pPr>
              <w:pStyle w:val="ListParagraph"/>
              <w:numPr>
                <w:ilvl w:val="0"/>
                <w:numId w:val="2"/>
              </w:numPr>
              <w:spacing w:after="45"/>
            </w:pPr>
            <w:r>
              <w:rPr>
                <w:sz w:val="15"/>
                <w:szCs w:val="15"/>
              </w:rPr>
              <w:t xml:space="preserve">Child-Pugh B7 patients (1.0 to 2.6 percent) and ECOG 2 patients (0.3 to 0.5 percent) were randomised despite the eligibility criteria, and two patients are recorded as Child-Pugh class other, all disclosed only in the baseline table</w:t>
            </w:r>
          </w:p>
          <w:p>
            <w:pPr>
              <w:pStyle w:val="ListParagraph"/>
              <w:numPr>
                <w:ilvl w:val="0"/>
                <w:numId w:val="2"/>
              </w:numPr>
              <w:spacing w:after="45"/>
            </w:pPr>
            <w:r>
              <w:rPr>
                <w:sz w:val="15"/>
                <w:szCs w:val="15"/>
              </w:rPr>
              <w:t xml:space="preserve">Patient-reported outcomes with the EORTC QLQ-C30 were a secondary endpoint and no result appears in the report, which matters most in an open-label trial where self-reported global health is the endpoint most vulnerable to knowing one's allocation</w:t>
            </w:r>
          </w:p>
          <w:p>
            <w:pPr>
              <w:pStyle w:val="ListParagraph"/>
              <w:numPr>
                <w:ilvl w:val="0"/>
                <w:numId w:val="2"/>
              </w:numPr>
              <w:spacing w:after="45"/>
            </w:pPr>
            <w:r>
              <w:rPr>
                <w:sz w:val="15"/>
                <w:szCs w:val="15"/>
              </w:rPr>
              <w:t xml:space="preserve">The sponsor provided the drugs and collaborated on design, collection, analysis and interpretation, six authors are its employees, and the authors and sponsor jointly vouch for the data, so no analysis independent of AstraZeneca underlies the result</w:t>
            </w:r>
          </w:p>
        </w:tc>
      </w:tr>
    </w:tbl>
    <w:p>
      <w:pPr>
        <w:spacing w:after="0" w:line="276"/>
      </w:pPr>
      <w:r>
        <w:rPr>
          <w:color w:val="5A6069"/>
          <w:sz w:val="14"/>
          <w:szCs w:val="14"/>
        </w:rPr>
        <w:t xml:space="preserve">Funding: Funded by AstraZeneca, which provided the trial drugs and collaborated with the steering committee on design, collection, analysis and interpretation; six authors are AstraZeneca employees and editorial assistance was sponsor-funded</w:t>
      </w:r>
    </w:p>
    <w:p>
      <w:pPr>
        <w:keepNext/>
        <w:spacing w:after="50" w:before="260"/>
      </w:pPr>
      <w:r>
        <w:rPr>
          <w:rFonts w:ascii="Cambria" w:cs="Cambria" w:eastAsia="Cambria" w:hAnsi="Cambria"/>
          <w:b/>
          <w:bCs/>
          <w:color w:val="17365D"/>
          <w:sz w:val="20"/>
          <w:szCs w:val="20"/>
        </w:rPr>
        <w:t xml:space="preserve">ICI after transplant</w:t>
      </w:r>
      <w:r>
        <w:rPr>
          <w:b/>
          <w:bCs/>
          <w:color w:val="176A87"/>
          <w:sz w:val="15"/>
          <w:szCs w:val="15"/>
        </w:rPr>
        <w:t xml:space="preserve">   Meta-analysis</w:t>
      </w:r>
      <w:r>
        <w:rPr>
          <w:color w:val="5A6069"/>
          <w:sz w:val="15"/>
          <w:szCs w:val="15"/>
        </w:rPr>
        <w:t xml:space="preserve">   PMID 36102312</w:t>
      </w:r>
    </w:p>
    <w:p>
      <w:pPr>
        <w:spacing w:after="50" w:line="276"/>
      </w:pPr>
      <w:r>
        <w:rPr>
          <w:color w:val="5A6069"/>
          <w:sz w:val="17"/>
          <w:szCs w:val="17"/>
        </w:rPr>
        <w:t xml:space="preserve">Immune checkpoint inhibitors in malignancies after liver transplantation: A systematic review and pooled analysis</w:t>
      </w:r>
    </w:p>
    <w:p>
      <w:pPr>
        <w:spacing w:after="50"/>
      </w:pPr>
      <w:r>
        <w:rPr>
          <w:b/>
          <w:bCs/>
          <w:color w:val="176A87"/>
          <w:sz w:val="16"/>
          <w:szCs w:val="16"/>
        </w:rPr>
        <w:t xml:space="preserve">Population. </w:t>
      </w:r>
      <w:r>
        <w:rPr>
          <w:sz w:val="16"/>
          <w:szCs w:val="16"/>
        </w:rPr>
        <w:t xml:space="preserve">52 liver transplant recipients treated with an immune checkpoint inhibitor, pooled from 31 case reports and small series (median 1 patient per publication, range 1 to 8) published up to 10 January 2022; median age 62 years, 76.9 percent male, the original transplant indication HCC in 37 (71.3 percent)</w:t>
      </w:r>
    </w:p>
    <w:p>
      <w:pPr>
        <w:spacing w:after="70"/>
      </w:pPr>
      <w:r>
        <w:rPr>
          <w:b/>
          <w:bCs/>
          <w:color w:val="17365D"/>
          <w:sz w:val="16"/>
          <w:szCs w:val="16"/>
        </w:rPr>
        <w:t xml:space="preserve">Bottom line. </w:t>
      </w:r>
      <w:r>
        <w:rPr>
          <w:sz w:val="16"/>
          <w:szCs w:val="16"/>
        </w:rPr>
        <w:t xml:space="preserve">Pools every published case of checkpoint inhibition given after liver transplantation and shows that roughly one recipient in three rejects (15 of 52, 28.8 percent), that half of those die of graft loss (7 of 15, 13.4 percent of the cohort), and that disease control is reached in 44.2 percent. It is an uncontrolled synthesis of anecdote: the rejection and response rates have no denominator of untreated comparators, the survival contrasts by rejection and by response are circular, and the paper's own analysis finds no interval from transplantation that predicts rejection (AUROC 0.373, p = 0.170).</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sample was extracted from individual case reports and case series, so homogeneity may be compromised, as the authors state</w:t>
            </w:r>
          </w:p>
          <w:p>
            <w:pPr>
              <w:pStyle w:val="ListParagraph"/>
              <w:numPr>
                <w:ilvl w:val="0"/>
                <w:numId w:val="2"/>
              </w:numPr>
              <w:spacing w:after="45"/>
            </w:pPr>
            <w:r>
              <w:rPr>
                <w:sz w:val="15"/>
                <w:szCs w:val="15"/>
              </w:rPr>
              <w:t xml:space="preserve">The differential role of immunosuppressive regimens could not be assessed because precise data were missing from several reports</w:t>
            </w:r>
          </w:p>
          <w:p>
            <w:pPr>
              <w:pStyle w:val="ListParagraph"/>
              <w:numPr>
                <w:ilvl w:val="0"/>
                <w:numId w:val="2"/>
              </w:numPr>
              <w:spacing w:after="45"/>
            </w:pPr>
            <w:r>
              <w:rPr>
                <w:sz w:val="15"/>
                <w:szCs w:val="15"/>
              </w:rPr>
              <w:t xml:space="preserve">Comorbidity and the state of the graft, including advanced liver disease, were often not reported, so their effect on outcome and tolerance could not be assessed</w:t>
            </w:r>
          </w:p>
          <w:p>
            <w:pPr>
              <w:pStyle w:val="ListParagraph"/>
              <w:numPr>
                <w:ilvl w:val="0"/>
                <w:numId w:val="2"/>
              </w:numPr>
              <w:spacing w:after="45"/>
            </w:pPr>
            <w:r>
              <w:rPr>
                <w:sz w:val="15"/>
                <w:szCs w:val="15"/>
              </w:rPr>
              <w:t xml:space="preserve">Publication bias cannot be excluded because only cases of greatest impact are likely to have been written up</w:t>
            </w:r>
          </w:p>
          <w:p>
            <w:pPr>
              <w:pStyle w:val="ListParagraph"/>
              <w:numPr>
                <w:ilvl w:val="0"/>
                <w:numId w:val="2"/>
              </w:numPr>
              <w:spacing w:after="45"/>
            </w:pPr>
            <w:r>
              <w:rPr>
                <w:sz w:val="15"/>
                <w:szCs w:val="15"/>
              </w:rPr>
              <w:t xml:space="preserve">Response was defined broadly as disease control, and where imaging was not reported it rested on the original authors' clinical impression rather than RECIST 1.1</w:t>
            </w:r>
          </w:p>
          <w:p>
            <w:pPr>
              <w:pStyle w:val="ListParagraph"/>
              <w:numPr>
                <w:ilvl w:val="0"/>
                <w:numId w:val="2"/>
              </w:numPr>
              <w:spacing w:after="45"/>
            </w:pPr>
            <w:r>
              <w:rPr>
                <w:sz w:val="15"/>
                <w:szCs w:val="15"/>
              </w:rPr>
              <w:t xml:space="preserve">The authors state that PD-L1 staining should not be relied on as a predictive biomarker unless solid evidence is provided, and that no cut-off for a safe interval from transplantation could be identified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of survival by rejection and by response is circular: rejection was fatal in 7 of 15 patients and 46.7 percent of those who rejected died within a month, so dividing survival by rejection status compares patients by their cause of death, and classifying a patient as a responder requires surviving long enough to be imaged, which is guarantee-time bias that the paper never addresses</w:t>
            </w:r>
          </w:p>
          <w:p>
            <w:pPr>
              <w:pStyle w:val="ListParagraph"/>
              <w:numPr>
                <w:ilvl w:val="0"/>
                <w:numId w:val="2"/>
              </w:numPr>
              <w:spacing w:after="45"/>
            </w:pPr>
            <w:r>
              <w:rPr>
                <w:sz w:val="15"/>
                <w:szCs w:val="15"/>
              </w:rPr>
              <w:t xml:space="preserve">Median overall survival (6 months, IQR 1.8 to 13.5) is numerically identical to the median reported follow-up (6 months, IQR 1.8 to 13.5), so follow-up in these publications is simply time to death; the Kaplan-Meier curves carry almost no censored observation and cannot support the estimated means derived from them</w:t>
            </w:r>
          </w:p>
          <w:p>
            <w:pPr>
              <w:pStyle w:val="ListParagraph"/>
              <w:numPr>
                <w:ilvl w:val="0"/>
                <w:numId w:val="2"/>
              </w:numPr>
              <w:spacing w:after="45"/>
            </w:pPr>
            <w:r>
              <w:rPr>
                <w:sz w:val="15"/>
                <w:szCs w:val="15"/>
              </w:rPr>
              <w:t xml:space="preserve">The estimated mean survival of 26.4 months in responders exceeds the 18-month horizon to which the restricted mean survival time was stated to be computed, and the paper does not reconcile the two</w:t>
            </w:r>
          </w:p>
          <w:p>
            <w:pPr>
              <w:pStyle w:val="ListParagraph"/>
              <w:numPr>
                <w:ilvl w:val="0"/>
                <w:numId w:val="2"/>
              </w:numPr>
              <w:spacing w:after="45"/>
            </w:pPr>
            <w:r>
              <w:rPr>
                <w:sz w:val="15"/>
                <w:szCs w:val="15"/>
              </w:rPr>
              <w:t xml:space="preserve">The Results report that all 4 patients with positive PD-L1 staining rejected and none of the 5 negative patients did, p = 0.008, while the Discussion states that the association did not reach significance; the paper contradicts itself about its most clinically quoted finding, which rests on nine biopsies in all</w:t>
            </w:r>
          </w:p>
          <w:p>
            <w:pPr>
              <w:pStyle w:val="ListParagraph"/>
              <w:numPr>
                <w:ilvl w:val="0"/>
                <w:numId w:val="2"/>
              </w:numPr>
              <w:spacing w:after="45"/>
            </w:pPr>
            <w:r>
              <w:rPr>
                <w:sz w:val="15"/>
                <w:szCs w:val="15"/>
              </w:rPr>
              <w:t xml:space="preserve">No risk-of-bias or quality appraisal of the 31 included publications is reported despite the stated PRISMA framework, and rejection was diagnosed histologically in some reports and clinically in others with the two pooled without sensitivity analysis</w:t>
            </w:r>
          </w:p>
          <w:p>
            <w:pPr>
              <w:pStyle w:val="ListParagraph"/>
              <w:numPr>
                <w:ilvl w:val="0"/>
                <w:numId w:val="2"/>
              </w:numPr>
              <w:spacing w:after="45"/>
            </w:pPr>
            <w:r>
              <w:rPr>
                <w:sz w:val="15"/>
                <w:szCs w:val="15"/>
              </w:rPr>
              <w:t xml:space="preserve">Attribution of 7 deaths to treatment as grade 5 events was made by the reviewers from published narratives, with no independent adjudication and no access to the primary records, in a setting where graft loss and tumour progression compete as causes of death</w:t>
            </w:r>
          </w:p>
          <w:p>
            <w:pPr>
              <w:pStyle w:val="ListParagraph"/>
              <w:numPr>
                <w:ilvl w:val="0"/>
                <w:numId w:val="2"/>
              </w:numPr>
              <w:spacing w:after="45"/>
            </w:pPr>
            <w:r>
              <w:rPr>
                <w:sz w:val="15"/>
                <w:szCs w:val="15"/>
              </w:rPr>
              <w:t xml:space="preserve">Bonferroni correction for multiple comparisons is described in the Methods, but Tables 1 to 3 and the supplementary tables report dozens of raw p values across the same 52 patients with no indication that any correction was applied</w:t>
            </w:r>
          </w:p>
          <w:p>
            <w:pPr>
              <w:pStyle w:val="ListParagraph"/>
              <w:numPr>
                <w:ilvl w:val="0"/>
                <w:numId w:val="2"/>
              </w:numPr>
              <w:spacing w:after="45"/>
            </w:pPr>
            <w:r>
              <w:rPr>
                <w:sz w:val="15"/>
                <w:szCs w:val="15"/>
              </w:rPr>
              <w:t xml:space="preserve">The multivariable Cox model contains only two covariates, tumour type and interval from transplantation, and finds neither to be an independent predictor of survival, yet the paper's practical message, that an interval of about four years predicts response, rests on a single univariable ROC curve with 75 percent accuracy and a lower confidence bound of 61.4 percent</w:t>
            </w:r>
          </w:p>
          <w:p>
            <w:pPr>
              <w:pStyle w:val="ListParagraph"/>
              <w:numPr>
                <w:ilvl w:val="0"/>
                <w:numId w:val="2"/>
              </w:numPr>
              <w:spacing w:after="45"/>
            </w:pPr>
            <w:r>
              <w:rPr>
                <w:sz w:val="15"/>
                <w:szCs w:val="15"/>
              </w:rPr>
              <w:t xml:space="preserve">One published atezolizumab-bevacizumab case was excluded for incomplete data after the full text had been read, and that case was a PD-L1-negative patient who did not reject, the direction that would have weakened the PD-L1 finding; exclusion decisions made after reading outcomes are not protected by the stated protocol</w:t>
            </w:r>
          </w:p>
          <w:p>
            <w:pPr>
              <w:pStyle w:val="ListParagraph"/>
              <w:numPr>
                <w:ilvl w:val="0"/>
                <w:numId w:val="2"/>
              </w:numPr>
              <w:spacing w:after="45"/>
            </w:pPr>
            <w:r>
              <w:rPr>
                <w:sz w:val="15"/>
                <w:szCs w:val="15"/>
              </w:rPr>
              <w:t xml:space="preserve">Publications of any patient age were eligible and the included series contain paediatric recipients, so paediatric and adult immunology, immunosuppression and dosing are pooled into single percentages</w:t>
            </w:r>
          </w:p>
          <w:p>
            <w:pPr>
              <w:pStyle w:val="ListParagraph"/>
              <w:numPr>
                <w:ilvl w:val="0"/>
                <w:numId w:val="2"/>
              </w:numPr>
              <w:spacing w:after="45"/>
            </w:pPr>
            <w:r>
              <w:rPr>
                <w:sz w:val="15"/>
                <w:szCs w:val="15"/>
              </w:rPr>
              <w:t xml:space="preserve">Non-English full texts were translated with Google Translate with queries resolved by native speakers, which is not a validated extraction method for the detailed immunosuppression and timing variables the analysis depends on</w:t>
            </w:r>
          </w:p>
          <w:p>
            <w:pPr>
              <w:pStyle w:val="ListParagraph"/>
              <w:numPr>
                <w:ilvl w:val="0"/>
                <w:numId w:val="2"/>
              </w:numPr>
              <w:spacing w:after="45"/>
            </w:pPr>
            <w:r>
              <w:rPr>
                <w:sz w:val="15"/>
                <w:szCs w:val="15"/>
              </w:rPr>
              <w:t xml:space="preserve">The corresponding author advises Eisai, MSD, Roche and AstraZeneca, the manufacturers of several of the checkpoint inhibitors whose off-label use the paper concludes need not be discarded a priori</w:t>
            </w:r>
          </w:p>
          <w:p>
            <w:pPr>
              <w:pStyle w:val="ListParagraph"/>
              <w:numPr>
                <w:ilvl w:val="0"/>
                <w:numId w:val="2"/>
              </w:numPr>
              <w:spacing w:after="45"/>
            </w:pPr>
            <w:r>
              <w:rPr>
                <w:sz w:val="15"/>
                <w:szCs w:val="15"/>
              </w:rPr>
              <w:t xml:space="preserve">The analysis addresses checkpoint inhibition given after transplantation, and the only interval examined is from transplantation to drug; the paper contains no data on a pre-transplant washout, and no interval of any kind predicted rejection, so it cannot be read as evidence about timing a graft after immunotherapy</w:t>
            </w:r>
          </w:p>
        </w:tc>
      </w:tr>
    </w:tbl>
    <w:p>
      <w:pPr>
        <w:spacing w:after="0" w:line="276"/>
      </w:pPr>
      <w:r>
        <w:rPr>
          <w:color w:val="5A6069"/>
          <w:sz w:val="14"/>
          <w:szCs w:val="14"/>
        </w:rPr>
        <w:t xml:space="preserve">Funding: No study funding is reported beyond open-access publication funding from the University of Genoa; the corresponding author declares advisory board participation for Eisai, MSD, Roche and AstraZeneca, and a co-author for Engitix</w:t>
      </w:r>
    </w:p>
    <w:p>
      <w:pPr>
        <w:keepNext/>
        <w:spacing w:after="50" w:before="260"/>
      </w:pPr>
      <w:r>
        <w:rPr>
          <w:rFonts w:ascii="Cambria" w:cs="Cambria" w:eastAsia="Cambria" w:hAnsi="Cambria"/>
          <w:b/>
          <w:bCs/>
          <w:color w:val="17365D"/>
          <w:sz w:val="20"/>
          <w:szCs w:val="20"/>
        </w:rPr>
        <w:t xml:space="preserve">IMbrave050</w:t>
      </w:r>
      <w:r>
        <w:rPr>
          <w:b/>
          <w:bCs/>
          <w:color w:val="176A87"/>
          <w:sz w:val="15"/>
          <w:szCs w:val="15"/>
        </w:rPr>
        <w:t xml:space="preserve">   Randomised trial</w:t>
      </w:r>
      <w:r>
        <w:rPr>
          <w:color w:val="5A6069"/>
          <w:sz w:val="15"/>
          <w:szCs w:val="15"/>
        </w:rPr>
        <w:t xml:space="preserve">   PMID 37871608</w:t>
      </w:r>
    </w:p>
    <w:p>
      <w:pPr>
        <w:spacing w:after="50" w:line="276"/>
      </w:pPr>
      <w:r>
        <w:rPr>
          <w:color w:val="5A6069"/>
          <w:sz w:val="17"/>
          <w:szCs w:val="17"/>
        </w:rPr>
        <w:t xml:space="preserve">Atezolizumab plus bevacizumab versus active surveillance in patients with resected or ablated high-risk hepatocellular carcinoma (IMbrave050): a randomised, open-label, multicentre, phase 3 trial</w:t>
      </w:r>
    </w:p>
    <w:p>
      <w:pPr>
        <w:spacing w:after="50"/>
      </w:pPr>
      <w:r>
        <w:rPr>
          <w:b/>
          <w:bCs/>
          <w:color w:val="176A87"/>
          <w:sz w:val="16"/>
          <w:szCs w:val="16"/>
        </w:rPr>
        <w:t xml:space="preserve">Population. </w:t>
      </w:r>
      <w:r>
        <w:rPr>
          <w:sz w:val="16"/>
          <w:szCs w:val="16"/>
        </w:rPr>
        <w:t xml:space="preserve">668 patients at high risk of recurrence after curative-intent resection (585, 88 percent) or ablation (83, 12 percent), randomised 1:1 to adjuvant atezolizumab plus bevacizumab for up to 12 months or active surveillance between December 2019 and November 2021 from 914 assessed; 83 percent Asian, 71 percent from Asia-Pacific excluding Japan and 63 percent hepatitis B</w:t>
      </w:r>
    </w:p>
    <w:p>
      <w:pPr>
        <w:spacing w:after="70"/>
      </w:pPr>
      <w:r>
        <w:rPr>
          <w:b/>
          <w:bCs/>
          <w:color w:val="17365D"/>
          <w:sz w:val="16"/>
          <w:szCs w:val="16"/>
        </w:rPr>
        <w:t xml:space="preserve">Bottom line. </w:t>
      </w:r>
      <w:r>
        <w:rPr>
          <w:sz w:val="16"/>
          <w:szCs w:val="16"/>
        </w:rPr>
        <w:t xml:space="preserve">The first positive phase 3 adjuvant trial in HCC, reporting recurrence-free survival improved at a prespecified interim analysis (HR 0.72, adjusted 95% CI 0.53 to 0.98, p = 0.012) in patients at high risk after resection or ablation. The median was not estimable in either arm, the final analysis was prespecified as descriptive once the interim was positive, crossover at recurrence makes overall survival uninterpretable by design, and the cost in previously disease-free patients was 41 percent grade 3 or 4 toxicity with two treatment-related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chosen to spare the control group two placebo infusions and unwarranted immunosuppression, mitigated by masked independent review of the primary endpoint</w:t>
            </w:r>
          </w:p>
          <w:p>
            <w:pPr>
              <w:pStyle w:val="ListParagraph"/>
              <w:numPr>
                <w:ilvl w:val="0"/>
                <w:numId w:val="2"/>
              </w:numPr>
              <w:spacing w:after="45"/>
            </w:pPr>
            <w:r>
              <w:rPr>
                <w:sz w:val="15"/>
                <w:szCs w:val="15"/>
              </w:rPr>
              <w:t xml:space="preserve">Relatively short follow-up at this interim analysis, although 33 and 40 percent of patients had already recurred or died</w:t>
            </w:r>
          </w:p>
          <w:p>
            <w:pPr>
              <w:pStyle w:val="ListParagraph"/>
              <w:numPr>
                <w:ilvl w:val="0"/>
                <w:numId w:val="2"/>
              </w:numPr>
              <w:spacing w:after="45"/>
            </w:pPr>
            <w:r>
              <w:rPr>
                <w:sz w:val="15"/>
                <w:szCs w:val="15"/>
              </w:rPr>
              <w:t xml:space="preserve">The benefit in patients at lower or very high risk of recurrence is unknown because enrolment was restricted to a defined high-risk group</w:t>
            </w:r>
          </w:p>
          <w:p>
            <w:pPr>
              <w:pStyle w:val="ListParagraph"/>
              <w:numPr>
                <w:ilvl w:val="0"/>
                <w:numId w:val="2"/>
              </w:numPr>
              <w:spacing w:after="45"/>
            </w:pPr>
            <w:r>
              <w:rPr>
                <w:sz w:val="15"/>
                <w:szCs w:val="15"/>
              </w:rPr>
              <w:t xml:space="preserve">Most patients were recruited in the Asia-Pacific region, primarily China, rather than the USA and Europe</w:t>
            </w:r>
          </w:p>
          <w:p>
            <w:pPr>
              <w:pStyle w:val="ListParagraph"/>
              <w:numPr>
                <w:ilvl w:val="0"/>
                <w:numId w:val="2"/>
              </w:numPr>
              <w:spacing w:after="45"/>
            </w:pPr>
            <w:r>
              <w:rPr>
                <w:sz w:val="15"/>
                <w:szCs w:val="15"/>
              </w:rPr>
              <w:t xml:space="preserve">Enrolment of patients from under-represented minority groups was poor, consistent with other recent global HCC trials</w:t>
            </w:r>
          </w:p>
          <w:p>
            <w:pPr>
              <w:pStyle w:val="ListParagraph"/>
              <w:numPr>
                <w:ilvl w:val="0"/>
                <w:numId w:val="2"/>
              </w:numPr>
              <w:spacing w:after="45"/>
            </w:pPr>
            <w:r>
              <w:rPr>
                <w:sz w:val="15"/>
                <w:szCs w:val="15"/>
              </w:rPr>
              <w:t xml:space="preserve">Crossover was permitted at investigator discretion on confirmed recurrence, which the authors acknowledge will confound overall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declared positive with no estimable median recurrence-free survival in either arm, the entire result resting on a hazard ratio whose adjusted upper bound of 0.98 nearly touches 1 against a design whose minimum detectable difference was 0.8</w:t>
            </w:r>
          </w:p>
          <w:p>
            <w:pPr>
              <w:pStyle w:val="ListParagraph"/>
              <w:numPr>
                <w:ilvl w:val="0"/>
                <w:numId w:val="2"/>
              </w:numPr>
              <w:spacing w:after="45"/>
            </w:pPr>
            <w:r>
              <w:rPr>
                <w:sz w:val="15"/>
                <w:szCs w:val="15"/>
              </w:rPr>
              <w:t xml:space="preserve">The statistical analysis plan specified that a positive interim analysis would make the final analysis at 323 events descriptive only, so the design guarantees that the mature estimate can never be formally tested; the subsequent update showed the hazard ratio drifting to 0.90</w:t>
            </w:r>
          </w:p>
          <w:p>
            <w:pPr>
              <w:pStyle w:val="ListParagraph"/>
              <w:numPr>
                <w:ilvl w:val="0"/>
                <w:numId w:val="2"/>
              </w:numPr>
              <w:spacing w:after="45"/>
            </w:pPr>
            <w:r>
              <w:rPr>
                <w:sz w:val="15"/>
                <w:szCs w:val="15"/>
              </w:rPr>
              <w:t xml:space="preserve">Crossover was permitted at investigator discretion and resection or ablation of the recurrent lesion was allowed before crossing over, so the key secondary endpoint of overall survival was rendered uninterpretable by the protocol rather than by chance</w:t>
            </w:r>
          </w:p>
          <w:p>
            <w:pPr>
              <w:pStyle w:val="ListParagraph"/>
              <w:numPr>
                <w:ilvl w:val="0"/>
                <w:numId w:val="2"/>
              </w:numPr>
              <w:spacing w:after="45"/>
            </w:pPr>
            <w:r>
              <w:rPr>
                <w:sz w:val="15"/>
                <w:szCs w:val="15"/>
              </w:rPr>
              <w:t xml:space="preserve">Patients in the surveillance arm more often had a tumour larger than 5 cm (175 of 292, 60 percent, against 152 of 293, 52 percent), an eight-point imbalance in the strongest prognostic factor in a trial whose headline hazard ratio is 0.72</w:t>
            </w:r>
          </w:p>
          <w:p>
            <w:pPr>
              <w:pStyle w:val="ListParagraph"/>
              <w:numPr>
                <w:ilvl w:val="0"/>
                <w:numId w:val="2"/>
              </w:numPr>
              <w:spacing w:after="45"/>
            </w:pPr>
            <w:r>
              <w:rPr>
                <w:sz w:val="15"/>
                <w:szCs w:val="15"/>
              </w:rPr>
              <w:t xml:space="preserve">The high-risk criteria are tumour-morphology based and partly require a resection specimen (microvascular invasion, differentiation grade), so the 83 ablation patients were selected by size and number alone and belong to a different risk construct than the 585 resected patients</w:t>
            </w:r>
          </w:p>
          <w:p>
            <w:pPr>
              <w:pStyle w:val="ListParagraph"/>
              <w:numPr>
                <w:ilvl w:val="0"/>
                <w:numId w:val="2"/>
              </w:numPr>
              <w:spacing w:after="45"/>
            </w:pPr>
            <w:r>
              <w:rPr>
                <w:sz w:val="15"/>
                <w:szCs w:val="15"/>
              </w:rPr>
              <w:t xml:space="preserve">The subgroup pattern runs against the enrolment: the hazard ratio was 0.61 (0.38 to 0.97) in the rest of the world against 0.80 (0.59 to 1.08) in Asia-Pacific excluding Japan where 71 percent of patients were recruited, and 1.13 (0.67 to 1.91) in ECOG 1 patients, with the figure legend stating that none of these confidence intervals is adjusted for multiplicity</w:t>
            </w:r>
          </w:p>
          <w:p>
            <w:pPr>
              <w:pStyle w:val="ListParagraph"/>
              <w:numPr>
                <w:ilvl w:val="0"/>
                <w:numId w:val="2"/>
              </w:numPr>
              <w:spacing w:after="45"/>
            </w:pPr>
            <w:r>
              <w:rPr>
                <w:sz w:val="15"/>
                <w:szCs w:val="15"/>
              </w:rPr>
              <w:t xml:space="preserve">Adjuvant chemoembolisation was given to 11 to 12 percent of resected patients as a permitted co-intervention and that subgroup shows a hazard ratio above 1, so a second locoregional treatment was layered onto the randomised comparison without being accounted for</w:t>
            </w:r>
          </w:p>
          <w:p>
            <w:pPr>
              <w:pStyle w:val="ListParagraph"/>
              <w:numPr>
                <w:ilvl w:val="0"/>
                <w:numId w:val="2"/>
              </w:numPr>
              <w:spacing w:after="45"/>
            </w:pPr>
            <w:r>
              <w:rPr>
                <w:sz w:val="15"/>
                <w:szCs w:val="15"/>
              </w:rPr>
              <w:t xml:space="preserve">Grade 5 adverse events occurred in six atezolizumab-bevacizumab patients (2 percent), two of them treatment-related, against one in the surveillance arm, in a population rendered disease-free by curative-intent surgery and most of whom would not have recurred within the treatment year</w:t>
            </w:r>
          </w:p>
          <w:p>
            <w:pPr>
              <w:pStyle w:val="ListParagraph"/>
              <w:numPr>
                <w:ilvl w:val="0"/>
                <w:numId w:val="2"/>
              </w:numPr>
              <w:spacing w:after="45"/>
            </w:pPr>
            <w:r>
              <w:rPr>
                <w:sz w:val="15"/>
                <w:szCs w:val="15"/>
              </w:rPr>
              <w:t xml:space="preserve">The PD-L1-defined recurrence-free survival endpoint was prespecified, PD-L1 was measured in 285 and 270 patients, and the result is deferred to a future publication, so the only biomarker analysis that could identify who should be treated is withheld from the report that changes practice</w:t>
            </w:r>
          </w:p>
          <w:p>
            <w:pPr>
              <w:pStyle w:val="ListParagraph"/>
              <w:numPr>
                <w:ilvl w:val="0"/>
                <w:numId w:val="2"/>
              </w:numPr>
              <w:spacing w:after="45"/>
            </w:pPr>
            <w:r>
              <w:rPr>
                <w:sz w:val="15"/>
                <w:szCs w:val="15"/>
              </w:rPr>
              <w:t xml:space="preserve">The trial's own screening log shows 57 of 914 assessed patients already had residual, recurrent or metastatic disease and 26 lacked a signed consent form, which bears on how reliably the adjuvant setting was established at enrolment</w:t>
            </w:r>
          </w:p>
          <w:p>
            <w:pPr>
              <w:pStyle w:val="ListParagraph"/>
              <w:numPr>
                <w:ilvl w:val="0"/>
                <w:numId w:val="2"/>
              </w:numPr>
              <w:spacing w:after="45"/>
            </w:pPr>
            <w:r>
              <w:rPr>
                <w:sz w:val="15"/>
                <w:szCs w:val="15"/>
              </w:rPr>
              <w:t xml:space="preserve">The statistical analyses were conducted and the underlying data verified by a sponsor-affiliated author, in a trial whose sponsor also collaborated on design, collection, analysis and interpretation</w:t>
            </w:r>
          </w:p>
          <w:p>
            <w:pPr>
              <w:pStyle w:val="ListParagraph"/>
              <w:numPr>
                <w:ilvl w:val="0"/>
                <w:numId w:val="2"/>
              </w:numPr>
              <w:spacing w:after="45"/>
            </w:pPr>
            <w:r>
              <w:rPr>
                <w:sz w:val="15"/>
                <w:szCs w:val="15"/>
              </w:rPr>
              <w:t xml:space="preserve">The Discussion proposes that the results could lead to new considerations in the clinical indications for surgical resection, an inference about operative decision-making drawn from a surrogate endpoint at an interim analysis</w:t>
            </w:r>
          </w:p>
        </w:tc>
      </w:tr>
    </w:tbl>
    <w:p>
      <w:pPr>
        <w:spacing w:after="0" w:line="276"/>
      </w:pPr>
      <w:r>
        <w:rPr>
          <w:color w:val="5A6069"/>
          <w:sz w:val="14"/>
          <w:szCs w:val="14"/>
        </w:rPr>
        <w:t xml:space="preserve">Funding: Sponsored by F. Hoffmann-La Roche/Genentech, which provided the study drugs and collaborated with an academic steering committee on design, data collection, analysis and interpretation; the statistical analyses were conducted and the data verified by a sponsor-affiliated author</w:t>
      </w:r>
    </w:p>
    <w:p>
      <w:pPr>
        <w:keepNext/>
        <w:spacing w:after="50" w:before="260"/>
      </w:pPr>
      <w:r>
        <w:rPr>
          <w:rFonts w:ascii="Cambria" w:cs="Cambria" w:eastAsia="Cambria" w:hAnsi="Cambria"/>
          <w:b/>
          <w:bCs/>
          <w:color w:val="17365D"/>
          <w:sz w:val="20"/>
          <w:szCs w:val="20"/>
        </w:rPr>
        <w:t xml:space="preserve">IMbrave050 update</w:t>
      </w:r>
      <w:r>
        <w:rPr>
          <w:b/>
          <w:bCs/>
          <w:color w:val="176A87"/>
          <w:sz w:val="15"/>
          <w:szCs w:val="15"/>
        </w:rPr>
        <w:t xml:space="preserve">   Randomised trial</w:t>
      </w:r>
      <w:r>
        <w:rPr>
          <w:color w:val="5A6069"/>
          <w:sz w:val="15"/>
          <w:szCs w:val="15"/>
        </w:rPr>
        <w:t xml:space="preserve">   PMID 41580093</w:t>
      </w:r>
    </w:p>
    <w:p>
      <w:pPr>
        <w:spacing w:after="50" w:line="276"/>
      </w:pPr>
      <w:r>
        <w:rPr>
          <w:color w:val="5A6069"/>
          <w:sz w:val="17"/>
          <w:szCs w:val="17"/>
        </w:rPr>
        <w:t xml:space="preserve">Updated data from IMbrave050: Adjuvant atezolizumab plus bevacizumab for high-risk hepatocellular carcinoma</w:t>
      </w:r>
    </w:p>
    <w:p>
      <w:pPr>
        <w:spacing w:after="50"/>
      </w:pPr>
      <w:r>
        <w:rPr>
          <w:b/>
          <w:bCs/>
          <w:color w:val="176A87"/>
          <w:sz w:val="16"/>
          <w:szCs w:val="16"/>
        </w:rPr>
        <w:t xml:space="preserve">Population. </w:t>
      </w:r>
      <w:r>
        <w:rPr>
          <w:sz w:val="16"/>
          <w:szCs w:val="16"/>
        </w:rPr>
        <w:t xml:space="preserve">The same 668 randomised IMbrave050 patients reanalysed at a 3 May 2024 cutoff with a median follow-up of 35.1 months and a minimum of 29.2 months; 99 of 334 surveillance patients (30 percent) had crossed over to atezolizumab plus bevacizumab</w:t>
      </w:r>
    </w:p>
    <w:p>
      <w:pPr>
        <w:spacing w:after="70"/>
      </w:pPr>
      <w:r>
        <w:rPr>
          <w:b/>
          <w:bCs/>
          <w:color w:val="17365D"/>
          <w:sz w:val="16"/>
          <w:szCs w:val="16"/>
        </w:rPr>
        <w:t xml:space="preserve">Bottom line. </w:t>
      </w:r>
      <w:r>
        <w:rPr>
          <w:sz w:val="16"/>
          <w:szCs w:val="16"/>
        </w:rPr>
        <w:t xml:space="preserve">The descriptive final analysis of IMbrave050 shows the interim recurrence-free survival benefit was not sustained: median recurrence-free survival 33.2 months with treatment against 36.0 months with surveillance, stratified HR 0.90 (95% CI 0.72 to 1.12), recurrence in 162 of 334 against 164 of 334, and overall survival numerically worse (HR 1.26, 0.85 to 1.87). One year of adjuvant atezolizumab plus bevacizumab deferred early recurrence without preventing it, at the cost of 63 percent immune-mediated events and an excess of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and lack of statistical power for subgroups, carried over from the primary report</w:t>
            </w:r>
          </w:p>
          <w:p>
            <w:pPr>
              <w:pStyle w:val="ListParagraph"/>
              <w:numPr>
                <w:ilvl w:val="0"/>
                <w:numId w:val="2"/>
              </w:numPr>
              <w:spacing w:after="45"/>
            </w:pPr>
            <w:r>
              <w:rPr>
                <w:sz w:val="15"/>
                <w:szCs w:val="15"/>
              </w:rPr>
              <w:t xml:space="preserve">The post hoc up-to-7 subgroup analysis was not prespecified and can only be considered hypothesis-generating</w:t>
            </w:r>
          </w:p>
          <w:p>
            <w:pPr>
              <w:pStyle w:val="ListParagraph"/>
              <w:numPr>
                <w:ilvl w:val="0"/>
                <w:numId w:val="2"/>
              </w:numPr>
              <w:spacing w:after="45"/>
            </w:pPr>
            <w:r>
              <w:rPr>
                <w:sz w:val="15"/>
                <w:szCs w:val="15"/>
              </w:rPr>
              <w:t xml:space="preserve">The relative risk of recurrence changed over time, so the Cox hazard ratio is an aggregation of time-varying hazards and should be interpreted with caution; the authors suggest restricted mean survival time would be more accurate</w:t>
            </w:r>
          </w:p>
          <w:p>
            <w:pPr>
              <w:pStyle w:val="ListParagraph"/>
              <w:numPr>
                <w:ilvl w:val="0"/>
                <w:numId w:val="2"/>
              </w:numPr>
              <w:spacing w:after="45"/>
            </w:pPr>
            <w:r>
              <w:rPr>
                <w:sz w:val="15"/>
                <w:szCs w:val="15"/>
              </w:rPr>
              <w:t xml:space="preserve">The authors state that the imbalance in deaths together with the reduced recurrence-free survival benefit shifts the benefit-risk assessment negative, particularly after curative-intent treatment</w:t>
            </w:r>
          </w:p>
          <w:p>
            <w:pPr>
              <w:pStyle w:val="ListParagraph"/>
              <w:numPr>
                <w:ilvl w:val="0"/>
                <w:numId w:val="2"/>
              </w:numPr>
              <w:spacing w:after="45"/>
            </w:pPr>
            <w:r>
              <w:rPr>
                <w:sz w:val="15"/>
                <w:szCs w:val="15"/>
              </w:rPr>
              <w:t xml:space="preserve">The authors state that the updated results do not support use of the regimen in the adjuvant setting and that the effect on late recurrences of different aetiology is unclear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surveillance arm's median recurrence-free survival (36.0 months) is longer than the treated arm's (33.2 months) and recurrence occurred in 49 percent of each arm, so the stratified hazard ratio of 0.90 is the aggregate of a curve that crosses rather than a residual benefit</w:t>
            </w:r>
          </w:p>
          <w:p>
            <w:pPr>
              <w:pStyle w:val="ListParagraph"/>
              <w:numPr>
                <w:ilvl w:val="0"/>
                <w:numId w:val="2"/>
              </w:numPr>
              <w:spacing w:after="45"/>
            </w:pPr>
            <w:r>
              <w:rPr>
                <w:sz w:val="15"/>
                <w:szCs w:val="15"/>
              </w:rPr>
              <w:t xml:space="preserve">The authors' own leading explanation for the transient effect is that bevacizumab may impair radiological detection of relapse while it is being given, which, if true, means the primary endpoint of the trial was measurably biased by the drug and the original positive interim result was an artefact of surveillance imaging rather than only an unsustained benefit</w:t>
            </w:r>
          </w:p>
          <w:p>
            <w:pPr>
              <w:pStyle w:val="ListParagraph"/>
              <w:numPr>
                <w:ilvl w:val="0"/>
                <w:numId w:val="2"/>
              </w:numPr>
              <w:spacing w:after="45"/>
            </w:pPr>
            <w:r>
              <w:rPr>
                <w:sz w:val="15"/>
                <w:szCs w:val="15"/>
              </w:rPr>
              <w:t xml:space="preserve">The curves separated at 3 months, reached maximum difference at 9 months and intersected at about 2 years, and the hazard-rate analysis places the peak of recurrence at 6 months in the control arm against 18 months in the treated arm, so twelve months of treatment moved recurrence by roughly the duration of treatment</w:t>
            </w:r>
          </w:p>
          <w:p>
            <w:pPr>
              <w:pStyle w:val="ListParagraph"/>
              <w:numPr>
                <w:ilvl w:val="0"/>
                <w:numId w:val="2"/>
              </w:numPr>
              <w:spacing w:after="45"/>
            </w:pPr>
            <w:r>
              <w:rPr>
                <w:sz w:val="15"/>
                <w:szCs w:val="15"/>
              </w:rPr>
              <w:t xml:space="preserve">The post hoc up-to-7 analysis that is offered as a path forward has a hazard ratio above 1 in the within-up-to-7 group, so the proposal to treat only high-burden patients rests on a subgroup split whose other half suggests harm</w:t>
            </w:r>
          </w:p>
          <w:p>
            <w:pPr>
              <w:pStyle w:val="ListParagraph"/>
              <w:numPr>
                <w:ilvl w:val="0"/>
                <w:numId w:val="2"/>
              </w:numPr>
              <w:spacing w:after="45"/>
            </w:pPr>
            <w:r>
              <w:rPr>
                <w:sz w:val="15"/>
                <w:szCs w:val="15"/>
              </w:rPr>
              <w:t xml:space="preserve">Ninety-nine surveillance patients (30 percent) crossed over, some after a second resection or ablation, and one surveillance patient was mistakenly treated and counted in the treated safety population, so neither survival arm is a clean comparison</w:t>
            </w:r>
          </w:p>
          <w:p>
            <w:pPr>
              <w:pStyle w:val="ListParagraph"/>
              <w:numPr>
                <w:ilvl w:val="0"/>
                <w:numId w:val="2"/>
              </w:numPr>
              <w:spacing w:after="45"/>
            </w:pPr>
            <w:r>
              <w:rPr>
                <w:sz w:val="15"/>
                <w:szCs w:val="15"/>
              </w:rPr>
              <w:t xml:space="preserve">Death was the commonest reason for leaving the study and was more frequent in the treated arm (54 of 334, 16 percent, against 46, 14 percent), and the overall survival hazard ratio of 1.26 is reported as immature rather than as a signal requiring explanation</w:t>
            </w:r>
          </w:p>
          <w:p>
            <w:pPr>
              <w:pStyle w:val="ListParagraph"/>
              <w:numPr>
                <w:ilvl w:val="0"/>
                <w:numId w:val="2"/>
              </w:numPr>
              <w:spacing w:after="45"/>
            </w:pPr>
            <w:r>
              <w:rPr>
                <w:sz w:val="15"/>
                <w:szCs w:val="15"/>
              </w:rPr>
              <w:t xml:space="preserve">Immune-mediated adverse events occurred in 208 of 332 treated patients (63 percent) against 59 of 330 (18 percent), with 9 percent needing systemic corticosteroids, all in patients who had been rendered disease-free</w:t>
            </w:r>
          </w:p>
          <w:p>
            <w:pPr>
              <w:pStyle w:val="ListParagraph"/>
              <w:numPr>
                <w:ilvl w:val="0"/>
                <w:numId w:val="2"/>
              </w:numPr>
              <w:spacing w:after="45"/>
            </w:pPr>
            <w:r>
              <w:rPr>
                <w:sz w:val="15"/>
                <w:szCs w:val="15"/>
              </w:rPr>
              <w:t xml:space="preserve">Of 914 patients assessed, 57 already had residual, recurrent or metastatic disease and 26 had no signed consent form, so the eligibility screen for an adjuvant trial let through questions about whether all enrolled patients were truly disease-free at randomisation</w:t>
            </w:r>
          </w:p>
          <w:p>
            <w:pPr>
              <w:pStyle w:val="ListParagraph"/>
              <w:numPr>
                <w:ilvl w:val="0"/>
                <w:numId w:val="2"/>
              </w:numPr>
              <w:spacing w:after="45"/>
            </w:pPr>
            <w:r>
              <w:rPr>
                <w:sz w:val="15"/>
                <w:szCs w:val="15"/>
              </w:rPr>
              <w:t xml:space="preserve">The analysis is descriptive by design because the interim was declared positive, so the trial that changed guidance can no longer be tested on the endpoint that changed it, and the authors recommend for future trials the longer follow-up and non-proportional-hazards methods their own design lacked</w:t>
            </w:r>
          </w:p>
          <w:p>
            <w:pPr>
              <w:pStyle w:val="ListParagraph"/>
              <w:numPr>
                <w:ilvl w:val="0"/>
                <w:numId w:val="2"/>
              </w:numPr>
              <w:spacing w:after="45"/>
            </w:pPr>
            <w:r>
              <w:rPr>
                <w:sz w:val="15"/>
                <w:szCs w:val="15"/>
              </w:rPr>
              <w:t xml:space="preserve">Restricted mean survival time is proposed in the limitations as the more accurate measure of effect but no restricted mean survival time estimate is reported anywhere in this paper</w:t>
            </w:r>
          </w:p>
          <w:p>
            <w:pPr>
              <w:pStyle w:val="ListParagraph"/>
              <w:numPr>
                <w:ilvl w:val="0"/>
                <w:numId w:val="2"/>
              </w:numPr>
              <w:spacing w:after="45"/>
            </w:pPr>
            <w:r>
              <w:rPr>
                <w:sz w:val="15"/>
                <w:szCs w:val="15"/>
              </w:rPr>
              <w:t xml:space="preserve">Five authors are Roche or Genentech employees holding company stock, the sponsor funded the medical writing, and the figure that frames the paper is reprinted and adapted from the sponsor's own earlier positive report</w:t>
            </w:r>
          </w:p>
        </w:tc>
      </w:tr>
    </w:tbl>
    <w:p>
      <w:pPr>
        <w:spacing w:after="0" w:line="276"/>
      </w:pPr>
      <w:r>
        <w:rPr>
          <w:color w:val="5A6069"/>
          <w:sz w:val="14"/>
          <w:szCs w:val="14"/>
        </w:rPr>
        <w:t xml:space="preserve">Funding: Sponsored by F. Hoffmann-La Roche, which provided the drugs and collaborated on design, collection, analysis and interpretation; five authors are Genentech or Roche employees holding Roche stock and medical writing was sponsor-funded</w:t>
      </w:r>
    </w:p>
    <w:p>
      <w:pPr>
        <w:keepNext/>
        <w:spacing w:after="50" w:before="260"/>
      </w:pPr>
      <w:r>
        <w:rPr>
          <w:rFonts w:ascii="Cambria" w:cs="Cambria" w:eastAsia="Cambria" w:hAnsi="Cambria"/>
          <w:b/>
          <w:bCs/>
          <w:color w:val="17365D"/>
          <w:sz w:val="20"/>
          <w:szCs w:val="20"/>
        </w:rPr>
        <w:t xml:space="preserve">IMbrave150</w:t>
      </w:r>
      <w:r>
        <w:rPr>
          <w:b/>
          <w:bCs/>
          <w:color w:val="176A87"/>
          <w:sz w:val="15"/>
          <w:szCs w:val="15"/>
        </w:rPr>
        <w:t xml:space="preserve">   Randomised trial</w:t>
      </w:r>
      <w:r>
        <w:rPr>
          <w:color w:val="5A6069"/>
          <w:sz w:val="15"/>
          <w:szCs w:val="15"/>
        </w:rPr>
        <w:t xml:space="preserve">   PMID 32402160</w:t>
      </w:r>
    </w:p>
    <w:p>
      <w:pPr>
        <w:spacing w:after="50" w:line="276"/>
      </w:pPr>
      <w:r>
        <w:rPr>
          <w:color w:val="5A6069"/>
          <w:sz w:val="17"/>
          <w:szCs w:val="17"/>
        </w:rPr>
        <w:t xml:space="preserve">Atezolizumab plus Bevacizumab in Unresectable Hepatocellular Carcinoma</w:t>
      </w:r>
    </w:p>
    <w:p>
      <w:pPr>
        <w:spacing w:after="50"/>
      </w:pPr>
      <w:r>
        <w:rPr>
          <w:b/>
          <w:bCs/>
          <w:color w:val="176A87"/>
          <w:sz w:val="16"/>
          <w:szCs w:val="16"/>
        </w:rPr>
        <w:t xml:space="preserve">Population. </w:t>
      </w:r>
      <w:r>
        <w:rPr>
          <w:sz w:val="16"/>
          <w:szCs w:val="16"/>
        </w:rPr>
        <w:t xml:space="preserve">501 patients with locally advanced, metastatic or unresectable HCC, Child-Pugh A, ECOG 0 or 1 and no previous systemic therapy, randomised 2:1 to atezolizumab plus bevacizumab (336) or sorafenib (165) at 111 sites in 17 countries between March 2018 and January 2019; 49 percent had hepatitis B and 30 percent non-viral disease</w:t>
      </w:r>
    </w:p>
    <w:p>
      <w:pPr>
        <w:spacing w:after="70"/>
      </w:pPr>
      <w:r>
        <w:rPr>
          <w:b/>
          <w:bCs/>
          <w:color w:val="17365D"/>
          <w:sz w:val="16"/>
          <w:szCs w:val="16"/>
        </w:rPr>
        <w:t xml:space="preserve">Bottom line. </w:t>
      </w:r>
      <w:r>
        <w:rPr>
          <w:sz w:val="16"/>
          <w:szCs w:val="16"/>
        </w:rPr>
        <w:t xml:space="preserve">IMbrave150 displaced sorafenib as first-line therapy, reporting a hazard ratio for death of 0.58 (95% CI 0.42 to 0.79) with 12-month survival of 67.2 against 54.6 percent and median progression-free survival of 6.8 against 4.3 months. The analysis is the first of two planned interim looks at 161 of 312 planned deaths with a median follow-up of 8.6 months, so no median survival could be estimated for the combination; entry required endoscopy with all varices treated, and dose modification was permitted for sorafenib but not for the experimental regimen.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chosen to spare patients two placebo infusions, which the authors list as a limitation although blinded independent review protected the progression-free survival endpoint</w:t>
            </w:r>
          </w:p>
          <w:p>
            <w:pPr>
              <w:pStyle w:val="ListParagraph"/>
              <w:numPr>
                <w:ilvl w:val="0"/>
                <w:numId w:val="2"/>
              </w:numPr>
              <w:spacing w:after="45"/>
            </w:pPr>
            <w:r>
              <w:rPr>
                <w:sz w:val="15"/>
                <w:szCs w:val="15"/>
              </w:rPr>
              <w:t xml:space="preserve">Enrolment was restricted to Child-Pugh A patients who had been screened and treated for varices, so the authors state that the safety of the combination in a broader population needs further study</w:t>
            </w:r>
          </w:p>
          <w:p>
            <w:pPr>
              <w:pStyle w:val="ListParagraph"/>
              <w:numPr>
                <w:ilvl w:val="0"/>
                <w:numId w:val="2"/>
              </w:numPr>
              <w:spacing w:after="45"/>
            </w:pPr>
            <w:r>
              <w:rPr>
                <w:sz w:val="15"/>
                <w:szCs w:val="15"/>
              </w:rPr>
              <w:t xml:space="preserve">The authors note that no biomarker has been shown to predict benefit in HCC and that work is needed to identify who benefits</w:t>
            </w:r>
          </w:p>
          <w:p>
            <w:pPr>
              <w:pStyle w:val="ListParagraph"/>
              <w:numPr>
                <w:ilvl w:val="0"/>
                <w:numId w:val="2"/>
              </w:numPr>
              <w:spacing w:after="45"/>
            </w:pPr>
            <w:r>
              <w:rPr>
                <w:sz w:val="15"/>
                <w:szCs w:val="15"/>
              </w:rPr>
              <w:t xml:space="preserve">The authors state that survival data were not yet mature at this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survival analysis is the first interim look at 161 of 312 planned deaths (52 percent) with a median follow-up of 8.6 months, and the 12-month landmark survival rates of 67.2 and 54.6 percent are therefore estimated beyond the median duration of follow-up in either arm</w:t>
            </w:r>
          </w:p>
          <w:p>
            <w:pPr>
              <w:pStyle w:val="ListParagraph"/>
              <w:numPr>
                <w:ilvl w:val="0"/>
                <w:numId w:val="2"/>
              </w:numPr>
              <w:spacing w:after="45"/>
            </w:pPr>
            <w:r>
              <w:rPr>
                <w:sz w:val="15"/>
                <w:szCs w:val="15"/>
              </w:rPr>
              <w:t xml:space="preserve">Dose modification was not permitted for atezolizumab or bevacizumab but was permitted for sorafenib, and patients who stopped one component of the combination could continue the other, so the experimental regimen was a flexible strategy while the control was a fixed comparator, and attrition for toxicity falls differently in the two arms by design</w:t>
            </w:r>
          </w:p>
          <w:p>
            <w:pPr>
              <w:pStyle w:val="ListParagraph"/>
              <w:numPr>
                <w:ilvl w:val="0"/>
                <w:numId w:val="2"/>
              </w:numPr>
              <w:spacing w:after="45"/>
            </w:pPr>
            <w:r>
              <w:rPr>
                <w:sz w:val="15"/>
                <w:szCs w:val="15"/>
              </w:rPr>
              <w:t xml:space="preserve">Both arms could continue treatment beyond radiographic progression at the investigator's judgment of clinical benefit, a decision made without masking in a trial whose primary endpoint is survival</w:t>
            </w:r>
          </w:p>
          <w:p>
            <w:pPr>
              <w:pStyle w:val="ListParagraph"/>
              <w:numPr>
                <w:ilvl w:val="0"/>
                <w:numId w:val="2"/>
              </w:numPr>
              <w:spacing w:after="45"/>
            </w:pPr>
            <w:r>
              <w:rPr>
                <w:sz w:val="15"/>
                <w:szCs w:val="15"/>
              </w:rPr>
              <w:t xml:space="preserve">The 2:1 allocation leaves 165 control patients with 65 deaths, so every comparison rests on an imprecisely estimated sorafenib arm, and the stratified analyses dropped ECOG performance status from the stratification factors used in analysis despite its being a randomisation stratum, with no explanation</w:t>
            </w:r>
          </w:p>
          <w:p>
            <w:pPr>
              <w:pStyle w:val="ListParagraph"/>
              <w:numPr>
                <w:ilvl w:val="0"/>
                <w:numId w:val="2"/>
              </w:numPr>
              <w:spacing w:after="45"/>
            </w:pPr>
            <w:r>
              <w:rPr>
                <w:sz w:val="15"/>
                <w:szCs w:val="15"/>
              </w:rPr>
              <w:t xml:space="preserve">Every patient underwent screening endoscopy with all varices treated to local standard before entry, and 26 percent had varices with 11 to 14 percent treated, so the trial pre-selected and pre-treated exactly the bleeding risk that bevacizumab exacerbates, and its bleeding rates cannot be read outside that protocol</w:t>
            </w:r>
          </w:p>
          <w:p>
            <w:pPr>
              <w:pStyle w:val="ListParagraph"/>
              <w:numPr>
                <w:ilvl w:val="0"/>
                <w:numId w:val="2"/>
              </w:numPr>
              <w:spacing w:after="45"/>
            </w:pPr>
            <w:r>
              <w:rPr>
                <w:sz w:val="15"/>
                <w:szCs w:val="15"/>
              </w:rPr>
              <w:t xml:space="preserve">Diagnosis could be made on clinical and imaging criteria without tissue, and 2 to 4 percent of patients were BCLC stage A, so a minority of a first-line systemic therapy trial had early-stage disease</w:t>
            </w:r>
          </w:p>
          <w:p>
            <w:pPr>
              <w:pStyle w:val="ListParagraph"/>
              <w:numPr>
                <w:ilvl w:val="0"/>
                <w:numId w:val="2"/>
              </w:numPr>
              <w:spacing w:after="45"/>
            </w:pPr>
            <w:r>
              <w:rPr>
                <w:sz w:val="15"/>
                <w:szCs w:val="15"/>
              </w:rPr>
              <w:t xml:space="preserve">Patient-reported quality of life, physical functioning and role functioning were secondary endpoints defined on a 10-point EORTC change and collected by self-report in an unmasked trial, which is the circumstance in which such endpoints are least interpretable</w:t>
            </w:r>
          </w:p>
          <w:p>
            <w:pPr>
              <w:pStyle w:val="ListParagraph"/>
              <w:numPr>
                <w:ilvl w:val="0"/>
                <w:numId w:val="2"/>
              </w:numPr>
              <w:spacing w:after="45"/>
            </w:pPr>
            <w:r>
              <w:rPr>
                <w:sz w:val="15"/>
                <w:szCs w:val="15"/>
              </w:rPr>
              <w:t xml:space="preserve">No biomarker selection or biomarker result is reported although atezolizumab is a PD-L1 inhibitor with companion diagnostics in other tumours, so there is no way to identify the roughly one patient in four who responds</w:t>
            </w:r>
          </w:p>
          <w:p>
            <w:pPr>
              <w:pStyle w:val="ListParagraph"/>
              <w:numPr>
                <w:ilvl w:val="0"/>
                <w:numId w:val="2"/>
              </w:numPr>
              <w:spacing w:after="45"/>
            </w:pPr>
            <w:r>
              <w:rPr>
                <w:sz w:val="15"/>
                <w:szCs w:val="15"/>
              </w:rPr>
              <w:t xml:space="preserve">Hepatitis B accounted for 49 percent of patients and 40 percent came from Asia excluding Japan, while non-viral disease, which dominates Western practice, was only 30 percent and would later show no survival benefit in the trial's own updated subgroup analysis</w:t>
            </w:r>
          </w:p>
          <w:p>
            <w:pPr>
              <w:pStyle w:val="ListParagraph"/>
              <w:numPr>
                <w:ilvl w:val="0"/>
                <w:numId w:val="2"/>
              </w:numPr>
              <w:spacing w:after="45"/>
            </w:pPr>
            <w:r>
              <w:rPr>
                <w:sz w:val="15"/>
                <w:szCs w:val="15"/>
              </w:rPr>
              <w:t xml:space="preserve">The sponsor supplied the drugs and collaborated on the design, collection, analysis and interpretation of the data, employed six authors and funded the editorial assistance, with no independently conducted analysis of the registration result</w:t>
            </w:r>
          </w:p>
          <w:p>
            <w:pPr>
              <w:pStyle w:val="ListParagraph"/>
              <w:numPr>
                <w:ilvl w:val="0"/>
                <w:numId w:val="2"/>
              </w:numPr>
              <w:spacing w:after="45"/>
            </w:pPr>
            <w:r>
              <w:rPr>
                <w:sz w:val="15"/>
                <w:szCs w:val="15"/>
              </w:rPr>
              <w:t xml:space="preserve">The article carries a notice that it was updated on 19 May 2020, five days after publication, without the content of the correction being stated in the text</w:t>
            </w:r>
          </w:p>
        </w:tc>
      </w:tr>
    </w:tbl>
    <w:p>
      <w:pPr>
        <w:spacing w:after="0" w:line="276"/>
      </w:pPr>
      <w:r>
        <w:rPr>
          <w:color w:val="5A6069"/>
          <w:sz w:val="14"/>
          <w:szCs w:val="14"/>
        </w:rPr>
        <w:t xml:space="preserve">Funding: Funded by F. Hoffmann-La Roche/Genentech, which provided the trial drugs and collaborated with an academic steering committee on design and on the collection, analysis and interpretation of the data; six of the 22 authors are sponsor employees and editorial assistance was sponsor-funded</w:t>
      </w:r>
    </w:p>
    <w:p>
      <w:pPr>
        <w:keepNext/>
        <w:spacing w:after="50" w:before="260"/>
      </w:pPr>
      <w:r>
        <w:rPr>
          <w:rFonts w:ascii="Cambria" w:cs="Cambria" w:eastAsia="Cambria" w:hAnsi="Cambria"/>
          <w:b/>
          <w:bCs/>
          <w:color w:val="17365D"/>
          <w:sz w:val="20"/>
          <w:szCs w:val="20"/>
        </w:rPr>
        <w:t xml:space="preserve">IMbrave150 update</w:t>
      </w:r>
      <w:r>
        <w:rPr>
          <w:b/>
          <w:bCs/>
          <w:color w:val="176A87"/>
          <w:sz w:val="15"/>
          <w:szCs w:val="15"/>
        </w:rPr>
        <w:t xml:space="preserve">   Randomised trial</w:t>
      </w:r>
      <w:r>
        <w:rPr>
          <w:color w:val="5A6069"/>
          <w:sz w:val="15"/>
          <w:szCs w:val="15"/>
        </w:rPr>
        <w:t xml:space="preserve">   PMID 34902530</w:t>
      </w:r>
    </w:p>
    <w:p>
      <w:pPr>
        <w:spacing w:after="50" w:line="276"/>
      </w:pPr>
      <w:r>
        <w:rPr>
          <w:color w:val="5A6069"/>
          <w:sz w:val="17"/>
          <w:szCs w:val="17"/>
        </w:rPr>
        <w:t xml:space="preserve">Updated efficacy and safety data from IMbrave150: Atezolizumab plus bevacizumab vs. sorafenib for unresectable hepatocellular carcinoma</w:t>
      </w:r>
    </w:p>
    <w:p>
      <w:pPr>
        <w:spacing w:after="50"/>
      </w:pPr>
      <w:r>
        <w:rPr>
          <w:b/>
          <w:bCs/>
          <w:color w:val="176A87"/>
          <w:sz w:val="16"/>
          <w:szCs w:val="16"/>
        </w:rPr>
        <w:t xml:space="preserve">Population. </w:t>
      </w:r>
      <w:r>
        <w:rPr>
          <w:sz w:val="16"/>
          <w:szCs w:val="16"/>
        </w:rPr>
        <w:t xml:space="preserve">The same 501 randomised IMbrave150 patients (336 atezolizumab plus bevacizumab, 165 sorafenib) reanalysed at the 31 August 2020 cutoff after a median 15.6 months (range 0 to 28.6) of follow-up; 329 and 156 patients were safety-evaluable</w:t>
      </w:r>
    </w:p>
    <w:p>
      <w:pPr>
        <w:spacing w:after="70"/>
      </w:pPr>
      <w:r>
        <w:rPr>
          <w:b/>
          <w:bCs/>
          <w:color w:val="17365D"/>
          <w:sz w:val="16"/>
          <w:szCs w:val="16"/>
        </w:rPr>
        <w:t xml:space="preserve">Bottom line. </w:t>
      </w:r>
      <w:r>
        <w:rPr>
          <w:sz w:val="16"/>
          <w:szCs w:val="16"/>
        </w:rPr>
        <w:t xml:space="preserve">A post hoc 12-month update of IMbrave150 giving median overall survival of 19.2 against 13.4 months (HR 0.66) and progression-free survival of 6.9 against 4.3 months, with an objective response rate of 30 percent and 8 percent complete responses. The p values are labelled descriptive because no alpha was allocated, the median survival exceeds the median follow-up, and the one subgroup without benefit is non-viral disease (HR for death 1.05, 95% CI 0.68 to 1.63), which is the commonest aetiology in Western practice.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limitations of the parent trial apply, namely the open-label design and recruitment of patients with preserved liver function and reduced risk of variceal bleeding</w:t>
            </w:r>
          </w:p>
          <w:p>
            <w:pPr>
              <w:pStyle w:val="ListParagraph"/>
              <w:numPr>
                <w:ilvl w:val="0"/>
                <w:numId w:val="2"/>
              </w:numPr>
              <w:spacing w:after="45"/>
            </w:pPr>
            <w:r>
              <w:rPr>
                <w:sz w:val="15"/>
                <w:szCs w:val="15"/>
              </w:rPr>
              <w:t xml:space="preserve">This analysis was not powered for the subgroups, which the authors state</w:t>
            </w:r>
          </w:p>
          <w:p>
            <w:pPr>
              <w:pStyle w:val="ListParagraph"/>
              <w:numPr>
                <w:ilvl w:val="0"/>
                <w:numId w:val="2"/>
              </w:numPr>
              <w:spacing w:after="45"/>
            </w:pPr>
            <w:r>
              <w:rPr>
                <w:sz w:val="15"/>
                <w:szCs w:val="15"/>
              </w:rPr>
              <w:t xml:space="preserve">The authors note that the sorafenib arm performed better in median overall survival than in other first-line phase 3 trials</w:t>
            </w:r>
          </w:p>
          <w:p>
            <w:pPr>
              <w:pStyle w:val="ListParagraph"/>
              <w:numPr>
                <w:ilvl w:val="0"/>
                <w:numId w:val="2"/>
              </w:numPr>
              <w:spacing w:after="45"/>
            </w:pPr>
            <w:r>
              <w:rPr>
                <w:sz w:val="15"/>
                <w:szCs w:val="15"/>
              </w:rPr>
              <w:t xml:space="preserve">The authors attribute the increase in adverse events of special interest from 69 to 76 percent, driven by a 10 percent rise in immune-mediated hepatitis, to the longer duration of treatment</w:t>
            </w:r>
          </w:p>
          <w:p>
            <w:pPr>
              <w:pStyle w:val="ListParagraph"/>
              <w:numPr>
                <w:ilvl w:val="0"/>
                <w:numId w:val="2"/>
              </w:numPr>
              <w:spacing w:after="45"/>
            </w:pPr>
            <w:r>
              <w:rPr>
                <w:sz w:val="15"/>
                <w:szCs w:val="15"/>
              </w:rPr>
              <w:t xml:space="preserve">The authors acknowledge that the post-progression survival of patients who continued treatment would need a randomised discontinuation trial to interpret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descriptive post hoc analysis with no alpha allocated, so the p values are labelled descriptive in the abstract while the conclusion nonetheless states that the analysis confirms the combination as standard of care</w:t>
            </w:r>
          </w:p>
          <w:p>
            <w:pPr>
              <w:pStyle w:val="ListParagraph"/>
              <w:numPr>
                <w:ilvl w:val="0"/>
                <w:numId w:val="2"/>
              </w:numPr>
              <w:spacing w:after="45"/>
            </w:pPr>
            <w:r>
              <w:rPr>
                <w:sz w:val="15"/>
                <w:szCs w:val="15"/>
              </w:rPr>
              <w:t xml:space="preserve">Median overall survival of 19.2 months is reported from a median follow-up of 15.6 months, so the headline figure is estimated from the tail of the curve rather than observed</w:t>
            </w:r>
          </w:p>
          <w:p>
            <w:pPr>
              <w:pStyle w:val="ListParagraph"/>
              <w:numPr>
                <w:ilvl w:val="0"/>
                <w:numId w:val="2"/>
              </w:numPr>
              <w:spacing w:after="45"/>
            </w:pPr>
            <w:r>
              <w:rPr>
                <w:sz w:val="15"/>
                <w:szCs w:val="15"/>
              </w:rPr>
              <w:t xml:space="preserve">Exposure differed threefold between the arms (median 8.4 months of atezolizumab and 7.0 of bevacizumab against 2.8 months of sorafenib) and no dose modification was allowed for the combination against 37 percent of sorafenib patients having their dose modified, so the comparison is between a regimen patients stayed on and one they reduced</w:t>
            </w:r>
          </w:p>
          <w:p>
            <w:pPr>
              <w:pStyle w:val="ListParagraph"/>
              <w:numPr>
                <w:ilvl w:val="0"/>
                <w:numId w:val="2"/>
              </w:numPr>
              <w:spacing w:after="45"/>
            </w:pPr>
            <w:r>
              <w:rPr>
                <w:sz w:val="15"/>
                <w:szCs w:val="15"/>
              </w:rPr>
              <w:t xml:space="preserve">The claim about post-progression benefit rests on the 132 of 236 progressing patients who continued treatment and whose median survival was 24.1 months, a group defined by having survived to progression and been well enough to continue, which is guarantee-time bias the authors describe as suggestive</w:t>
            </w:r>
          </w:p>
          <w:p>
            <w:pPr>
              <w:pStyle w:val="ListParagraph"/>
              <w:numPr>
                <w:ilvl w:val="0"/>
                <w:numId w:val="2"/>
              </w:numPr>
              <w:spacing w:after="45"/>
            </w:pPr>
            <w:r>
              <w:rPr>
                <w:sz w:val="15"/>
                <w:szCs w:val="15"/>
              </w:rPr>
              <w:t xml:space="preserve">In the non-viral subgroup the hazard ratio for death is 1.05 (0.68 to 1.63) and the authors defend the regimen by pointing to preserved progression-free survival and response in that subgroup, which is precisely the argument that response and progression-free survival need not translate into survival</w:t>
            </w:r>
          </w:p>
          <w:p>
            <w:pPr>
              <w:pStyle w:val="ListParagraph"/>
              <w:numPr>
                <w:ilvl w:val="0"/>
                <w:numId w:val="2"/>
              </w:numPr>
              <w:spacing w:after="45"/>
            </w:pPr>
            <w:r>
              <w:rPr>
                <w:sz w:val="15"/>
                <w:szCs w:val="15"/>
              </w:rPr>
              <w:t xml:space="preserve">Immune-mediated hepatitis is reported in 53 percent of combination patients under a definition that includes diagnostic and laboratory abnormalities alone, which makes the number uninterpretable as clinical hepatitis and inflates the special-interest total to 76 percent</w:t>
            </w:r>
          </w:p>
          <w:p>
            <w:pPr>
              <w:pStyle w:val="ListParagraph"/>
              <w:numPr>
                <w:ilvl w:val="0"/>
                <w:numId w:val="2"/>
              </w:numPr>
              <w:spacing w:after="45"/>
            </w:pPr>
            <w:r>
              <w:rPr>
                <w:sz w:val="15"/>
                <w:szCs w:val="15"/>
              </w:rPr>
              <w:t xml:space="preserve">All five fatal upper gastrointestinal bleeds in the combination arm occurred in patients with macrovascular invasion (four Vp4, one Vp3) and only one was judged treatment-related, that judgment being made by unblinded local investigators with no central adjudication</w:t>
            </w:r>
          </w:p>
          <w:p>
            <w:pPr>
              <w:pStyle w:val="ListParagraph"/>
              <w:numPr>
                <w:ilvl w:val="0"/>
                <w:numId w:val="2"/>
              </w:numPr>
              <w:spacing w:after="45"/>
            </w:pPr>
            <w:r>
              <w:rPr>
                <w:sz w:val="15"/>
                <w:szCs w:val="15"/>
              </w:rPr>
              <w:t xml:space="preserve">Adverse events led to withdrawal of any component in 22 percent of combination patients and of both components in 10 percent, against 12 and 0 percent on sorafenib, so one combination patient in ten lost the whole regimen to toxicity</w:t>
            </w:r>
          </w:p>
          <w:p>
            <w:pPr>
              <w:pStyle w:val="ListParagraph"/>
              <w:numPr>
                <w:ilvl w:val="0"/>
                <w:numId w:val="2"/>
              </w:numPr>
              <w:spacing w:after="45"/>
            </w:pPr>
            <w:r>
              <w:rPr>
                <w:sz w:val="15"/>
                <w:szCs w:val="15"/>
              </w:rPr>
              <w:t xml:space="preserve">Nineteen percent of first responses in the combination arm occurred after week 24 and one at week 54, while all sorafenib responses had occurred by week 24, and assessments moved from 6-weekly to 9-weekly at week 54, so the response comparison depends on how long patients remained under surveillance</w:t>
            </w:r>
          </w:p>
          <w:p>
            <w:pPr>
              <w:pStyle w:val="ListParagraph"/>
              <w:numPr>
                <w:ilvl w:val="0"/>
                <w:numId w:val="2"/>
              </w:numPr>
              <w:spacing w:after="45"/>
            </w:pPr>
            <w:r>
              <w:rPr>
                <w:sz w:val="15"/>
                <w:szCs w:val="15"/>
              </w:rPr>
              <w:t xml:space="preserve">Twenty-six percent of sorafenib patients received subsequent immunotherapy against 3 percent of combination patients, which the authors correctly note works against the result, but it also means the trial cannot address the sequencing question clinicians face</w:t>
            </w:r>
          </w:p>
          <w:p>
            <w:pPr>
              <w:pStyle w:val="ListParagraph"/>
              <w:numPr>
                <w:ilvl w:val="0"/>
                <w:numId w:val="2"/>
              </w:numPr>
              <w:spacing w:after="45"/>
            </w:pPr>
            <w:r>
              <w:rPr>
                <w:sz w:val="15"/>
                <w:szCs w:val="15"/>
              </w:rPr>
              <w:t xml:space="preserve">The statistical analyses are credited to four sponsor-affiliated authors, medical writing was provided by a Roche-funded agency, and individual patient data are available only through the sponsor's own criteria on a request platform</w:t>
            </w:r>
          </w:p>
          <w:p>
            <w:pPr>
              <w:pStyle w:val="ListParagraph"/>
              <w:numPr>
                <w:ilvl w:val="0"/>
                <w:numId w:val="2"/>
              </w:numPr>
              <w:spacing w:after="45"/>
            </w:pPr>
            <w:r>
              <w:rPr>
                <w:sz w:val="15"/>
                <w:szCs w:val="15"/>
              </w:rPr>
              <w:t xml:space="preserve">The abstract's claim that this is the longest median overall survival reported in a first-line phase 3 trial is a cross-trial comparison with no adjustment for population differences, offered in the same paragraph that notes the control arm outperformed other trials' controls</w:t>
            </w:r>
          </w:p>
        </w:tc>
      </w:tr>
    </w:tbl>
    <w:p>
      <w:pPr>
        <w:spacing w:after="0" w:line="276"/>
      </w:pPr>
      <w:r>
        <w:rPr>
          <w:color w:val="5A6069"/>
          <w:sz w:val="14"/>
          <w:szCs w:val="14"/>
        </w:rPr>
        <w:t xml:space="preserve">Funding: Funded by F. Hoffmann-La Roche/Genentech, which supplied the study drugs and collaborated with academic authors on design, data collection, analysis and interpretation; the statistical analyses are credited to four sponsor-affiliated authors, medical writing was Roche-funded, and all authors received support from Roche during the study</w:t>
      </w:r>
    </w:p>
    <w:p>
      <w:pPr>
        <w:keepNext/>
        <w:spacing w:after="50" w:before="260"/>
      </w:pPr>
      <w:r>
        <w:rPr>
          <w:rFonts w:ascii="Cambria" w:cs="Cambria" w:eastAsia="Cambria" w:hAnsi="Cambria"/>
          <w:b/>
          <w:bCs/>
          <w:color w:val="17365D"/>
          <w:sz w:val="20"/>
          <w:szCs w:val="20"/>
        </w:rPr>
        <w:t xml:space="preserve">KEYNOTE-394</w:t>
      </w:r>
      <w:r>
        <w:rPr>
          <w:b/>
          <w:bCs/>
          <w:color w:val="176A87"/>
          <w:sz w:val="15"/>
          <w:szCs w:val="15"/>
        </w:rPr>
        <w:t xml:space="preserve">   Randomised trial</w:t>
      </w:r>
      <w:r>
        <w:rPr>
          <w:color w:val="5A6069"/>
          <w:sz w:val="15"/>
          <w:szCs w:val="15"/>
        </w:rPr>
        <w:t xml:space="preserve">   PMID 36455168</w:t>
      </w:r>
    </w:p>
    <w:p>
      <w:pPr>
        <w:spacing w:after="50" w:line="276"/>
      </w:pPr>
      <w:r>
        <w:rPr>
          <w:color w:val="5A6069"/>
          <w:sz w:val="17"/>
          <w:szCs w:val="17"/>
        </w:rPr>
        <w:t xml:space="preserve">Pembrolizumab Versus Placebo as Second-Line Therapy in Patients From Asia With Advanced Hepatocellular Carcinoma: A Randomized, Double-Blind, Phase III Trial</w:t>
      </w:r>
    </w:p>
    <w:p>
      <w:pPr>
        <w:spacing w:after="50"/>
      </w:pPr>
      <w:r>
        <w:rPr>
          <w:b/>
          <w:bCs/>
          <w:color w:val="176A87"/>
          <w:sz w:val="16"/>
          <w:szCs w:val="16"/>
        </w:rPr>
        <w:t xml:space="preserve">Population. </w:t>
      </w:r>
      <w:r>
        <w:rPr>
          <w:sz w:val="16"/>
          <w:szCs w:val="16"/>
        </w:rPr>
        <w:t xml:space="preserve">453 patients from mainland China, Hong Kong, South Korea, Malaysia and Taiwan with Child-Pugh A advanced HCC who had progressed on or were intolerant of sorafenib or oxaliplatin-based chemotherapy, randomised 2:1 to pembrolizumab (300) or placebo (153); about 80 percent were hepatitis B positive, median age 54 years and over 90 percent BCLC stage C</w:t>
      </w:r>
    </w:p>
    <w:p>
      <w:pPr>
        <w:spacing w:after="70"/>
      </w:pPr>
      <w:r>
        <w:rPr>
          <w:b/>
          <w:bCs/>
          <w:color w:val="17365D"/>
          <w:sz w:val="16"/>
          <w:szCs w:val="16"/>
        </w:rPr>
        <w:t xml:space="preserve">Bottom line. </w:t>
      </w:r>
      <w:r>
        <w:rPr>
          <w:sz w:val="16"/>
          <w:szCs w:val="16"/>
        </w:rPr>
        <w:t xml:space="preserve">KEYNOTE-394 made second-line pembrolizumab formally positive in an Asian population, with median overall survival 14.6 against 13.0 months (HR 0.79, 95% CI 0.63 to 0.99, one-sided p = 0.0180 against a boundary of 0.0193) and a response rate of 12.7 against 1.3 percent. The hazard ratio is indistinguishable from the one that made the global KEYNOTE-240 trial negative, the median progression-free survival difference is 0.3 months, and the comparator is placebo after sorafenib, a sequence no longer used.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Fewer than 10 percent of patients had received oxaliplatin-based chemotherapy, which is not a globally approved first-line standard, and the authors list this as a limitation</w:t>
            </w:r>
          </w:p>
          <w:p>
            <w:pPr>
              <w:pStyle w:val="ListParagraph"/>
              <w:numPr>
                <w:ilvl w:val="0"/>
                <w:numId w:val="2"/>
              </w:numPr>
              <w:spacing w:after="45"/>
            </w:pPr>
            <w:r>
              <w:rPr>
                <w:sz w:val="15"/>
                <w:szCs w:val="15"/>
              </w:rPr>
              <w:t xml:space="preserve">The hepatitis C and non-viral subgroups were too small for meaningful analysis, with only six HCV-positive patients, two of them also HBV-positive</w:t>
            </w:r>
          </w:p>
          <w:p>
            <w:pPr>
              <w:pStyle w:val="ListParagraph"/>
              <w:numPr>
                <w:ilvl w:val="0"/>
                <w:numId w:val="2"/>
              </w:numPr>
              <w:spacing w:after="45"/>
            </w:pPr>
            <w:r>
              <w:rPr>
                <w:sz w:val="15"/>
                <w:szCs w:val="15"/>
              </w:rPr>
              <w:t xml:space="preserve">Post-study therapies may have attenuated the observed treatment effect, with 20.7 percent of pembrolizumab and 28.1 percent of placebo patients receiving a subsequent PD-1 or PD-L1 inhibitor</w:t>
            </w:r>
          </w:p>
          <w:p>
            <w:pPr>
              <w:pStyle w:val="ListParagraph"/>
              <w:numPr>
                <w:ilvl w:val="0"/>
                <w:numId w:val="2"/>
              </w:numPr>
              <w:spacing w:after="45"/>
            </w:pPr>
            <w:r>
              <w:rPr>
                <w:sz w:val="15"/>
                <w:szCs w:val="15"/>
              </w:rPr>
              <w:t xml:space="preserve">The authors note that the availability of second-line options in Asia at the time constrained post-study therapy, and that pembrolizumab was not approved in mainland China for HCC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one-sided p value of 0.0180 sits 0.0013 below the prespecified boundary of 0.0193, so the trial's positive status depends on a margin narrower than the rounding in its own reported statistics; the post hoc unstratified sensitivity analysis gives a nominal p of 0.0156 with the same hazard ratio</w:t>
            </w:r>
          </w:p>
          <w:p>
            <w:pPr>
              <w:pStyle w:val="ListParagraph"/>
              <w:numPr>
                <w:ilvl w:val="0"/>
                <w:numId w:val="2"/>
              </w:numPr>
              <w:spacing w:after="45"/>
            </w:pPr>
            <w:r>
              <w:rPr>
                <w:sz w:val="15"/>
                <w:szCs w:val="15"/>
              </w:rPr>
              <w:t xml:space="preserve">The overall survival hazard ratio of 0.79 (0.63 to 0.99) is statistically indistinguishable from the 0.78 (0.61 to 1.00) that made the global KEYNOTE-240 trial negative, so the difference between a positive and a negative trial of the same drug in the same line is the alpha boundary rather than the effect, and the paper presents the similarity as corroboration</w:t>
            </w:r>
          </w:p>
          <w:p>
            <w:pPr>
              <w:pStyle w:val="ListParagraph"/>
              <w:numPr>
                <w:ilvl w:val="0"/>
                <w:numId w:val="2"/>
              </w:numPr>
              <w:spacing w:after="45"/>
            </w:pPr>
            <w:r>
              <w:rPr>
                <w:sz w:val="15"/>
                <w:szCs w:val="15"/>
              </w:rPr>
              <w:t xml:space="preserve">Median progression-free survival differs by 0.3 months (2.6 against 2.3) while the 12-month rates are 15.9 against 1.4 percent and the 18-month rates 11.8 against 0 percent, so the hazard ratio of 0.74 describes a tail of durable responders and conceals that most patients progress at the same time in both arms</w:t>
            </w:r>
          </w:p>
          <w:p>
            <w:pPr>
              <w:pStyle w:val="ListParagraph"/>
              <w:numPr>
                <w:ilvl w:val="0"/>
                <w:numId w:val="2"/>
              </w:numPr>
              <w:spacing w:after="45"/>
            </w:pPr>
            <w:r>
              <w:rPr>
                <w:sz w:val="15"/>
                <w:szCs w:val="15"/>
              </w:rPr>
              <w:t xml:space="preserve">The endpoints come from different datasets: progression-free survival and response were tested at the second interim analysis with a 30 June 2020 cutoff while overall survival is the final analysis a year later, and the abstract presents all three together as a single result</w:t>
            </w:r>
          </w:p>
          <w:p>
            <w:pPr>
              <w:pStyle w:val="ListParagraph"/>
              <w:numPr>
                <w:ilvl w:val="0"/>
                <w:numId w:val="2"/>
              </w:numPr>
              <w:spacing w:after="45"/>
            </w:pPr>
            <w:r>
              <w:rPr>
                <w:sz w:val="15"/>
                <w:szCs w:val="15"/>
              </w:rPr>
              <w:t xml:space="preserve">Randomisation strata were changed during enrolment, from prior treatment, macrovascular invasion and aetiology to macrovascular invasion, alpha-fetoprotein and region, and no sensitivity analysis using the original strata was performed because cells were too small</w:t>
            </w:r>
          </w:p>
          <w:p>
            <w:pPr>
              <w:pStyle w:val="ListParagraph"/>
              <w:numPr>
                <w:ilvl w:val="0"/>
                <w:numId w:val="2"/>
              </w:numPr>
              <w:spacing w:after="45"/>
            </w:pPr>
            <w:r>
              <w:rPr>
                <w:sz w:val="15"/>
                <w:szCs w:val="15"/>
              </w:rPr>
              <w:t xml:space="preserve">Aetiology was a stratification factor yet only six patients had hepatitis C, so one level of a balancing variable was effectively empty, and hepatitis status was taken from case-report forms on investigator assessment rather than central testing</w:t>
            </w:r>
          </w:p>
          <w:p>
            <w:pPr>
              <w:pStyle w:val="ListParagraph"/>
              <w:numPr>
                <w:ilvl w:val="0"/>
                <w:numId w:val="2"/>
              </w:numPr>
              <w:spacing w:after="45"/>
            </w:pPr>
            <w:r>
              <w:rPr>
                <w:sz w:val="15"/>
                <w:szCs w:val="15"/>
              </w:rPr>
              <w:t xml:space="preserve">Half the placebo arm and two thirds of the pembrolizumab arm received no further systemic therapy, and more placebo than pembrolizumab patients received subsequent checkpoint inhibition, so the control arm is neither untreated natural history nor contemporary care</w:t>
            </w:r>
          </w:p>
          <w:p>
            <w:pPr>
              <w:pStyle w:val="ListParagraph"/>
              <w:numPr>
                <w:ilvl w:val="0"/>
                <w:numId w:val="2"/>
              </w:numPr>
              <w:spacing w:after="45"/>
            </w:pPr>
            <w:r>
              <w:rPr>
                <w:sz w:val="15"/>
                <w:szCs w:val="15"/>
              </w:rPr>
              <w:t xml:space="preserve">Immune-mediated adverse events were adjudicated by sponsor review rather than by an independent committee, in a trial whose grade 5 treatment-related event rate was 1.0 percent against 0 percent on placebo</w:t>
            </w:r>
          </w:p>
          <w:p>
            <w:pPr>
              <w:pStyle w:val="ListParagraph"/>
              <w:numPr>
                <w:ilvl w:val="0"/>
                <w:numId w:val="2"/>
              </w:numPr>
              <w:spacing w:after="45"/>
            </w:pPr>
            <w:r>
              <w:rPr>
                <w:sz w:val="15"/>
                <w:szCs w:val="15"/>
              </w:rPr>
              <w:t xml:space="preserve">The population is narrow in ways that bear directly on transferability: about 85 percent from mainland China, roughly 80 percent hepatitis B positive, median age 54, all Child-Pugh A, and over 90 percent BCLC stage C</w:t>
            </w:r>
          </w:p>
          <w:p>
            <w:pPr>
              <w:pStyle w:val="ListParagraph"/>
              <w:numPr>
                <w:ilvl w:val="0"/>
                <w:numId w:val="2"/>
              </w:numPr>
              <w:spacing w:after="45"/>
            </w:pPr>
            <w:r>
              <w:rPr>
                <w:sz w:val="15"/>
                <w:szCs w:val="15"/>
              </w:rPr>
              <w:t xml:space="preserve">Roughly 80 percent of patients were enrolled in a country where the drug was not approved for this indication at publication, so the trial established a benefit the trial population could not then obtain</w:t>
            </w:r>
          </w:p>
          <w:p>
            <w:pPr>
              <w:pStyle w:val="ListParagraph"/>
              <w:numPr>
                <w:ilvl w:val="0"/>
                <w:numId w:val="2"/>
              </w:numPr>
              <w:spacing w:after="45"/>
            </w:pPr>
            <w:r>
              <w:rPr>
                <w:sz w:val="15"/>
                <w:szCs w:val="15"/>
              </w:rPr>
              <w:t xml:space="preserve">The comparator is placebo plus best supportive care after sorafenib, so the trial says nothing about single-agent PD-1 blockade after a first-line immunotherapy combination, which is the only sequence now in question</w:t>
            </w:r>
          </w:p>
        </w:tc>
      </w:tr>
    </w:tbl>
    <w:p>
      <w:pPr>
        <w:spacing w:after="0" w:line="276"/>
      </w:pPr>
      <w:r>
        <w:rPr>
          <w:color w:val="5A6069"/>
          <w:sz w:val="14"/>
          <w:szCs w:val="14"/>
        </w:rPr>
        <w:t xml:space="preserve">Funding: Sponsored by Merck Sharp and Dohme, with company employees among the authors and company-funded medical writing; immune-mediated adverse events were adjudicated by sponsor review</w:t>
      </w:r>
    </w:p>
    <w:p>
      <w:pPr>
        <w:keepNext/>
        <w:spacing w:after="50" w:before="260"/>
      </w:pPr>
      <w:r>
        <w:rPr>
          <w:rFonts w:ascii="Cambria" w:cs="Cambria" w:eastAsia="Cambria" w:hAnsi="Cambria"/>
          <w:b/>
          <w:bCs/>
          <w:color w:val="17365D"/>
          <w:sz w:val="20"/>
          <w:szCs w:val="20"/>
        </w:rPr>
        <w:t xml:space="preserve">LEAP-012</w:t>
      </w:r>
      <w:r>
        <w:rPr>
          <w:b/>
          <w:bCs/>
          <w:color w:val="176A87"/>
          <w:sz w:val="15"/>
          <w:szCs w:val="15"/>
        </w:rPr>
        <w:t xml:space="preserve">   Randomised trial</w:t>
      </w:r>
      <w:r>
        <w:rPr>
          <w:color w:val="5A6069"/>
          <w:sz w:val="15"/>
          <w:szCs w:val="15"/>
        </w:rPr>
        <w:t xml:space="preserve">   PMID 39798578</w:t>
      </w:r>
    </w:p>
    <w:p>
      <w:pPr>
        <w:spacing w:after="50" w:line="276"/>
      </w:pPr>
      <w:r>
        <w:rPr>
          <w:color w:val="5A6069"/>
          <w:sz w:val="17"/>
          <w:szCs w:val="17"/>
        </w:rPr>
        <w:t xml:space="preserve">Transarterial chemoembolisation combined with lenvatinib plus pembrolizumab versus dual placebo for unresectable, non-metastatic hepatocellular carcinoma (LEAP-012): a multicentre, randomised, double-blind, phase 3 study</w:t>
      </w:r>
    </w:p>
    <w:p>
      <w:pPr>
        <w:spacing w:after="50"/>
      </w:pPr>
      <w:r>
        <w:rPr>
          <w:b/>
          <w:bCs/>
          <w:color w:val="176A87"/>
          <w:sz w:val="16"/>
          <w:szCs w:val="16"/>
        </w:rPr>
        <w:t xml:space="preserve">Population. </w:t>
      </w:r>
      <w:r>
        <w:rPr>
          <w:sz w:val="16"/>
          <w:szCs w:val="16"/>
        </w:rPr>
        <w:t xml:space="preserve">480 of 847 screened patients with liver-confined unresectable HCC amenable to chemoembolisation, Child-Pugh A and ECOG 0 to 1, randomised 1:1 at 137 sites in 33 countries between May 2020 and January 2023 to lenvatinib plus pembrolizumab plus TACE (237) or dual placebo plus TACE (243); by BCLC stage 148 were A, 281 B and 50 C, and 72 percent were Asian</w:t>
      </w:r>
    </w:p>
    <w:p>
      <w:pPr>
        <w:spacing w:after="70"/>
      </w:pPr>
      <w:r>
        <w:rPr>
          <w:b/>
          <w:bCs/>
          <w:color w:val="17365D"/>
          <w:sz w:val="16"/>
          <w:szCs w:val="16"/>
        </w:rPr>
        <w:t xml:space="preserve">Bottom line. </w:t>
      </w:r>
      <w:r>
        <w:rPr>
          <w:sz w:val="16"/>
          <w:szCs w:val="16"/>
        </w:rPr>
        <w:t xml:space="preserve">LEAP-012 is the first trial to show that adding lenvatinib and pembrolizumab to chemoembolisation prolongs progression-free survival in liver-confined HCC (median 14.6 against 10.0 months, HR 0.66). Overall survival missed its boundary (HR 0.80, 95% CI 0.57 to 1.11, one-sided p = 0.087), the progression definition was written for this trial and lowers the placebo median when relaxed, and grade 3 or worse treatment-related events were 71 against 32 percent in a population nearly a third of whom were BCLC stage 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immature at this first interim analysis and did not cross its boundary, which the authors state</w:t>
            </w:r>
          </w:p>
          <w:p>
            <w:pPr>
              <w:pStyle w:val="ListParagraph"/>
              <w:numPr>
                <w:ilvl w:val="0"/>
                <w:numId w:val="2"/>
              </w:numPr>
              <w:spacing w:after="45"/>
            </w:pPr>
            <w:r>
              <w:rPr>
                <w:sz w:val="15"/>
                <w:szCs w:val="15"/>
              </w:rPr>
              <w:t xml:space="preserve">The planned sample size was reduced from 950 to 450 because of slow accrual during the COVID-19 pandemic, leaving about 79 percent power for the overall survival hazard ratio of 0.73 even at the final analysis</w:t>
            </w:r>
          </w:p>
          <w:p>
            <w:pPr>
              <w:pStyle w:val="ListParagraph"/>
              <w:numPr>
                <w:ilvl w:val="0"/>
                <w:numId w:val="2"/>
              </w:numPr>
              <w:spacing w:after="45"/>
            </w:pPr>
            <w:r>
              <w:rPr>
                <w:sz w:val="15"/>
                <w:szCs w:val="15"/>
              </w:rPr>
              <w:t xml:space="preserve">Transarterial radioembolisation was not permitted, so the control arm reflects chemoembolisation-dominant practice and the findings cannot be extended to radioembolisation</w:t>
            </w:r>
          </w:p>
          <w:p>
            <w:pPr>
              <w:pStyle w:val="ListParagraph"/>
              <w:numPr>
                <w:ilvl w:val="0"/>
                <w:numId w:val="2"/>
              </w:numPr>
              <w:spacing w:after="45"/>
            </w:pPr>
            <w:r>
              <w:rPr>
                <w:sz w:val="15"/>
                <w:szCs w:val="15"/>
              </w:rPr>
              <w:t xml:space="preserve">Race data could not be collected for 11 participants because participants in France cannot report race under local law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Progression was defined for this trial in ways that lengthen time to progression in both arms but bite harder on the control: up to five target liver lesions, new intrahepatic tumours required to meet LI-RADS 5 criteria, no progression recordable before the 9-week scan and none determined until chemoembolisation had reached all tumours; without the LI-RADS rule the placebo median falls to 8.4 months and most of the reported difference disappears</w:t>
            </w:r>
          </w:p>
          <w:p>
            <w:pPr>
              <w:pStyle w:val="ListParagraph"/>
              <w:numPr>
                <w:ilvl w:val="0"/>
                <w:numId w:val="2"/>
              </w:numPr>
              <w:spacing w:after="45"/>
            </w:pPr>
            <w:r>
              <w:rPr>
                <w:sz w:val="15"/>
                <w:szCs w:val="15"/>
              </w:rPr>
              <w:t xml:space="preserve">The trial is positive on a progression endpoint of its own construction while overall survival, the dual primary endpoint, missed its boundary at a hazard ratio of 0.80 whose confidence interval crosses 1, so nothing yet shows that patients live longer</w:t>
            </w:r>
          </w:p>
          <w:p>
            <w:pPr>
              <w:pStyle w:val="ListParagraph"/>
              <w:numPr>
                <w:ilvl w:val="0"/>
                <w:numId w:val="2"/>
              </w:numPr>
              <w:spacing w:after="45"/>
            </w:pPr>
            <w:r>
              <w:rPr>
                <w:sz w:val="15"/>
                <w:szCs w:val="15"/>
              </w:rPr>
              <w:t xml:space="preserve">Nearly a third of participants were BCLC stage A and a further 10 percent stage C, so fewer than 60 percent had the intermediate-stage disease for which chemoembolisation is indicated, and the stage A patients were exposed to the full toxicity of a doublet systemic regimen</w:t>
            </w:r>
          </w:p>
          <w:p>
            <w:pPr>
              <w:pStyle w:val="ListParagraph"/>
              <w:numPr>
                <w:ilvl w:val="0"/>
                <w:numId w:val="2"/>
              </w:numPr>
              <w:spacing w:after="45"/>
            </w:pPr>
            <w:r>
              <w:rPr>
                <w:sz w:val="15"/>
                <w:szCs w:val="15"/>
              </w:rPr>
              <w:t xml:space="preserve">Grade 3 or worse treatment-related events occurred in 71 against 32 percent, immune-mediated events in 48 percent, and there were four treatment-related deaths including hepatic failure and immune-mediated hepatitis, in a population whose disease is confined to the liver and in whom curative options may remain</w:t>
            </w:r>
          </w:p>
          <w:p>
            <w:pPr>
              <w:pStyle w:val="ListParagraph"/>
              <w:numPr>
                <w:ilvl w:val="0"/>
                <w:numId w:val="2"/>
              </w:numPr>
              <w:spacing w:after="45"/>
            </w:pPr>
            <w:r>
              <w:rPr>
                <w:sz w:val="15"/>
                <w:szCs w:val="15"/>
              </w:rPr>
              <w:t xml:space="preserve">Chemoembolisation technique was prespecified by site and could be conventional or drug-eluting bead, with split procedures allowed and a maximum of two treatments per tumour, so the control intervention is heterogeneous across 137 sites and its quality cannot be audited from the report</w:t>
            </w:r>
          </w:p>
          <w:p>
            <w:pPr>
              <w:pStyle w:val="ListParagraph"/>
              <w:numPr>
                <w:ilvl w:val="0"/>
                <w:numId w:val="2"/>
              </w:numPr>
              <w:spacing w:after="45"/>
            </w:pPr>
            <w:r>
              <w:rPr>
                <w:sz w:val="15"/>
                <w:szCs w:val="15"/>
              </w:rPr>
              <w:t xml:space="preserve">Seventy-two percent of participants were Asian and 65 percent had hepatitis B, so the population does not match the metabolic and alcohol-related disease that dominates Western chemoembolisation practice</w:t>
            </w:r>
          </w:p>
          <w:p>
            <w:pPr>
              <w:pStyle w:val="ListParagraph"/>
              <w:numPr>
                <w:ilvl w:val="0"/>
                <w:numId w:val="2"/>
              </w:numPr>
              <w:spacing w:after="45"/>
            </w:pPr>
            <w:r>
              <w:rPr>
                <w:sz w:val="15"/>
                <w:szCs w:val="15"/>
              </w:rPr>
              <w:t xml:space="preserve">Patient-reported outcomes and quality of life are not reported, which is what would justify a progression-free survival endpoint at these rates of toxicity</w:t>
            </w:r>
          </w:p>
          <w:p>
            <w:pPr>
              <w:pStyle w:val="ListParagraph"/>
              <w:numPr>
                <w:ilvl w:val="0"/>
                <w:numId w:val="2"/>
              </w:numPr>
              <w:spacing w:after="45"/>
            </w:pPr>
            <w:r>
              <w:rPr>
                <w:sz w:val="15"/>
                <w:szCs w:val="15"/>
              </w:rPr>
              <w:t xml:space="preserve">The result is the first of four planned interim analyses, final for progression-free survival only, so the trial's own structure means the progression endpoint can no longer be tested while survival testing continues</w:t>
            </w:r>
          </w:p>
          <w:p>
            <w:pPr>
              <w:pStyle w:val="ListParagraph"/>
              <w:numPr>
                <w:ilvl w:val="0"/>
                <w:numId w:val="2"/>
              </w:numPr>
              <w:spacing w:after="45"/>
            </w:pPr>
            <w:r>
              <w:rPr>
                <w:sz w:val="15"/>
                <w:szCs w:val="15"/>
              </w:rPr>
              <w:t xml:space="preserve">The funders designed the study, collected and analysed the data, interpreted it and wrote the report, and the paper's own running header misprints the publication year</w:t>
            </w:r>
          </w:p>
          <w:p>
            <w:pPr>
              <w:pStyle w:val="ListParagraph"/>
              <w:numPr>
                <w:ilvl w:val="0"/>
                <w:numId w:val="2"/>
              </w:numPr>
              <w:spacing w:after="45"/>
            </w:pPr>
            <w:r>
              <w:rPr>
                <w:sz w:val="15"/>
                <w:szCs w:val="15"/>
              </w:rPr>
              <w:t xml:space="preserve">There is no arm receiving systemic therapy without chemoembolisation, so the question a tumour board faces for a patient with high tumour burden, whether to add chemoembolisation to systemic therapy rather than the reverse, is untouched</w:t>
            </w:r>
          </w:p>
        </w:tc>
      </w:tr>
    </w:tbl>
    <w:p>
      <w:pPr>
        <w:spacing w:after="0" w:line="276"/>
      </w:pPr>
      <w:r>
        <w:rPr>
          <w:color w:val="5A6069"/>
          <w:sz w:val="14"/>
          <w:szCs w:val="14"/>
        </w:rPr>
        <w:t xml:space="preserve">Funding: Funded by Merck Sharp and Dohme and Eisai, which had a declared role in study design, data collection, analysis, interpretation and writing of the report</w:t>
      </w:r>
    </w:p>
    <w:p>
      <w:pPr>
        <w:keepNext/>
        <w:spacing w:after="50" w:before="260"/>
      </w:pPr>
      <w:r>
        <w:rPr>
          <w:rFonts w:ascii="Cambria" w:cs="Cambria" w:eastAsia="Cambria" w:hAnsi="Cambria"/>
          <w:b/>
          <w:bCs/>
          <w:color w:val="17365D"/>
          <w:sz w:val="20"/>
          <w:szCs w:val="20"/>
        </w:rPr>
        <w:t xml:space="preserve">LEAP-012 / EMERALD-1 commentary</w:t>
      </w:r>
      <w:r>
        <w:rPr>
          <w:b/>
          <w:bCs/>
          <w:color w:val="176A87"/>
          <w:sz w:val="15"/>
          <w:szCs w:val="15"/>
        </w:rPr>
        <w:t xml:space="preserve">   Review</w:t>
      </w:r>
      <w:r>
        <w:rPr>
          <w:color w:val="5A6069"/>
          <w:sz w:val="15"/>
          <w:szCs w:val="15"/>
        </w:rPr>
        <w:t xml:space="preserve">   PMID 41503570</w:t>
      </w:r>
    </w:p>
    <w:p>
      <w:pPr>
        <w:spacing w:after="50" w:line="276"/>
      </w:pPr>
      <w:r>
        <w:rPr>
          <w:color w:val="5A6069"/>
          <w:sz w:val="17"/>
          <w:szCs w:val="17"/>
        </w:rPr>
        <w:t xml:space="preserve">Impact of LEAP-012 and EMERALD-1 in the management of HCC</w:t>
      </w:r>
    </w:p>
    <w:p>
      <w:pPr>
        <w:spacing w:after="70"/>
      </w:pPr>
      <w:r>
        <w:rPr>
          <w:b/>
          <w:bCs/>
          <w:color w:val="17365D"/>
          <w:sz w:val="16"/>
          <w:szCs w:val="16"/>
        </w:rPr>
        <w:t xml:space="preserve">Bottom line. </w:t>
      </w:r>
      <w:r>
        <w:rPr>
          <w:sz w:val="16"/>
          <w:szCs w:val="16"/>
        </w:rPr>
        <w:t xml:space="preserve">A narrative review by two interventional radiologists, a hepatologist and a medical oncologist arguing that the progression-free survival gains in LEAP-012 and EMERALD-1 do not yet justify routine adoption of chemoembolisation plus immunotherapy without survival or quality-of-life data. Its most useful observation is that over 40 percent of each trial lay outside intermediate stage and that neither trial had a systemic-therapy-only arm, so the question of whether to add chemoembolisation to systemic therapy remains unasked.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Both trials enrolled heterogeneous populations spanning BCLC A to C, which the authors say may limit applicability to a well-defined intermediate-stage population</w:t>
            </w:r>
          </w:p>
          <w:p>
            <w:pPr>
              <w:pStyle w:val="ListParagraph"/>
              <w:numPr>
                <w:ilvl w:val="0"/>
                <w:numId w:val="2"/>
              </w:numPr>
              <w:spacing w:after="45"/>
            </w:pPr>
            <w:r>
              <w:rPr>
                <w:sz w:val="15"/>
                <w:szCs w:val="15"/>
              </w:rPr>
              <w:t xml:space="preserve">The authors note that BCLC A patients have a favourable prognosis and that the medicalisation required by these regimens may have conferred undue risk without commensurate benefit</w:t>
            </w:r>
          </w:p>
          <w:p>
            <w:pPr>
              <w:pStyle w:val="ListParagraph"/>
              <w:numPr>
                <w:ilvl w:val="0"/>
                <w:numId w:val="2"/>
              </w:numPr>
              <w:spacing w:after="45"/>
            </w:pPr>
            <w:r>
              <w:rPr>
                <w:sz w:val="15"/>
                <w:szCs w:val="15"/>
              </w:rPr>
              <w:t xml:space="preserve">Neither trial addressed whether adding locoregional therapy to systemic therapy improves outcomes, only the reverse</w:t>
            </w:r>
          </w:p>
          <w:p>
            <w:pPr>
              <w:pStyle w:val="ListParagraph"/>
              <w:numPr>
                <w:ilvl w:val="0"/>
                <w:numId w:val="2"/>
              </w:numPr>
              <w:spacing w:after="45"/>
            </w:pPr>
            <w:r>
              <w:rPr>
                <w:sz w:val="15"/>
                <w:szCs w:val="15"/>
              </w:rPr>
              <w:t xml:space="preserve">Chemoembolisation modality, technique and selectivity were variably reported in both trials</w:t>
            </w:r>
          </w:p>
          <w:p>
            <w:pPr>
              <w:pStyle w:val="ListParagraph"/>
              <w:numPr>
                <w:ilvl w:val="0"/>
                <w:numId w:val="2"/>
              </w:numPr>
              <w:spacing w:after="45"/>
            </w:pPr>
            <w:r>
              <w:rPr>
                <w:sz w:val="15"/>
                <w:szCs w:val="15"/>
              </w:rPr>
              <w:t xml:space="preserve">Delayed initiation of bevacizumab in EMERALD-1 may have blunted its effect</w:t>
            </w:r>
          </w:p>
          <w:p>
            <w:pPr>
              <w:pStyle w:val="ListParagraph"/>
              <w:numPr>
                <w:ilvl w:val="0"/>
                <w:numId w:val="2"/>
              </w:numPr>
              <w:spacing w:after="45"/>
            </w:pPr>
            <w:r>
              <w:rPr>
                <w:sz w:val="15"/>
                <w:szCs w:val="15"/>
              </w:rPr>
              <w:t xml:space="preserve">Progression-free survival is not a validated surrogate for overall survival in this setting</w:t>
            </w:r>
          </w:p>
          <w:p>
            <w:pPr>
              <w:pStyle w:val="ListParagraph"/>
              <w:numPr>
                <w:ilvl w:val="0"/>
                <w:numId w:val="2"/>
              </w:numPr>
              <w:spacing w:after="45"/>
            </w:pPr>
            <w:r>
              <w:rPr>
                <w:sz w:val="15"/>
                <w:szCs w:val="15"/>
              </w:rPr>
              <w:t xml:space="preserve">Quality-of-life data had not been reported for either trial at the time of writing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 is an expert narrative with no systematic search, no inclusion criteria and no evidence grading, so its appraisal cannot be separated from the judgment of its four authors</w:t>
            </w:r>
          </w:p>
          <w:p>
            <w:pPr>
              <w:pStyle w:val="ListParagraph"/>
              <w:numPr>
                <w:ilvl w:val="0"/>
                <w:numId w:val="2"/>
              </w:numPr>
              <w:spacing w:after="45"/>
            </w:pPr>
            <w:r>
              <w:rPr>
                <w:sz w:val="15"/>
                <w:szCs w:val="15"/>
              </w:rPr>
              <w:t xml:space="preserve">All four authors declare consultancy or advisory relationships with the manufacturers of both regimens under review, so the only published independent-sounding appraisal of these trials is written by people paid by their sponsors</w:t>
            </w:r>
          </w:p>
          <w:p>
            <w:pPr>
              <w:pStyle w:val="ListParagraph"/>
              <w:numPr>
                <w:ilvl w:val="0"/>
                <w:numId w:val="2"/>
              </w:numPr>
              <w:spacing w:after="45"/>
            </w:pPr>
            <w:r>
              <w:rPr>
                <w:sz w:val="15"/>
                <w:szCs w:val="15"/>
              </w:rPr>
              <w:t xml:space="preserve">The review disclaims cross-trial comparison and then tabulates the two trials side by side, although they differ in eligibility (Child-Pugh B7 and Vp1 to Vp2 invasion allowed in one and excluded in the other), in chemoembolisation schedule and in the sequencing of the systemic agents, so the table invites the comparison the text forbids</w:t>
            </w:r>
          </w:p>
          <w:p>
            <w:pPr>
              <w:pStyle w:val="ListParagraph"/>
              <w:numPr>
                <w:ilvl w:val="0"/>
                <w:numId w:val="2"/>
              </w:numPr>
              <w:spacing w:after="45"/>
            </w:pPr>
            <w:r>
              <w:rPr>
                <w:sz w:val="15"/>
                <w:szCs w:val="15"/>
              </w:rPr>
              <w:t xml:space="preserve">The RECIST version 1.1 response figures are internally inconsistent across the paper: Table 1 gives 44 against 30 percent and 47 against 37 percent, the body text gives 41.0, 43.6 and 29.8 percent and 47 against 33 percent, and Figure 2 gives 43.6 against 29.6 and 46.8 against 33.3 percent, so a reader cannot establish from the review what either trial's response rate was</w:t>
            </w:r>
          </w:p>
          <w:p>
            <w:pPr>
              <w:pStyle w:val="ListParagraph"/>
              <w:numPr>
                <w:ilvl w:val="0"/>
                <w:numId w:val="2"/>
              </w:numPr>
              <w:spacing w:after="45"/>
            </w:pPr>
            <w:r>
              <w:rPr>
                <w:sz w:val="15"/>
                <w:szCs w:val="15"/>
              </w:rPr>
              <w:t xml:space="preserve">Figure 2's own panel misprints the progression-free survival confidence interval as 12.6 to 10.0 and the hazard ratio confidence interval as 0.15 to 0.84, neither of which is a possible interval</w:t>
            </w:r>
          </w:p>
          <w:p>
            <w:pPr>
              <w:pStyle w:val="ListParagraph"/>
              <w:numPr>
                <w:ilvl w:val="0"/>
                <w:numId w:val="2"/>
              </w:numPr>
              <w:spacing w:after="45"/>
            </w:pPr>
            <w:r>
              <w:rPr>
                <w:sz w:val="15"/>
                <w:szCs w:val="15"/>
              </w:rPr>
              <w:t xml:space="preserve">The review states that quality-of-life data are needed to justify a progression-free survival endpoint at these toxicity rates and then reaches a practice conclusion without them, so its own standard of evidence is not met by its own recommendation</w:t>
            </w:r>
          </w:p>
          <w:p>
            <w:pPr>
              <w:pStyle w:val="ListParagraph"/>
              <w:numPr>
                <w:ilvl w:val="0"/>
                <w:numId w:val="2"/>
              </w:numPr>
              <w:spacing w:after="45"/>
            </w:pPr>
            <w:r>
              <w:rPr>
                <w:sz w:val="15"/>
                <w:szCs w:val="15"/>
              </w:rPr>
              <w:t xml:space="preserve">The alternative it raises, giving the same drugs sequentially after progression rather than concurrently, is never tested against any data, and no trial addressing it is identified</w:t>
            </w:r>
          </w:p>
          <w:p>
            <w:pPr>
              <w:pStyle w:val="ListParagraph"/>
              <w:numPr>
                <w:ilvl w:val="0"/>
                <w:numId w:val="2"/>
              </w:numPr>
              <w:spacing w:after="45"/>
            </w:pPr>
            <w:r>
              <w:rPr>
                <w:sz w:val="15"/>
                <w:szCs w:val="15"/>
              </w:rPr>
              <w:t xml:space="preserve">The review takes the regulatory approval of both regimens as the context for its scepticism but offers no analysis of the regulatory reasoning, so the reader is left with a disagreement between the authors and the agencies rather than an argument that settles it</w:t>
            </w:r>
          </w:p>
          <w:p>
            <w:pPr>
              <w:pStyle w:val="ListParagraph"/>
              <w:numPr>
                <w:ilvl w:val="0"/>
                <w:numId w:val="2"/>
              </w:numPr>
              <w:spacing w:after="45"/>
            </w:pPr>
            <w:r>
              <w:rPr>
                <w:sz w:val="15"/>
                <w:szCs w:val="15"/>
              </w:rPr>
              <w:t xml:space="preserve">No formal assessment of either trial's risk of bias is attempted, in a review whose central claim is that the trials' endpoints are insufficient</w:t>
            </w:r>
          </w:p>
        </w:tc>
      </w:tr>
    </w:tbl>
    <w:p>
      <w:pPr>
        <w:spacing w:after="0" w:line="276"/>
      </w:pPr>
      <w:r>
        <w:rPr>
          <w:color w:val="5A6069"/>
          <w:sz w:val="14"/>
          <w:szCs w:val="14"/>
        </w:rPr>
        <w:t xml:space="preserve">Funding: No funding statement is identified for the review; all four authors declare consultancy or advisory relationships with the sponsors of the regimens reviewed, including AstraZeneca, Merck, Eisai, Genentech and Boston Scientific</w:t>
      </w:r>
    </w:p>
    <w:p>
      <w:pPr>
        <w:keepNext/>
        <w:spacing w:after="50" w:before="260"/>
      </w:pPr>
      <w:r>
        <w:rPr>
          <w:rFonts w:ascii="Cambria" w:cs="Cambria" w:eastAsia="Cambria" w:hAnsi="Cambria"/>
          <w:b/>
          <w:bCs/>
          <w:color w:val="17365D"/>
          <w:sz w:val="20"/>
          <w:szCs w:val="20"/>
        </w:rPr>
        <w:t xml:space="preserve">LEGACY</w:t>
      </w:r>
      <w:r>
        <w:rPr>
          <w:b/>
          <w:bCs/>
          <w:color w:val="176A87"/>
          <w:sz w:val="15"/>
          <w:szCs w:val="15"/>
        </w:rPr>
        <w:t xml:space="preserve">   cohort</w:t>
      </w:r>
      <w:r>
        <w:rPr>
          <w:color w:val="5A6069"/>
          <w:sz w:val="15"/>
          <w:szCs w:val="15"/>
        </w:rPr>
        <w:t xml:space="preserve">   PMID 33739462</w:t>
      </w:r>
    </w:p>
    <w:p>
      <w:pPr>
        <w:spacing w:after="50" w:line="276"/>
      </w:pPr>
      <w:r>
        <w:rPr>
          <w:color w:val="5A6069"/>
          <w:sz w:val="17"/>
          <w:szCs w:val="17"/>
        </w:rPr>
        <w:t xml:space="preserve">Yttrium-90 Radioembolization for the Treatment of Solitary, Unresectable HCC: The LEGACY Study</w:t>
      </w:r>
    </w:p>
    <w:p>
      <w:pPr>
        <w:spacing w:after="50"/>
      </w:pPr>
      <w:r>
        <w:rPr>
          <w:b/>
          <w:bCs/>
          <w:color w:val="176A87"/>
          <w:sz w:val="16"/>
          <w:szCs w:val="16"/>
        </w:rPr>
        <w:t xml:space="preserve">Population. </w:t>
      </w:r>
      <w:r>
        <w:rPr>
          <w:sz w:val="16"/>
          <w:szCs w:val="16"/>
        </w:rPr>
        <w:t xml:space="preserve">162 consecutive patients with a solitary HCC of 8 cm or less and Child-Pugh A cirrhosis treated with Y-90 glass microspheres at three US centres between January 2014 and December 2017; median tumour diameter 2.7 cm with 62 percent under 3 cm, median absorbed dose 410 Gy, and 45 patients (28 percent) subsequently transplanted or resected</w:t>
      </w:r>
    </w:p>
    <w:p>
      <w:pPr>
        <w:spacing w:after="70"/>
      </w:pPr>
      <w:r>
        <w:rPr>
          <w:b/>
          <w:bCs/>
          <w:color w:val="17365D"/>
          <w:sz w:val="16"/>
          <w:szCs w:val="16"/>
        </w:rPr>
        <w:t xml:space="preserve">Bottom line. </w:t>
      </w:r>
      <w:r>
        <w:rPr>
          <w:sz w:val="16"/>
          <w:szCs w:val="16"/>
        </w:rPr>
        <w:t xml:space="preserve">LEGACY is the retrospective single-arm series that supported FDA premarket approval of TheraSphere for solitary unresectable HCC, reporting an 88.3 percent objective response by localised mRECIST with 62.2 percent lasting at least 6 months and 3-year survival of 86.6 percent. It has no comparator, the primary endpoint scores only the treated zone and falls to 46.3 percent by RECIST 1.1, and 28 percent of patients went on to transplantation or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lack of a control arm and limited sample size compared with systemic therapy trials, all stated by the authors</w:t>
            </w:r>
          </w:p>
          <w:p>
            <w:pPr>
              <w:pStyle w:val="ListParagraph"/>
              <w:numPr>
                <w:ilvl w:val="0"/>
                <w:numId w:val="2"/>
              </w:numPr>
              <w:spacing w:after="45"/>
            </w:pPr>
            <w:r>
              <w:rPr>
                <w:sz w:val="15"/>
                <w:szCs w:val="15"/>
              </w:rPr>
              <w:t xml:space="preserve">The authors state that overall survival could have been a primary endpoint but that BCLC A studies are difficult because of the long natural history and effective post-progression treatments, so a surrogate was used</w:t>
            </w:r>
          </w:p>
          <w:p>
            <w:pPr>
              <w:pStyle w:val="ListParagraph"/>
              <w:numPr>
                <w:ilvl w:val="0"/>
                <w:numId w:val="2"/>
              </w:numPr>
              <w:spacing w:after="45"/>
            </w:pPr>
            <w:r>
              <w:rPr>
                <w:sz w:val="15"/>
                <w:szCs w:val="15"/>
              </w:rPr>
              <w:t xml:space="preserve">The authors note that 39.5 percent of patients were classed BCLC C only because of an ECOG score of 1 from cancer-related symptoms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localised mRECIST, scores only the treated zone, which near-guarantees a high figure for an ablative segmental dose; the same patients show 46.3 percent confirmed response by RECIST 1.1, so the headline number is a property of the metric as much as of the treatment</w:t>
            </w:r>
          </w:p>
          <w:p>
            <w:pPr>
              <w:pStyle w:val="ListParagraph"/>
              <w:numPr>
                <w:ilvl w:val="0"/>
                <w:numId w:val="2"/>
              </w:numPr>
              <w:spacing w:after="45"/>
            </w:pPr>
            <w:r>
              <w:rPr>
                <w:sz w:val="15"/>
                <w:szCs w:val="15"/>
              </w:rPr>
              <w:t xml:space="preserve">Twenty-eight percent of patients went on to transplantation or resection, so the 3-year survival of 86.6 percent cannot be attributed to radioembolisation and the paper reports no analysis censoring or excluding those patients</w:t>
            </w:r>
          </w:p>
          <w:p>
            <w:pPr>
              <w:pStyle w:val="ListParagraph"/>
              <w:numPr>
                <w:ilvl w:val="0"/>
                <w:numId w:val="2"/>
              </w:numPr>
              <w:spacing w:after="45"/>
            </w:pPr>
            <w:r>
              <w:rPr>
                <w:sz w:val="15"/>
                <w:szCs w:val="15"/>
              </w:rPr>
              <w:t xml:space="preserve">The population is selected on every axis that favours the result: solitary tumour, Child-Pugh A only, no prior therapy, no vascular invasion, median diameter 2.7 cm and nearly two thirds under 3 cm, which is the size range in which thermal ablation is already curative</w:t>
            </w:r>
          </w:p>
          <w:p>
            <w:pPr>
              <w:pStyle w:val="ListParagraph"/>
              <w:numPr>
                <w:ilvl w:val="0"/>
                <w:numId w:val="2"/>
              </w:numPr>
              <w:spacing w:after="45"/>
            </w:pPr>
            <w:r>
              <w:rPr>
                <w:sz w:val="15"/>
                <w:szCs w:val="15"/>
              </w:rPr>
              <w:t xml:space="preserve">The 400 Gy threshold dose the paper proposes for an ablative effect comes from a subset dose-pathology correlation within this same uncontrolled cohort, so a dose threshold is derived and endorsed in the series that generated it</w:t>
            </w:r>
          </w:p>
          <w:p>
            <w:pPr>
              <w:pStyle w:val="ListParagraph"/>
              <w:numPr>
                <w:ilvl w:val="0"/>
                <w:numId w:val="2"/>
              </w:numPr>
              <w:spacing w:after="45"/>
            </w:pPr>
            <w:r>
              <w:rPr>
                <w:sz w:val="15"/>
                <w:szCs w:val="15"/>
              </w:rPr>
              <w:t xml:space="preserve">Two of the reported figures are internally impossible as printed, a median progression-free survival given as 57.9 percent with a confidence interval of 40.7 to 57.9 and a median overall survival given as reached at 57.9 with a confidence interval of not estimable to not estimable</w:t>
            </w:r>
          </w:p>
          <w:p>
            <w:pPr>
              <w:pStyle w:val="ListParagraph"/>
              <w:numPr>
                <w:ilvl w:val="0"/>
                <w:numId w:val="2"/>
              </w:numPr>
              <w:spacing w:after="45"/>
            </w:pPr>
            <w:r>
              <w:rPr>
                <w:sz w:val="15"/>
                <w:szCs w:val="15"/>
              </w:rPr>
              <w:t xml:space="preserve">The Discussion imports the DOSISPHERE-01 survival figures of 26.6 against 10.7 months to argue for personalised dosimetry, which belong to a different trial in locally advanced disease and not to this cohort</w:t>
            </w:r>
          </w:p>
          <w:p>
            <w:pPr>
              <w:pStyle w:val="ListParagraph"/>
              <w:numPr>
                <w:ilvl w:val="0"/>
                <w:numId w:val="2"/>
              </w:numPr>
              <w:spacing w:after="45"/>
            </w:pPr>
            <w:r>
              <w:rPr>
                <w:sz w:val="15"/>
                <w:szCs w:val="15"/>
              </w:rPr>
              <w:t xml:space="preserve">A single-arm retrospective series became the basis of a premarket approval, so the device's approved indication rests on a design that cannot compare it with ablation, resection or chemoembolisation in the same patients</w:t>
            </w:r>
          </w:p>
          <w:p>
            <w:pPr>
              <w:pStyle w:val="ListParagraph"/>
              <w:numPr>
                <w:ilvl w:val="0"/>
                <w:numId w:val="2"/>
              </w:numPr>
              <w:spacing w:after="45"/>
            </w:pPr>
            <w:r>
              <w:rPr>
                <w:sz w:val="15"/>
                <w:szCs w:val="15"/>
              </w:rPr>
              <w:t xml:space="preserve">The sponsor funded the study and supplied the statistical support, scientific input, trial management and medical writing, two authors are its employees holding stock, and the independent central review and auditing the paper offers as strengths were commissioned within that arrangement</w:t>
            </w:r>
          </w:p>
          <w:p>
            <w:pPr>
              <w:pStyle w:val="ListParagraph"/>
              <w:numPr>
                <w:ilvl w:val="0"/>
                <w:numId w:val="2"/>
              </w:numPr>
              <w:spacing w:after="45"/>
            </w:pPr>
            <w:r>
              <w:rPr>
                <w:sz w:val="15"/>
                <w:szCs w:val="15"/>
              </w:rPr>
              <w:t xml:space="preserve">Eighteen percent of patients were over 75 and 39.5 percent were labelled BCLC C on performance status alone, so the cohort mixes patients whose staging reflects symptoms rather than tumour extent with the very early tumours that drive the response rate</w:t>
            </w:r>
          </w:p>
        </w:tc>
      </w:tr>
    </w:tbl>
    <w:p>
      <w:pPr>
        <w:spacing w:after="0" w:line="276"/>
      </w:pPr>
      <w:r>
        <w:rPr>
          <w:color w:val="5A6069"/>
          <w:sz w:val="14"/>
          <w:szCs w:val="14"/>
        </w:rPr>
        <w:t xml:space="preserve">Funding: Funded by Boston Scientific, which also supplied statistical support, scientific input, trial management and medical writing; two authors are company employees holding stock and most other authors consult for the sponsor</w:t>
      </w:r>
    </w:p>
    <w:p>
      <w:pPr>
        <w:keepNext/>
        <w:spacing w:after="50" w:before="260"/>
      </w:pPr>
      <w:r>
        <w:rPr>
          <w:rFonts w:ascii="Cambria" w:cs="Cambria" w:eastAsia="Cambria" w:hAnsi="Cambria"/>
          <w:b/>
          <w:bCs/>
          <w:color w:val="17365D"/>
          <w:sz w:val="20"/>
          <w:szCs w:val="20"/>
        </w:rPr>
        <w:t xml:space="preserve">Livraghi</w:t>
      </w:r>
      <w:r>
        <w:rPr>
          <w:b/>
          <w:bCs/>
          <w:color w:val="176A87"/>
          <w:sz w:val="15"/>
          <w:szCs w:val="15"/>
        </w:rPr>
        <w:t xml:space="preserve">   cohort</w:t>
      </w:r>
      <w:r>
        <w:rPr>
          <w:color w:val="5A6069"/>
          <w:sz w:val="15"/>
          <w:szCs w:val="15"/>
        </w:rPr>
        <w:t xml:space="preserve">   PMID 18008357</w:t>
      </w:r>
    </w:p>
    <w:p>
      <w:pPr>
        <w:spacing w:after="50" w:line="276"/>
      </w:pPr>
      <w:r>
        <w:rPr>
          <w:color w:val="5A6069"/>
          <w:sz w:val="17"/>
          <w:szCs w:val="17"/>
        </w:rPr>
        <w:t xml:space="preserve">Sustained Complete Response and Complications Rates After Radiofrequency Ablation of Very Early Hepatocellular Carcinoma in Cirrhosis: Is Resection Still the Treatment of Choice?</w:t>
      </w:r>
    </w:p>
    <w:p>
      <w:pPr>
        <w:spacing w:after="50"/>
      </w:pPr>
      <w:r>
        <w:rPr>
          <w:b/>
          <w:bCs/>
          <w:color w:val="176A87"/>
          <w:sz w:val="16"/>
          <w:szCs w:val="16"/>
        </w:rPr>
        <w:t xml:space="preserve">Population. </w:t>
      </w:r>
      <w:r>
        <w:rPr>
          <w:sz w:val="16"/>
          <w:szCs w:val="16"/>
        </w:rPr>
        <w:t xml:space="preserve">218 of 232 eligible patients with a single HCC of 2.0 cm or less and Child-Pugh A cirrhosis, treated by percutaneous radiofrequency ablation at 5 Italian departments between October 1995 and June 2006; 100 were retrospectively judged potentially operable</w:t>
      </w:r>
    </w:p>
    <w:p>
      <w:pPr>
        <w:spacing w:after="70"/>
      </w:pPr>
      <w:r>
        <w:rPr>
          <w:b/>
          <w:bCs/>
          <w:color w:val="17365D"/>
          <w:sz w:val="16"/>
          <w:szCs w:val="16"/>
        </w:rPr>
        <w:t xml:space="preserve">Bottom line. </w:t>
      </w:r>
      <w:r>
        <w:rPr>
          <w:sz w:val="16"/>
          <w:szCs w:val="16"/>
        </w:rPr>
        <w:t xml:space="preserve">A multicentre cohort showing that radiofrequency ablation of a single HCC of 2 cm or less achieves sustained complete local response in 97.2 percent with no mortality and a 1.8 percent major complication rate. The 68 percent 5-year survival used to argue that ablation can replace resection belongs to a retrospectively defined operable subgroup of 100 patients, not to the cohort, whose 5-year survival was 55 percent with 80 percent recurrence and 20 percent disease-free survival; there is no control group and the authors argue the randomised trial that would settle it is not feasible.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comparison with surgery is historical, drawn from three surgical series, and the authors acknowledge the well-known limitations of historical comparison</w:t>
            </w:r>
          </w:p>
          <w:p>
            <w:pPr>
              <w:pStyle w:val="ListParagraph"/>
              <w:numPr>
                <w:ilvl w:val="0"/>
                <w:numId w:val="2"/>
              </w:numPr>
              <w:spacing w:after="45"/>
            </w:pPr>
            <w:r>
              <w:rPr>
                <w:sz w:val="15"/>
                <w:szCs w:val="15"/>
              </w:rPr>
              <w:t xml:space="preserve">Fourteen of 232 eligible patients (6.0 percent) could not be treated because the tumour was poorly visible on ultrasound or lay next to bowel or main bile ducts</w:t>
            </w:r>
          </w:p>
          <w:p>
            <w:pPr>
              <w:pStyle w:val="ListParagraph"/>
              <w:numPr>
                <w:ilvl w:val="0"/>
                <w:numId w:val="2"/>
              </w:numPr>
              <w:spacing w:after="45"/>
            </w:pPr>
            <w:r>
              <w:rPr>
                <w:sz w:val="15"/>
                <w:szCs w:val="15"/>
              </w:rPr>
              <w:t xml:space="preserve">Three of the treatment failures occurred next to a large vessel, which the authors attribute to heat loss in the ablation zone</w:t>
            </w:r>
          </w:p>
          <w:p>
            <w:pPr>
              <w:pStyle w:val="ListParagraph"/>
              <w:numPr>
                <w:ilvl w:val="0"/>
                <w:numId w:val="2"/>
              </w:numPr>
              <w:spacing w:after="45"/>
            </w:pPr>
            <w:r>
              <w:rPr>
                <w:sz w:val="15"/>
                <w:szCs w:val="15"/>
              </w:rPr>
              <w:t xml:space="preserve">The authors state that a randomised trial of ablation against resection below 2 cm would need a very large sample and is probably not feasible</w:t>
            </w:r>
          </w:p>
          <w:p>
            <w:pPr>
              <w:pStyle w:val="ListParagraph"/>
              <w:numPr>
                <w:ilvl w:val="0"/>
                <w:numId w:val="2"/>
              </w:numPr>
              <w:spacing w:after="45"/>
            </w:pPr>
            <w:r>
              <w:rPr>
                <w:sz w:val="15"/>
                <w:szCs w:val="15"/>
              </w:rPr>
              <w:t xml:space="preserve">The authors concede that the high overall recurrence rate shows it is the natural history of the cirrhotic liver, not the first treatment, that governs prognosis, and that all published survival curves reflect repeated multimodal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68 percent 5-year survival in the abstract and conclusion is that of the 100 patients retrospectively judged operable; the whole cohort's figure of 55 percent appears only once in the Results and never in the abstract, so the number set against surgical series is a selected subgroup</w:t>
            </w:r>
          </w:p>
          <w:p>
            <w:pPr>
              <w:pStyle w:val="ListParagraph"/>
              <w:numPr>
                <w:ilvl w:val="0"/>
                <w:numId w:val="2"/>
              </w:numPr>
              <w:spacing w:after="45"/>
            </w:pPr>
            <w:r>
              <w:rPr>
                <w:sz w:val="15"/>
                <w:szCs w:val="15"/>
              </w:rPr>
              <w:t xml:space="preserve">Operability was assigned by the authors from age 75 or under, alanine transferase under three times normal, bilirubin under 1.5 and absence of portal hypertension, with no surgeon assessing any patient, and operability was not an independent predictor of survival once adjusted (HR 0.63, 95% CI 0.31 to 1.26, p = 0.192), so the subgroup that carries the headline does not survive multivariable analysis</w:t>
            </w:r>
          </w:p>
          <w:p>
            <w:pPr>
              <w:pStyle w:val="ListParagraph"/>
              <w:numPr>
                <w:ilvl w:val="0"/>
                <w:numId w:val="2"/>
              </w:numPr>
              <w:spacing w:after="45"/>
            </w:pPr>
            <w:r>
              <w:rPr>
                <w:sz w:val="15"/>
                <w:szCs w:val="15"/>
              </w:rPr>
              <w:t xml:space="preserve">Three different complete-response figures appear in the same paper: 216 of 218 (97.2 percent) in the abstract, 214 of 218 (98.1 percent) complete radiological necrosis in the Results and 212 of 218 (97.2 percent) sustained complete local response; 216 of 218 is 99.1 percent, so the abstract's numerator and percentage do not correspond</w:t>
            </w:r>
          </w:p>
          <w:p>
            <w:pPr>
              <w:pStyle w:val="ListParagraph"/>
              <w:numPr>
                <w:ilvl w:val="0"/>
                <w:numId w:val="2"/>
              </w:numPr>
              <w:spacing w:after="45"/>
            </w:pPr>
            <w:r>
              <w:rPr>
                <w:sz w:val="15"/>
                <w:szCs w:val="15"/>
              </w:rPr>
              <w:t xml:space="preserve">The classification boundary creates the result: enhancement within the ablation zone or up to 2.0 cm from its border is local recurrence, anything beyond 2.0 cm is a new lesion, which yields a 0.9 percent local recurrence rate in a cohort where 80 percent of patients recurred somewhere in the liver</w:t>
            </w:r>
          </w:p>
          <w:p>
            <w:pPr>
              <w:pStyle w:val="ListParagraph"/>
              <w:numPr>
                <w:ilvl w:val="0"/>
                <w:numId w:val="2"/>
              </w:numPr>
              <w:spacing w:after="45"/>
            </w:pPr>
            <w:r>
              <w:rPr>
                <w:sz w:val="15"/>
                <w:szCs w:val="15"/>
              </w:rPr>
              <w:t xml:space="preserve">Disease-free survival of 26 percent at 3 years and 20 percent at 5 years is computed on 82 patients rather than 218, and the paper never states which 82 or why, while quoting confidence intervals as wide as 7 to 36 percent</w:t>
            </w:r>
          </w:p>
          <w:p>
            <w:pPr>
              <w:pStyle w:val="ListParagraph"/>
              <w:numPr>
                <w:ilvl w:val="0"/>
                <w:numId w:val="2"/>
              </w:numPr>
              <w:spacing w:after="45"/>
            </w:pPr>
            <w:r>
              <w:rPr>
                <w:sz w:val="15"/>
                <w:szCs w:val="15"/>
              </w:rPr>
              <w:t xml:space="preserve">The 14 patients excluded for poor ultrasound visibility or a high-risk location are precisely the tumours in which ablation fails and resection is straightforward, so the local-control endpoint is measured on ground selected to favour the technique; the paper also states that 218 of 232 is 93.3 percent when it is 94.0 percent</w:t>
            </w:r>
          </w:p>
          <w:p>
            <w:pPr>
              <w:pStyle w:val="ListParagraph"/>
              <w:numPr>
                <w:ilvl w:val="0"/>
                <w:numId w:val="2"/>
              </w:numPr>
              <w:spacing w:after="45"/>
            </w:pPr>
            <w:r>
              <w:rPr>
                <w:sz w:val="15"/>
                <w:szCs w:val="15"/>
              </w:rPr>
              <w:t xml:space="preserve">Technique was not standardised in any respect: five departments used at least four different electrode systems, including a 1.5 cm laterally deployed spiral, with power and exposure left to manufacturer recommendation and operator preference, and adequacy was judged by the extent of a hyperechoic cloud rather than by a measured margin on post-treatment imaging</w:t>
            </w:r>
          </w:p>
          <w:p>
            <w:pPr>
              <w:pStyle w:val="ListParagraph"/>
              <w:numPr>
                <w:ilvl w:val="0"/>
                <w:numId w:val="2"/>
              </w:numPr>
              <w:spacing w:after="45"/>
            </w:pPr>
            <w:r>
              <w:rPr>
                <w:sz w:val="15"/>
                <w:szCs w:val="15"/>
              </w:rPr>
              <w:t xml:space="preserve">Pathological confirmation of the 97.2 percent local response consists of the explants of the 3 patients who were transplanted and censored at transplantation, so 215 of 218 local responses rest on contrast CT alone, with follow-up imaging only every 4 to 6 months</w:t>
            </w:r>
          </w:p>
          <w:p>
            <w:pPr>
              <w:pStyle w:val="ListParagraph"/>
              <w:numPr>
                <w:ilvl w:val="0"/>
                <w:numId w:val="2"/>
              </w:numPr>
              <w:spacing w:after="45"/>
            </w:pPr>
            <w:r>
              <w:rPr>
                <w:sz w:val="15"/>
                <w:szCs w:val="15"/>
              </w:rPr>
              <w:t xml:space="preserve">Patients with any prospect of transplantation were excluded by design, so the cohort systematically omits the patients in whom the choice between ablation and resection carries the greatest consequence, and the authors justify this by Italian organ scarcity rather than by the clinical question</w:t>
            </w:r>
          </w:p>
          <w:p>
            <w:pPr>
              <w:pStyle w:val="ListParagraph"/>
              <w:numPr>
                <w:ilvl w:val="0"/>
                <w:numId w:val="2"/>
              </w:numPr>
              <w:spacing w:after="45"/>
            </w:pPr>
            <w:r>
              <w:rPr>
                <w:sz w:val="15"/>
                <w:szCs w:val="15"/>
              </w:rPr>
              <w:t xml:space="preserve">The only significant multivariable predictor of survival is the appearance of new lesions during follow-up (HR 1.97, 1.13 to 3.5), a post-treatment event entered as a predictor of a survival time it partly determines, and alpha-fetoprotein could not be analysed at all because only 11 patients had raised values, so the model contains no measure of tumour biology</w:t>
            </w:r>
          </w:p>
          <w:p>
            <w:pPr>
              <w:pStyle w:val="ListParagraph"/>
              <w:numPr>
                <w:ilvl w:val="0"/>
                <w:numId w:val="2"/>
              </w:numPr>
              <w:spacing w:after="45"/>
            </w:pPr>
            <w:r>
              <w:rPr>
                <w:sz w:val="15"/>
                <w:szCs w:val="15"/>
              </w:rPr>
              <w:t xml:space="preserve">Median follow-up was 31 months against 3- and 5-year endpoints in a cohort followed from 6 to 134 months, and no at-risk numbers appear under any survival curve</w:t>
            </w:r>
          </w:p>
          <w:p>
            <w:pPr>
              <w:pStyle w:val="ListParagraph"/>
              <w:numPr>
                <w:ilvl w:val="0"/>
                <w:numId w:val="2"/>
              </w:numPr>
              <w:spacing w:after="45"/>
            </w:pPr>
            <w:r>
              <w:rPr>
                <w:sz w:val="15"/>
                <w:szCs w:val="15"/>
              </w:rPr>
              <w:t xml:space="preserve">The surgical mortality the paper contrasts with its own 0 percent is a literature mean of 5 percent spanning 0 to 15 percent across series from different decades and countries, while the Italian hepatitis C surveillance population here (83.9 percent HCV, mean age 68, 44 percent female, 21.5 percent over 75) is compared with Japanese surgical cohorts</w:t>
            </w:r>
          </w:p>
          <w:p>
            <w:pPr>
              <w:pStyle w:val="ListParagraph"/>
              <w:numPr>
                <w:ilvl w:val="0"/>
                <w:numId w:val="2"/>
              </w:numPr>
              <w:spacing w:after="45"/>
            </w:pPr>
            <w:r>
              <w:rPr>
                <w:sz w:val="15"/>
                <w:szCs w:val="15"/>
              </w:rPr>
              <w:t xml:space="preserve">One of the four major complications is hyperbilirubinaemia lasting a month, and one is neoplastic seeding, so the 1.8 percent figure that anchors the safety argument contains a tumour implant from the procedure itself</w:t>
            </w:r>
          </w:p>
          <w:p>
            <w:pPr>
              <w:pStyle w:val="ListParagraph"/>
              <w:numPr>
                <w:ilvl w:val="0"/>
                <w:numId w:val="2"/>
              </w:numPr>
              <w:spacing w:after="45"/>
            </w:pPr>
            <w:r>
              <w:rPr>
                <w:sz w:val="15"/>
                <w:szCs w:val="15"/>
              </w:rPr>
              <w:t xml:space="preserve">The paper concludes that ablation should be the treatment of choice even when resection is possible, a statement of superiority drawn from an uncontrolled cohort by authors who in the same Discussion declare the controlled test of it unfeasible</w:t>
            </w:r>
          </w:p>
        </w:tc>
      </w:tr>
    </w:tbl>
    <w:p>
      <w:pPr>
        <w:spacing w:after="0" w:line="276"/>
      </w:pPr>
      <w:r>
        <w:rPr>
          <w:color w:val="5A6069"/>
          <w:sz w:val="14"/>
          <w:szCs w:val="14"/>
        </w:rPr>
        <w:t xml:space="preserve">Funding: No funding statement appears; the authors declare no potential conflict of interest</w:t>
      </w:r>
    </w:p>
    <w:p>
      <w:pPr>
        <w:keepNext/>
        <w:spacing w:after="50" w:before="260"/>
      </w:pPr>
      <w:r>
        <w:rPr>
          <w:rFonts w:ascii="Cambria" w:cs="Cambria" w:eastAsia="Cambria" w:hAnsi="Cambria"/>
          <w:b/>
          <w:bCs/>
          <w:color w:val="17365D"/>
          <w:sz w:val="20"/>
          <w:szCs w:val="20"/>
        </w:rPr>
        <w:t xml:space="preserve">MERITS-LT</w:t>
      </w:r>
      <w:r>
        <w:rPr>
          <w:b/>
          <w:bCs/>
          <w:color w:val="176A87"/>
          <w:sz w:val="15"/>
          <w:szCs w:val="15"/>
        </w:rPr>
        <w:t xml:space="preserve">   cohort</w:t>
      </w:r>
      <w:r>
        <w:rPr>
          <w:color w:val="5A6069"/>
          <w:sz w:val="15"/>
          <w:szCs w:val="15"/>
        </w:rPr>
        <w:t xml:space="preserve">   PMID 34331914</w:t>
      </w:r>
    </w:p>
    <w:p>
      <w:pPr>
        <w:spacing w:after="50" w:line="276"/>
      </w:pPr>
      <w:r>
        <w:rPr>
          <w:color w:val="5A6069"/>
          <w:sz w:val="17"/>
          <w:szCs w:val="17"/>
        </w:rPr>
        <w:t xml:space="preserve">Downstaging Outcomes for Hepatocellular Carcinoma: Results From the Multicenter Evaluation of Reduction in Tumor Size before Liver Transplantation (MERITS-LT) Consortium</w:t>
      </w:r>
    </w:p>
    <w:p>
      <w:pPr>
        <w:spacing w:after="50"/>
      </w:pPr>
      <w:r>
        <w:rPr>
          <w:b/>
          <w:bCs/>
          <w:color w:val="176A87"/>
          <w:sz w:val="16"/>
          <w:szCs w:val="16"/>
        </w:rPr>
        <w:t xml:space="preserve">Population. </w:t>
      </w:r>
      <w:r>
        <w:rPr>
          <w:sz w:val="16"/>
          <w:szCs w:val="16"/>
        </w:rPr>
        <w:t xml:space="preserve">209 consecutive patients meeting UNOS down-staging eligibility criteria at 7 US transplant centres in 4 UNOS regions, enrolled 2016 to 2019 from 324 with eligible tumour burden; 174 were successfully down-staged, 75 dropped out and 63 reached transplantation</w:t>
      </w:r>
    </w:p>
    <w:p>
      <w:pPr>
        <w:spacing w:after="70"/>
      </w:pPr>
      <w:r>
        <w:rPr>
          <w:b/>
          <w:bCs/>
          <w:color w:val="17365D"/>
          <w:sz w:val="16"/>
          <w:szCs w:val="16"/>
        </w:rPr>
        <w:t xml:space="preserve">Bottom line. </w:t>
      </w:r>
      <w:r>
        <w:rPr>
          <w:sz w:val="16"/>
          <w:szCs w:val="16"/>
        </w:rPr>
        <w:t xml:space="preserve">The first prospective multiregional test of the UNOS down-staging protocol: 83 percent of 209 patients were down-staged to within Milan criteria, 2-year cumulative dropout was 37.3 percent, 46.6 percent reached transplantation by 3 years and 2-year post-transplant survival was 95 percent, with no detectable difference between chemoembolisation and Y-90. The finding that matters is the 42.8 percent of explants beyond Milan criteria, which shows that imaging-defined down-staging does not reliably identify the tumour it claims to; post-transplant follow-up was a median 1.7 years in 63 patients, and the TACE-versus-Y-90 comparison is unadjusted and confounded.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Short post-transplant follow-up in a relatively small number of transplanted patients; the authors state it will take another 2 to 3 years to report the survival and recurrence data that would confirm efficacy</w:t>
            </w:r>
          </w:p>
          <w:p>
            <w:pPr>
              <w:pStyle w:val="ListParagraph"/>
              <w:numPr>
                <w:ilvl w:val="0"/>
                <w:numId w:val="2"/>
              </w:numPr>
              <w:spacing w:after="45"/>
            </w:pPr>
            <w:r>
              <w:rPr>
                <w:sz w:val="15"/>
                <w:szCs w:val="15"/>
              </w:rPr>
              <w:t xml:space="preserve">Three of the ten intended centres from two further UNOS regions could not supply data and were removed from the consortium, reducing power and applicability</w:t>
            </w:r>
          </w:p>
          <w:p>
            <w:pPr>
              <w:pStyle w:val="ListParagraph"/>
              <w:numPr>
                <w:ilvl w:val="0"/>
                <w:numId w:val="2"/>
              </w:numPr>
              <w:spacing w:after="45"/>
            </w:pPr>
            <w:r>
              <w:rPr>
                <w:sz w:val="15"/>
                <w:szCs w:val="15"/>
              </w:rPr>
              <w:t xml:space="preserve">The study was performed before the median-MELD-at-transplant-minus-3 allocation rule, so it cannot describe current waiting-list behaviour or access</w:t>
            </w:r>
          </w:p>
          <w:p>
            <w:pPr>
              <w:pStyle w:val="ListParagraph"/>
              <w:numPr>
                <w:ilvl w:val="0"/>
                <w:numId w:val="2"/>
              </w:numPr>
              <w:spacing w:after="45"/>
            </w:pPr>
            <w:r>
              <w:rPr>
                <w:sz w:val="15"/>
                <w:szCs w:val="15"/>
              </w:rPr>
              <w:t xml:space="preserve">Referral bias is possible because patients treated with locoregional therapy in the community who then progressed may never have been referred for transplantation</w:t>
            </w:r>
          </w:p>
          <w:p>
            <w:pPr>
              <w:pStyle w:val="ListParagraph"/>
              <w:numPr>
                <w:ilvl w:val="0"/>
                <w:numId w:val="2"/>
              </w:numPr>
              <w:spacing w:after="45"/>
            </w:pPr>
            <w:r>
              <w:rPr>
                <w:sz w:val="15"/>
                <w:szCs w:val="15"/>
              </w:rPr>
              <w:t xml:space="preserve">Centre-specific differences in the choice of first locoregional therapy persisted, ranging from 36 to 90 percent chemoembolisation across the 7 centres</w:t>
            </w:r>
          </w:p>
          <w:p>
            <w:pPr>
              <w:pStyle w:val="ListParagraph"/>
              <w:numPr>
                <w:ilvl w:val="0"/>
                <w:numId w:val="2"/>
              </w:numPr>
              <w:spacing w:after="45"/>
            </w:pPr>
            <w:r>
              <w:rPr>
                <w:sz w:val="15"/>
                <w:szCs w:val="15"/>
              </w:rPr>
              <w:t xml:space="preserve">Not all patients had AFP-L3, des-gamma-carboxyprothrombin or neutrophil-lymphocyte ratio measured at baseline, which the authors state limits the biomarker analysis</w:t>
            </w:r>
          </w:p>
          <w:p>
            <w:pPr>
              <w:pStyle w:val="ListParagraph"/>
              <w:numPr>
                <w:ilvl w:val="0"/>
                <w:numId w:val="2"/>
              </w:numPr>
              <w:spacing w:after="45"/>
            </w:pPr>
            <w:r>
              <w:rPr>
                <w:sz w:val="15"/>
                <w:szCs w:val="15"/>
              </w:rPr>
              <w:t xml:space="preserve">The authors concede that down-staging to within Milan criteria should be regarded as only a minimum requirement, given the under-staging 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population is conditional on transplant candidacy, not on tumour burden: 115 of 324 patients (35.5 percent) with eligible tumours were excluded for medical or psychosocial contraindications, decompensation with AFP above 1000 ng/mL, or bilirubin above 4, so the 83 percent success rate does not describe the patients a tumour board would consider for down-staging</w:t>
            </w:r>
          </w:p>
          <w:p>
            <w:pPr>
              <w:pStyle w:val="ListParagraph"/>
              <w:numPr>
                <w:ilvl w:val="0"/>
                <w:numId w:val="2"/>
              </w:numPr>
              <w:spacing w:after="45"/>
            </w:pPr>
            <w:r>
              <w:rPr>
                <w:sz w:val="15"/>
                <w:szCs w:val="15"/>
              </w:rPr>
              <w:t xml:space="preserve">Patients removed from the protocol for a non-liver medical contraindication, loss of interest or non-compliance were censored at delisting rather than counted as failures, so the analysis called intention-to-treat does not include the commonest competing routes out of the pathway</w:t>
            </w:r>
          </w:p>
          <w:p>
            <w:pPr>
              <w:pStyle w:val="ListParagraph"/>
              <w:numPr>
                <w:ilvl w:val="0"/>
                <w:numId w:val="2"/>
              </w:numPr>
              <w:spacing w:after="45"/>
            </w:pPr>
            <w:r>
              <w:rPr>
                <w:sz w:val="15"/>
                <w:szCs w:val="15"/>
              </w:rPr>
              <w:t xml:space="preserve">mRECIST response was assessed a median of 4.3 weeks after chemoembolisation but 6.3 weeks after Y-90 (p = 0.03), and radiation response is known to be delayed, so the central claim that the two treatments produced similar response compares measurements made at systematically different times</w:t>
            </w:r>
          </w:p>
          <w:p>
            <w:pPr>
              <w:pStyle w:val="ListParagraph"/>
              <w:numPr>
                <w:ilvl w:val="0"/>
                <w:numId w:val="2"/>
              </w:numPr>
              <w:spacing w:after="45"/>
            </w:pPr>
            <w:r>
              <w:rPr>
                <w:sz w:val="15"/>
                <w:szCs w:val="15"/>
              </w:rPr>
              <w:t xml:space="preserve">The chemoembolisation-versus-Y-90 comparison is non-randomised with large baseline imbalance (male 92.4 versus 72.6 percent, p &lt; 0.001; multifocal disease 75.8 versus 51.6 percent, p = 0.003; MELD p = 0.04) and the choice was driven by centre (p = 0.001), yet every comparison is reported as an unadjusted p value and interpreted as no difference</w:t>
            </w:r>
          </w:p>
          <w:p>
            <w:pPr>
              <w:pStyle w:val="ListParagraph"/>
              <w:numPr>
                <w:ilvl w:val="0"/>
                <w:numId w:val="2"/>
              </w:numPr>
              <w:spacing w:after="45"/>
            </w:pPr>
            <w:r>
              <w:rPr>
                <w:sz w:val="15"/>
                <w:szCs w:val="15"/>
              </w:rPr>
              <w:t xml:space="preserve">The explant comparison that most favours Y-90 rests on 13 explants: 4 of 13 completely necrotic and 3 of 13 beyond Milan criteria against 9 of 44 and 19 of 44 for chemoembolisation, differences the paper describes in the Discussion while reporting p values of 0.44 and 0.76</w:t>
            </w:r>
          </w:p>
          <w:p>
            <w:pPr>
              <w:pStyle w:val="ListParagraph"/>
              <w:numPr>
                <w:ilvl w:val="0"/>
                <w:numId w:val="2"/>
              </w:numPr>
              <w:spacing w:after="45"/>
            </w:pPr>
            <w:r>
              <w:rPr>
                <w:sz w:val="15"/>
                <w:szCs w:val="15"/>
              </w:rPr>
              <w:t xml:space="preserve">15 patients (7.2 percent) received some other first locoregional therapy and are silently dropped, so the comparison covers 194 of 209 patients without the omission being stated</w:t>
            </w:r>
          </w:p>
          <w:p>
            <w:pPr>
              <w:pStyle w:val="ListParagraph"/>
              <w:numPr>
                <w:ilvl w:val="0"/>
                <w:numId w:val="2"/>
              </w:numPr>
              <w:spacing w:after="45"/>
            </w:pPr>
            <w:r>
              <w:rPr>
                <w:sz w:val="15"/>
                <w:szCs w:val="15"/>
              </w:rPr>
              <w:t xml:space="preserve">HCC was never confirmed by biopsy at any of the seven institutions and nodules under 1 cm were not counted, so both the entry tumour burden and the down-staging endpoint rest on imaging in a study whose headline result is that imaging understaged 42.8 percent of explants</w:t>
            </w:r>
          </w:p>
          <w:p>
            <w:pPr>
              <w:pStyle w:val="ListParagraph"/>
              <w:numPr>
                <w:ilvl w:val="0"/>
                <w:numId w:val="2"/>
              </w:numPr>
              <w:spacing w:after="45"/>
            </w:pPr>
            <w:r>
              <w:rPr>
                <w:sz w:val="15"/>
                <w:szCs w:val="15"/>
              </w:rPr>
              <w:t xml:space="preserve">AFP-L3 of 10 percent or more, the only independent dropout predictor, was measured in 83 of 209 patients (40 percent) and yields a sub-hazard ratio of 3.7 with a confidence interval from 1.27 to 10.79 from a model containing two covariates, selected from univariable screening at p &lt; 0.1</w:t>
            </w:r>
          </w:p>
          <w:p>
            <w:pPr>
              <w:pStyle w:val="ListParagraph"/>
              <w:numPr>
                <w:ilvl w:val="0"/>
                <w:numId w:val="2"/>
              </w:numPr>
              <w:spacing w:after="45"/>
            </w:pPr>
            <w:r>
              <w:rPr>
                <w:sz w:val="15"/>
                <w:szCs w:val="15"/>
              </w:rPr>
              <w:t xml:space="preserve">Nearly half the cohort came from two centres (68 patients, 32.5 percent, and 33 patients, 15.8 percent), and no model in the paper includes a centre-level random effect or fixed effect despite demonstrated centre-driven treatment choice</w:t>
            </w:r>
          </w:p>
          <w:p>
            <w:pPr>
              <w:pStyle w:val="ListParagraph"/>
              <w:numPr>
                <w:ilvl w:val="0"/>
                <w:numId w:val="2"/>
              </w:numPr>
              <w:spacing w:after="45"/>
            </w:pPr>
            <w:r>
              <w:rPr>
                <w:sz w:val="15"/>
                <w:szCs w:val="15"/>
              </w:rPr>
              <w:t xml:space="preserve">43.2 percent of the dropouts for tumour progression occurred during the mandatory 6-month wait before MELD exception points, so nearly half the progression events happened before the patient could be prioritised; the paper treats the waiting rule as biological selection rather than as an access barrier that the data could quantify</w:t>
            </w:r>
          </w:p>
          <w:p>
            <w:pPr>
              <w:pStyle w:val="ListParagraph"/>
              <w:numPr>
                <w:ilvl w:val="0"/>
                <w:numId w:val="2"/>
              </w:numPr>
              <w:spacing w:after="45"/>
            </w:pPr>
            <w:r>
              <w:rPr>
                <w:sz w:val="15"/>
                <w:szCs w:val="15"/>
              </w:rPr>
              <w:t xml:space="preserve">The abstract reports dropout as 37.3 percent and the Results as 35.9 percent without explaining that the first is the 2-year competing-risk estimate and the second the crude proportion, and the two figures are used interchangeably in the Discussion</w:t>
            </w:r>
          </w:p>
          <w:p>
            <w:pPr>
              <w:pStyle w:val="ListParagraph"/>
              <w:numPr>
                <w:ilvl w:val="0"/>
                <w:numId w:val="2"/>
              </w:numPr>
              <w:spacing w:after="45"/>
            </w:pPr>
            <w:r>
              <w:rPr>
                <w:sz w:val="15"/>
                <w:szCs w:val="15"/>
              </w:rPr>
              <w:t xml:space="preserve">Post-transplant survival of 100 percent at 1 year and 95 percent at 2 years falls to 83.1 percent by 3 years in the same 63 patients, and the abstract and lay summary quote only the 2-year figure</w:t>
            </w:r>
          </w:p>
          <w:p>
            <w:pPr>
              <w:pStyle w:val="ListParagraph"/>
              <w:numPr>
                <w:ilvl w:val="0"/>
                <w:numId w:val="2"/>
              </w:numPr>
              <w:spacing w:after="45"/>
            </w:pPr>
            <w:r>
              <w:rPr>
                <w:sz w:val="15"/>
                <w:szCs w:val="15"/>
              </w:rPr>
              <w:t xml:space="preserve">The study is presented as validating the UNOS policy, but the protocol being validated is the authors' own UCSF and Region 5 protocol that UNOS adopted, the validation was done by the same group at seven experienced high-volume centres, and the prognostic score used as the benchmark (RETREAT) is also the first author's</w:t>
            </w:r>
          </w:p>
          <w:p>
            <w:pPr>
              <w:pStyle w:val="ListParagraph"/>
              <w:numPr>
                <w:ilvl w:val="0"/>
                <w:numId w:val="2"/>
              </w:numPr>
              <w:spacing w:after="45"/>
            </w:pPr>
            <w:r>
              <w:rPr>
                <w:sz w:val="15"/>
                <w:szCs w:val="15"/>
              </w:rPr>
              <w:t xml:space="preserve">The first and senior authors hold advisory roles and institutional research funding from Wako Diagnostics, whose assays measure AFP-L3 and des-gamma-carboxyprothrombin, the two biomarkers the paper advances as candidates for selection</w:t>
            </w:r>
          </w:p>
        </w:tc>
      </w:tr>
    </w:tbl>
    <w:p>
      <w:pPr>
        <w:spacing w:after="0" w:line="276"/>
      </w:pPr>
      <w:r>
        <w:rPr>
          <w:color w:val="5A6069"/>
          <w:sz w:val="14"/>
          <w:szCs w:val="14"/>
        </w:rPr>
        <w:t xml:space="preserve">Funding: Supported in part by a National Institutes of Health grant to the UCSF Liver Center (P30 DK026743); the first author reports advisory boards for and institutional research funding from Wako Diagnostics plus funding from Glycotest and Target PharmaSolutions, the senior author institutional funding from Wako Diagnostics, and two further authors multiple industry relationships</w:t>
      </w:r>
    </w:p>
    <w:p>
      <w:pPr>
        <w:keepNext/>
        <w:spacing w:after="50" w:before="260"/>
      </w:pPr>
      <w:r>
        <w:rPr>
          <w:rFonts w:ascii="Cambria" w:cs="Cambria" w:eastAsia="Cambria" w:hAnsi="Cambria"/>
          <w:b/>
          <w:bCs/>
          <w:color w:val="17365D"/>
          <w:sz w:val="20"/>
          <w:szCs w:val="20"/>
        </w:rPr>
        <w:t xml:space="preserve">Milan criteria</w:t>
      </w:r>
      <w:r>
        <w:rPr>
          <w:b/>
          <w:bCs/>
          <w:color w:val="176A87"/>
          <w:sz w:val="15"/>
          <w:szCs w:val="15"/>
        </w:rPr>
        <w:t xml:space="preserve">   cohort</w:t>
      </w:r>
      <w:r>
        <w:rPr>
          <w:color w:val="5A6069"/>
          <w:sz w:val="15"/>
          <w:szCs w:val="15"/>
        </w:rPr>
        <w:t xml:space="preserve">   PMID 8594428</w:t>
      </w:r>
    </w:p>
    <w:p>
      <w:pPr>
        <w:spacing w:after="50" w:line="276"/>
      </w:pPr>
      <w:r>
        <w:rPr>
          <w:color w:val="5A6069"/>
          <w:sz w:val="17"/>
          <w:szCs w:val="17"/>
        </w:rPr>
        <w:t xml:space="preserve">Liver Transplantation for the Treatment of Small Hepatocellular Carcinomas in Patients with Cirrhosis</w:t>
      </w:r>
    </w:p>
    <w:p>
      <w:pPr>
        <w:spacing w:after="50"/>
      </w:pPr>
      <w:r>
        <w:rPr>
          <w:b/>
          <w:bCs/>
          <w:color w:val="176A87"/>
          <w:sz w:val="16"/>
          <w:szCs w:val="16"/>
        </w:rPr>
        <w:t xml:space="preserve">Population. </w:t>
      </w:r>
      <w:r>
        <w:rPr>
          <w:sz w:val="16"/>
          <w:szCs w:val="16"/>
        </w:rPr>
        <w:t xml:space="preserve">48 patients with cirrhosis and unresectable early-stage HCC transplanted between January 1991 and December 1994, drawn from 60 listed and 295 patients with HCC seen at one Milan centre; 35 of the 48 were confirmed within the tumour limits on explant pathology</w:t>
      </w:r>
    </w:p>
    <w:p>
      <w:pPr>
        <w:spacing w:after="70"/>
      </w:pPr>
      <w:r>
        <w:rPr>
          <w:b/>
          <w:bCs/>
          <w:color w:val="17365D"/>
          <w:sz w:val="16"/>
          <w:szCs w:val="16"/>
        </w:rPr>
        <w:t xml:space="preserve">Bottom line. </w:t>
      </w:r>
      <w:r>
        <w:rPr>
          <w:sz w:val="16"/>
          <w:szCs w:val="16"/>
        </w:rPr>
        <w:t xml:space="preserve">Establishes that transplantation can give 75 percent four-year survival and 83 percent recurrence-free survival in cirrhotic patients with a single HCC of 5 cm or less or up to three nodules of 3 cm or less, and that tumours exceeding those limits do much worse. It does not validate the limits as a selection rule, because they were applied to explant pathology in the same 48 patients that generated them, with only four recurrences, no external cohort, and no analysis from the point of listing.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With only four recurrences the analyses of T stage, nodule number, alpha-fetoprotein and capsule had very low power, which the authors state explicitly in the Results</w:t>
            </w:r>
          </w:p>
          <w:p>
            <w:pPr>
              <w:pStyle w:val="ListParagraph"/>
              <w:numPr>
                <w:ilvl w:val="0"/>
                <w:numId w:val="2"/>
              </w:numPr>
              <w:spacing w:after="45"/>
            </w:pPr>
            <w:r>
              <w:rPr>
                <w:sz w:val="15"/>
                <w:szCs w:val="15"/>
              </w:rPr>
              <w:t xml:space="preserve">27 percent of tumours were assigned too low a stage before surgery despite angiography and CT arterial portography, so preoperative staging did not identify the group that did well</w:t>
            </w:r>
          </w:p>
          <w:p>
            <w:pPr>
              <w:pStyle w:val="ListParagraph"/>
              <w:numPr>
                <w:ilvl w:val="0"/>
                <w:numId w:val="2"/>
              </w:numPr>
              <w:spacing w:after="45"/>
            </w:pPr>
            <w:r>
              <w:rPr>
                <w:sz w:val="15"/>
                <w:szCs w:val="15"/>
              </w:rPr>
              <w:t xml:space="preserve">The study does not address transplantation versus resection for a small resectable HCC: unresectability was a requirement for entering the trial, as the authors state</w:t>
            </w:r>
          </w:p>
          <w:p>
            <w:pPr>
              <w:pStyle w:val="ListParagraph"/>
              <w:numPr>
                <w:ilvl w:val="0"/>
                <w:numId w:val="2"/>
              </w:numPr>
              <w:spacing w:after="45"/>
            </w:pPr>
            <w:r>
              <w:rPr>
                <w:sz w:val="15"/>
                <w:szCs w:val="15"/>
              </w:rPr>
              <w:t xml:space="preserve">Pre-transplant chemoembolisation was not randomly assigned but given only when liver function was not seriously impaired, so the comparison of treated and untreated patients is confounded, as the authors concede</w:t>
            </w:r>
          </w:p>
          <w:p>
            <w:pPr>
              <w:pStyle w:val="ListParagraph"/>
              <w:numPr>
                <w:ilvl w:val="0"/>
                <w:numId w:val="2"/>
              </w:numPr>
              <w:spacing w:after="45"/>
            </w:pPr>
            <w:r>
              <w:rPr>
                <w:sz w:val="15"/>
                <w:szCs w:val="15"/>
              </w:rPr>
              <w:t xml:space="preserve">Recurrence-free survival rises above overall survival after three years because recurrence was excluded at autopsy in some patients who died and because data were censored earlier, an artefact the authors note</w:t>
            </w:r>
          </w:p>
          <w:p>
            <w:pPr>
              <w:pStyle w:val="ListParagraph"/>
              <w:numPr>
                <w:ilvl w:val="0"/>
                <w:numId w:val="2"/>
              </w:numPr>
              <w:spacing w:after="45"/>
            </w:pPr>
            <w:r>
              <w:rPr>
                <w:sz w:val="15"/>
                <w:szCs w:val="15"/>
              </w:rPr>
              <w:t xml:space="preserve">The authors state the results need confirmation by others and that transplantation should be offered only for unresectable tumours until randomised data exist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is counted from transplantation, not from listing: of 60 patients listed, 1 died waiting and 11 were still waiting at the census date, and none of the 12 appear in any survival analysis, so the figures describe the patients who got a graft rather than the patients selected by the criteria</w:t>
            </w:r>
          </w:p>
          <w:p>
            <w:pPr>
              <w:pStyle w:val="ListParagraph"/>
              <w:numPr>
                <w:ilvl w:val="0"/>
                <w:numId w:val="2"/>
              </w:numPr>
              <w:spacing w:after="45"/>
            </w:pPr>
            <w:r>
              <w:rPr>
                <w:sz w:val="15"/>
                <w:szCs w:val="15"/>
              </w:rPr>
              <w:t xml:space="preserve">The 85 percent versus 50 percent comparison is a comparison of correctly staged against understaged patients, not a test of the criteria: the limits were set before enrolment but assessed only on the explanted liver, so the division is made after the organ has been used and cannot be reproduced prospectively</w:t>
            </w:r>
          </w:p>
          <w:p>
            <w:pPr>
              <w:pStyle w:val="ListParagraph"/>
              <w:numPr>
                <w:ilvl w:val="0"/>
                <w:numId w:val="2"/>
              </w:numPr>
              <w:spacing w:after="45"/>
            </w:pPr>
            <w:r>
              <w:rPr>
                <w:sz w:val="15"/>
                <w:szCs w:val="15"/>
              </w:rPr>
              <w:t xml:space="preserve">The four-year estimates rest on almost no one at risk: Figure 1 shows 5 patients at risk at 48 months and Figure 3 shows 3 criteria-met and 3 criteria-not-met patients at risk at that point, with no confidence interval given on either survival difference</w:t>
            </w:r>
          </w:p>
          <w:p>
            <w:pPr>
              <w:pStyle w:val="ListParagraph"/>
              <w:numPr>
                <w:ilvl w:val="0"/>
                <w:numId w:val="2"/>
              </w:numPr>
              <w:spacing w:after="45"/>
            </w:pPr>
            <w:r>
              <w:rPr>
                <w:sz w:val="15"/>
                <w:szCs w:val="15"/>
              </w:rPr>
              <w:t xml:space="preserve">The whole prognostic separation is driven by four recurrence events in 48 patients, three of them in the understaged group; no multivariable model is fitted and no adjustment is made for the fact that the understaged group also had larger and more numerous tumours</w:t>
            </w:r>
          </w:p>
          <w:p>
            <w:pPr>
              <w:pStyle w:val="ListParagraph"/>
              <w:numPr>
                <w:ilvl w:val="0"/>
                <w:numId w:val="2"/>
              </w:numPr>
              <w:spacing w:after="45"/>
            </w:pPr>
            <w:r>
              <w:rPr>
                <w:sz w:val="15"/>
                <w:szCs w:val="15"/>
              </w:rPr>
              <w:t xml:space="preserve">Only 2 of the 8 deaths were from recurrent cancer; the rest were perioperative bleeding, sepsis, pulmonary embolism, recurrent HBV, post-transplant lymphoproliferative disease and chronic rejection with aspergillosis, so overall survival in this cohort measures transplant mortality more than tumour biology</w:t>
            </w:r>
          </w:p>
          <w:p>
            <w:pPr>
              <w:pStyle w:val="ListParagraph"/>
              <w:numPr>
                <w:ilvl w:val="0"/>
                <w:numId w:val="2"/>
              </w:numPr>
              <w:spacing w:after="45"/>
            </w:pPr>
            <w:r>
              <w:rPr>
                <w:sz w:val="15"/>
                <w:szCs w:val="15"/>
              </w:rPr>
              <w:t xml:space="preserve">The three patients who died within one month were counted as recurrence-free on the stated assumption that they had not lived long enough to recur, which moves early deaths into the favourable column of the recurrence-free endpoint</w:t>
            </w:r>
          </w:p>
          <w:p>
            <w:pPr>
              <w:pStyle w:val="ListParagraph"/>
              <w:numPr>
                <w:ilvl w:val="0"/>
                <w:numId w:val="2"/>
              </w:numPr>
              <w:spacing w:after="45"/>
            </w:pPr>
            <w:r>
              <w:rPr>
                <w:sz w:val="15"/>
                <w:szCs w:val="15"/>
              </w:rPr>
              <w:t xml:space="preserve">Diagnosis of HCC was accepted on an alpha-fetoprotein above 300 ng/mL without biopsy in some patients, and 15 patients had a single lesion of 2 cm or less, so the cohort may include nodules that were not HCC while the explant series reports a median tumour diameter of only 1.5 cm</w:t>
            </w:r>
          </w:p>
          <w:p>
            <w:pPr>
              <w:pStyle w:val="ListParagraph"/>
              <w:numPr>
                <w:ilvl w:val="0"/>
                <w:numId w:val="2"/>
              </w:numPr>
              <w:spacing w:after="45"/>
            </w:pPr>
            <w:r>
              <w:rPr>
                <w:sz w:val="15"/>
                <w:szCs w:val="15"/>
              </w:rPr>
              <w:t xml:space="preserve">Explant pathology, which defines the within-criteria group, was read after 26 of 48 patients had received one to four cycles of lipiodol chemoembolisation; treatment that shrinks or devitalises nodules will move patients into the favourable group, and no sensitivity analysis excluding the pretreated patients is offered</w:t>
            </w:r>
          </w:p>
          <w:p>
            <w:pPr>
              <w:pStyle w:val="ListParagraph"/>
              <w:numPr>
                <w:ilvl w:val="0"/>
                <w:numId w:val="2"/>
              </w:numPr>
              <w:spacing w:after="45"/>
            </w:pPr>
            <w:r>
              <w:rPr>
                <w:sz w:val="15"/>
                <w:szCs w:val="15"/>
              </w:rPr>
              <w:t xml:space="preserve">Vascular invasion and nodal metastasis were found in none of the 48 explants, which is implausible for a series with up to 11 nodules per liver and suggests the pathological protocol (1 cm slices, hilar nodes only) was not sensitive to microvascular invasion, the very feature used to justify the limits</w:t>
            </w:r>
          </w:p>
          <w:p>
            <w:pPr>
              <w:pStyle w:val="ListParagraph"/>
              <w:numPr>
                <w:ilvl w:val="0"/>
                <w:numId w:val="2"/>
              </w:numPr>
              <w:spacing w:after="45"/>
            </w:pPr>
            <w:r>
              <w:rPr>
                <w:sz w:val="15"/>
                <w:szCs w:val="15"/>
              </w:rPr>
              <w:t xml:space="preserve">Every comparator in the Discussion is historical and drawn from the literature: 25 percent three-year survival for untreated small HCC, 70 percent four-year survival in the European Liver Transplant Registry for cirrhosis alone, and 0 to 56 percent five-year survival after resection; there is no contemporaneous control group of any kind</w:t>
            </w:r>
          </w:p>
          <w:p>
            <w:pPr>
              <w:pStyle w:val="ListParagraph"/>
              <w:numPr>
                <w:ilvl w:val="0"/>
                <w:numId w:val="2"/>
              </w:numPr>
              <w:spacing w:after="45"/>
            </w:pPr>
            <w:r>
              <w:rPr>
                <w:sz w:val="15"/>
                <w:szCs w:val="15"/>
              </w:rPr>
              <w:t xml:space="preserve">One of the four recurrences was a subcutaneous implant along the track of the pre-transplant diagnostic liver biopsy, so a quarter of the recurrence events were iatrogenic consequences of the staging algorithm the paper relies on, and this is reported without comment on the risk of seeding</w:t>
            </w:r>
          </w:p>
          <w:p>
            <w:pPr>
              <w:pStyle w:val="ListParagraph"/>
              <w:numPr>
                <w:ilvl w:val="0"/>
                <w:numId w:val="2"/>
              </w:numPr>
              <w:spacing w:after="45"/>
            </w:pPr>
            <w:r>
              <w:rPr>
                <w:sz w:val="15"/>
                <w:szCs w:val="15"/>
              </w:rPr>
              <w:t xml:space="preserve">The acknowledgements thank staff of Sandoz, Fujisawa and Knoll, and the Discussion advances a claim about corticosteroid-sparing immunosuppression and recurrence risk, while the article carries no conflict-of-interest disclosure</w:t>
            </w:r>
          </w:p>
        </w:tc>
      </w:tr>
    </w:tbl>
    <w:p>
      <w:pPr>
        <w:spacing w:after="0" w:line="276"/>
      </w:pPr>
      <w:r>
        <w:rPr>
          <w:color w:val="5A6069"/>
          <w:sz w:val="14"/>
          <w:szCs w:val="14"/>
        </w:rPr>
        <w:t xml:space="preserve">Funding: Supported by the Italian Association for Cancer Research; no conflict-of-interest statement appears anywhere in the article, and the acknowledgements thank staff of Sandoz, Fujisawa and Knoll</w:t>
      </w:r>
    </w:p>
    <w:p>
      <w:pPr>
        <w:keepNext/>
        <w:spacing w:after="50" w:before="260"/>
      </w:pPr>
      <w:r>
        <w:rPr>
          <w:rFonts w:ascii="Cambria" w:cs="Cambria" w:eastAsia="Cambria" w:hAnsi="Cambria"/>
          <w:b/>
          <w:bCs/>
          <w:color w:val="17365D"/>
          <w:sz w:val="20"/>
          <w:szCs w:val="20"/>
        </w:rPr>
        <w:t xml:space="preserve">MWA vs RFA</w:t>
      </w:r>
      <w:r>
        <w:rPr>
          <w:b/>
          <w:bCs/>
          <w:color w:val="176A87"/>
          <w:sz w:val="15"/>
          <w:szCs w:val="15"/>
        </w:rPr>
        <w:t xml:space="preserve">   Randomised trial</w:t>
      </w:r>
      <w:r>
        <w:rPr>
          <w:color w:val="5A6069"/>
          <w:sz w:val="15"/>
          <w:szCs w:val="15"/>
        </w:rPr>
        <w:t xml:space="preserve">   PMID 29503247</w:t>
      </w:r>
    </w:p>
    <w:p>
      <w:pPr>
        <w:spacing w:after="50" w:line="276"/>
      </w:pPr>
      <w:r>
        <w:rPr>
          <w:color w:val="5A6069"/>
          <w:sz w:val="17"/>
          <w:szCs w:val="17"/>
        </w:rPr>
        <w:t xml:space="preserve">Efficacy of microwave ablation versus radiofrequency ablation for the treatment of hepatocellular carcinoma in patients with chronic liver disease: a randomised controlled phase 2 trial</w:t>
      </w:r>
    </w:p>
    <w:p>
      <w:pPr>
        <w:spacing w:after="50"/>
      </w:pPr>
      <w:r>
        <w:rPr>
          <w:b/>
          <w:bCs/>
          <w:color w:val="176A87"/>
          <w:sz w:val="16"/>
          <w:szCs w:val="16"/>
        </w:rPr>
        <w:t xml:space="preserve">Population. </w:t>
      </w:r>
      <w:r>
        <w:rPr>
          <w:sz w:val="16"/>
          <w:szCs w:val="16"/>
        </w:rPr>
        <w:t xml:space="preserve">152 patients with BCLC 0 or A HCC of 4 cm or smaller randomised at four French and Swiss centres; 144 analysed per protocol, 71 patients with 98 lesions treated by microwave ablation and 73 with 104 lesions by radiofrequency ablation</w:t>
      </w:r>
    </w:p>
    <w:p>
      <w:pPr>
        <w:spacing w:after="70"/>
      </w:pPr>
      <w:r>
        <w:rPr>
          <w:b/>
          <w:bCs/>
          <w:color w:val="17365D"/>
          <w:sz w:val="16"/>
          <w:szCs w:val="16"/>
        </w:rPr>
        <w:t xml:space="preserve">Bottom line. </w:t>
      </w:r>
      <w:r>
        <w:rPr>
          <w:sz w:val="16"/>
          <w:szCs w:val="16"/>
        </w:rPr>
        <w:t xml:space="preserve">A randomised superiority trial that failed: local tumour progression at 2 years was 6 percent of 98 lesions with microwave ablation versus 12 percent of 104 with radiofrequency ablation, risk ratio 1.62 (95% CI 0.66 to 3.94), p = 0.27, with no difference in residual tumour, time to progression, survival or complications. Because it was designed to detect an implausibly large difference, the null result does not establish that the two techniques are equivalent, and the trial never tested the 3 to 4 cm lesions in which microwave ablation is supposed to help.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microwave ablations used a single device (Acculis Sulis VpMTA) when many commercially available systems differ in antenna design, frequency, probe number and power, so the result does not generalise across devices</w:t>
            </w:r>
          </w:p>
          <w:p>
            <w:pPr>
              <w:pStyle w:val="ListParagraph"/>
              <w:numPr>
                <w:ilvl w:val="0"/>
                <w:numId w:val="2"/>
              </w:numPr>
              <w:spacing w:after="45"/>
            </w:pPr>
            <w:r>
              <w:rPr>
                <w:sz w:val="15"/>
                <w:szCs w:val="15"/>
              </w:rPr>
              <w:t xml:space="preserve">Patients were excluded after randomisation for not receiving the allocated intervention or for immediate loss to follow-up, which forced a per-protocol rather than intention-to-treat analysis</w:t>
            </w:r>
          </w:p>
          <w:p>
            <w:pPr>
              <w:pStyle w:val="ListParagraph"/>
              <w:numPr>
                <w:ilvl w:val="0"/>
                <w:numId w:val="2"/>
              </w:numPr>
              <w:spacing w:after="45"/>
            </w:pPr>
            <w:r>
              <w:rPr>
                <w:sz w:val="15"/>
                <w:szCs w:val="15"/>
              </w:rPr>
              <w:t xml:space="preserve">Allocation used sealed opaque envelopes, which the authors call a non-optimal method of concealment and masking, and operators were not masked</w:t>
            </w:r>
          </w:p>
          <w:p>
            <w:pPr>
              <w:pStyle w:val="ListParagraph"/>
              <w:numPr>
                <w:ilvl w:val="0"/>
                <w:numId w:val="2"/>
              </w:numPr>
              <w:spacing w:after="45"/>
            </w:pPr>
            <w:r>
              <w:rPr>
                <w:sz w:val="15"/>
                <w:szCs w:val="15"/>
              </w:rPr>
              <w:t xml:space="preserve">The design assumed 2.7 percent local progression with microwave and 15.4 percent with radiofrequency ablation, which the authors concede was optimistic; the observed difference was much smaller than estimated</w:t>
            </w:r>
          </w:p>
          <w:p>
            <w:pPr>
              <w:pStyle w:val="ListParagraph"/>
              <w:numPr>
                <w:ilvl w:val="0"/>
                <w:numId w:val="2"/>
              </w:numPr>
              <w:spacing w:after="45"/>
            </w:pPr>
            <w:r>
              <w:rPr>
                <w:sz w:val="15"/>
                <w:szCs w:val="15"/>
              </w:rPr>
              <w:t xml:space="preserve">Only 11 lesions measured 3 to 4 cm, so the larger-lesion analysis in which microwave ablation might differ was not possible</w:t>
            </w:r>
          </w:p>
          <w:p>
            <w:pPr>
              <w:pStyle w:val="ListParagraph"/>
              <w:numPr>
                <w:ilvl w:val="0"/>
                <w:numId w:val="2"/>
              </w:numPr>
              <w:spacing w:after="45"/>
            </w:pPr>
            <w:r>
              <w:rPr>
                <w:sz w:val="15"/>
                <w:szCs w:val="15"/>
              </w:rPr>
              <w:t xml:space="preserve">Two years is short follow-up for BCLC 0 to A disease, and management after local tumour progression was not assessed in this report</w:t>
            </w:r>
          </w:p>
          <w:p>
            <w:pPr>
              <w:pStyle w:val="ListParagraph"/>
              <w:numPr>
                <w:ilvl w:val="0"/>
                <w:numId w:val="2"/>
              </w:numPr>
              <w:spacing w:after="45"/>
            </w:pPr>
            <w:r>
              <w:rPr>
                <w:sz w:val="15"/>
                <w:szCs w:val="15"/>
              </w:rPr>
              <w:t xml:space="preserve">The authors state that equivalence of the two techniques cannot be confirmed from a trial designed to assess superiority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Randomisation was by patient but the primary endpoint was analysed lesion by lesion, with 38 percent of patients contributing two or three lesions; no clustering or random-effect adjustment is described, so the chi-square test on 98 versus 104 lesions treats correlated lesions as independent and overstates precision</w:t>
            </w:r>
          </w:p>
          <w:p>
            <w:pPr>
              <w:pStyle w:val="ListParagraph"/>
              <w:numPr>
                <w:ilvl w:val="0"/>
                <w:numId w:val="2"/>
              </w:numPr>
              <w:spacing w:after="45"/>
            </w:pPr>
            <w:r>
              <w:rPr>
                <w:sz w:val="15"/>
                <w:szCs w:val="15"/>
              </w:rPr>
              <w:t xml:space="preserve">The trial had almost no power for the difference actually seen: 78 lesions per arm were sized for a 12.7 percentage-point absolute gap, while the observed gap was 6 percentage points, so the p value of 0.27 is uninformative rather than reassuring, yet the Interpretation is written as a positive statement that progression was low with both methods</w:t>
            </w:r>
          </w:p>
          <w:p>
            <w:pPr>
              <w:pStyle w:val="ListParagraph"/>
              <w:numPr>
                <w:ilvl w:val="0"/>
                <w:numId w:val="2"/>
              </w:numPr>
              <w:spacing w:after="45"/>
            </w:pPr>
            <w:r>
              <w:rPr>
                <w:sz w:val="15"/>
                <w:szCs w:val="15"/>
              </w:rPr>
              <w:t xml:space="preserve">Lesions with residual unablated tumour at one month were re-treated and the authors state that follow-up began only once the lesion was deemed completely ablated, so the nine lesions most likely to progress had their clock reset and were removed from the primary endpoint window by design</w:t>
            </w:r>
          </w:p>
          <w:p>
            <w:pPr>
              <w:pStyle w:val="ListParagraph"/>
              <w:numPr>
                <w:ilvl w:val="0"/>
                <w:numId w:val="2"/>
              </w:numPr>
              <w:spacing w:after="45"/>
            </w:pPr>
            <w:r>
              <w:rPr>
                <w:sz w:val="15"/>
                <w:szCs w:val="15"/>
              </w:rPr>
              <w:t xml:space="preserve">The Methods justify using a raw proportion rather than a Kaplan-Meier estimate on the grounds that all lesions were assessable at 2 years, but the at-risk table under the progression figure shows only 44 radiofrequency and 52 microwave lesions at risk at 2 years with 48 and 41 censored, so the stated assumption is contradicted by the published figure</w:t>
            </w:r>
          </w:p>
          <w:p>
            <w:pPr>
              <w:pStyle w:val="ListParagraph"/>
              <w:numPr>
                <w:ilvl w:val="0"/>
                <w:numId w:val="2"/>
              </w:numPr>
              <w:spacing w:after="45"/>
            </w:pPr>
            <w:r>
              <w:rPr>
                <w:sz w:val="15"/>
                <w:szCs w:val="15"/>
              </w:rPr>
              <w:t xml:space="preserve">The captions of Figures 2 and 3 are transposed in the published article and two different log-rank p values appear for the same pair of curves (0.1854 and 0.8012), so the survival and local-progression analyses cannot be reconciled from the paper as printed</w:t>
            </w:r>
          </w:p>
          <w:p>
            <w:pPr>
              <w:pStyle w:val="ListParagraph"/>
              <w:numPr>
                <w:ilvl w:val="0"/>
                <w:numId w:val="2"/>
              </w:numPr>
              <w:spacing w:after="45"/>
            </w:pPr>
            <w:r>
              <w:rPr>
                <w:sz w:val="15"/>
                <w:szCs w:val="15"/>
              </w:rPr>
              <w:t xml:space="preserve">Ablation-zone volumes are given as 5.4 mm3 (SD 20.8) for microwave versus 28.4 mm3 (SD 21) for radiofrequency, p = 0.35, alongside lesion volumes of 4.3 and 5.4 mm3 in Table 2; these are physically impossible magnitudes with standard deviations several times the mean, and the conclusion that microwave ablation produces no larger necrosis zone rests on them</w:t>
            </w:r>
          </w:p>
          <w:p>
            <w:pPr>
              <w:pStyle w:val="ListParagraph"/>
              <w:numPr>
                <w:ilvl w:val="0"/>
                <w:numId w:val="2"/>
              </w:numPr>
              <w:spacing w:after="45"/>
            </w:pPr>
            <w:r>
              <w:rPr>
                <w:sz w:val="15"/>
                <w:szCs w:val="15"/>
              </w:rPr>
              <w:t xml:space="preserve">Baseline distribution of lesions differed between arms in ways that bear on ablation difficulty and heat-sink: segment II held 18 microwave versus 5 radiofrequency lesions, the right lobe 54 versus 66, and Child-Pugh B patients were 20 versus 27 percent; no adjustment or sensitivity analysis is reported</w:t>
            </w:r>
          </w:p>
          <w:p>
            <w:pPr>
              <w:pStyle w:val="ListParagraph"/>
              <w:numPr>
                <w:ilvl w:val="0"/>
                <w:numId w:val="2"/>
              </w:numPr>
              <w:spacing w:after="45"/>
            </w:pPr>
            <w:r>
              <w:rPr>
                <w:sz w:val="15"/>
                <w:szCs w:val="15"/>
              </w:rPr>
              <w:t xml:space="preserve">New distant intrahepatic foci appeared in 72 and 70 percent of lesions by 2 years and 13 to 16 percent of patients were transplanted and censored, so the primary endpoint was measured against a background in which nearly every patient developed new disease, and local progression cannot separate technique quality from tumour biology</w:t>
            </w:r>
          </w:p>
          <w:p>
            <w:pPr>
              <w:pStyle w:val="ListParagraph"/>
              <w:numPr>
                <w:ilvl w:val="0"/>
                <w:numId w:val="2"/>
              </w:numPr>
              <w:spacing w:after="45"/>
            </w:pPr>
            <w:r>
              <w:rPr>
                <w:sz w:val="15"/>
                <w:szCs w:val="15"/>
              </w:rPr>
              <w:t xml:space="preserve">ClinicalTrials.gov registration NCT02859753 postdates the close of enrolment in February 2015; the authors record only university-level registration in 2011, so the primary endpoint and the per-protocol analysis population cannot be checked against a pre-enrolment record</w:t>
            </w:r>
          </w:p>
          <w:p>
            <w:pPr>
              <w:pStyle w:val="ListParagraph"/>
              <w:numPr>
                <w:ilvl w:val="0"/>
                <w:numId w:val="2"/>
              </w:numPr>
              <w:spacing w:after="45"/>
            </w:pPr>
            <w:r>
              <w:rPr>
                <w:sz w:val="15"/>
                <w:szCs w:val="15"/>
              </w:rPr>
              <w:t xml:space="preserve">The five operators had 8 to 20 years of interventional oncology experience, but radiofrequency ablation was the established technique and microwave the newer one during 2011 to 2015; an operator learning curve favouring the control arm is neither measured nor discussed</w:t>
            </w:r>
          </w:p>
          <w:p>
            <w:pPr>
              <w:pStyle w:val="ListParagraph"/>
              <w:numPr>
                <w:ilvl w:val="0"/>
                <w:numId w:val="2"/>
              </w:numPr>
              <w:spacing w:after="45"/>
            </w:pPr>
            <w:r>
              <w:rPr>
                <w:sz w:val="15"/>
                <w:szCs w:val="15"/>
              </w:rPr>
              <w:t xml:space="preserve">The reported risk ratio of 1.62 is oriented with radiofrequency ablation as the numerator while the point estimate favours microwave ablation, and the paper never states the direction, so the only effect estimate in the abstract reads as if it disfavoured the experimental arm</w:t>
            </w:r>
          </w:p>
          <w:p>
            <w:pPr>
              <w:pStyle w:val="ListParagraph"/>
              <w:numPr>
                <w:ilvl w:val="0"/>
                <w:numId w:val="2"/>
              </w:numPr>
              <w:spacing w:after="45"/>
            </w:pPr>
            <w:r>
              <w:rPr>
                <w:sz w:val="15"/>
                <w:szCs w:val="15"/>
              </w:rPr>
              <w:t xml:space="preserve">The trial was funded by Microsulis (AngioDynamics), maker of the microwave device, the sponsor reviewed the manuscript, and the editing support was paid for from the same grant, yet the declaration of interests reads in full that the authors have no competing interests</w:t>
            </w:r>
          </w:p>
        </w:tc>
      </w:tr>
    </w:tbl>
    <w:p>
      <w:pPr>
        <w:spacing w:after="0" w:line="276"/>
      </w:pPr>
      <w:r>
        <w:rPr>
          <w:color w:val="5A6069"/>
          <w:sz w:val="14"/>
          <w:szCs w:val="14"/>
        </w:rPr>
        <w:t xml:space="preserve">Funding: Grant from Microsulis (AngioDynamics), the manufacturer of the microwave device, which also funded editing support; the sponsor reviewed the submitted manuscript; the authors declare no competing interests</w:t>
      </w:r>
    </w:p>
    <w:p>
      <w:pPr>
        <w:keepNext/>
        <w:spacing w:after="50" w:before="260"/>
      </w:pPr>
      <w:r>
        <w:rPr>
          <w:rFonts w:ascii="Cambria" w:cs="Cambria" w:eastAsia="Cambria" w:hAnsi="Cambria"/>
          <w:b/>
          <w:bCs/>
          <w:color w:val="17365D"/>
          <w:sz w:val="20"/>
          <w:szCs w:val="20"/>
        </w:rPr>
        <w:t xml:space="preserve">PRECISION V</w:t>
      </w:r>
      <w:r>
        <w:rPr>
          <w:b/>
          <w:bCs/>
          <w:color w:val="176A87"/>
          <w:sz w:val="15"/>
          <w:szCs w:val="15"/>
        </w:rPr>
        <w:t xml:space="preserve">   Randomised trial</w:t>
      </w:r>
      <w:r>
        <w:rPr>
          <w:color w:val="5A6069"/>
          <w:sz w:val="15"/>
          <w:szCs w:val="15"/>
        </w:rPr>
        <w:t xml:space="preserve">   PMID 19908093</w:t>
      </w:r>
    </w:p>
    <w:p>
      <w:pPr>
        <w:spacing w:after="50" w:line="276"/>
      </w:pPr>
      <w:r>
        <w:rPr>
          <w:color w:val="5A6069"/>
          <w:sz w:val="17"/>
          <w:szCs w:val="17"/>
        </w:rPr>
        <w:t xml:space="preserve">Prospective Randomized Study of Doxorubicin-Eluting-Bead Embolization in the Treatment of Hepatocellular Carcinoma: Results of the PRECISION V Study</w:t>
      </w:r>
    </w:p>
    <w:p>
      <w:pPr>
        <w:spacing w:after="50"/>
      </w:pPr>
      <w:r>
        <w:rPr>
          <w:b/>
          <w:bCs/>
          <w:color w:val="176A87"/>
          <w:sz w:val="16"/>
          <w:szCs w:val="16"/>
        </w:rPr>
        <w:t xml:space="preserve">Population. </w:t>
      </w:r>
      <w:r>
        <w:rPr>
          <w:sz w:val="16"/>
          <w:szCs w:val="16"/>
        </w:rPr>
        <w:t xml:space="preserve">212 patients with Child-Pugh A or B cirrhosis and large or multinodular unresectable N0 M0 HCC randomised at European centres to drug-eluting bead chemoembolisation (102) or conventional chemoembolisation (110); the modified intention-to-treat population analysed was 93 and 108 patients who received at least one treatment</w:t>
      </w:r>
    </w:p>
    <w:p>
      <w:pPr>
        <w:spacing w:after="70"/>
      </w:pPr>
      <w:r>
        <w:rPr>
          <w:b/>
          <w:bCs/>
          <w:color w:val="17365D"/>
          <w:sz w:val="16"/>
          <w:szCs w:val="16"/>
        </w:rPr>
        <w:t xml:space="preserve">Bottom line. </w:t>
      </w:r>
      <w:r>
        <w:rPr>
          <w:sz w:val="16"/>
          <w:szCs w:val="16"/>
        </w:rPr>
        <w:t xml:space="preserve">PRECISION V is the trial routinely cited as establishing drug-eluting beads, and it failed its primary endpoint: EASL objective response at 6 months did not differ significantly from conventional chemoembolisation. It is a phase 2 study with a six-month radiological endpoint, no time-to-progression or survival data, a fixed 150 mg doxorubicin dose in the experimental arm against a body-surface-area and bilirubin-adjusted dose in the control arm, and manufacturer sponsorship.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required to show superiority was underestimated because conventional chemoembolisation achieved a 44 percent response rate against the assumed 35 percent, which the authors state</w:t>
            </w:r>
          </w:p>
          <w:p>
            <w:pPr>
              <w:pStyle w:val="ListParagraph"/>
              <w:numPr>
                <w:ilvl w:val="0"/>
                <w:numId w:val="2"/>
              </w:numPr>
              <w:spacing w:after="45"/>
            </w:pPr>
            <w:r>
              <w:rPr>
                <w:sz w:val="15"/>
                <w:szCs w:val="15"/>
              </w:rPr>
              <w:t xml:space="preserve">Robust time-to-progression and survival data would require further randomised trials with longer follow-up, as the authors acknowledge</w:t>
            </w:r>
          </w:p>
          <w:p>
            <w:pPr>
              <w:pStyle w:val="ListParagraph"/>
              <w:numPr>
                <w:ilvl w:val="0"/>
                <w:numId w:val="2"/>
              </w:numPr>
              <w:spacing w:after="45"/>
            </w:pPr>
            <w:r>
              <w:rPr>
                <w:sz w:val="15"/>
                <w:szCs w:val="15"/>
              </w:rPr>
              <w:t xml:space="preserve">The authors note that conventional chemoembolisation varies widely between centres in drugs, embolic agents, doses and schedules, and that evidence of a survival benefit at 3 years is low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arms did not receive comparable drug: the bead arm had a fixed 150 mg of doxorubicin with no adjustment for bilirubin or body surface area while the control arm had 50 to 75 mg per square metre adjusted for both, so roughly double the dose was delivered in the experimental arm and any difference in response or in hepatic enzyme change is confounded with dose rather than with the delivery platform</w:t>
            </w:r>
          </w:p>
          <w:p>
            <w:pPr>
              <w:pStyle w:val="ListParagraph"/>
              <w:numPr>
                <w:ilvl w:val="0"/>
                <w:numId w:val="2"/>
              </w:numPr>
              <w:spacing w:after="45"/>
            </w:pPr>
            <w:r>
              <w:rPr>
                <w:sz w:val="15"/>
                <w:szCs w:val="15"/>
              </w:rPr>
              <w:t xml:space="preserve">The primary analysis population is a modified intention-to-treat set restricted to patients who received at least one chemoembolisation, and the attrition was asymmetric (9 of 102 bead patients never treated against 2 of 110 controls), so 11 randomised patients were removed from the comparison in the direction that favours the experimental arm</w:t>
            </w:r>
          </w:p>
          <w:p>
            <w:pPr>
              <w:pStyle w:val="ListParagraph"/>
              <w:numPr>
                <w:ilvl w:val="0"/>
                <w:numId w:val="2"/>
              </w:numPr>
              <w:spacing w:after="45"/>
            </w:pPr>
            <w:r>
              <w:rPr>
                <w:sz w:val="15"/>
                <w:szCs w:val="15"/>
              </w:rPr>
              <w:t xml:space="preserve">The adaptive three-stage group sequential design set the final significance boundary at a p value of 0.024 rather than 0.05, and the trial enrolled 212 patients against a design built around 200, so the failed primary endpoint was judged against a boundary the paper does not discuss when describing the result as favourable</w:t>
            </w:r>
          </w:p>
          <w:p>
            <w:pPr>
              <w:pStyle w:val="ListParagraph"/>
              <w:numPr>
                <w:ilvl w:val="0"/>
                <w:numId w:val="2"/>
              </w:numPr>
              <w:spacing w:after="45"/>
            </w:pPr>
            <w:r>
              <w:rPr>
                <w:sz w:val="15"/>
                <w:szCs w:val="15"/>
              </w:rPr>
              <w:t xml:space="preserve">Every analysis other than the failed primary endpoint and the primary safety endpoint is described in the Methods as supportive in nature and analysed descriptively, so all the positive statements in the paper are descriptive</w:t>
            </w:r>
          </w:p>
          <w:p>
            <w:pPr>
              <w:pStyle w:val="ListParagraph"/>
              <w:numPr>
                <w:ilvl w:val="0"/>
                <w:numId w:val="2"/>
              </w:numPr>
              <w:spacing w:after="45"/>
            </w:pPr>
            <w:r>
              <w:rPr>
                <w:sz w:val="15"/>
                <w:szCs w:val="15"/>
              </w:rPr>
              <w:t xml:space="preserve">The subgroup of more advanced patients (Child-Pugh B, ECOG 1, bilobar or recurrent disease) is described in the Methods as preplanned and in the Results and Discussion as post hoc and hypothesis-generating, with p values unadjusted for multiplicity; this subgroup is the basis for the paper's conclusion that the device offers benefit in more advanced disease</w:t>
            </w:r>
          </w:p>
          <w:p>
            <w:pPr>
              <w:pStyle w:val="ListParagraph"/>
              <w:numPr>
                <w:ilvl w:val="0"/>
                <w:numId w:val="2"/>
              </w:numPr>
              <w:spacing w:after="45"/>
            </w:pPr>
            <w:r>
              <w:rPr>
                <w:sz w:val="15"/>
                <w:szCs w:val="15"/>
              </w:rPr>
              <w:t xml:space="preserve">Thirteen patients with bilobar disease received a second embolisation of the other lobe within three weeks as procedure 1B, unevenly distributed (8 bead against 5 control), so treatment intensity differed between arms outside the randomised comparison</w:t>
            </w:r>
          </w:p>
          <w:p>
            <w:pPr>
              <w:pStyle w:val="ListParagraph"/>
              <w:numPr>
                <w:ilvl w:val="0"/>
                <w:numId w:val="2"/>
              </w:numPr>
              <w:spacing w:after="45"/>
            </w:pPr>
            <w:r>
              <w:rPr>
                <w:sz w:val="15"/>
                <w:szCs w:val="15"/>
              </w:rPr>
              <w:t xml:space="preserve">The primary endpoint is EASL radiological response at 6 months, a surrogate with no established relation to survival in this setting, and follow-up stopped at 6 months, so the trial cannot answer whether the device changes any outcome a patient would notice</w:t>
            </w:r>
          </w:p>
          <w:p>
            <w:pPr>
              <w:pStyle w:val="ListParagraph"/>
              <w:numPr>
                <w:ilvl w:val="0"/>
                <w:numId w:val="2"/>
              </w:numPr>
              <w:spacing w:after="45"/>
            </w:pPr>
            <w:r>
              <w:rPr>
                <w:sz w:val="15"/>
                <w:szCs w:val="15"/>
              </w:rPr>
              <w:t xml:space="preserve">Thirteen patients were downstaged to curative treatment and discontinued (5 bead, 8 control), and 67 of 201 treated patients discontinued treatment altogether, with no accounting for how these departures affect a 6-month response endpoint</w:t>
            </w:r>
          </w:p>
          <w:p>
            <w:pPr>
              <w:pStyle w:val="ListParagraph"/>
              <w:numPr>
                <w:ilvl w:val="0"/>
                <w:numId w:val="2"/>
              </w:numPr>
              <w:spacing w:after="45"/>
            </w:pPr>
            <w:r>
              <w:rPr>
                <w:sz w:val="15"/>
                <w:szCs w:val="15"/>
              </w:rPr>
              <w:t xml:space="preserve">The control arm's embolic agent was left to investigator choice while the experimental arm used a single standardised device, so the comparison is between a defined product and a heterogeneous practice</w:t>
            </w:r>
          </w:p>
          <w:p>
            <w:pPr>
              <w:pStyle w:val="ListParagraph"/>
              <w:numPr>
                <w:ilvl w:val="0"/>
                <w:numId w:val="2"/>
              </w:numPr>
              <w:spacing w:after="45"/>
            </w:pPr>
            <w:r>
              <w:rPr>
                <w:sz w:val="15"/>
                <w:szCs w:val="15"/>
              </w:rPr>
              <w:t xml:space="preserve">The trial was sponsored by the manufacturer of the device under test, and the paper offers no statement about who performed the analysis or who drafted the manuscript</w:t>
            </w:r>
          </w:p>
          <w:p>
            <w:pPr>
              <w:pStyle w:val="ListParagraph"/>
              <w:numPr>
                <w:ilvl w:val="0"/>
                <w:numId w:val="2"/>
              </w:numPr>
              <w:spacing w:after="45"/>
            </w:pPr>
            <w:r>
              <w:rPr>
                <w:sz w:val="15"/>
                <w:szCs w:val="15"/>
              </w:rPr>
              <w:t xml:space="preserve">The later independently conducted PRECISION Italia randomised trial, with no industry sponsor, found no difference in response, time to progression (9 months in both arms) or 2-year survival (56.8 against 55.4 percent, p = 0.949) and was stopped for futility</w:t>
            </w:r>
          </w:p>
        </w:tc>
      </w:tr>
    </w:tbl>
    <w:p>
      <w:pPr>
        <w:spacing w:after="0" w:line="276"/>
      </w:pPr>
      <w:r>
        <w:rPr>
          <w:color w:val="5A6069"/>
          <w:sz w:val="14"/>
          <w:szCs w:val="14"/>
        </w:rPr>
        <w:t xml:space="preserve">Funding: Sponsored by Biocompatibles UK Ltd, the manufacturer of the DC Bead device under test, as declared in the acknowledgments</w:t>
      </w:r>
    </w:p>
    <w:p>
      <w:pPr>
        <w:keepNext/>
        <w:spacing w:after="50" w:before="260"/>
      </w:pPr>
      <w:r>
        <w:rPr>
          <w:rFonts w:ascii="Cambria" w:cs="Cambria" w:eastAsia="Cambria" w:hAnsi="Cambria"/>
          <w:b/>
          <w:bCs/>
          <w:color w:val="17365D"/>
          <w:sz w:val="20"/>
          <w:szCs w:val="20"/>
        </w:rPr>
        <w:t xml:space="preserve">PREMIERE</w:t>
      </w:r>
      <w:r>
        <w:rPr>
          <w:b/>
          <w:bCs/>
          <w:color w:val="176A87"/>
          <w:sz w:val="15"/>
          <w:szCs w:val="15"/>
        </w:rPr>
        <w:t xml:space="preserve">   Randomised trial</w:t>
      </w:r>
      <w:r>
        <w:rPr>
          <w:color w:val="5A6069"/>
          <w:sz w:val="15"/>
          <w:szCs w:val="15"/>
        </w:rPr>
        <w:t xml:space="preserve">   PMID 27575820</w:t>
      </w:r>
    </w:p>
    <w:p>
      <w:pPr>
        <w:spacing w:after="50" w:line="276"/>
      </w:pPr>
      <w:r>
        <w:rPr>
          <w:color w:val="5A6069"/>
          <w:sz w:val="17"/>
          <w:szCs w:val="17"/>
        </w:rPr>
        <w:t xml:space="preserve">Y90 Radioembolization Significantly Prolongs Time to Progression Compared With Chemoembolization in Patients With Hepatocellular Carcinoma</w:t>
      </w:r>
    </w:p>
    <w:p>
      <w:pPr>
        <w:spacing w:after="50"/>
      </w:pPr>
      <w:r>
        <w:rPr>
          <w:b/>
          <w:bCs/>
          <w:color w:val="176A87"/>
          <w:sz w:val="16"/>
          <w:szCs w:val="16"/>
        </w:rPr>
        <w:t xml:space="preserve">Population. </w:t>
      </w:r>
      <w:r>
        <w:rPr>
          <w:sz w:val="16"/>
          <w:szCs w:val="16"/>
        </w:rPr>
        <w:t xml:space="preserve">45 of 179 eligible BCLC A or B patients with HCC not amenable to resection or ablation, randomised 1:1 at a single US centre between October 2009 and October 2015 to Y-90 glass microspheres at 120 Gy (24) or conventional chemoembolisation (21); most were listed for transplantation, and half the Y-90 arm was Child-Pugh B at randomisation</w:t>
      </w:r>
    </w:p>
    <w:p>
      <w:pPr>
        <w:spacing w:after="70"/>
      </w:pPr>
      <w:r>
        <w:rPr>
          <w:b/>
          <w:bCs/>
          <w:color w:val="17365D"/>
          <w:sz w:val="16"/>
          <w:szCs w:val="16"/>
        </w:rPr>
        <w:t xml:space="preserve">Bottom line. </w:t>
      </w:r>
      <w:r>
        <w:rPr>
          <w:sz w:val="16"/>
          <w:szCs w:val="16"/>
        </w:rPr>
        <w:t xml:space="preserve">Widely cited as PREMIERE, this is a 45-patient single-centre randomised trial in which radioembolisation gave a much longer time to progression than chemoembolisation (median over 26 against 6.8 months, HR 0.122) with identical survival. It was stopped for slow accrual at a third of its planned size with no prespecified interim analysis, the endpoint is a surrogate censored at transplantation, and the arms were poorly balanced on liver function.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Imaging and survival were censored at transplantation, which the authors defend as the correct method for time to progression while acknowledging it as a limitation</w:t>
            </w:r>
          </w:p>
          <w:p>
            <w:pPr>
              <w:pStyle w:val="ListParagraph"/>
              <w:numPr>
                <w:ilvl w:val="0"/>
                <w:numId w:val="2"/>
              </w:numPr>
              <w:spacing w:after="45"/>
            </w:pPr>
            <w:r>
              <w:rPr>
                <w:sz w:val="15"/>
                <w:szCs w:val="15"/>
              </w:rPr>
              <w:t xml:space="preserve">Time to progression was used as a surrogate because survival in this population is confounded by crossover to other therapies</w:t>
            </w:r>
          </w:p>
          <w:p>
            <w:pPr>
              <w:pStyle w:val="ListParagraph"/>
              <w:numPr>
                <w:ilvl w:val="0"/>
                <w:numId w:val="2"/>
              </w:numPr>
              <w:spacing w:after="45"/>
            </w:pPr>
            <w:r>
              <w:rPr>
                <w:sz w:val="15"/>
                <w:szCs w:val="15"/>
              </w:rPr>
              <w:t xml:space="preserve">The study was halted on the recommendation of the cancer centre because of accrual difficulties</w:t>
            </w:r>
          </w:p>
          <w:p>
            <w:pPr>
              <w:pStyle w:val="ListParagraph"/>
              <w:numPr>
                <w:ilvl w:val="0"/>
                <w:numId w:val="2"/>
              </w:numPr>
              <w:spacing w:after="45"/>
            </w:pPr>
            <w:r>
              <w:rPr>
                <w:sz w:val="15"/>
                <w:szCs w:val="15"/>
              </w:rPr>
              <w:t xml:space="preserve">Only 45 of 179 eligible patients were randomised, with 43 declining research and others selecting a specific therapy</w:t>
            </w:r>
          </w:p>
          <w:p>
            <w:pPr>
              <w:pStyle w:val="ListParagraph"/>
              <w:numPr>
                <w:ilvl w:val="0"/>
                <w:numId w:val="2"/>
              </w:numPr>
              <w:spacing w:after="45"/>
            </w:pPr>
            <w:r>
              <w:rPr>
                <w:sz w:val="15"/>
                <w:szCs w:val="15"/>
              </w:rPr>
              <w:t xml:space="preserve">The authors state that the Child-Pugh B case mix explains survival lower than expected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hazard ratio of 0.122 rests on 12 progression events in 45 patients and its confidence interval spans roughly a twentyfold range, so the effect size is not estimable to any useful precision even though the direction is clear</w:t>
            </w:r>
          </w:p>
          <w:p>
            <w:pPr>
              <w:pStyle w:val="ListParagraph"/>
              <w:numPr>
                <w:ilvl w:val="0"/>
                <w:numId w:val="2"/>
              </w:numPr>
              <w:spacing w:after="45"/>
            </w:pPr>
            <w:r>
              <w:rPr>
                <w:sz w:val="15"/>
                <w:szCs w:val="15"/>
              </w:rPr>
              <w:t xml:space="preserve">The trial was stopped at 45 of 124 planned patients with no prespecified interim analysis, and the conditional power of 96.8 percent offered in mitigation is a hypothetical calculation assuming the protocol hazard ratio would have held in the 79 patients never enrolled</w:t>
            </w:r>
          </w:p>
          <w:p>
            <w:pPr>
              <w:pStyle w:val="ListParagraph"/>
              <w:numPr>
                <w:ilvl w:val="0"/>
                <w:numId w:val="2"/>
              </w:numPr>
              <w:spacing w:after="45"/>
            </w:pPr>
            <w:r>
              <w:rPr>
                <w:sz w:val="15"/>
                <w:szCs w:val="15"/>
              </w:rPr>
              <w:t xml:space="preserve">The arms were unbalanced on precisely the variables that determine progression and survival: half the Y-90 arm was Child-Pugh B at randomisation and 54 percent by the day of first treatment against 24 percent for chemoembolisation, with portal hypertension in 83 against 52 percent (p = 0.051), and no adjustment is made</w:t>
            </w:r>
          </w:p>
          <w:p>
            <w:pPr>
              <w:pStyle w:val="ListParagraph"/>
              <w:numPr>
                <w:ilvl w:val="0"/>
                <w:numId w:val="2"/>
              </w:numPr>
              <w:spacing w:after="45"/>
            </w:pPr>
            <w:r>
              <w:rPr>
                <w:sz w:val="15"/>
                <w:szCs w:val="15"/>
              </w:rPr>
              <w:t xml:space="preserve">Survival was identical between arms, so the trial demonstrates better local control rather than patient benefit, and the reduction in waiting-list dropout that the paper advances as the clinical rationale was never itself measured</w:t>
            </w:r>
          </w:p>
          <w:p>
            <w:pPr>
              <w:pStyle w:val="ListParagraph"/>
              <w:numPr>
                <w:ilvl w:val="0"/>
                <w:numId w:val="2"/>
              </w:numPr>
              <w:spacing w:after="45"/>
            </w:pPr>
            <w:r>
              <w:rPr>
                <w:sz w:val="15"/>
                <w:szCs w:val="15"/>
              </w:rPr>
              <w:t xml:space="preserve">Censoring at transplantation removes the most favourable outcomes from both arms, and with most patients listed for transplantation the proportion censored is large, which is why competing-risk and inverse-probability-of-censoring-weighted analyses were needed to support the primary result</w:t>
            </w:r>
          </w:p>
          <w:p>
            <w:pPr>
              <w:pStyle w:val="ListParagraph"/>
              <w:numPr>
                <w:ilvl w:val="0"/>
                <w:numId w:val="2"/>
              </w:numPr>
              <w:spacing w:after="45"/>
            </w:pPr>
            <w:r>
              <w:rPr>
                <w:sz w:val="15"/>
                <w:szCs w:val="15"/>
              </w:rPr>
              <w:t xml:space="preserve">Enrolment was 25 percent of eligible patients at a single centre, with 49 requesting Y-90 and 13 requesting chemoembolisation outside the trial, so the randomised cohort is the minority indifferent between the two at a centre with a strong radioembolisation programme</w:t>
            </w:r>
          </w:p>
          <w:p>
            <w:pPr>
              <w:pStyle w:val="ListParagraph"/>
              <w:numPr>
                <w:ilvl w:val="0"/>
                <w:numId w:val="2"/>
              </w:numPr>
              <w:spacing w:after="45"/>
            </w:pPr>
            <w:r>
              <w:rPr>
                <w:sz w:val="15"/>
                <w:szCs w:val="15"/>
              </w:rPr>
              <w:t xml:space="preserve">Two of 21 chemoembolisation patients were treated off study, so the control arm as delivered is smaller still</w:t>
            </w:r>
          </w:p>
          <w:p>
            <w:pPr>
              <w:pStyle w:val="ListParagraph"/>
              <w:numPr>
                <w:ilvl w:val="0"/>
                <w:numId w:val="2"/>
              </w:numPr>
              <w:spacing w:after="45"/>
            </w:pPr>
            <w:r>
              <w:rPr>
                <w:sz w:val="15"/>
                <w:szCs w:val="15"/>
              </w:rPr>
              <w:t xml:space="preserve">Y-90 patients waited longer for their first treatment than chemoembolisation patients, which the authors present as a strength but which also means the two arms differ in the interval between staging and treatment</w:t>
            </w:r>
          </w:p>
          <w:p>
            <w:pPr>
              <w:pStyle w:val="ListParagraph"/>
              <w:numPr>
                <w:ilvl w:val="0"/>
                <w:numId w:val="2"/>
              </w:numPr>
              <w:spacing w:after="45"/>
            </w:pPr>
            <w:r>
              <w:rPr>
                <w:sz w:val="15"/>
                <w:szCs w:val="15"/>
              </w:rPr>
              <w:t xml:space="preserve">Three authors including the senior author advise the manufacturer of the device tested, and the trial's conclusion prompted the centre to change its own practice to radioembolisation for transplant bridging</w:t>
            </w:r>
          </w:p>
          <w:p>
            <w:pPr>
              <w:pStyle w:val="ListParagraph"/>
              <w:numPr>
                <w:ilvl w:val="0"/>
                <w:numId w:val="2"/>
              </w:numPr>
              <w:spacing w:after="45"/>
            </w:pPr>
            <w:r>
              <w:rPr>
                <w:sz w:val="15"/>
                <w:szCs w:val="15"/>
              </w:rPr>
              <w:t xml:space="preserve">The paper is universally cited as PREMIERE although it never uses that name, which makes its small size and single-centre origin easy to overlook</w:t>
            </w:r>
          </w:p>
        </w:tc>
      </w:tr>
    </w:tbl>
    <w:p>
      <w:pPr>
        <w:spacing w:after="0" w:line="276"/>
      </w:pPr>
      <w:r>
        <w:rPr>
          <w:color w:val="5A6069"/>
          <w:sz w:val="14"/>
          <w:szCs w:val="14"/>
        </w:rPr>
        <w:t xml:space="preserve">Funding: Funded in part by NIH grant CA126809; three authors, including the senior author, advise BTG International, which manufactures the TheraSphere device tested</w:t>
      </w:r>
    </w:p>
    <w:p>
      <w:pPr>
        <w:keepNext/>
        <w:spacing w:after="50" w:before="260"/>
      </w:pPr>
      <w:r>
        <w:rPr>
          <w:rFonts w:ascii="Cambria" w:cs="Cambria" w:eastAsia="Cambria" w:hAnsi="Cambria"/>
          <w:b/>
          <w:bCs/>
          <w:color w:val="17365D"/>
          <w:sz w:val="20"/>
          <w:szCs w:val="20"/>
        </w:rPr>
        <w:t xml:space="preserve">RASER</w:t>
      </w:r>
      <w:r>
        <w:rPr>
          <w:b/>
          <w:bCs/>
          <w:color w:val="176A87"/>
          <w:sz w:val="15"/>
          <w:szCs w:val="15"/>
        </w:rPr>
        <w:t xml:space="preserve">   Prospective trial</w:t>
      </w:r>
      <w:r>
        <w:rPr>
          <w:color w:val="5A6069"/>
          <w:sz w:val="15"/>
          <w:szCs w:val="15"/>
        </w:rPr>
        <w:t xml:space="preserve">   PMID 35617978</w:t>
      </w:r>
    </w:p>
    <w:p>
      <w:pPr>
        <w:spacing w:after="50" w:line="276"/>
      </w:pPr>
      <w:r>
        <w:rPr>
          <w:color w:val="5A6069"/>
          <w:sz w:val="17"/>
          <w:szCs w:val="17"/>
        </w:rPr>
        <w:t xml:space="preserve">Radiation segmentectomy for curative intent of unresectable very early to early stage hepatocellular carcinoma (RASER): a single-centre, single-arm study</w:t>
      </w:r>
    </w:p>
    <w:p>
      <w:pPr>
        <w:spacing w:after="50"/>
      </w:pPr>
      <w:r>
        <w:rPr>
          <w:b/>
          <w:bCs/>
          <w:color w:val="176A87"/>
          <w:sz w:val="16"/>
          <w:szCs w:val="16"/>
        </w:rPr>
        <w:t xml:space="preserve">Population. </w:t>
      </w:r>
      <w:r>
        <w:rPr>
          <w:sz w:val="16"/>
          <w:szCs w:val="16"/>
        </w:rPr>
        <w:t xml:space="preserve">29 of 44 screened adults with a solitary treatment-naive HCC of 3 cm or less in a location unfavourable for ablation, treated with a single radiation segmentectomy at one centre; 24 completed follow-up, 8 were transplanted and 5 were lost</w:t>
      </w:r>
    </w:p>
    <w:p>
      <w:pPr>
        <w:spacing w:after="70"/>
      </w:pPr>
      <w:r>
        <w:rPr>
          <w:b/>
          <w:bCs/>
          <w:color w:val="17365D"/>
          <w:sz w:val="16"/>
          <w:szCs w:val="16"/>
        </w:rPr>
        <w:t xml:space="preserve">Bottom line. </w:t>
      </w:r>
      <w:r>
        <w:rPr>
          <w:sz w:val="16"/>
          <w:szCs w:val="16"/>
        </w:rPr>
        <w:t xml:space="preserve">A 29-patient single-arm study showing that an ablative segmental Y-90 dose produces complete response in 83 percent of target lesions initially and sustained complete response in 90 percent, with complete necrosis of all eight target lesions that reached explant. It is a response study with no comparator, one unmasked in-house reader, 24 months of follow-up and 44 percent of patients censored by transplant or loss, so it does not show that radiation segmentectomy matches ablation for recurrence or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masked independent reviewers and no comparison group, both stated by the authors</w:t>
            </w:r>
          </w:p>
          <w:p>
            <w:pPr>
              <w:pStyle w:val="ListParagraph"/>
              <w:numPr>
                <w:ilvl w:val="0"/>
                <w:numId w:val="2"/>
              </w:numPr>
              <w:spacing w:after="45"/>
            </w:pPr>
            <w:r>
              <w:rPr>
                <w:sz w:val="15"/>
                <w:szCs w:val="15"/>
              </w:rPr>
              <w:t xml:space="preserve">All procedures were done by interventional radiologists with more than 10 years of radioembolisation experience, which the authors note limits transferability</w:t>
            </w:r>
          </w:p>
          <w:p>
            <w:pPr>
              <w:pStyle w:val="ListParagraph"/>
              <w:numPr>
                <w:ilvl w:val="0"/>
                <w:numId w:val="2"/>
              </w:numPr>
              <w:spacing w:after="45"/>
            </w:pPr>
            <w:r>
              <w:rPr>
                <w:sz w:val="15"/>
                <w:szCs w:val="15"/>
              </w:rPr>
              <w:t xml:space="preserve">Inclusion criteria were strict, which the authors say limits generalisability to most patients diagnosed with HCC</w:t>
            </w:r>
          </w:p>
          <w:p>
            <w:pPr>
              <w:pStyle w:val="ListParagraph"/>
              <w:numPr>
                <w:ilvl w:val="0"/>
                <w:numId w:val="2"/>
              </w:numPr>
              <w:spacing w:after="45"/>
            </w:pPr>
            <w:r>
              <w:rPr>
                <w:sz w:val="15"/>
                <w:szCs w:val="15"/>
              </w:rPr>
              <w:t xml:space="preserve">Radioembolisation requires established nuclear medicine infrastructure and supportive reimbursement, which may not exist elsewhere</w:t>
            </w:r>
          </w:p>
          <w:p>
            <w:pPr>
              <w:pStyle w:val="ListParagraph"/>
              <w:numPr>
                <w:ilvl w:val="0"/>
                <w:numId w:val="2"/>
              </w:numPr>
              <w:spacing w:after="45"/>
            </w:pPr>
            <w:r>
              <w:rPr>
                <w:sz w:val="15"/>
                <w:szCs w:val="15"/>
              </w:rPr>
              <w:t xml:space="preserve">The explant pathology was not reviewed to a standardised protocol and the sample is only eight patients, which the authors state in the Discussion</w:t>
            </w:r>
          </w:p>
          <w:p>
            <w:pPr>
              <w:pStyle w:val="ListParagraph"/>
              <w:numPr>
                <w:ilvl w:val="0"/>
                <w:numId w:val="2"/>
              </w:numPr>
              <w:spacing w:after="45"/>
            </w:pPr>
            <w:r>
              <w:rPr>
                <w:sz w:val="15"/>
                <w:szCs w:val="15"/>
              </w:rPr>
              <w:t xml:space="preserve">The authors attribute the higher recorded adverse-event rate to the prospective design with extra visits and laboratory tests rather than to the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sample size was set to detect a 30 percentage-point improvement in complete response over an assumed 50 percent with chemoembolisation, but no chemoembolisation arm exists and the 50 percent assumption carries no citation in the text, so the single-arm result is never formally tested against any goal and no p value or confidence interval against a performance threshold is reported</w:t>
            </w:r>
          </w:p>
          <w:p>
            <w:pPr>
              <w:pStyle w:val="ListParagraph"/>
              <w:numPr>
                <w:ilvl w:val="0"/>
                <w:numId w:val="2"/>
              </w:numPr>
              <w:spacing w:after="45"/>
            </w:pPr>
            <w:r>
              <w:rPr>
                <w:sz w:val="15"/>
                <w:szCs w:val="15"/>
              </w:rPr>
              <w:t xml:space="preserve">The Methods state that imaging response was read by an independent board-certified radiologist with 18 years of experience while the limitations state there were no masked independent reviewers; the paper contradicts itself about who judged the primary endpoint</w:t>
            </w:r>
          </w:p>
          <w:p>
            <w:pPr>
              <w:pStyle w:val="ListParagraph"/>
              <w:numPr>
                <w:ilvl w:val="0"/>
                <w:numId w:val="2"/>
              </w:numPr>
              <w:spacing w:after="45"/>
            </w:pPr>
            <w:r>
              <w:rPr>
                <w:sz w:val="15"/>
                <w:szCs w:val="15"/>
              </w:rPr>
              <w:t xml:space="preserve">Sustained complete response (90 percent, 26 of 29) exceeds the initial complete response (83 percent, 24 of 29) because partial responders converted later, and one of the 26 had only a single post-treatment image before being lost to follow-up, so the headline figure counts a patient with one assessment as a durable responder</w:t>
            </w:r>
          </w:p>
          <w:p>
            <w:pPr>
              <w:pStyle w:val="ListParagraph"/>
              <w:numPr>
                <w:ilvl w:val="0"/>
                <w:numId w:val="2"/>
              </w:numPr>
              <w:spacing w:after="45"/>
            </w:pPr>
            <w:r>
              <w:rPr>
                <w:sz w:val="15"/>
                <w:szCs w:val="15"/>
              </w:rPr>
              <w:t xml:space="preserve">Eight of 29 patients (27 percent) were transplanted at a median of 341 days and 5 (17 percent) were lost, and transplantation was handled as a competing risk, so the 2-year cumulative target progression of 12 percent is estimated in a cohort from which 44 percent of patients had departed</w:t>
            </w:r>
          </w:p>
          <w:p>
            <w:pPr>
              <w:pStyle w:val="ListParagraph"/>
              <w:numPr>
                <w:ilvl w:val="0"/>
                <w:numId w:val="2"/>
              </w:numPr>
              <w:spacing w:after="45"/>
            </w:pPr>
            <w:r>
              <w:rPr>
                <w:sz w:val="15"/>
                <w:szCs w:val="15"/>
              </w:rPr>
              <w:t xml:space="preserve">The criterion for unfavourable location was a tumour within 5 mm of any of ten structures including the liver capsule, and 28 of 29 tumours were peripheral, so almost any subcapsular nodule qualifies; the premise that these were tumours where ablation underperforms is asserted from the literature rather than established for this cohort</w:t>
            </w:r>
          </w:p>
          <w:p>
            <w:pPr>
              <w:pStyle w:val="ListParagraph"/>
              <w:numPr>
                <w:ilvl w:val="0"/>
                <w:numId w:val="2"/>
              </w:numPr>
              <w:spacing w:after="45"/>
            </w:pPr>
            <w:r>
              <w:rPr>
                <w:sz w:val="15"/>
                <w:szCs w:val="15"/>
              </w:rPr>
              <w:t xml:space="preserve">Delivered dose was not standardised in any meaningful sense: the calculated segmental dose ranged from 181 to 3340 Gy against a stated goal of more than 205 Gy, and the PET-measured tumour dose from 190.8 to 3730 Gy, so the study cannot say what dose produced the response, and the 205 Gy threshold traces back to retrospective dosimetry series rather than to a prospectively validated cut-off</w:t>
            </w:r>
          </w:p>
          <w:p>
            <w:pPr>
              <w:pStyle w:val="ListParagraph"/>
              <w:numPr>
                <w:ilvl w:val="0"/>
                <w:numId w:val="2"/>
              </w:numPr>
              <w:spacing w:after="45"/>
            </w:pPr>
            <w:r>
              <w:rPr>
                <w:sz w:val="15"/>
                <w:szCs w:val="15"/>
              </w:rPr>
              <w:t xml:space="preserve">Three of the eight explanted livers (38 percent) contained additional untreated HCC, one with microscopic nodules and vascular invasion, so more than a third of the patients who could be checked had been understaged; the paper reports 100 percent necrosis of the target lesion as the finding and does not treat the understaging as a result</w:t>
            </w:r>
          </w:p>
          <w:p>
            <w:pPr>
              <w:pStyle w:val="ListParagraph"/>
              <w:numPr>
                <w:ilvl w:val="0"/>
                <w:numId w:val="2"/>
              </w:numPr>
              <w:spacing w:after="45"/>
            </w:pPr>
            <w:r>
              <w:rPr>
                <w:sz w:val="15"/>
                <w:szCs w:val="15"/>
              </w:rPr>
              <w:t xml:space="preserve">One patient with a solitary HCC of 3 cm or less progressed to advanced HCC with portal invasion and died at 296 days, attributed in the text to aggressive tumour biology rather than examined as a staging or selection failure in a cohort entered as very early to early stage</w:t>
            </w:r>
          </w:p>
          <w:p>
            <w:pPr>
              <w:pStyle w:val="ListParagraph"/>
              <w:numPr>
                <w:ilvl w:val="0"/>
                <w:numId w:val="2"/>
              </w:numPr>
              <w:spacing w:after="45"/>
            </w:pPr>
            <w:r>
              <w:rPr>
                <w:sz w:val="15"/>
                <w:szCs w:val="15"/>
              </w:rPr>
              <w:t xml:space="preserve">Grade 3 laboratory toxicity occurred in 17 percent, and the authors discount it on the grounds that all such patients had baseline abnormalities that CTCAE does not account for, without presenting a sensitivity analysis using change from baseline</w:t>
            </w:r>
          </w:p>
          <w:p>
            <w:pPr>
              <w:pStyle w:val="ListParagraph"/>
              <w:numPr>
                <w:ilvl w:val="0"/>
                <w:numId w:val="2"/>
              </w:numPr>
              <w:spacing w:after="45"/>
            </w:pPr>
            <w:r>
              <w:rPr>
                <w:sz w:val="15"/>
                <w:szCs w:val="15"/>
              </w:rPr>
              <w:t xml:space="preserve">The dose cohort is described as 26 of 29 (90 percent) with three excluded for technical issues labelled 7 percent, when three of 29 is 10 percent; the denominators in the dosimetry paragraph do not add up</w:t>
            </w:r>
          </w:p>
          <w:p>
            <w:pPr>
              <w:pStyle w:val="ListParagraph"/>
              <w:numPr>
                <w:ilvl w:val="0"/>
                <w:numId w:val="2"/>
              </w:numPr>
              <w:spacing w:after="45"/>
            </w:pPr>
            <w:r>
              <w:rPr>
                <w:sz w:val="15"/>
                <w:szCs w:val="15"/>
              </w:rPr>
              <w:t xml:space="preserve">ClinicalTrials.gov registration NCT03248375 was filed roughly a year after the first patient was enrolled on 3 August 2016, attributed to an administrative transition, so the primary endpoint cannot be verified as pre-specified</w:t>
            </w:r>
          </w:p>
          <w:p>
            <w:pPr>
              <w:pStyle w:val="ListParagraph"/>
              <w:numPr>
                <w:ilvl w:val="0"/>
                <w:numId w:val="2"/>
              </w:numPr>
              <w:spacing w:after="45"/>
            </w:pPr>
            <w:r>
              <w:rPr>
                <w:sz w:val="15"/>
                <w:szCs w:val="15"/>
              </w:rPr>
              <w:t xml:space="preserve">The paper's closing sentence states that the results support including radiation segmentectomy in the BCLC guidelines, a recommendation drawn from 29 single-arm patients by an author group that includes the senior author of the BCLC update it cites and whose lead author advises the device manufacturer that funded the study</w:t>
            </w:r>
          </w:p>
        </w:tc>
      </w:tr>
    </w:tbl>
    <w:p>
      <w:pPr>
        <w:spacing w:after="0" w:line="276"/>
      </w:pPr>
      <w:r>
        <w:rPr>
          <w:color w:val="5A6069"/>
          <w:sz w:val="14"/>
          <w:szCs w:val="14"/>
        </w:rPr>
        <w:t xml:space="preserve">Funding: Investigator-initiated grant from Boston Scientific, maker of TheraSphere; the funder is stated not to have been involved in any step; the first and corresponding author reports grant support, consulting fees and Boston Scientific medical advisory board membership, and three further authors report Boston Scientific or industry payments</w:t>
      </w:r>
    </w:p>
    <w:p>
      <w:pPr>
        <w:keepNext/>
        <w:spacing w:after="50" w:before="260"/>
      </w:pPr>
      <w:r>
        <w:rPr>
          <w:rFonts w:ascii="Cambria" w:cs="Cambria" w:eastAsia="Cambria" w:hAnsi="Cambria"/>
          <w:b/>
          <w:bCs/>
          <w:color w:val="17365D"/>
          <w:sz w:val="20"/>
          <w:szCs w:val="20"/>
        </w:rPr>
        <w:t xml:space="preserve">REACH-2</w:t>
      </w:r>
      <w:r>
        <w:rPr>
          <w:b/>
          <w:bCs/>
          <w:color w:val="176A87"/>
          <w:sz w:val="15"/>
          <w:szCs w:val="15"/>
        </w:rPr>
        <w:t xml:space="preserve">   Randomised trial</w:t>
      </w:r>
      <w:r>
        <w:rPr>
          <w:color w:val="5A6069"/>
          <w:sz w:val="15"/>
          <w:szCs w:val="15"/>
        </w:rPr>
        <w:t xml:space="preserve">   PMID 30665869</w:t>
      </w:r>
    </w:p>
    <w:p>
      <w:pPr>
        <w:spacing w:after="50" w:line="276"/>
      </w:pPr>
      <w:r>
        <w:rPr>
          <w:color w:val="5A6069"/>
          <w:sz w:val="17"/>
          <w:szCs w:val="17"/>
        </w:rPr>
        <w:t xml:space="preserve">Ramucirumab after sorafenib in patients with advanced hepatocellular carcinoma and increased alpha-fetoprotein concentrations (REACH-2): a randomised, double-blind, placebo-controlled, phase 3 trial</w:t>
      </w:r>
    </w:p>
    <w:p>
      <w:pPr>
        <w:spacing w:after="50"/>
      </w:pPr>
      <w:r>
        <w:rPr>
          <w:b/>
          <w:bCs/>
          <w:color w:val="176A87"/>
          <w:sz w:val="16"/>
          <w:szCs w:val="16"/>
        </w:rPr>
        <w:t xml:space="preserve">Population. </w:t>
      </w:r>
      <w:r>
        <w:rPr>
          <w:sz w:val="16"/>
          <w:szCs w:val="16"/>
        </w:rPr>
        <w:t xml:space="preserve">292 of 436 screened patients with advanced HCC, Child-Pugh A and a baseline alpha-fetoprotein of 400 ng/mL or more who had previously received sorafenib, randomised 2:1 to ramucirumab (197) or placebo (95) between July 2015 and August 2017; 50 patients (17 percent) had stopped sorafenib for intolerance and median prior sorafenib duration was 4.1 months</w:t>
      </w:r>
    </w:p>
    <w:p>
      <w:pPr>
        <w:spacing w:after="70"/>
      </w:pPr>
      <w:r>
        <w:rPr>
          <w:b/>
          <w:bCs/>
          <w:color w:val="17365D"/>
          <w:sz w:val="16"/>
          <w:szCs w:val="16"/>
        </w:rPr>
        <w:t xml:space="preserve">Bottom line. </w:t>
      </w:r>
      <w:r>
        <w:rPr>
          <w:sz w:val="16"/>
          <w:szCs w:val="16"/>
        </w:rPr>
        <w:t xml:space="preserve">REACH-2 is the only positive biomarker-selected phase 3 trial in HCC, showing median overall survival of 8.5 against 7.3 months (HR 0.710, 95% CI 0.531 to 0.949, p = 0.0199) in patients with alpha-fetoprotein of 400 ng/mL or more after sorafenib. The absolute gain is 1.2 months with a 5 percent response rate, the trial's sample size and effect assumption were cut by protocol amendment after enrolment began, and the enriching biomarker was itself imbalanced between the arms it defines.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Child-Pugh class B or worse cirrhosis were excluded in line with guideline recommendations for trial exclusion</w:t>
            </w:r>
          </w:p>
          <w:p>
            <w:pPr>
              <w:pStyle w:val="ListParagraph"/>
              <w:numPr>
                <w:ilvl w:val="0"/>
                <w:numId w:val="2"/>
              </w:numPr>
              <w:spacing w:after="45"/>
            </w:pPr>
            <w:r>
              <w:rPr>
                <w:sz w:val="15"/>
                <w:szCs w:val="15"/>
              </w:rPr>
              <w:t xml:space="preserve">Patients with an alpha-fetoprotein below 400 ng/mL were excluded on the basis of the earlier REACH result, so no further data exist for them</w:t>
            </w:r>
          </w:p>
          <w:p>
            <w:pPr>
              <w:pStyle w:val="ListParagraph"/>
              <w:numPr>
                <w:ilvl w:val="0"/>
                <w:numId w:val="2"/>
              </w:numPr>
              <w:spacing w:after="45"/>
            </w:pPr>
            <w:r>
              <w:rPr>
                <w:sz w:val="15"/>
                <w:szCs w:val="15"/>
              </w:rPr>
              <w:t xml:space="preserve">Only sorafenib-pretreated patients were enrolled, which the authors list as a limitation, with an expansion cohort initiated for patients given other first-line treatments</w:t>
            </w:r>
          </w:p>
          <w:p>
            <w:pPr>
              <w:pStyle w:val="ListParagraph"/>
              <w:numPr>
                <w:ilvl w:val="0"/>
                <w:numId w:val="2"/>
              </w:numPr>
              <w:spacing w:after="45"/>
            </w:pPr>
            <w:r>
              <w:rPr>
                <w:sz w:val="15"/>
                <w:szCs w:val="15"/>
              </w:rPr>
              <w:t xml:space="preserve">Baseline alpha-fetoprotein was the only factor with a potential imbalance between groups, which the authors attribute to chance</w:t>
            </w:r>
          </w:p>
          <w:p>
            <w:pPr>
              <w:pStyle w:val="ListParagraph"/>
              <w:numPr>
                <w:ilvl w:val="0"/>
                <w:numId w:val="2"/>
              </w:numPr>
              <w:spacing w:after="45"/>
            </w:pPr>
            <w:r>
              <w:rPr>
                <w:sz w:val="15"/>
                <w:szCs w:val="15"/>
              </w:rPr>
              <w:t xml:space="preserve">Health-related quality of life, pharmacokinetic and immunogenicity results are stated to be reported separately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protocol amendment on 24 April 2017, nearly two years into enrolment, removed the planned interim efficacy analysis and cut the required sample from 399 to 279 patients while reducing the assumed hazard ratio, a decision taken by the principal investigator, the steering committee and the sponsor together, and the final analysis then occurred at exactly the 221 deaths the revised design required</w:t>
            </w:r>
          </w:p>
          <w:p>
            <w:pPr>
              <w:pStyle w:val="ListParagraph"/>
              <w:numPr>
                <w:ilvl w:val="0"/>
                <w:numId w:val="2"/>
              </w:numPr>
              <w:spacing w:after="45"/>
            </w:pPr>
            <w:r>
              <w:rPr>
                <w:sz w:val="15"/>
                <w:szCs w:val="15"/>
              </w:rPr>
              <w:t xml:space="preserve">The design assumed a placebo median survival of 4.5 months and the observed figure was 7.3 months, so the control arm behaved quite unlike the assumption on which the revised sample size rested, and the trial cleared significance only at p = 0.0199</w:t>
            </w:r>
          </w:p>
          <w:p>
            <w:pPr>
              <w:pStyle w:val="ListParagraph"/>
              <w:numPr>
                <w:ilvl w:val="0"/>
                <w:numId w:val="2"/>
              </w:numPr>
              <w:spacing w:after="45"/>
            </w:pPr>
            <w:r>
              <w:rPr>
                <w:sz w:val="15"/>
                <w:szCs w:val="15"/>
              </w:rPr>
              <w:t xml:space="preserve">The enriching biomarker was unbalanced in the direction that disfavours the experimental arm (median alpha-fetoprotein 3,920 ng/mL with ramucirumab against 2,741 ng/mL with placebo, upper quartiles 20,000 against 11,861) and alpha-fetoprotein was not a stratification factor, so with only 95 control patients the trial's defining biology was left to chance</w:t>
            </w:r>
          </w:p>
          <w:p>
            <w:pPr>
              <w:pStyle w:val="ListParagraph"/>
              <w:numPr>
                <w:ilvl w:val="0"/>
                <w:numId w:val="2"/>
              </w:numPr>
              <w:spacing w:after="45"/>
            </w:pPr>
            <w:r>
              <w:rPr>
                <w:sz w:val="15"/>
                <w:szCs w:val="15"/>
              </w:rPr>
              <w:t xml:space="preserve">The absolute median gain is 1.2 months with an objective response rate of about 5 percent, so the benefit rests on a time-to-event endpoint in a population whose median survival remains under 9 months</w:t>
            </w:r>
          </w:p>
          <w:p>
            <w:pPr>
              <w:pStyle w:val="ListParagraph"/>
              <w:numPr>
                <w:ilvl w:val="0"/>
                <w:numId w:val="2"/>
              </w:numPr>
              <w:spacing w:after="45"/>
            </w:pPr>
            <w:r>
              <w:rPr>
                <w:sz w:val="15"/>
                <w:szCs w:val="15"/>
              </w:rPr>
              <w:t xml:space="preserve">The 400 ng/mL threshold is carried over from a subgroup of the negative REACH trial with no stated biological derivation, and the paper reports no VEGFR2 or other mechanistic marker linking ramucirumab's target to the benefit, so the selection is prognostic enrichment rather than demonstrated prediction</w:t>
            </w:r>
          </w:p>
          <w:p>
            <w:pPr>
              <w:pStyle w:val="ListParagraph"/>
              <w:numPr>
                <w:ilvl w:val="0"/>
                <w:numId w:val="2"/>
              </w:numPr>
              <w:spacing w:after="45"/>
            </w:pPr>
            <w:r>
              <w:rPr>
                <w:sz w:val="15"/>
                <w:szCs w:val="15"/>
              </w:rPr>
              <w:t xml:space="preserve">The pooled analysis of REACH-2 with REACH by a random-effects frailty model (HR 0.694) combines the confirmatory trial with the very subgroup that generated its hypothesis, so it cannot be read as independent corroboration</w:t>
            </w:r>
          </w:p>
          <w:p>
            <w:pPr>
              <w:pStyle w:val="ListParagraph"/>
              <w:numPr>
                <w:ilvl w:val="0"/>
                <w:numId w:val="2"/>
              </w:numPr>
              <w:spacing w:after="45"/>
            </w:pPr>
            <w:r>
              <w:rPr>
                <w:sz w:val="15"/>
                <w:szCs w:val="15"/>
              </w:rPr>
              <w:t xml:space="preserve">Response and progression were assessed locally by investigators under RECIST 1.1 with no blinded independent central review</w:t>
            </w:r>
          </w:p>
          <w:p>
            <w:pPr>
              <w:pStyle w:val="ListParagraph"/>
              <w:numPr>
                <w:ilvl w:val="0"/>
                <w:numId w:val="2"/>
              </w:numPr>
              <w:spacing w:after="45"/>
            </w:pPr>
            <w:r>
              <w:rPr>
                <w:sz w:val="15"/>
                <w:szCs w:val="15"/>
              </w:rPr>
              <w:t xml:space="preserve">Median follow-up for overall survival was 7.6 months against a reported median survival of 8.5 months, so half the survival estimate lies beyond the median observation period</w:t>
            </w:r>
          </w:p>
          <w:p>
            <w:pPr>
              <w:pStyle w:val="ListParagraph"/>
              <w:numPr>
                <w:ilvl w:val="0"/>
                <w:numId w:val="2"/>
              </w:numPr>
              <w:spacing w:after="45"/>
            </w:pPr>
            <w:r>
              <w:rPr>
                <w:sz w:val="15"/>
                <w:szCs w:val="15"/>
              </w:rPr>
              <w:t xml:space="preserve">The favourable patient-reported result is time to deterioration of the eight-item FHSI symptom index, which sits fourth in the gatekeeping sequence, while the broader quality-of-life instrument results are deferred to a separate report</w:t>
            </w:r>
          </w:p>
          <w:p>
            <w:pPr>
              <w:pStyle w:val="ListParagraph"/>
              <w:numPr>
                <w:ilvl w:val="0"/>
                <w:numId w:val="2"/>
              </w:numPr>
              <w:spacing w:after="45"/>
            </w:pPr>
            <w:r>
              <w:rPr>
                <w:sz w:val="15"/>
                <w:szCs w:val="15"/>
              </w:rPr>
              <w:t xml:space="preserve">The sponsor designed both the parent and the confirmatory trial, collected, analysed and interpreted the data and wrote the report, and two authors are its employees with shares and pending patents in the area</w:t>
            </w:r>
          </w:p>
          <w:p>
            <w:pPr>
              <w:pStyle w:val="ListParagraph"/>
              <w:numPr>
                <w:ilvl w:val="0"/>
                <w:numId w:val="2"/>
              </w:numPr>
              <w:spacing w:after="45"/>
            </w:pPr>
            <w:r>
              <w:rPr>
                <w:sz w:val="15"/>
                <w:szCs w:val="15"/>
              </w:rPr>
              <w:t xml:space="preserve">Grade 3 or worse hypertension occurred in 13 percent against 4 percent and hyponatraemia in 5 against 2 percent, so the tolerability claim that underpins the proposal to combine ramucirumab with checkpoint inhibitors is relative rather than absolute</w:t>
            </w:r>
          </w:p>
        </w:tc>
      </w:tr>
    </w:tbl>
    <w:p>
      <w:pPr>
        <w:spacing w:after="0" w:line="276"/>
      </w:pPr>
      <w:r>
        <w:rPr>
          <w:color w:val="5A6069"/>
          <w:sz w:val="14"/>
          <w:szCs w:val="14"/>
        </w:rPr>
        <w:t xml:space="preserve">Funding: Funded by Eli Lilly, which had roles in the design of both REACH and REACH-2 and in data collection, analysis, interpretation and writing of the report; two authors are Lilly employees, shareholders and hold pending patents</w:t>
      </w:r>
    </w:p>
    <w:p>
      <w:pPr>
        <w:keepNext/>
        <w:spacing w:after="50" w:before="260"/>
      </w:pPr>
      <w:r>
        <w:rPr>
          <w:rFonts w:ascii="Cambria" w:cs="Cambria" w:eastAsia="Cambria" w:hAnsi="Cambria"/>
          <w:b/>
          <w:bCs/>
          <w:color w:val="17365D"/>
          <w:sz w:val="20"/>
          <w:szCs w:val="20"/>
        </w:rPr>
        <w:t xml:space="preserve">RESORCE</w:t>
      </w:r>
      <w:r>
        <w:rPr>
          <w:b/>
          <w:bCs/>
          <w:color w:val="176A87"/>
          <w:sz w:val="15"/>
          <w:szCs w:val="15"/>
        </w:rPr>
        <w:t xml:space="preserve">   Randomised trial</w:t>
      </w:r>
      <w:r>
        <w:rPr>
          <w:color w:val="5A6069"/>
          <w:sz w:val="15"/>
          <w:szCs w:val="15"/>
        </w:rPr>
        <w:t xml:space="preserve">   PMID 27932229</w:t>
      </w:r>
    </w:p>
    <w:p>
      <w:pPr>
        <w:spacing w:after="50" w:line="276"/>
      </w:pPr>
      <w:r>
        <w:rPr>
          <w:color w:val="5A6069"/>
          <w:sz w:val="17"/>
          <w:szCs w:val="17"/>
        </w:rPr>
        <w:t xml:space="preserve">Regorafenib for patients with hepatocellular carcinoma who progressed on sorafenib treatment (RESORCE): a randomised, double-blind, placebo-controlled, phase 3 trial</w:t>
      </w:r>
    </w:p>
    <w:p>
      <w:pPr>
        <w:spacing w:after="50"/>
      </w:pPr>
      <w:r>
        <w:rPr>
          <w:b/>
          <w:bCs/>
          <w:color w:val="176A87"/>
          <w:sz w:val="16"/>
          <w:szCs w:val="16"/>
        </w:rPr>
        <w:t xml:space="preserve">Population. </w:t>
      </w:r>
      <w:r>
        <w:rPr>
          <w:sz w:val="16"/>
          <w:szCs w:val="16"/>
        </w:rPr>
        <w:t xml:space="preserve">573 of 843 screened patients with HCC, Child-Pugh A and ECOG 0 or 1 who had tolerated sorafenib and progressed on it, randomised 2:1 to regorafenib (379) or placebo (194) between May 2013 and December 2015, with Asian recruitment capped at 40 percent; median prior sorafenib duration 7.8 months in both arms</w:t>
      </w:r>
    </w:p>
    <w:p>
      <w:pPr>
        <w:spacing w:after="70"/>
      </w:pPr>
      <w:r>
        <w:rPr>
          <w:b/>
          <w:bCs/>
          <w:color w:val="17365D"/>
          <w:sz w:val="16"/>
          <w:szCs w:val="16"/>
        </w:rPr>
        <w:t xml:space="preserve">Bottom line. </w:t>
      </w:r>
      <w:r>
        <w:rPr>
          <w:sz w:val="16"/>
          <w:szCs w:val="16"/>
        </w:rPr>
        <w:t xml:space="preserve">RESORCE was the first trial to show a survival benefit for any systemic agent after sorafenib, with median overall survival 10.6 against 7.8 months (HR 0.63, 95% CI 0.50 to 0.79) and gains in progression-free survival, time to progression and response. It is a well-conducted double-blind trial with a prespecified effect size that it met; the costs are that enrolment required prior tolerance of sorafenib, every treated patient had an adverse event, and the trial's own quality-of-life instruments were significantly worse with regorafenib.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enrolled only patients who progressed during sorafenib treatment, so the authors state that no firm conclusion can be drawn about regorafenib in patients who do not tolerate sorafenib</w:t>
            </w:r>
          </w:p>
          <w:p>
            <w:pPr>
              <w:pStyle w:val="ListParagraph"/>
              <w:numPr>
                <w:ilvl w:val="0"/>
                <w:numId w:val="2"/>
              </w:numPr>
              <w:spacing w:after="45"/>
            </w:pPr>
            <w:r>
              <w:rPr>
                <w:sz w:val="15"/>
                <w:szCs w:val="15"/>
              </w:rPr>
              <w:t xml:space="preserve">Special populations such as patients co-infected with HIV were not included</w:t>
            </w:r>
          </w:p>
          <w:p>
            <w:pPr>
              <w:pStyle w:val="ListParagraph"/>
              <w:numPr>
                <w:ilvl w:val="0"/>
                <w:numId w:val="2"/>
              </w:numPr>
              <w:spacing w:after="45"/>
            </w:pPr>
            <w:r>
              <w:rPr>
                <w:sz w:val="15"/>
                <w:szCs w:val="15"/>
              </w:rPr>
              <w:t xml:space="preserve">The authors note that the association between adverse events such as hand-foot skin reaction and outcome is based on post-randomisation events and so cannot be used to select patients likely to benefit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Eligibility required documented tolerance of sorafenib before progression on it, which selects for tolerance of a related multikinase inhibitor as well, so the 10.6-month median and the manageable toxicity profile describe a population pre-selected on the exposure being tested</w:t>
            </w:r>
          </w:p>
          <w:p>
            <w:pPr>
              <w:pStyle w:val="ListParagraph"/>
              <w:numPr>
                <w:ilvl w:val="0"/>
                <w:numId w:val="2"/>
              </w:numPr>
              <w:spacing w:after="45"/>
            </w:pPr>
            <w:r>
              <w:rPr>
                <w:sz w:val="15"/>
                <w:szCs w:val="15"/>
              </w:rPr>
              <w:t xml:space="preserve">The trial's own health-related quality-of-life results favoured placebo: FACT-Hep and the Trial Outcome Index were significantly worse with regorafenib (p = 0.0006 and p &lt; 0.0001), and the authors set this aside on the grounds that published minimally important difference thresholds were not met, with the data placed in an appendix</w:t>
            </w:r>
          </w:p>
          <w:p>
            <w:pPr>
              <w:pStyle w:val="ListParagraph"/>
              <w:numPr>
                <w:ilvl w:val="0"/>
                <w:numId w:val="2"/>
              </w:numPr>
              <w:spacing w:after="45"/>
            </w:pPr>
            <w:r>
              <w:rPr>
                <w:sz w:val="15"/>
                <w:szCs w:val="15"/>
              </w:rPr>
              <w:t xml:space="preserve">Every treated patient had an adverse event and 47 of 379 regorafenib patients discontinued for an adverse event unrelated to disease progression against 12 of 194 on placebo, so the 2.8-month median gain is bought at a cost the trial measured but discounted</w:t>
            </w:r>
          </w:p>
          <w:p>
            <w:pPr>
              <w:pStyle w:val="ListParagraph"/>
              <w:numPr>
                <w:ilvl w:val="0"/>
                <w:numId w:val="2"/>
              </w:numPr>
              <w:spacing w:after="45"/>
            </w:pPr>
            <w:r>
              <w:rPr>
                <w:sz w:val="15"/>
                <w:szCs w:val="15"/>
              </w:rPr>
              <w:t xml:space="preserve">Response and progression were assessed by investigators using mRECIST and RECIST with no blinded independent central review, and the two complete responses reported by mRECIST are a criterion that excludes necrosis of the target lesion from the measurement</w:t>
            </w:r>
          </w:p>
          <w:p>
            <w:pPr>
              <w:pStyle w:val="ListParagraph"/>
              <w:numPr>
                <w:ilvl w:val="0"/>
                <w:numId w:val="2"/>
              </w:numPr>
              <w:spacing w:after="45"/>
            </w:pPr>
            <w:r>
              <w:rPr>
                <w:sz w:val="15"/>
                <w:szCs w:val="15"/>
              </w:rPr>
              <w:t xml:space="preserve">Patients who progressed from Child-Pugh A to B between screening and randomisation were enrolled, disclosed only in a footnote to the baseline table, and 5 regorafenib and 6 placebo patients were Child-Pugh B at baseline</w:t>
            </w:r>
          </w:p>
          <w:p>
            <w:pPr>
              <w:pStyle w:val="ListParagraph"/>
              <w:numPr>
                <w:ilvl w:val="0"/>
                <w:numId w:val="2"/>
              </w:numPr>
              <w:spacing w:after="45"/>
            </w:pPr>
            <w:r>
              <w:rPr>
                <w:sz w:val="15"/>
                <w:szCs w:val="15"/>
              </w:rPr>
              <w:t xml:space="preserve">Asian recruitment was capped at 40 percent by design, which constrains the trial's representativeness of the global disease by administrative fiat rather than by eligibility</w:t>
            </w:r>
          </w:p>
          <w:p>
            <w:pPr>
              <w:pStyle w:val="ListParagraph"/>
              <w:numPr>
                <w:ilvl w:val="0"/>
                <w:numId w:val="2"/>
              </w:numPr>
              <w:spacing w:after="45"/>
            </w:pPr>
            <w:r>
              <w:rPr>
                <w:sz w:val="15"/>
                <w:szCs w:val="15"/>
              </w:rPr>
              <w:t xml:space="preserve">Pharmacokinetic and biomarker evaluations are stated not to be reported here, so the trial that established sorafenib-to-regorafenib sequencing published no biomarker that would identify who should receive it</w:t>
            </w:r>
          </w:p>
          <w:p>
            <w:pPr>
              <w:pStyle w:val="ListParagraph"/>
              <w:numPr>
                <w:ilvl w:val="0"/>
                <w:numId w:val="2"/>
              </w:numPr>
              <w:spacing w:after="45"/>
            </w:pPr>
            <w:r>
              <w:rPr>
                <w:sz w:val="15"/>
                <w:szCs w:val="15"/>
              </w:rPr>
              <w:t xml:space="preserve">The comparator is placebo plus best supportive care, appropriate when the trial was designed but no longer the relevant control, and the trial cannot speak to regorafenib after an immunotherapy combination, which is now the usual first line</w:t>
            </w:r>
          </w:p>
          <w:p>
            <w:pPr>
              <w:pStyle w:val="ListParagraph"/>
              <w:numPr>
                <w:ilvl w:val="0"/>
                <w:numId w:val="2"/>
              </w:numPr>
              <w:spacing w:after="45"/>
            </w:pPr>
            <w:r>
              <w:rPr>
                <w:sz w:val="15"/>
                <w:szCs w:val="15"/>
              </w:rPr>
              <w:t xml:space="preserve">238 of 843 screened patients failed screening, so roughly a third of patients considered for a trial restricted to sorafenib-tolerant progressors were still not eligible, and the paper gives no characteristics for them</w:t>
            </w:r>
          </w:p>
          <w:p>
            <w:pPr>
              <w:pStyle w:val="ListParagraph"/>
              <w:numPr>
                <w:ilvl w:val="0"/>
                <w:numId w:val="2"/>
              </w:numPr>
              <w:spacing w:after="45"/>
            </w:pPr>
            <w:r>
              <w:rPr>
                <w:sz w:val="15"/>
                <w:szCs w:val="15"/>
              </w:rPr>
              <w:t xml:space="preserve">The Discussion's claim that prolonging exposure to multikinase inhibitors in sequence extends survival cannot be separated from the selection the eligibility criteria imposed, since only patients who had already demonstrated tolerance and a reasonable duration on sorafenib could enter</w:t>
            </w:r>
          </w:p>
          <w:p>
            <w:pPr>
              <w:pStyle w:val="ListParagraph"/>
              <w:numPr>
                <w:ilvl w:val="0"/>
                <w:numId w:val="2"/>
              </w:numPr>
              <w:spacing w:after="45"/>
            </w:pPr>
            <w:r>
              <w:rPr>
                <w:sz w:val="15"/>
                <w:szCs w:val="15"/>
              </w:rPr>
              <w:t xml:space="preserve">All statistical analyses were performed by the funder, which also provided the drug, co-designed the trial, collected and interpreted the data, prepared the report and paid for the writing assistance, so no analysis independent of Bayer underlies the registration result</w:t>
            </w:r>
          </w:p>
        </w:tc>
      </w:tr>
    </w:tbl>
    <w:p>
      <w:pPr>
        <w:spacing w:after="0" w:line="276"/>
      </w:pPr>
      <w:r>
        <w:rPr>
          <w:color w:val="5A6069"/>
          <w:sz w:val="14"/>
          <w:szCs w:val="14"/>
        </w:rPr>
        <w:t xml:space="preserve">Funding: Funded by Bayer, which provided the study drug, designed the trial with the principal investigator and steering committee, took part in data collection and interpretation and in preparing the report, performed all statistical analyses and funded writing assistance; three authors are Bayer employees, one holding stock, and the principal investigator reports grants and personal fees from Bayer</w:t>
      </w:r>
    </w:p>
    <w:p>
      <w:pPr>
        <w:keepNext/>
        <w:spacing w:after="50" w:before="260"/>
      </w:pPr>
      <w:r>
        <w:rPr>
          <w:rFonts w:ascii="Cambria" w:cs="Cambria" w:eastAsia="Cambria" w:hAnsi="Cambria"/>
          <w:b/>
          <w:bCs/>
          <w:color w:val="17365D"/>
          <w:sz w:val="20"/>
          <w:szCs w:val="20"/>
        </w:rPr>
        <w:t xml:space="preserve">RTOG 1112</w:t>
      </w:r>
      <w:r>
        <w:rPr>
          <w:b/>
          <w:bCs/>
          <w:color w:val="176A87"/>
          <w:sz w:val="15"/>
          <w:szCs w:val="15"/>
        </w:rPr>
        <w:t xml:space="preserve">   Randomised trial</w:t>
      </w:r>
      <w:r>
        <w:rPr>
          <w:color w:val="5A6069"/>
          <w:sz w:val="15"/>
          <w:szCs w:val="15"/>
        </w:rPr>
        <w:t xml:space="preserve">   PMID 39699905</w:t>
      </w:r>
    </w:p>
    <w:p>
      <w:pPr>
        <w:spacing w:after="50" w:line="276"/>
      </w:pPr>
      <w:r>
        <w:rPr>
          <w:color w:val="5A6069"/>
          <w:sz w:val="17"/>
          <w:szCs w:val="17"/>
        </w:rPr>
        <w:t xml:space="preserve">Stereotactic Body Radiotherapy vs Sorafenib Alone in Hepatocellular Carcinoma: The NRG Oncology/RTOG 1112 Phase 3 Randomized Clinical Trial</w:t>
      </w:r>
    </w:p>
    <w:p>
      <w:pPr>
        <w:spacing w:after="50"/>
      </w:pPr>
      <w:r>
        <w:rPr>
          <w:b/>
          <w:bCs/>
          <w:color w:val="176A87"/>
          <w:sz w:val="16"/>
          <w:szCs w:val="16"/>
        </w:rPr>
        <w:t xml:space="preserve">Population. </w:t>
      </w:r>
      <w:r>
        <w:rPr>
          <w:sz w:val="16"/>
          <w:szCs w:val="16"/>
        </w:rPr>
        <w:t xml:space="preserve">193 patients randomised and 177 eligible and analysed at 23 sites in the USA, Canada, Australia and Hong Kong between April 2013 and March 2021: 92 to sorafenib alone and 85 to personalised stereotactic body radiotherapy of 27.5 to 50 Gy in 5 fractions followed by sorafenib; 145 of 177 were BCLC C, macrovascular invasion was present in 131 (74.0 percent) and 112 (63.3 percent) had Vp3, Vp4 or inferior vena cava involvement</w:t>
      </w:r>
    </w:p>
    <w:p>
      <w:pPr>
        <w:spacing w:after="70"/>
      </w:pPr>
      <w:r>
        <w:rPr>
          <w:b/>
          <w:bCs/>
          <w:color w:val="17365D"/>
          <w:sz w:val="16"/>
          <w:szCs w:val="16"/>
        </w:rPr>
        <w:t xml:space="preserve">Bottom line. </w:t>
      </w:r>
      <w:r>
        <w:rPr>
          <w:sz w:val="16"/>
          <w:szCs w:val="16"/>
        </w:rPr>
        <w:t xml:space="preserve">NRG/RTOG 1112 is the only phase 3 trial of adding stereotactic radiotherapy to first-line systemic therapy in locally advanced HCC, reporting median overall survival of 15.8 against 12.3 months. It missed its primary endpoint on the prespecified univariate analysis (one-sided p = 0.06) and the significant 28 percent mortality reduction comes from a multivariable model; power fell from 368 planned patients to 177 analysed with 65 percent power, and the comparator was obsolete before the trial closed.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Slow accrual and early closure with substantially reduced power, which the authors state</w:t>
            </w:r>
          </w:p>
          <w:p>
            <w:pPr>
              <w:pStyle w:val="ListParagraph"/>
              <w:numPr>
                <w:ilvl w:val="0"/>
                <w:numId w:val="2"/>
              </w:numPr>
              <w:spacing w:after="45"/>
            </w:pPr>
            <w:r>
              <w:rPr>
                <w:sz w:val="15"/>
                <w:szCs w:val="15"/>
              </w:rPr>
              <w:t xml:space="preserve">A low quality-of-life completion rate precluded formal statistical analysis of that secondary endpoint</w:t>
            </w:r>
          </w:p>
          <w:p>
            <w:pPr>
              <w:pStyle w:val="ListParagraph"/>
              <w:numPr>
                <w:ilvl w:val="0"/>
                <w:numId w:val="2"/>
              </w:numPr>
              <w:spacing w:after="45"/>
            </w:pPr>
            <w:r>
              <w:rPr>
                <w:sz w:val="15"/>
                <w:szCs w:val="15"/>
              </w:rPr>
              <w:t xml:space="preserve">The authors call for trials of radiotherapy added to current first-line immunotherapy, since sorafenib was superseded during the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was not met on the prespecified univariate analysis (one-sided p = 0.06) and the headline 28 percent reduction in mortality is the adjusted hazard ratio of 0.72 (95% CI 0.52 to 0.99) from a multivariable model, so the trial's positive claim does not come from the randomised comparison as designed</w:t>
            </w:r>
          </w:p>
          <w:p>
            <w:pPr>
              <w:pStyle w:val="ListParagraph"/>
              <w:numPr>
                <w:ilvl w:val="0"/>
                <w:numId w:val="2"/>
              </w:numPr>
              <w:spacing w:after="45"/>
            </w:pPr>
            <w:r>
              <w:rPr>
                <w:sz w:val="15"/>
                <w:szCs w:val="15"/>
              </w:rPr>
              <w:t xml:space="preserve">Power was eroded in three stages: the design required 368 patients and 277 events, an amendment in March 2020 reduced this to 292 patients and 238 events for 80 percent power, and the trial closed in March 2021 and was converted to a time-driven analysis with 65 percent power on 177 eligible patients and 153 deaths</w:t>
            </w:r>
          </w:p>
          <w:p>
            <w:pPr>
              <w:pStyle w:val="ListParagraph"/>
              <w:numPr>
                <w:ilvl w:val="0"/>
                <w:numId w:val="2"/>
              </w:numPr>
              <w:spacing w:after="45"/>
            </w:pPr>
            <w:r>
              <w:rPr>
                <w:sz w:val="15"/>
                <w:szCs w:val="15"/>
              </w:rPr>
              <w:t xml:space="preserve">Contamination ran both ways and is not accounted for: 19 of 92 patients (20.7 percent) randomised to sorafenib alone later received radiotherapy while 13 of 85 (15 percent) in the radiotherapy arm never started sorafenib and those who did took a lower median daily dose, so neither arm received its allocated strategy intact</w:t>
            </w:r>
          </w:p>
          <w:p>
            <w:pPr>
              <w:pStyle w:val="ListParagraph"/>
              <w:numPr>
                <w:ilvl w:val="0"/>
                <w:numId w:val="2"/>
              </w:numPr>
              <w:spacing w:after="45"/>
            </w:pPr>
            <w:r>
              <w:rPr>
                <w:sz w:val="15"/>
                <w:szCs w:val="15"/>
              </w:rPr>
              <w:t xml:space="preserve">Quality of life, the usual justification for adding a liver-directed treatment, could not be analysed because of low consent and completion, leaving 6 of 17 against 2 of 20 patients as the only data in a trial that ran for eight years</w:t>
            </w:r>
          </w:p>
          <w:p>
            <w:pPr>
              <w:pStyle w:val="ListParagraph"/>
              <w:numPr>
                <w:ilvl w:val="0"/>
                <w:numId w:val="2"/>
              </w:numPr>
              <w:spacing w:after="45"/>
            </w:pPr>
            <w:r>
              <w:rPr>
                <w:sz w:val="15"/>
                <w:szCs w:val="15"/>
              </w:rPr>
              <w:t xml:space="preserve">Response and progression were assessed locally with no blinded central review in an open-label trial, which matters most for the progression-free survival and vascular response endpoints that carried the largest effect sizes</w:t>
            </w:r>
          </w:p>
          <w:p>
            <w:pPr>
              <w:pStyle w:val="ListParagraph"/>
              <w:numPr>
                <w:ilvl w:val="0"/>
                <w:numId w:val="2"/>
              </w:numPr>
              <w:spacing w:after="45"/>
            </w:pPr>
            <w:r>
              <w:rPr>
                <w:sz w:val="15"/>
                <w:szCs w:val="15"/>
              </w:rPr>
              <w:t xml:space="preserve">Sixteen of 193 randomised patients were found ineligible and excluded, so the analysis population is not the randomised population and the paper does not present an analysis that keeps them in</w:t>
            </w:r>
          </w:p>
          <w:p>
            <w:pPr>
              <w:pStyle w:val="ListParagraph"/>
              <w:numPr>
                <w:ilvl w:val="0"/>
                <w:numId w:val="2"/>
              </w:numPr>
              <w:spacing w:after="45"/>
            </w:pPr>
            <w:r>
              <w:rPr>
                <w:sz w:val="15"/>
                <w:szCs w:val="15"/>
              </w:rPr>
              <w:t xml:space="preserve">The comparator was superseded by immunotherapy combinations during the trial, which is the stated reason accrual was stopped, so the result cannot tell a tumour board whether to add radiotherapy to atezolizumab plus bevacizumab or durvalumab plus tremelimumab</w:t>
            </w:r>
          </w:p>
          <w:p>
            <w:pPr>
              <w:pStyle w:val="ListParagraph"/>
              <w:numPr>
                <w:ilvl w:val="0"/>
                <w:numId w:val="2"/>
              </w:numPr>
              <w:spacing w:after="45"/>
            </w:pPr>
            <w:r>
              <w:rPr>
                <w:sz w:val="15"/>
                <w:szCs w:val="15"/>
              </w:rPr>
              <w:t xml:space="preserve">The article required correction in April 2025 for typographical errors in the Key Points and Table 1, and residual errors remain in the published text, including an impossible platelet threshold of 60,000 cells per 10 to the third per microlitre and a subgroup forest plot whose events column begins at 129 of 150 where the correct figure is 153 of 177</w:t>
            </w:r>
          </w:p>
          <w:p>
            <w:pPr>
              <w:pStyle w:val="ListParagraph"/>
              <w:numPr>
                <w:ilvl w:val="0"/>
                <w:numId w:val="2"/>
              </w:numPr>
              <w:spacing w:after="45"/>
            </w:pPr>
            <w:r>
              <w:rPr>
                <w:sz w:val="15"/>
                <w:szCs w:val="15"/>
              </w:rPr>
              <w:t xml:space="preserve">The abstract reports treatment-related grade 3 or higher events as 37 of 88 and 39 of 83 while the Results list grade 3 and grade 4 separately with different totals, so the toxicity comparison is not reproducible from the paper</w:t>
            </w:r>
          </w:p>
          <w:p>
            <w:pPr>
              <w:pStyle w:val="ListParagraph"/>
              <w:numPr>
                <w:ilvl w:val="0"/>
                <w:numId w:val="2"/>
              </w:numPr>
              <w:spacing w:after="45"/>
            </w:pPr>
            <w:r>
              <w:rPr>
                <w:sz w:val="15"/>
                <w:szCs w:val="15"/>
              </w:rPr>
              <w:t xml:space="preserve">Radiotherapy dose was personalised from 27.5 to nearly twofold higher at 50 Gy in 5 fractions according to liver tolerance, so the experimental arm is a range of treatments rather than one, and no dose-response analysis is presented</w:t>
            </w:r>
          </w:p>
        </w:tc>
      </w:tr>
    </w:tbl>
    <w:p>
      <w:pPr>
        <w:spacing w:after="0" w:line="276"/>
      </w:pPr>
      <w:r>
        <w:rPr>
          <w:color w:val="5A6069"/>
          <w:sz w:val="14"/>
          <w:szCs w:val="14"/>
        </w:rPr>
        <w:t xml:space="preserve">Funding: Funded by National Cancer Institute grants U10CA180868, U10CA180822, UG1CA189867 and U24CA180803; the funder had no role in design, conduct, analysis or the decision to publish, although several authors report industry payments outside the submitted work</w:t>
      </w:r>
    </w:p>
    <w:p>
      <w:pPr>
        <w:keepNext/>
        <w:spacing w:after="50" w:before="260"/>
      </w:pPr>
      <w:r>
        <w:rPr>
          <w:rFonts w:ascii="Cambria" w:cs="Cambria" w:eastAsia="Cambria" w:hAnsi="Cambria"/>
          <w:b/>
          <w:bCs/>
          <w:color w:val="17365D"/>
          <w:sz w:val="20"/>
          <w:szCs w:val="20"/>
        </w:rPr>
        <w:t xml:space="preserve">SARAH</w:t>
      </w:r>
      <w:r>
        <w:rPr>
          <w:b/>
          <w:bCs/>
          <w:color w:val="176A87"/>
          <w:sz w:val="15"/>
          <w:szCs w:val="15"/>
        </w:rPr>
        <w:t xml:space="preserve">   Randomised trial</w:t>
      </w:r>
      <w:r>
        <w:rPr>
          <w:color w:val="5A6069"/>
          <w:sz w:val="15"/>
          <w:szCs w:val="15"/>
        </w:rPr>
        <w:t xml:space="preserve">   PMID 29107679</w:t>
      </w:r>
    </w:p>
    <w:p>
      <w:pPr>
        <w:spacing w:after="50" w:line="276"/>
      </w:pPr>
      <w:r>
        <w:rPr>
          <w:color w:val="5A6069"/>
          <w:sz w:val="17"/>
          <w:szCs w:val="17"/>
        </w:rPr>
        <w:t xml:space="preserve">Efficacy and safety of selective internal radiotherapy with yttrium-90 resin microspheres compared with sorafenib in locally advanced and inoperable hepatocellular carcinoma (SARAH): an open-label randomised controlled phase 3 trial</w:t>
      </w:r>
    </w:p>
    <w:p>
      <w:pPr>
        <w:spacing w:after="50"/>
      </w:pPr>
      <w:r>
        <w:rPr>
          <w:b/>
          <w:bCs/>
          <w:color w:val="176A87"/>
          <w:sz w:val="16"/>
          <w:szCs w:val="16"/>
        </w:rPr>
        <w:t xml:space="preserve">Population. </w:t>
      </w:r>
      <w:r>
        <w:rPr>
          <w:sz w:val="16"/>
          <w:szCs w:val="16"/>
        </w:rPr>
        <w:t xml:space="preserve">459 patients with BCLC C HCC, unresectable recurrence after previously cured HCC, or HCC after two failed rounds of chemoembolisation, randomised 1:1 at 25 French liver centres between December 2011 and March 2015 to Y-90 resin radioembolisation (237) or sorafenib (222); 63 percent had macrovascular invasion, 16 percent were Child-Pugh B7 and 22 percent of the radioembolisation arm never received the treatment</w:t>
      </w:r>
    </w:p>
    <w:p>
      <w:pPr>
        <w:spacing w:after="70"/>
      </w:pPr>
      <w:r>
        <w:rPr>
          <w:b/>
          <w:bCs/>
          <w:color w:val="17365D"/>
          <w:sz w:val="16"/>
          <w:szCs w:val="16"/>
        </w:rPr>
        <w:t xml:space="preserve">Bottom line. </w:t>
      </w:r>
      <w:r>
        <w:rPr>
          <w:sz w:val="16"/>
          <w:szCs w:val="16"/>
        </w:rPr>
        <w:t xml:space="preserve">SARAH found no survival advantage for radioembolisation over sorafenib in locally advanced HCC (median 8.0 against 9.9 months, HR 1.15), with better tolerability and quality of life after radioembolisation. The negative result is substantially a delivery and dosing failure: 22 percent of the radioembolisation arm never received it, the per-protocol medians were identical, activity was prescribed by body surface area, and the trial's own later dose-response analysis showed survival of 14.1 against 6.1 months above and below a tumour absorbed dose of 100 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More patients assigned radioembolisation than sorafenib never received their allocated treatment, which the authors state</w:t>
            </w:r>
          </w:p>
          <w:p>
            <w:pPr>
              <w:pStyle w:val="ListParagraph"/>
              <w:numPr>
                <w:ilvl w:val="0"/>
                <w:numId w:val="2"/>
              </w:numPr>
              <w:spacing w:after="45"/>
            </w:pPr>
            <w:r>
              <w:rPr>
                <w:sz w:val="15"/>
                <w:szCs w:val="15"/>
              </w:rPr>
              <w:t xml:space="preserve">There was a long work-up delay before radioembolisation</w:t>
            </w:r>
          </w:p>
          <w:p>
            <w:pPr>
              <w:pStyle w:val="ListParagraph"/>
              <w:numPr>
                <w:ilvl w:val="0"/>
                <w:numId w:val="2"/>
              </w:numPr>
              <w:spacing w:after="45"/>
            </w:pPr>
            <w:r>
              <w:rPr>
                <w:sz w:val="15"/>
                <w:szCs w:val="15"/>
              </w:rPr>
              <w:t xml:space="preserve">Many participating centres had limited experience with radioembolisation despite certification requirements</w:t>
            </w:r>
          </w:p>
          <w:p>
            <w:pPr>
              <w:pStyle w:val="ListParagraph"/>
              <w:numPr>
                <w:ilvl w:val="0"/>
                <w:numId w:val="2"/>
              </w:numPr>
              <w:spacing w:after="45"/>
            </w:pPr>
            <w:r>
              <w:rPr>
                <w:sz w:val="15"/>
                <w:szCs w:val="15"/>
              </w:rPr>
              <w:t xml:space="preserve">Dose-related efficacy had not been evaluated at the time of the report, which the authors list as a limitation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Fifty-three of 237 patients assigned radioembolisation never received it and about half of those crossed to sorafenib, so the intention-to-treat hazard ratio of 1.15 becomes 0.99 with identical 9.9-month medians in the per-protocol set; the trial cannot distinguish an ineffective treatment from an undelivered one</w:t>
            </w:r>
          </w:p>
          <w:p>
            <w:pPr>
              <w:pStyle w:val="ListParagraph"/>
              <w:numPr>
                <w:ilvl w:val="0"/>
                <w:numId w:val="2"/>
              </w:numPr>
              <w:spacing w:after="45"/>
            </w:pPr>
            <w:r>
              <w:rPr>
                <w:sz w:val="15"/>
                <w:szCs w:val="15"/>
              </w:rPr>
              <w:t xml:space="preserve">Activity was prescribed by the body surface area model with no verification of tumour absorbed dose, and the trial's own subsequent dose-response analysis found median survival of 14.1 months at 100 Gy or more against 6.1 months below it, so a substantial fraction of the experimental arm received a dose the same investigators later showed to be insufficient</w:t>
            </w:r>
          </w:p>
          <w:p>
            <w:pPr>
              <w:pStyle w:val="ListParagraph"/>
              <w:numPr>
                <w:ilvl w:val="0"/>
                <w:numId w:val="2"/>
              </w:numPr>
              <w:spacing w:after="45"/>
            </w:pPr>
            <w:r>
              <w:rPr>
                <w:sz w:val="15"/>
                <w:szCs w:val="15"/>
              </w:rPr>
              <w:t xml:space="preserve">The enrolled population was both too advanced and too heterogeneous for a liver-directed treatment: 63 percent had macrovascular invasion, 16 percent were Child-Pugh B7 and the median tumour burden was 18 percent of the liver, and a post hoc subset with burden of 25 percent or less and ALBI grade 1 reached 21.9 against 17.0 months in favour of radioembolisation</w:t>
            </w:r>
          </w:p>
          <w:p>
            <w:pPr>
              <w:pStyle w:val="ListParagraph"/>
              <w:numPr>
                <w:ilvl w:val="0"/>
                <w:numId w:val="2"/>
              </w:numPr>
              <w:spacing w:after="45"/>
            </w:pPr>
            <w:r>
              <w:rPr>
                <w:sz w:val="15"/>
                <w:szCs w:val="15"/>
              </w:rPr>
              <w:t xml:space="preserve">The operational penalty fell entirely on one arm: a median 29 days from randomisation to radioembolisation against 7 days to sorafenib in a population whose median survival was about 9 months, so roughly a tenth of the available survival time was consumed by work-up in the experimental arm alone</w:t>
            </w:r>
          </w:p>
          <w:p>
            <w:pPr>
              <w:pStyle w:val="ListParagraph"/>
              <w:numPr>
                <w:ilvl w:val="0"/>
                <w:numId w:val="2"/>
              </w:numPr>
              <w:spacing w:after="45"/>
            </w:pPr>
            <w:r>
              <w:rPr>
                <w:sz w:val="15"/>
                <w:szCs w:val="15"/>
              </w:rPr>
              <w:t xml:space="preserve">Eligibility included three quite different clinical situations, advanced disease, recurrence after cure and failure of two rounds of chemoembolisation, with no stratification that would let the result be read for any one of them</w:t>
            </w:r>
          </w:p>
          <w:p>
            <w:pPr>
              <w:pStyle w:val="ListParagraph"/>
              <w:numPr>
                <w:ilvl w:val="0"/>
                <w:numId w:val="2"/>
              </w:numPr>
              <w:spacing w:after="45"/>
            </w:pPr>
            <w:r>
              <w:rPr>
                <w:sz w:val="15"/>
                <w:szCs w:val="15"/>
              </w:rPr>
              <w:t xml:space="preserve">The comparator is now historical, so the trial cannot say how radioembolisation performs against the immunotherapy doublets that have replaced sorafenib in first-line advanced disease</w:t>
            </w:r>
          </w:p>
          <w:p>
            <w:pPr>
              <w:pStyle w:val="ListParagraph"/>
              <w:numPr>
                <w:ilvl w:val="0"/>
                <w:numId w:val="2"/>
              </w:numPr>
              <w:spacing w:after="45"/>
            </w:pPr>
            <w:r>
              <w:rPr>
                <w:sz w:val="15"/>
                <w:szCs w:val="15"/>
              </w:rPr>
              <w:t xml:space="preserve">Quality of life and tolerability favoured radioembolisation, which in an open-label trial with a single procedure against a continuously dosed oral drug reflects the shape of the two treatments as much as their toxicity</w:t>
            </w:r>
          </w:p>
          <w:p>
            <w:pPr>
              <w:pStyle w:val="ListParagraph"/>
              <w:numPr>
                <w:ilvl w:val="0"/>
                <w:numId w:val="2"/>
              </w:numPr>
              <w:spacing w:after="45"/>
            </w:pPr>
            <w:r>
              <w:rPr>
                <w:sz w:val="15"/>
                <w:szCs w:val="15"/>
              </w:rPr>
              <w:t xml:space="preserve">The abstract gives serious adverse events in the sorafenib arm as 82 percent and the Results text as 81 percent, so the paper's own safety denominator is inconsistent</w:t>
            </w:r>
          </w:p>
          <w:p>
            <w:pPr>
              <w:pStyle w:val="ListParagraph"/>
              <w:numPr>
                <w:ilvl w:val="0"/>
                <w:numId w:val="2"/>
              </w:numPr>
              <w:spacing w:after="45"/>
            </w:pPr>
            <w:r>
              <w:rPr>
                <w:sz w:val="15"/>
                <w:szCs w:val="15"/>
              </w:rPr>
              <w:t xml:space="preserve">The sponsor manufactures the device tested and also funded the editorial assistance, and the paper reports no independent statistical analysis</w:t>
            </w:r>
          </w:p>
        </w:tc>
      </w:tr>
    </w:tbl>
    <w:p>
      <w:pPr>
        <w:spacing w:after="0" w:line="276"/>
      </w:pPr>
      <w:r>
        <w:rPr>
          <w:color w:val="5A6069"/>
          <w:sz w:val="14"/>
          <w:szCs w:val="14"/>
        </w:rPr>
        <w:t xml:space="preserve">Funding: Funded by Sirtex Medical, which makes the resin microspheres tested, and which also paid for editorial assistance</w:t>
      </w:r>
    </w:p>
    <w:p>
      <w:pPr>
        <w:keepNext/>
        <w:spacing w:after="50" w:before="260"/>
      </w:pPr>
      <w:r>
        <w:rPr>
          <w:rFonts w:ascii="Cambria" w:cs="Cambria" w:eastAsia="Cambria" w:hAnsi="Cambria"/>
          <w:b/>
          <w:bCs/>
          <w:color w:val="17365D"/>
          <w:sz w:val="20"/>
          <w:szCs w:val="20"/>
        </w:rPr>
        <w:t xml:space="preserve">SBRT vs RFA</w:t>
      </w:r>
      <w:r>
        <w:rPr>
          <w:b/>
          <w:bCs/>
          <w:color w:val="176A87"/>
          <w:sz w:val="15"/>
          <w:szCs w:val="15"/>
        </w:rPr>
        <w:t xml:space="preserve">   Randomised trial</w:t>
      </w:r>
      <w:r>
        <w:rPr>
          <w:color w:val="5A6069"/>
          <w:sz w:val="15"/>
          <w:szCs w:val="15"/>
        </w:rPr>
        <w:t xml:space="preserve">   PMID 39693584</w:t>
      </w:r>
    </w:p>
    <w:p>
      <w:pPr>
        <w:spacing w:after="50" w:line="276"/>
      </w:pPr>
      <w:r>
        <w:rPr>
          <w:color w:val="5A6069"/>
          <w:sz w:val="17"/>
          <w:szCs w:val="17"/>
        </w:rPr>
        <w:t xml:space="preserve">Radiofrequency Ablation Versus Stereotactic Body Radiotherapy for Recurrent Small Hepatocellular Carcinoma: A Randomized, Open-Label, Controlled Trial</w:t>
      </w:r>
    </w:p>
    <w:p>
      <w:pPr>
        <w:spacing w:after="50"/>
      </w:pPr>
      <w:r>
        <w:rPr>
          <w:b/>
          <w:bCs/>
          <w:color w:val="176A87"/>
          <w:sz w:val="16"/>
          <w:szCs w:val="16"/>
        </w:rPr>
        <w:t xml:space="preserve">Population. </w:t>
      </w:r>
      <w:r>
        <w:rPr>
          <w:sz w:val="16"/>
          <w:szCs w:val="16"/>
        </w:rPr>
        <w:t xml:space="preserve">166 patients with a solitary recurrent HCC of 5 cm or less after curative resection or ablation, Child-Pugh A and Karnofsky 90 or above, randomised 1:1 at Sun Yat-sen University Cancer Center between August 2019 and April 2022 to stereotactic body radiotherapy (median 45 Gy in 3 fractions) or percutaneous radiofrequency ablation with a margin over 1 cm; 88 percent had hepatitis B, median diameter was 1.6 to 1.7 cm and about 70 percent of tumours were 2 cm or smaller</w:t>
      </w:r>
    </w:p>
    <w:p>
      <w:pPr>
        <w:spacing w:after="70"/>
      </w:pPr>
      <w:r>
        <w:rPr>
          <w:b/>
          <w:bCs/>
          <w:color w:val="17365D"/>
          <w:sz w:val="16"/>
          <w:szCs w:val="16"/>
        </w:rPr>
        <w:t xml:space="preserve">Bottom line. </w:t>
      </w:r>
      <w:r>
        <w:rPr>
          <w:sz w:val="16"/>
          <w:szCs w:val="16"/>
        </w:rPr>
        <w:t xml:space="preserve">The first randomised comparison of stereotactic radiotherapy with repeat ablation for a small solitary HCC recurrence, finding better local progression-free survival with radiotherapy (3-year 77.6 against 59.7 percent). The primary endpoint is a composite that counts death from any cause and the two arms reached it by different routes, progression-free and overall survival were indistinguishable over 42 months, and the 2 to 5 cm stratum of 48 patients showed no difference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patients had hepatitis B-related HCC, so other aetiologies need validation</w:t>
            </w:r>
          </w:p>
          <w:p>
            <w:pPr>
              <w:pStyle w:val="ListParagraph"/>
              <w:numPr>
                <w:ilvl w:val="0"/>
                <w:numId w:val="2"/>
              </w:numPr>
              <w:spacing w:after="45"/>
            </w:pPr>
            <w:r>
              <w:rPr>
                <w:sz w:val="15"/>
                <w:szCs w:val="15"/>
              </w:rPr>
              <w:t xml:space="preserve">Response was assessed by two experienced radiologists rather than by a central review committee</w:t>
            </w:r>
          </w:p>
          <w:p>
            <w:pPr>
              <w:pStyle w:val="ListParagraph"/>
              <w:numPr>
                <w:ilvl w:val="0"/>
                <w:numId w:val="2"/>
              </w:numPr>
              <w:spacing w:after="45"/>
            </w:pPr>
            <w:r>
              <w:rPr>
                <w:sz w:val="15"/>
                <w:szCs w:val="15"/>
              </w:rPr>
              <w:t xml:space="preserve">Single-centre design with possible selection bias, which the authors state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composite counting death from any cause and the arms reached it differently: 8 of 14 radiotherapy events were deaths without local progression against 7 of 27 for ablation, so the significant result rests on a difference of about 14 local progression events in 166 patients</w:t>
            </w:r>
          </w:p>
          <w:p>
            <w:pPr>
              <w:pStyle w:val="ListParagraph"/>
              <w:numPr>
                <w:ilvl w:val="0"/>
                <w:numId w:val="2"/>
              </w:numPr>
              <w:spacing w:after="45"/>
            </w:pPr>
            <w:r>
              <w:rPr>
                <w:sz w:val="15"/>
                <w:szCs w:val="15"/>
              </w:rPr>
              <w:t xml:space="preserve">Better local control bought nothing measurable downstream across 42 months, with progression-free survival (HR 0.76, p = 0.190) and overall survival (HR 0.91, p = 0.830) indistinguishable, because most failures were intrahepatic distant recurrence driven by the underlying cirrhosis rather than failure in the treated field</w:t>
            </w:r>
          </w:p>
          <w:p>
            <w:pPr>
              <w:pStyle w:val="ListParagraph"/>
              <w:numPr>
                <w:ilvl w:val="0"/>
                <w:numId w:val="2"/>
              </w:numPr>
              <w:spacing w:after="45"/>
            </w:pPr>
            <w:r>
              <w:rPr>
                <w:sz w:val="15"/>
                <w:szCs w:val="15"/>
              </w:rPr>
              <w:t xml:space="preserve">With 19 deaths in 166 patients and a design powered for only 32 local progression-free survival events, the survival comparison is grossly underpowered and its confidence interval runs from 0.37 to 2.22, so neither benefit nor harm can be excluded</w:t>
            </w:r>
          </w:p>
          <w:p>
            <w:pPr>
              <w:pStyle w:val="ListParagraph"/>
              <w:numPr>
                <w:ilvl w:val="0"/>
                <w:numId w:val="2"/>
              </w:numPr>
              <w:spacing w:after="45"/>
            </w:pPr>
            <w:r>
              <w:rPr>
                <w:sz w:val="15"/>
                <w:szCs w:val="15"/>
              </w:rPr>
              <w:t xml:space="preserve">Local progression was defined differently in the two arms, within 1 cm of the ablation zone against within 1 cm of the target volume, and post-radiotherapy change is harder to adjudicate than an ablation cavity, so the unblinded read carries the trial's only positive endpoint</w:t>
            </w:r>
          </w:p>
          <w:p>
            <w:pPr>
              <w:pStyle w:val="ListParagraph"/>
              <w:numPr>
                <w:ilvl w:val="0"/>
                <w:numId w:val="2"/>
              </w:numPr>
              <w:spacing w:after="45"/>
            </w:pPr>
            <w:r>
              <w:rPr>
                <w:sz w:val="15"/>
                <w:szCs w:val="15"/>
              </w:rPr>
              <w:t xml:space="preserve">Three ablation patients needed a second session to achieve complete ablation and were not counted as local failures, a convention that moves early technical failures out of the endpoint in the arm that lost on it</w:t>
            </w:r>
          </w:p>
          <w:p>
            <w:pPr>
              <w:pStyle w:val="ListParagraph"/>
              <w:numPr>
                <w:ilvl w:val="0"/>
                <w:numId w:val="2"/>
              </w:numPr>
              <w:spacing w:after="45"/>
            </w:pPr>
            <w:r>
              <w:rPr>
                <w:sz w:val="15"/>
                <w:szCs w:val="15"/>
              </w:rPr>
              <w:t xml:space="preserve">The population is a best case for both modalities: single centre, 88 percent hepatitis B, over 90 percent Child-Pugh 5, median tumour 1.6 to 1.7 cm with about 70 percent at 2 cm or less, so the result applies to the easiest recurrences rather than to the perivascular or subcapsular ones where the choice is hard</w:t>
            </w:r>
          </w:p>
          <w:p>
            <w:pPr>
              <w:pStyle w:val="ListParagraph"/>
              <w:numPr>
                <w:ilvl w:val="0"/>
                <w:numId w:val="2"/>
              </w:numPr>
              <w:spacing w:after="45"/>
            </w:pPr>
            <w:r>
              <w:rPr>
                <w:sz w:val="15"/>
                <w:szCs w:val="15"/>
              </w:rPr>
              <w:t xml:space="preserve">The 2 to 5 cm stratum held only 48 patients and showed no difference between the modalities, which contradicts the retrospective literature in which radiotherapy's advantage grows with tumour size, and the paper does not reconcile the two</w:t>
            </w:r>
          </w:p>
          <w:p>
            <w:pPr>
              <w:pStyle w:val="ListParagraph"/>
              <w:numPr>
                <w:ilvl w:val="0"/>
                <w:numId w:val="2"/>
              </w:numPr>
              <w:spacing w:after="45"/>
            </w:pPr>
            <w:r>
              <w:rPr>
                <w:sz w:val="15"/>
                <w:szCs w:val="15"/>
              </w:rPr>
              <w:t xml:space="preserve">Both arms were delivered by one group at one high-volume centre, with a guaranteed ablation margin over 1 cm that most units would not reliably achieve, so the control arm is also a best case</w:t>
            </w:r>
          </w:p>
          <w:p>
            <w:pPr>
              <w:pStyle w:val="ListParagraph"/>
              <w:numPr>
                <w:ilvl w:val="0"/>
                <w:numId w:val="2"/>
              </w:numPr>
              <w:spacing w:after="45"/>
            </w:pPr>
            <w:r>
              <w:rPr>
                <w:sz w:val="15"/>
                <w:szCs w:val="15"/>
              </w:rPr>
              <w:t xml:space="preserve">Open-label with no central imaging review, acknowledged by the authors, in a trial whose entire positive result is an imaging judgment</w:t>
            </w:r>
          </w:p>
        </w:tc>
      </w:tr>
    </w:tbl>
    <w:p>
      <w:pPr>
        <w:spacing w:after="0" w:line="276"/>
      </w:pPr>
      <w:r>
        <w:rPr>
          <w:color w:val="5A6069"/>
          <w:sz w:val="14"/>
          <w:szCs w:val="14"/>
        </w:rPr>
        <w:t xml:space="preserve">Funding: Funded by Sun Yat-sen University's 5010 programme and the National Natural Science Foundation of China, with no declared conflicts of interest</w:t>
      </w:r>
    </w:p>
    <w:p>
      <w:pPr>
        <w:keepNext/>
        <w:spacing w:after="50" w:before="260"/>
      </w:pPr>
      <w:r>
        <w:rPr>
          <w:rFonts w:ascii="Cambria" w:cs="Cambria" w:eastAsia="Cambria" w:hAnsi="Cambria"/>
          <w:b/>
          <w:bCs/>
          <w:color w:val="17365D"/>
          <w:sz w:val="20"/>
          <w:szCs w:val="20"/>
        </w:rPr>
        <w:t xml:space="preserve">SIRveNIB</w:t>
      </w:r>
      <w:r>
        <w:rPr>
          <w:b/>
          <w:bCs/>
          <w:color w:val="176A87"/>
          <w:sz w:val="15"/>
          <w:szCs w:val="15"/>
        </w:rPr>
        <w:t xml:space="preserve">   Randomised trial</w:t>
      </w:r>
      <w:r>
        <w:rPr>
          <w:color w:val="5A6069"/>
          <w:sz w:val="15"/>
          <w:szCs w:val="15"/>
        </w:rPr>
        <w:t xml:space="preserve">   PMID 29498924</w:t>
      </w:r>
    </w:p>
    <w:p>
      <w:pPr>
        <w:spacing w:after="50" w:line="276"/>
      </w:pPr>
      <w:r>
        <w:rPr>
          <w:color w:val="5A6069"/>
          <w:sz w:val="17"/>
          <w:szCs w:val="17"/>
        </w:rPr>
        <w:t xml:space="preserve">SIRveNIB: Selective Internal Radiation Therapy Versus Sorafenib in Asia-Pacific Patients With Hepatocellular Carcinoma</w:t>
      </w:r>
    </w:p>
    <w:p>
      <w:pPr>
        <w:spacing w:after="50"/>
      </w:pPr>
      <w:r>
        <w:rPr>
          <w:b/>
          <w:bCs/>
          <w:color w:val="176A87"/>
          <w:sz w:val="16"/>
          <w:szCs w:val="16"/>
        </w:rPr>
        <w:t xml:space="preserve">Population. </w:t>
      </w:r>
      <w:r>
        <w:rPr>
          <w:sz w:val="16"/>
          <w:szCs w:val="16"/>
        </w:rPr>
        <w:t xml:space="preserve">360 patients with BCLC B or C HCC confined to the liver, not amenable to curative treatment, randomised 1:1 at 27 centres in 11 Asia-Pacific countries between July 2010 and May 2016 to a single Y-90 resin radioembolisation (182) or sorafenib (178); 90 percent were Child-Pugh A and about 30 percent had portal vein thrombosis, and only 130 of 182 assigned radioembolisation received it</w:t>
      </w:r>
    </w:p>
    <w:p>
      <w:pPr>
        <w:spacing w:after="70"/>
      </w:pPr>
      <w:r>
        <w:rPr>
          <w:b/>
          <w:bCs/>
          <w:color w:val="17365D"/>
          <w:sz w:val="16"/>
          <w:szCs w:val="16"/>
        </w:rPr>
        <w:t xml:space="preserve">Bottom line. </w:t>
      </w:r>
      <w:r>
        <w:rPr>
          <w:sz w:val="16"/>
          <w:szCs w:val="16"/>
        </w:rPr>
        <w:t xml:space="preserve">SIRveNIB found no survival difference between a single radioembolisation and sorafenib in locally advanced HCC (median 8.8 against 10.0 months by intention to treat), with fewer adverse events and a higher tumour response rate after radioembolisation. Its interpretation is dominated by delivery failure: 28.6 percent of patients assigned radioembolisation never received it against 9.0 percent assigned sorafenib, and every signal favouring radioembolisation appears only in the treated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high proportion of patients assigned radioembolisation never received it, which the authors list first</w:t>
            </w:r>
          </w:p>
          <w:p>
            <w:pPr>
              <w:pStyle w:val="ListParagraph"/>
              <w:numPr>
                <w:ilvl w:val="0"/>
                <w:numId w:val="2"/>
              </w:numPr>
              <w:spacing w:after="45"/>
            </w:pPr>
            <w:r>
              <w:rPr>
                <w:sz w:val="15"/>
                <w:szCs w:val="15"/>
              </w:rPr>
              <w:t xml:space="preserve">The EQ-5D instrument used for quality of life is not liver-specific</w:t>
            </w:r>
          </w:p>
          <w:p>
            <w:pPr>
              <w:pStyle w:val="ListParagraph"/>
              <w:numPr>
                <w:ilvl w:val="0"/>
                <w:numId w:val="2"/>
              </w:numPr>
              <w:spacing w:after="45"/>
            </w:pPr>
            <w:r>
              <w:rPr>
                <w:sz w:val="15"/>
                <w:szCs w:val="15"/>
              </w:rPr>
              <w:t xml:space="preserve">The BCLC C survival finding rests on a small sample and was not corrected for multiplicity, so the authors state it should be considered exploratory</w:t>
            </w:r>
          </w:p>
          <w:p>
            <w:pPr>
              <w:pStyle w:val="ListParagraph"/>
              <w:numPr>
                <w:ilvl w:val="0"/>
                <w:numId w:val="2"/>
              </w:numPr>
              <w:spacing w:after="45"/>
            </w:pPr>
            <w:r>
              <w:rPr>
                <w:sz w:val="15"/>
                <w:szCs w:val="15"/>
              </w:rPr>
              <w:t xml:space="preserve">The authors note that patients from five of the eleven participating countries had to travel to Singapore for work-up and treatment and then return home for follow-up, which caused progression, death and consent withdrawal before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comparison is partly a test of logistics rather than of biology: 52 of 182 patients assigned radioembolisation never received it, 29 of them because they were found ineligible after randomisation, and all remained in the intention-to-treat analysis, while the median interval from randomisation to treatment was 21 days for radioembolisation against 3 days for sorafenib in a population surviving about 9 months</w:t>
            </w:r>
          </w:p>
          <w:p>
            <w:pPr>
              <w:pStyle w:val="ListParagraph"/>
              <w:numPr>
                <w:ilvl w:val="0"/>
                <w:numId w:val="2"/>
              </w:numPr>
              <w:spacing w:after="45"/>
            </w:pPr>
            <w:r>
              <w:rPr>
                <w:sz w:val="15"/>
                <w:szCs w:val="15"/>
              </w:rPr>
              <w:t xml:space="preserve">Every positive result, including progression-free survival, time to progression, 6-month survival and the BCLC C subgroup, appears only in the treated population, which is a post-randomisation selected group from which the patients too ill or too anatomically unsuitable to be treated have been removed</w:t>
            </w:r>
          </w:p>
          <w:p>
            <w:pPr>
              <w:pStyle w:val="ListParagraph"/>
              <w:numPr>
                <w:ilvl w:val="0"/>
                <w:numId w:val="2"/>
              </w:numPr>
              <w:spacing w:after="45"/>
            </w:pPr>
            <w:r>
              <w:rPr>
                <w:sz w:val="15"/>
                <w:szCs w:val="15"/>
              </w:rPr>
              <w:t xml:space="preserve">The protocol permitted only a single radioembolisation while the contemporaneous SARAH trial allowed repeat treatment and delivered more than one to 37 percent of treated patients, and activity was prescribed by body surface area or the partition model rather than by personalised dosimetry, so the trial may have tested an underdosed version of the therapy</w:t>
            </w:r>
          </w:p>
          <w:p>
            <w:pPr>
              <w:pStyle w:val="ListParagraph"/>
              <w:numPr>
                <w:ilvl w:val="0"/>
                <w:numId w:val="2"/>
              </w:numPr>
              <w:spacing w:after="45"/>
            </w:pPr>
            <w:r>
              <w:rPr>
                <w:sz w:val="15"/>
                <w:szCs w:val="15"/>
              </w:rPr>
              <w:t xml:space="preserve">Cross-border delivery of the intervention was built into the design, so the treatment arm carried an operational burden that no routine practice would impose and that the control arm did not share</w:t>
            </w:r>
          </w:p>
          <w:p>
            <w:pPr>
              <w:pStyle w:val="ListParagraph"/>
              <w:numPr>
                <w:ilvl w:val="0"/>
                <w:numId w:val="2"/>
              </w:numPr>
              <w:spacing w:after="45"/>
            </w:pPr>
            <w:r>
              <w:rPr>
                <w:sz w:val="15"/>
                <w:szCs w:val="15"/>
              </w:rPr>
              <w:t xml:space="preserve">The control arm, sorafenib monotherapy, has since been displaced by immunotherapy combinations, so an equivalence result against sorafenib does not position radioembolisation against current first-line care</w:t>
            </w:r>
          </w:p>
          <w:p>
            <w:pPr>
              <w:pStyle w:val="ListParagraph"/>
              <w:numPr>
                <w:ilvl w:val="0"/>
                <w:numId w:val="2"/>
              </w:numPr>
              <w:spacing w:after="45"/>
            </w:pPr>
            <w:r>
              <w:rPr>
                <w:sz w:val="15"/>
                <w:szCs w:val="15"/>
              </w:rPr>
              <w:t xml:space="preserve">The trial is described as a two-tailed superiority-or-detriment design, so a null result cannot be read as equivalence, yet the conclusion that overall survival did not differ is routinely cited as though it established that</w:t>
            </w:r>
          </w:p>
          <w:p>
            <w:pPr>
              <w:pStyle w:val="ListParagraph"/>
              <w:numPr>
                <w:ilvl w:val="0"/>
                <w:numId w:val="2"/>
              </w:numPr>
              <w:spacing w:after="45"/>
            </w:pPr>
            <w:r>
              <w:rPr>
                <w:sz w:val="15"/>
                <w:szCs w:val="15"/>
              </w:rPr>
              <w:t xml:space="preserve">Randomisation was stratified by centre and portal vein thrombosis only, in a trial spanning 11 countries with markedly different work-up pathways, and no stratification or adjustment for country or for travel requirement was applied</w:t>
            </w:r>
          </w:p>
          <w:p>
            <w:pPr>
              <w:pStyle w:val="ListParagraph"/>
              <w:numPr>
                <w:ilvl w:val="0"/>
                <w:numId w:val="2"/>
              </w:numPr>
              <w:spacing w:after="45"/>
            </w:pPr>
            <w:r>
              <w:rPr>
                <w:sz w:val="15"/>
                <w:szCs w:val="15"/>
              </w:rPr>
              <w:t xml:space="preserve">The published text carries numerous transcription errors in the figures and tables, including transposed medians in the survival panels, a garbled 6-month survival sentence with the control arm's confidence interval pasted into the treatment arm's slot, and minus signs rendered as digits, so the printed effect estimates cannot be taken at face value</w:t>
            </w:r>
          </w:p>
          <w:p>
            <w:pPr>
              <w:pStyle w:val="ListParagraph"/>
              <w:numPr>
                <w:ilvl w:val="0"/>
                <w:numId w:val="2"/>
              </w:numPr>
              <w:spacing w:after="45"/>
            </w:pPr>
            <w:r>
              <w:rPr>
                <w:sz w:val="15"/>
                <w:szCs w:val="15"/>
              </w:rPr>
              <w:t xml:space="preserve">Despite being described as investigator-initiated, the device manufacturer funded most of the investigators' research, the lead author sits on its speakers bureau and advisory board, and the manuscript was edited by a Sirtex-supported agency</w:t>
            </w:r>
          </w:p>
        </w:tc>
      </w:tr>
    </w:tbl>
    <w:p>
      <w:pPr>
        <w:spacing w:after="0" w:line="276"/>
      </w:pPr>
      <w:r>
        <w:rPr>
          <w:color w:val="5A6069"/>
          <w:sz w:val="14"/>
          <w:szCs w:val="14"/>
        </w:rPr>
        <w:t xml:space="preserve">Funding: Investigator-initiated but extensively supported by Sirtex Medical, which makes the resin microspheres tested: the lead author declares honoraria, consultancy, speakers bureau membership and institutional research funding from Sirtex, most co-authors declare Sirtex research funding, and the manuscript's language editing was Sirtex-supported</w:t>
      </w:r>
    </w:p>
    <w:p>
      <w:pPr>
        <w:keepNext/>
        <w:spacing w:after="50" w:before="260"/>
      </w:pPr>
      <w:r>
        <w:rPr>
          <w:rFonts w:ascii="Cambria" w:cs="Cambria" w:eastAsia="Cambria" w:hAnsi="Cambria"/>
          <w:b/>
          <w:bCs/>
          <w:color w:val="17365D"/>
          <w:sz w:val="20"/>
          <w:szCs w:val="20"/>
        </w:rPr>
        <w:t xml:space="preserve">SURF final</w:t>
      </w:r>
      <w:r>
        <w:rPr>
          <w:b/>
          <w:bCs/>
          <w:color w:val="176A87"/>
          <w:sz w:val="15"/>
          <w:szCs w:val="15"/>
        </w:rPr>
        <w:t xml:space="preserve">   Randomised trial</w:t>
      </w:r>
      <w:r>
        <w:rPr>
          <w:color w:val="5A6069"/>
          <w:sz w:val="15"/>
          <w:szCs w:val="15"/>
        </w:rPr>
        <w:t xml:space="preserve">   PMID 40554738</w:t>
      </w:r>
    </w:p>
    <w:p>
      <w:pPr>
        <w:spacing w:after="50" w:line="276"/>
      </w:pPr>
      <w:r>
        <w:rPr>
          <w:color w:val="5A6069"/>
          <w:sz w:val="17"/>
          <w:szCs w:val="17"/>
        </w:rPr>
        <w:t xml:space="preserve">Surgery Versus Ablation for Hepatocellular Carcinoma: A Randomized Controlled Trial (SURF-RCT Trial) and a Nonrandomized Prospective Observational Trial (SURF-Cohort Trial)</w:t>
      </w:r>
    </w:p>
    <w:p>
      <w:pPr>
        <w:spacing w:after="50"/>
      </w:pPr>
      <w:r>
        <w:rPr>
          <w:b/>
          <w:bCs/>
          <w:color w:val="176A87"/>
          <w:sz w:val="16"/>
          <w:szCs w:val="16"/>
        </w:rPr>
        <w:t xml:space="preserve">Population. </w:t>
      </w:r>
      <w:r>
        <w:rPr>
          <w:sz w:val="16"/>
          <w:szCs w:val="16"/>
        </w:rPr>
        <w:t xml:space="preserve">1,094 patients assessed at 49 of 118 Japanese institutions between April 2009 and August 2015, yielding 302 in the randomised SURF-RCT (surgery 150, ablation 152) and 753 who declined randomisation in the parallel SURF-Cohort (surgery 382, ablation 371); 90 percent of the randomised patients had a solitary tumour with a median diameter of 1.8 cm</w:t>
      </w:r>
    </w:p>
    <w:p>
      <w:pPr>
        <w:spacing w:after="70"/>
      </w:pPr>
      <w:r>
        <w:rPr>
          <w:b/>
          <w:bCs/>
          <w:color w:val="17365D"/>
          <w:sz w:val="16"/>
          <w:szCs w:val="16"/>
        </w:rPr>
        <w:t xml:space="preserve">Bottom line. </w:t>
      </w:r>
      <w:r>
        <w:rPr>
          <w:sz w:val="16"/>
          <w:szCs w:val="16"/>
        </w:rPr>
        <w:t xml:space="preserve">The final SURF report: 5-year overall survival was 74.6 percent after surgery and 70.4 percent after ablation (HR 0.96, adjusted p = 0.84) with recurrence-free survival 42.9 versus 42.7 percent (HR 0.90), and the 753-patient observational cohort agreed after weighting. Local recurrence was twice as common after ablation in both studies, the trial had 67.2 percent power for the 10-point difference it was designed to find, difficult tumour locations were excluded, and several figures including the local-recurrence denominators and the ablation success definition changed between this report and the 2022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About 90 percent of patients had a solitary tumour and more than half a largest diameter of 2 cm or less, so the authors state the result may best apply to a single tumour of 2 cm or less and that applying it to three nodules up to 3 cm would overestimate the findings</w:t>
            </w:r>
          </w:p>
          <w:p>
            <w:pPr>
              <w:pStyle w:val="ListParagraph"/>
              <w:numPr>
                <w:ilvl w:val="0"/>
                <w:numId w:val="2"/>
              </w:numPr>
              <w:spacing w:after="45"/>
            </w:pPr>
            <w:r>
              <w:rPr>
                <w:sz w:val="15"/>
                <w:szCs w:val="15"/>
              </w:rPr>
              <w:t xml:space="preserve">Patients whose tumour lay close to vasculature, the biliary tree or adjacent organs, or was poorly seen on ultrasound, were excluded if judged unfeasible for ablation, so the authors advise that ablation in difficult locations and above 2 cm needs careful indication</w:t>
            </w:r>
          </w:p>
          <w:p>
            <w:pPr>
              <w:pStyle w:val="ListParagraph"/>
              <w:numPr>
                <w:ilvl w:val="0"/>
                <w:numId w:val="2"/>
              </w:numPr>
              <w:spacing w:after="45"/>
            </w:pPr>
            <w:r>
              <w:rPr>
                <w:sz w:val="15"/>
                <w:szCs w:val="15"/>
              </w:rPr>
              <w:t xml:space="preserve">Because enrolment was discontinued, the analysis does not account for multiplicity across the two co-primary endpoints</w:t>
            </w:r>
          </w:p>
          <w:p>
            <w:pPr>
              <w:pStyle w:val="ListParagraph"/>
              <w:numPr>
                <w:ilvl w:val="0"/>
                <w:numId w:val="2"/>
              </w:numPr>
              <w:spacing w:after="45"/>
            </w:pPr>
            <w:r>
              <w:rPr>
                <w:sz w:val="15"/>
                <w:szCs w:val="15"/>
              </w:rPr>
              <w:t xml:space="preserve">Radiofrequency rather than microwave ablation was tested and open surgery was still common early in accrual, although the authors argue meta-analyses show no difference for either substitution</w:t>
            </w:r>
          </w:p>
          <w:p>
            <w:pPr>
              <w:pStyle w:val="ListParagraph"/>
              <w:numPr>
                <w:ilvl w:val="0"/>
                <w:numId w:val="2"/>
              </w:numPr>
              <w:spacing w:after="45"/>
            </w:pPr>
            <w:r>
              <w:rPr>
                <w:sz w:val="15"/>
                <w:szCs w:val="15"/>
              </w:rPr>
              <w:t xml:space="preserve">The number of patients who had a pretreatment biopsy is unclear, because biopsy was not routine in Japanese practice during the study period</w:t>
            </w:r>
          </w:p>
          <w:p>
            <w:pPr>
              <w:pStyle w:val="ListParagraph"/>
              <w:numPr>
                <w:ilvl w:val="0"/>
                <w:numId w:val="2"/>
              </w:numPr>
              <w:spacing w:after="45"/>
            </w:pPr>
            <w:r>
              <w:rPr>
                <w:sz w:val="15"/>
                <w:szCs w:val="15"/>
              </w:rPr>
              <w:t xml:space="preserve">LI-RADS criteria were not used; the authors state that by their own dynamic CT definition about 90 to 95 percent of the surgical patients were correctly diagnosed as HCC</w:t>
            </w:r>
          </w:p>
          <w:p>
            <w:pPr>
              <w:pStyle w:val="ListParagraph"/>
              <w:numPr>
                <w:ilvl w:val="0"/>
                <w:numId w:val="2"/>
              </w:numPr>
              <w:spacing w:after="45"/>
            </w:pPr>
            <w:r>
              <w:rPr>
                <w:sz w:val="15"/>
                <w:szCs w:val="15"/>
              </w:rPr>
              <w:t xml:space="preserve">In the observational cohort the groups were imbalanced at baseline, with a largest diameter of 2 cm or less in 50 percent of surgical against 72 percent of ablation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to show the superiority of surgery and did not, with 67.2 percent power for a 10-point difference and 80 percent power only for 11.6 points, so this is a failed superiority trial; the Discussion nonetheless closes by asserting the equivalent effectiveness of both treatments</w:t>
            </w:r>
          </w:p>
          <w:p>
            <w:pPr>
              <w:pStyle w:val="ListParagraph"/>
              <w:numPr>
                <w:ilvl w:val="0"/>
                <w:numId w:val="2"/>
              </w:numPr>
              <w:spacing w:after="45"/>
            </w:pPr>
            <w:r>
              <w:rPr>
                <w:sz w:val="15"/>
                <w:szCs w:val="15"/>
              </w:rPr>
              <w:t xml:space="preserve">The local recurrence comparison was converted between reports: the same 12 and 24 events were 15.0 and 28.0 percent of patients with recurrence in 2022 (p = 0.07) and are 8.0 and 15.8 percent of all randomised patients here (p = 0.03), so a change of denominator turns a non-significant finding into the significant one the Discussion relies on</w:t>
            </w:r>
          </w:p>
          <w:p>
            <w:pPr>
              <w:pStyle w:val="ListParagraph"/>
              <w:numPr>
                <w:ilvl w:val="0"/>
                <w:numId w:val="2"/>
              </w:numPr>
              <w:spacing w:after="45"/>
            </w:pPr>
            <w:r>
              <w:rPr>
                <w:sz w:val="15"/>
                <w:szCs w:val="15"/>
              </w:rPr>
              <w:t xml:space="preserve">The definition of a successful ablation also changed: the 2022 report accepted RECICL TE4a or TE4b, explicitly including complete response without an adequate margin, while this report states success required TE4a with an adequate margin, so the two papers describe the same procedures by different standards</w:t>
            </w:r>
          </w:p>
          <w:p>
            <w:pPr>
              <w:pStyle w:val="ListParagraph"/>
              <w:numPr>
                <w:ilvl w:val="0"/>
                <w:numId w:val="2"/>
              </w:numPr>
              <w:spacing w:after="45"/>
            </w:pPr>
            <w:r>
              <w:rPr>
                <w:sz w:val="15"/>
                <w:szCs w:val="15"/>
              </w:rPr>
              <w:t xml:space="preserve">Several counts differ between the two reports of the same trial without explanation: 1,090 against 1,094 assessed, 778 against 782 declining randomisation, 7 against 6 patients excluded after registration, 151 against 152 eligible for ablation, and 25 against 35 patients lost to follow-up per arm</w:t>
            </w:r>
          </w:p>
          <w:p>
            <w:pPr>
              <w:pStyle w:val="ListParagraph"/>
              <w:numPr>
                <w:ilvl w:val="0"/>
                <w:numId w:val="2"/>
              </w:numPr>
              <w:spacing w:after="45"/>
            </w:pPr>
            <w:r>
              <w:rPr>
                <w:sz w:val="15"/>
                <w:szCs w:val="15"/>
              </w:rPr>
              <w:t xml:space="preserve">The paper reports Hochberg-adjusted p values of .84 for both co-primary endpoints while the limitations state that multiplicity was not accounted for; the adjustment simply assigns the recurrence endpoint the larger of the pair (unadjusted .50 becoming .84), and the paper contradicts itself about whether any adjustment was made</w:t>
            </w:r>
          </w:p>
          <w:p>
            <w:pPr>
              <w:pStyle w:val="ListParagraph"/>
              <w:numPr>
                <w:ilvl w:val="0"/>
                <w:numId w:val="2"/>
              </w:numPr>
              <w:spacing w:after="45"/>
            </w:pPr>
            <w:r>
              <w:rPr>
                <w:sz w:val="15"/>
                <w:szCs w:val="15"/>
              </w:rPr>
              <w:t xml:space="preserve">In the observational cohort the unadjusted recurrence-free survival favoured surgery (HR 0.80, p = .02) and after weighting became HR 0.84 with p = .08, so the headline of no difference rests on a p value crossing 0.05 rather than on the estimate changing, and the weighted curves in Figure 4 are footnoted as carrying unadjusted at-risk numbers</w:t>
            </w:r>
          </w:p>
          <w:p>
            <w:pPr>
              <w:pStyle w:val="ListParagraph"/>
              <w:numPr>
                <w:ilvl w:val="0"/>
                <w:numId w:val="2"/>
              </w:numPr>
              <w:spacing w:after="45"/>
            </w:pPr>
            <w:r>
              <w:rPr>
                <w:sz w:val="15"/>
                <w:szCs w:val="15"/>
              </w:rPr>
              <w:t xml:space="preserve">Recurrence was detected by MRI in 17.5 percent of surgical against 31.9 percent of ablation recurrences in the trial, so the arm with more local recurrence was also imaged more sensitively, and this asymmetry (p = .08) is tabulated without comment</w:t>
            </w:r>
          </w:p>
          <w:p>
            <w:pPr>
              <w:pStyle w:val="ListParagraph"/>
              <w:numPr>
                <w:ilvl w:val="0"/>
                <w:numId w:val="2"/>
              </w:numPr>
              <w:spacing w:after="45"/>
            </w:pPr>
            <w:r>
              <w:rPr>
                <w:sz w:val="15"/>
                <w:szCs w:val="15"/>
              </w:rPr>
              <w:t xml:space="preserve">Serious adverse effects were collected but post-treatment complications were not, giving 3.3 percent in the surgery arm and zero in 152 ablations, a figure the Discussion does not use but the abstract reports</w:t>
            </w:r>
          </w:p>
          <w:p>
            <w:pPr>
              <w:pStyle w:val="ListParagraph"/>
              <w:numPr>
                <w:ilvl w:val="0"/>
                <w:numId w:val="2"/>
              </w:numPr>
              <w:spacing w:after="45"/>
            </w:pPr>
            <w:r>
              <w:rPr>
                <w:sz w:val="15"/>
                <w:szCs w:val="15"/>
              </w:rPr>
              <w:t xml:space="preserve">Equal survival despite doubled local recurrence is achieved by an intensive salvage system: in the cohort, 26.3 percent of surgical recurrences were resected again against 5.2 percent of ablation recurrences, while 68.3 percent of ablation recurrences were re-ablated (p &lt; .01), so the result describes Japanese retreatment capacity as much as the index procedure</w:t>
            </w:r>
          </w:p>
          <w:p>
            <w:pPr>
              <w:pStyle w:val="ListParagraph"/>
              <w:numPr>
                <w:ilvl w:val="0"/>
                <w:numId w:val="2"/>
              </w:numPr>
              <w:spacing w:after="45"/>
            </w:pPr>
            <w:r>
              <w:rPr>
                <w:sz w:val="15"/>
                <w:szCs w:val="15"/>
              </w:rPr>
              <w:t xml:space="preserve">The authors use the surgical arm's pathology to claim that 90 to 95 percent of patients were correctly diagnosed, which concedes that 5 to 10 percent of resected patients did not have HCC and leaves no corresponding check available for the ablation arm, where biopsy was rare</w:t>
            </w:r>
          </w:p>
          <w:p>
            <w:pPr>
              <w:pStyle w:val="ListParagraph"/>
              <w:numPr>
                <w:ilvl w:val="0"/>
                <w:numId w:val="2"/>
              </w:numPr>
              <w:spacing w:after="45"/>
            </w:pPr>
            <w:r>
              <w:rPr>
                <w:sz w:val="15"/>
                <w:szCs w:val="15"/>
              </w:rPr>
              <w:t xml:space="preserve">The SURF-Cohort consists of the 753 patients who refused randomisation and were treated by clinician preference, and is offered as a way to interpret and extrapolate the trial, when it embodies exactly the selection the trial was meant to remove: the paper's own forest plot shows surgery was chosen for tumours above 2 cm (OR 2.76) and ablation for low platelets and prior chemoembolisation</w:t>
            </w:r>
          </w:p>
          <w:p>
            <w:pPr>
              <w:pStyle w:val="ListParagraph"/>
              <w:numPr>
                <w:ilvl w:val="0"/>
                <w:numId w:val="2"/>
              </w:numPr>
              <w:spacing w:after="45"/>
            </w:pPr>
            <w:r>
              <w:rPr>
                <w:sz w:val="15"/>
                <w:szCs w:val="15"/>
              </w:rPr>
              <w:t xml:space="preserve">The Methods give 49 institutions and the Study Design 118, the same unreconciled discrepancy as in the 2022 report</w:t>
            </w:r>
          </w:p>
          <w:p>
            <w:pPr>
              <w:pStyle w:val="ListParagraph"/>
              <w:numPr>
                <w:ilvl w:val="0"/>
                <w:numId w:val="2"/>
              </w:numPr>
              <w:spacing w:after="45"/>
            </w:pPr>
            <w:r>
              <w:rPr>
                <w:sz w:val="15"/>
                <w:szCs w:val="15"/>
              </w:rPr>
              <w:t xml:space="preserve">Patients who died of other diseases without recurrence were censored rather than counted, in a cirrhotic population in which non-cancer death is a competing risk, and no competing-risk analysis of recurrence is presented</w:t>
            </w:r>
          </w:p>
        </w:tc>
      </w:tr>
    </w:tbl>
    <w:p>
      <w:pPr>
        <w:spacing w:after="0" w:line="276"/>
      </w:pPr>
      <w:r>
        <w:rPr>
          <w:color w:val="5A6069"/>
          <w:sz w:val="14"/>
          <w:szCs w:val="14"/>
        </w:rPr>
        <w:t xml:space="preserve">Funding: Supported by the Japanese Foundation for Multidisciplinary Treatment of Cancer and Health and Labour Sciences Research Grant for Clinical Cancer Research H21-015; most authors report honoraria, research funding or advisory roles with industry, including Wako Diagnostics, Chugai, Eisai, AstraZeneca, Medtronic and Terumo</w:t>
      </w:r>
    </w:p>
    <w:p>
      <w:pPr>
        <w:keepNext/>
        <w:spacing w:after="50" w:before="260"/>
      </w:pPr>
      <w:r>
        <w:rPr>
          <w:rFonts w:ascii="Cambria" w:cs="Cambria" w:eastAsia="Cambria" w:hAnsi="Cambria"/>
          <w:b/>
          <w:bCs/>
          <w:color w:val="17365D"/>
          <w:sz w:val="20"/>
          <w:szCs w:val="20"/>
        </w:rPr>
        <w:t xml:space="preserve">SURF trial</w:t>
      </w:r>
      <w:r>
        <w:rPr>
          <w:b/>
          <w:bCs/>
          <w:color w:val="176A87"/>
          <w:sz w:val="15"/>
          <w:szCs w:val="15"/>
        </w:rPr>
        <w:t xml:space="preserve">   Randomised trial</w:t>
      </w:r>
      <w:r>
        <w:rPr>
          <w:color w:val="5A6069"/>
          <w:sz w:val="15"/>
          <w:szCs w:val="15"/>
        </w:rPr>
        <w:t xml:space="preserve">   PMID 35949295</w:t>
      </w:r>
    </w:p>
    <w:p>
      <w:pPr>
        <w:spacing w:after="50" w:line="276"/>
      </w:pPr>
      <w:r>
        <w:rPr>
          <w:color w:val="5A6069"/>
          <w:sz w:val="17"/>
          <w:szCs w:val="17"/>
        </w:rPr>
        <w:t xml:space="preserve">Surgery versus Radiofrequency Ablation for Small Hepatocellular Carcinoma: A Randomized Controlled Trial (SURF Trial)</w:t>
      </w:r>
    </w:p>
    <w:p>
      <w:pPr>
        <w:spacing w:after="50"/>
      </w:pPr>
      <w:r>
        <w:rPr>
          <w:b/>
          <w:bCs/>
          <w:color w:val="176A87"/>
          <w:sz w:val="16"/>
          <w:szCs w:val="16"/>
        </w:rPr>
        <w:t xml:space="preserve">Population. </w:t>
      </w:r>
      <w:r>
        <w:rPr>
          <w:sz w:val="16"/>
          <w:szCs w:val="16"/>
        </w:rPr>
        <w:t xml:space="preserve">308 of 1,090 eligible patients (28.3 percent) randomised at 49 of 118 participating Japanese institutions between April 2009 and August 2015, 197 of them from just 9 centres; 150 analysed in the surgery arm and 151 in the radiofrequency ablation arm, 90 percent with a solitary tumour and a median largest diameter of 1.8 cm</w:t>
      </w:r>
    </w:p>
    <w:p>
      <w:pPr>
        <w:spacing w:after="70"/>
      </w:pPr>
      <w:r>
        <w:rPr>
          <w:b/>
          <w:bCs/>
          <w:color w:val="17365D"/>
          <w:sz w:val="16"/>
          <w:szCs w:val="16"/>
        </w:rPr>
        <w:t xml:space="preserve">Bottom line. </w:t>
      </w:r>
      <w:r>
        <w:rPr>
          <w:sz w:val="16"/>
          <w:szCs w:val="16"/>
        </w:rPr>
        <w:t xml:space="preserve">The recurrence report of SURF, the largest randomised comparison of resection with radiofrequency ablation for HCC of 3 cm or less: recurrence-free survival did not differ (median 3.46 versus 3.04 years, HR 0.92, 95% CI 0.67 to 1.25, p = 0.58). Accrual stopped at 301 analysable patients of a planned 600, leaving a conditional power under 8 percent, the tumours were overwhelmingly solitary and under 2 cm with difficult locations excluded, and the protocol counted an ablation without an adequate margin as a technical success.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target of 600 patients was not reached because accrual was slow, and the authors calculate that the conditional power of showing a difference had 570 patients been enrolled with a hazard ratio of 0.90 was under 8 percent</w:t>
            </w:r>
          </w:p>
          <w:p>
            <w:pPr>
              <w:pStyle w:val="ListParagraph"/>
              <w:numPr>
                <w:ilvl w:val="0"/>
                <w:numId w:val="2"/>
              </w:numPr>
              <w:spacing w:after="45"/>
            </w:pPr>
            <w:r>
              <w:rPr>
                <w:sz w:val="15"/>
                <w:szCs w:val="15"/>
              </w:rPr>
              <w:t xml:space="preserve">More than 90 percent of patients had a solitary tumour and about 65 percent a largest diameter under 2.0 cm, which the authors say may have influenced the result and means any advantage of surgery would be minimal</w:t>
            </w:r>
          </w:p>
          <w:p>
            <w:pPr>
              <w:pStyle w:val="ListParagraph"/>
              <w:numPr>
                <w:ilvl w:val="0"/>
                <w:numId w:val="2"/>
              </w:numPr>
              <w:spacing w:after="45"/>
            </w:pPr>
            <w:r>
              <w:rPr>
                <w:sz w:val="15"/>
                <w:szCs w:val="15"/>
              </w:rPr>
              <w:t xml:space="preserve">Successful ablation was not defined as the International Working Group's 5 to 10 mm ablative margin, which the authors list as a limitation</w:t>
            </w:r>
          </w:p>
          <w:p>
            <w:pPr>
              <w:pStyle w:val="ListParagraph"/>
              <w:numPr>
                <w:ilvl w:val="0"/>
                <w:numId w:val="2"/>
              </w:numPr>
              <w:spacing w:after="45"/>
            </w:pPr>
            <w:r>
              <w:rPr>
                <w:sz w:val="15"/>
                <w:szCs w:val="15"/>
              </w:rPr>
              <w:t xml:space="preserve">The primary endpoint was recurrence-free survival rather than the time to recurrence that EASL recommends, although the authors argue this did not affect the result</w:t>
            </w:r>
          </w:p>
          <w:p>
            <w:pPr>
              <w:pStyle w:val="ListParagraph"/>
              <w:numPr>
                <w:ilvl w:val="0"/>
                <w:numId w:val="2"/>
              </w:numPr>
              <w:spacing w:after="45"/>
            </w:pPr>
            <w:r>
              <w:rPr>
                <w:sz w:val="15"/>
                <w:szCs w:val="15"/>
              </w:rPr>
              <w:t xml:space="preserve">The authors warn against extending the result to tumours in difficult locations, which were excluded, and to tumours larger than 2 cm, where diameter above 2 to 2.5 cm is a known risk factor for local recurrence</w:t>
            </w:r>
          </w:p>
          <w:p>
            <w:pPr>
              <w:pStyle w:val="ListParagraph"/>
              <w:numPr>
                <w:ilvl w:val="0"/>
                <w:numId w:val="2"/>
              </w:numPr>
              <w:spacing w:after="45"/>
            </w:pPr>
            <w:r>
              <w:rPr>
                <w:sz w:val="15"/>
                <w:szCs w:val="15"/>
              </w:rPr>
              <w:t xml:space="preserve">The sample size was estimated from the University of Tokyo's own retrospective cohort, in which the ablation patients had larger and more numerous tumours than the trial's, which the authors offer as the explanation for the better-than-expected control arm</w:t>
            </w:r>
          </w:p>
          <w:p>
            <w:pPr>
              <w:pStyle w:val="ListParagraph"/>
              <w:numPr>
                <w:ilvl w:val="0"/>
                <w:numId w:val="2"/>
              </w:numPr>
              <w:spacing w:after="45"/>
            </w:pPr>
            <w:r>
              <w:rPr>
                <w:sz w:val="15"/>
                <w:szCs w:val="15"/>
              </w:rPr>
              <w:t xml:space="preserve">Technical details of both surgery and ablation were left unspecified in the protocol and curability by surgery therefore varied across the 49 institutions, which the authors state</w:t>
            </w:r>
          </w:p>
          <w:p>
            <w:pPr>
              <w:pStyle w:val="ListParagraph"/>
              <w:numPr>
                <w:ilvl w:val="0"/>
                <w:numId w:val="2"/>
              </w:numPr>
              <w:spacing w:after="45"/>
            </w:pPr>
            <w:r>
              <w:rPr>
                <w:sz w:val="15"/>
                <w:szCs w:val="15"/>
              </w:rPr>
              <w:t xml:space="preserve">About 15 percent of patients in each arm were lost to follow-up after moving hospital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308 of 1,090 eligible patients were randomised because 778 declined, so the trial population is the 28 percent of patients genuinely indifferent between an operation and a needle, and two thirds of the accrual (197 of 308) came from 9 of the 49 centres with no centre-level analysis reported</w:t>
            </w:r>
          </w:p>
          <w:p>
            <w:pPr>
              <w:pStyle w:val="ListParagraph"/>
              <w:numPr>
                <w:ilvl w:val="0"/>
                <w:numId w:val="2"/>
              </w:numPr>
              <w:spacing w:after="45"/>
            </w:pPr>
            <w:r>
              <w:rPr>
                <w:sz w:val="15"/>
                <w:szCs w:val="15"/>
              </w:rPr>
              <w:t xml:space="preserve">The protocol explicitly accepted RECICL grade TE4b, complete response without an adequate ablative margin, as a successful ablation, which licenses the under-treatment that then shows up as doubled local recurrence; the paper lists the absence of a margin standard as a limitation without connecting it to its own success criterion</w:t>
            </w:r>
          </w:p>
          <w:p>
            <w:pPr>
              <w:pStyle w:val="ListParagraph"/>
              <w:numPr>
                <w:ilvl w:val="0"/>
                <w:numId w:val="2"/>
              </w:numPr>
              <w:spacing w:after="45"/>
            </w:pPr>
            <w:r>
              <w:rPr>
                <w:sz w:val="15"/>
                <w:szCs w:val="15"/>
              </w:rPr>
              <w:t xml:space="preserve">The Methods state that post-treatment complications were not collected, and the trial accordingly reports zero adverse events in 151 ablations and five in 150 resections with a median 17-day stay and 285 mL blood loss, so the safety comparison is uninformative in both directions rather than favourable to ablation</w:t>
            </w:r>
          </w:p>
          <w:p>
            <w:pPr>
              <w:pStyle w:val="ListParagraph"/>
              <w:numPr>
                <w:ilvl w:val="0"/>
                <w:numId w:val="2"/>
              </w:numPr>
              <w:spacing w:after="45"/>
            </w:pPr>
            <w:r>
              <w:rPr>
                <w:sz w:val="15"/>
                <w:szCs w:val="15"/>
              </w:rPr>
              <w:t xml:space="preserve">Histological confirmation was available in 131 of 150 surgical patients but only 30 of 151 ablation patients, with tumour differentiation unknown in 121 of 151 (80 percent) of the ablation arm, so one arm's diagnosis and grade were verified and the other's were not</w:t>
            </w:r>
          </w:p>
          <w:p>
            <w:pPr>
              <w:pStyle w:val="ListParagraph"/>
              <w:numPr>
                <w:ilvl w:val="0"/>
                <w:numId w:val="2"/>
              </w:numPr>
              <w:spacing w:after="45"/>
            </w:pPr>
            <w:r>
              <w:rPr>
                <w:sz w:val="15"/>
                <w:szCs w:val="15"/>
              </w:rPr>
              <w:t xml:space="preserve">The local recurrence comparison, 12 of 82 (15 percent) against 24 of 86 (28 percent), p = 0.07, is computed with ascertainment missing in 4 surgical and 1 ablation patient (and liver or extrahepatic recurrence missing in several more), with the greater missingness in the arm that looks better, and the counts in Table 3 do not sum to their stated denominators</w:t>
            </w:r>
          </w:p>
          <w:p>
            <w:pPr>
              <w:pStyle w:val="ListParagraph"/>
              <w:numPr>
                <w:ilvl w:val="0"/>
                <w:numId w:val="2"/>
              </w:numPr>
              <w:spacing w:after="45"/>
            </w:pPr>
            <w:r>
              <w:rPr>
                <w:sz w:val="15"/>
                <w:szCs w:val="15"/>
              </w:rPr>
              <w:t xml:space="preserve">The paper reports three different sample sizes for three different assumed effects (285 per group for 10 points, 123 per group for 15 points, then a plan to enrol 300 per group for a minimum 10-point difference) against a registered target of 600, so the design's own power target is not internally consistent</w:t>
            </w:r>
          </w:p>
          <w:p>
            <w:pPr>
              <w:pStyle w:val="ListParagraph"/>
              <w:numPr>
                <w:ilvl w:val="0"/>
                <w:numId w:val="2"/>
              </w:numPr>
              <w:spacing w:after="45"/>
            </w:pPr>
            <w:r>
              <w:rPr>
                <w:sz w:val="15"/>
                <w:szCs w:val="15"/>
              </w:rPr>
              <w:t xml:space="preserve">The conditional power of under 8 percent is computed assuming the observed hazard ratio and so, like the trial's conclusion, presupposes the null; the authors also justify the early stop by asserting the result would have been the same with the full sample because the curves already overlapped</w:t>
            </w:r>
          </w:p>
          <w:p>
            <w:pPr>
              <w:pStyle w:val="ListParagraph"/>
              <w:numPr>
                <w:ilvl w:val="0"/>
                <w:numId w:val="2"/>
              </w:numPr>
              <w:spacing w:after="45"/>
            </w:pPr>
            <w:r>
              <w:rPr>
                <w:sz w:val="15"/>
                <w:szCs w:val="15"/>
              </w:rPr>
              <w:t xml:space="preserve">The two co-primary endpoints are reported separately, recurrence-free survival here and overall survival years later, with no multiplicity adjustment described in this report</w:t>
            </w:r>
          </w:p>
          <w:p>
            <w:pPr>
              <w:pStyle w:val="ListParagraph"/>
              <w:numPr>
                <w:ilvl w:val="0"/>
                <w:numId w:val="2"/>
              </w:numPr>
              <w:spacing w:after="45"/>
            </w:pPr>
            <w:r>
              <w:rPr>
                <w:sz w:val="15"/>
                <w:szCs w:val="15"/>
              </w:rPr>
              <w:t xml:space="preserve">The surgical arm had better 3-year recurrence-free survival (54.6 versus 50.5 percent) but worse 5-year (42.7 versus 43.8 percent), so the curves cross; proportional hazards are described as confirmed but no test or diagnostic is reported</w:t>
            </w:r>
          </w:p>
          <w:p>
            <w:pPr>
              <w:pStyle w:val="ListParagraph"/>
              <w:numPr>
                <w:ilvl w:val="0"/>
                <w:numId w:val="2"/>
              </w:numPr>
              <w:spacing w:after="45"/>
            </w:pPr>
            <w:r>
              <w:rPr>
                <w:sz w:val="15"/>
                <w:szCs w:val="15"/>
              </w:rPr>
              <w:t xml:space="preserve">Fifteen percent of patients per arm were lost to follow-up after transferring hospital, yet the authors state outcomes were obtained with the support of the receiving hospitals, which is both unverifiable and inconsistent with counting those patients as lost</w:t>
            </w:r>
          </w:p>
          <w:p>
            <w:pPr>
              <w:pStyle w:val="ListParagraph"/>
              <w:numPr>
                <w:ilvl w:val="0"/>
                <w:numId w:val="2"/>
              </w:numPr>
              <w:spacing w:after="45"/>
            </w:pPr>
            <w:r>
              <w:rPr>
                <w:sz w:val="15"/>
                <w:szCs w:val="15"/>
              </w:rPr>
              <w:t xml:space="preserve">Seven patients were excluded after registration and eight never received their allocated treatment, yet the analysis of 150 and 151 is described as intention to treat without a sensitivity analysis that keeps them in</w:t>
            </w:r>
          </w:p>
          <w:p>
            <w:pPr>
              <w:pStyle w:val="ListParagraph"/>
              <w:numPr>
                <w:ilvl w:val="0"/>
                <w:numId w:val="2"/>
              </w:numPr>
              <w:spacing w:after="45"/>
            </w:pPr>
            <w:r>
              <w:rPr>
                <w:sz w:val="15"/>
                <w:szCs w:val="15"/>
              </w:rPr>
              <w:t xml:space="preserve">The protocol did not require indocyanine green clearance, MELD or the presence of portal hypertension, so in a trial whose entire premise is the cost of removing parenchyma, liver function beyond a Child-Pugh score of 7 or less is unrecorded</w:t>
            </w:r>
          </w:p>
          <w:p>
            <w:pPr>
              <w:pStyle w:val="ListParagraph"/>
              <w:numPr>
                <w:ilvl w:val="0"/>
                <w:numId w:val="2"/>
              </w:numPr>
              <w:spacing w:after="45"/>
            </w:pPr>
            <w:r>
              <w:rPr>
                <w:sz w:val="15"/>
                <w:szCs w:val="15"/>
              </w:rPr>
              <w:t xml:space="preserve">The Study Design section states the trial ran in 118 institutions while the abstract and Results give 49, a discrepancy the paper never reconciles</w:t>
            </w:r>
          </w:p>
          <w:p>
            <w:pPr>
              <w:pStyle w:val="ListParagraph"/>
              <w:numPr>
                <w:ilvl w:val="0"/>
                <w:numId w:val="2"/>
              </w:numPr>
              <w:spacing w:after="45"/>
            </w:pPr>
            <w:r>
              <w:rPr>
                <w:sz w:val="15"/>
                <w:szCs w:val="15"/>
              </w:rPr>
              <w:t xml:space="preserve">The trial was published in Liver Cancer, whose editor-in-chief, two associate editors and an editorial board member are among its authors, and the individual patient data are not available because data sharing was not in the protocol</w:t>
            </w:r>
          </w:p>
        </w:tc>
      </w:tr>
    </w:tbl>
    <w:p>
      <w:pPr>
        <w:spacing w:after="0" w:line="276"/>
      </w:pPr>
      <w:r>
        <w:rPr>
          <w:color w:val="5A6069"/>
          <w:sz w:val="14"/>
          <w:szCs w:val="14"/>
        </w:rPr>
        <w:t xml:space="preserve">Funding: Supported by the Japanese Foundation for Multidisciplinary Treatment of Cancer and Health and Labour Sciences Research Grant for Clinical Cancer Research H21-015; numerous authors report lecture fees, research funding and advisory roles with Eisai, Bayer, MSD, Chugai and others, and four authors are the editor-in-chief, two associate editors and an editorial board member of the journal that published the trial</w:t>
      </w:r>
    </w:p>
    <w:p>
      <w:pPr>
        <w:keepNext/>
        <w:spacing w:after="50" w:before="260"/>
      </w:pPr>
      <w:r>
        <w:rPr>
          <w:rFonts w:ascii="Cambria" w:cs="Cambria" w:eastAsia="Cambria" w:hAnsi="Cambria"/>
          <w:b/>
          <w:bCs/>
          <w:color w:val="17365D"/>
          <w:sz w:val="20"/>
          <w:szCs w:val="20"/>
        </w:rPr>
        <w:t xml:space="preserve">Surveillance RCT</w:t>
      </w:r>
      <w:r>
        <w:rPr>
          <w:b/>
          <w:bCs/>
          <w:color w:val="176A87"/>
          <w:sz w:val="15"/>
          <w:szCs w:val="15"/>
        </w:rPr>
        <w:t xml:space="preserve">   Randomised trial</w:t>
      </w:r>
      <w:r>
        <w:rPr>
          <w:color w:val="5A6069"/>
          <w:sz w:val="15"/>
          <w:szCs w:val="15"/>
        </w:rPr>
        <w:t xml:space="preserve">   PMID 15042359</w:t>
      </w:r>
    </w:p>
    <w:p>
      <w:pPr>
        <w:spacing w:after="50" w:line="276"/>
      </w:pPr>
      <w:r>
        <w:rPr>
          <w:color w:val="5A6069"/>
          <w:sz w:val="17"/>
          <w:szCs w:val="17"/>
        </w:rPr>
        <w:t xml:space="preserve">Randomized controlled trial of screening for hepatocellular carcinoma</w:t>
      </w:r>
    </w:p>
    <w:p>
      <w:pPr>
        <w:spacing w:after="50"/>
      </w:pPr>
      <w:r>
        <w:rPr>
          <w:b/>
          <w:bCs/>
          <w:color w:val="176A87"/>
          <w:sz w:val="16"/>
          <w:szCs w:val="16"/>
        </w:rPr>
        <w:t xml:space="preserve">Population. </w:t>
      </w:r>
      <w:r>
        <w:rPr>
          <w:sz w:val="16"/>
          <w:szCs w:val="16"/>
        </w:rPr>
        <w:t xml:space="preserve">18,816 people aged 35 to 59 with serological evidence of hepatitis B infection or a history of chronic hepatitis, recruited from more than 300 factories, enterprises and schools in urban Shanghai between January 1993 and December 1995 and cluster-allocated to 6-monthly alpha-fetoprotein and ultrasound screening (9,757 allocated, 9,373 analysed) or no screening (9,443); cirrhosis was neither required nor excluded</w:t>
      </w:r>
    </w:p>
    <w:p>
      <w:pPr>
        <w:spacing w:after="70"/>
      </w:pPr>
      <w:r>
        <w:rPr>
          <w:b/>
          <w:bCs/>
          <w:color w:val="17365D"/>
          <w:sz w:val="16"/>
          <w:szCs w:val="16"/>
        </w:rPr>
        <w:t xml:space="preserve">Bottom line. </w:t>
      </w:r>
      <w:r>
        <w:rPr>
          <w:sz w:val="16"/>
          <w:szCs w:val="16"/>
        </w:rPr>
        <w:t xml:space="preserve">The single randomised trial behind the recommendation for 6-monthly HCC surveillance, reporting a 37 percent reduction in HCC mortality with screening (83.2 against 131.5 per 100,000). Allocation was by cluster but the analysis treated individuals as independent, 384 people who refused were removed from the screening arm after allocation, and all-cause mortality was never reported.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Compliance with screening was only 58.2 percent</w:t>
            </w:r>
          </w:p>
          <w:p>
            <w:pPr>
              <w:pStyle w:val="ListParagraph"/>
              <w:numPr>
                <w:ilvl w:val="0"/>
                <w:numId w:val="2"/>
              </w:numPr>
              <w:spacing w:after="45"/>
            </w:pPr>
            <w:r>
              <w:rPr>
                <w:sz w:val="15"/>
                <w:szCs w:val="15"/>
              </w:rPr>
              <w:t xml:space="preserve">The higher crude incidence in the screened arm points to over-diagnosis, which the authors acknowledge</w:t>
            </w:r>
          </w:p>
          <w:p>
            <w:pPr>
              <w:pStyle w:val="ListParagraph"/>
              <w:numPr>
                <w:ilvl w:val="0"/>
                <w:numId w:val="2"/>
              </w:numPr>
              <w:spacing w:after="45"/>
            </w:pPr>
            <w:r>
              <w:rPr>
                <w:sz w:val="15"/>
                <w:szCs w:val="15"/>
              </w:rPr>
              <w:t xml:space="preserve">The authors estimate a lead time of about 0.5 years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Allocation was by cluster, with whole factories, schools and enterprises assigned together, but the analysis treated individuals as independent observations; an independent reanalysis calculated that the mortality difference would almost certainly have been non-significant had the clustering been accounted for</w:t>
            </w:r>
          </w:p>
          <w:p>
            <w:pPr>
              <w:pStyle w:val="ListParagraph"/>
              <w:numPr>
                <w:ilvl w:val="0"/>
                <w:numId w:val="2"/>
              </w:numPr>
              <w:spacing w:after="45"/>
            </w:pPr>
            <w:r>
              <w:rPr>
                <w:sz w:val="15"/>
                <w:szCs w:val="15"/>
              </w:rPr>
              <w:t xml:space="preserve">384 of the 9,757 people allocated to screening were removed after randomisation because they refused, so the analysis is not intention to treat despite the paper's claim, and every exclusion is on the intervention side</w:t>
            </w:r>
          </w:p>
          <w:p>
            <w:pPr>
              <w:pStyle w:val="ListParagraph"/>
              <w:numPr>
                <w:ilvl w:val="0"/>
                <w:numId w:val="2"/>
              </w:numPr>
              <w:spacing w:after="45"/>
            </w:pPr>
            <w:r>
              <w:rPr>
                <w:sz w:val="15"/>
                <w:szCs w:val="15"/>
              </w:rPr>
              <w:t xml:space="preserve">Only HCC deaths were counted and all-cause mortality was never reported, so neither harm from screening and the surgery it leads to nor misattribution of cause of death can be excluded, and the standard safeguard against disease-specific mortality bias is absent</w:t>
            </w:r>
          </w:p>
          <w:p>
            <w:pPr>
              <w:pStyle w:val="ListParagraph"/>
              <w:numPr>
                <w:ilvl w:val="0"/>
                <w:numId w:val="2"/>
              </w:numPr>
              <w:spacing w:after="45"/>
            </w:pPr>
            <w:r>
              <w:rPr>
                <w:sz w:val="15"/>
                <w:szCs w:val="15"/>
              </w:rPr>
              <w:t xml:space="preserve">The screened arm's crude incidence was 37 percent higher than the control arm's, which is the signature of over-diagnosis, and the paper offers no analysis of how much of the mortality difference that could generate</w:t>
            </w:r>
          </w:p>
          <w:p>
            <w:pPr>
              <w:pStyle w:val="ListParagraph"/>
              <w:numPr>
                <w:ilvl w:val="0"/>
                <w:numId w:val="2"/>
              </w:numPr>
              <w:spacing w:after="45"/>
            </w:pPr>
            <w:r>
              <w:rPr>
                <w:sz w:val="15"/>
                <w:szCs w:val="15"/>
              </w:rPr>
              <w:t xml:space="preserve">Survival comparisons between the arms are timed from diagnosis, which is lead-time biased by construction, and the authors' own estimated lead time of about half a year is of the same order as the survival differences reported</w:t>
            </w:r>
          </w:p>
          <w:p>
            <w:pPr>
              <w:pStyle w:val="ListParagraph"/>
              <w:numPr>
                <w:ilvl w:val="0"/>
                <w:numId w:val="2"/>
              </w:numPr>
              <w:spacing w:after="45"/>
            </w:pPr>
            <w:r>
              <w:rPr>
                <w:sz w:val="15"/>
                <w:szCs w:val="15"/>
              </w:rPr>
              <w:t xml:space="preserve">The population is hepatitis B carriers and people with past hepatitis aged 35 to 59 in Shanghai, mostly without documented cirrhosis and screened with alpha-fetoprotein as a co-test, so it maps poorly onto a Western cirrhotic ultrasound surveillance cohort in whom alpha-fetoprotein is no longer recommended as a screening test</w:t>
            </w:r>
          </w:p>
          <w:p>
            <w:pPr>
              <w:pStyle w:val="ListParagraph"/>
              <w:numPr>
                <w:ilvl w:val="0"/>
                <w:numId w:val="2"/>
              </w:numPr>
              <w:spacing w:after="45"/>
            </w:pPr>
            <w:r>
              <w:rPr>
                <w:sz w:val="15"/>
                <w:szCs w:val="15"/>
              </w:rPr>
              <w:t xml:space="preserve">Treatment of screen-detected cancers was resection in a pre-BCLC era with no transplantation or ablation pathway, so the mortality benefit depends on a treatment algorithm that no longer exists</w:t>
            </w:r>
          </w:p>
          <w:p>
            <w:pPr>
              <w:pStyle w:val="ListParagraph"/>
              <w:numPr>
                <w:ilvl w:val="0"/>
                <w:numId w:val="2"/>
              </w:numPr>
              <w:spacing w:after="45"/>
            </w:pPr>
            <w:r>
              <w:rPr>
                <w:sz w:val="15"/>
                <w:szCs w:val="15"/>
              </w:rPr>
              <w:t xml:space="preserve">The paper's own figures disagree: the narrative gives the stage III split as 22 (25.6 percent) against 45 (62.9 percent) while the table gives 22 against 42 (62.7 percent), and resection in controls is 5 (7.5 percent) in the table against 7.8 percent in the text</w:t>
            </w:r>
          </w:p>
          <w:p>
            <w:pPr>
              <w:pStyle w:val="ListParagraph"/>
              <w:numPr>
                <w:ilvl w:val="0"/>
                <w:numId w:val="2"/>
              </w:numPr>
              <w:spacing w:after="45"/>
            </w:pPr>
            <w:r>
              <w:rPr>
                <w:sz w:val="15"/>
                <w:szCs w:val="15"/>
              </w:rPr>
              <w:t xml:space="preserve">Compliance of 58.2 percent means that the measured effect is that of offering screening to a workplace population, and the paper presents no per-protocol or compliance-adjusted estimate alongside it</w:t>
            </w:r>
          </w:p>
        </w:tc>
      </w:tr>
    </w:tbl>
    <w:p>
      <w:pPr>
        <w:spacing w:after="0" w:line="276"/>
      </w:pPr>
      <w:r>
        <w:rPr>
          <w:color w:val="5A6069"/>
          <w:sz w:val="14"/>
          <w:szCs w:val="14"/>
        </w:rPr>
        <w:t xml:space="preserve">Funding: No funding statement; the trial predates registries and has no registration number</w:t>
      </w:r>
    </w:p>
    <w:p>
      <w:pPr>
        <w:keepNext/>
        <w:spacing w:after="50" w:before="260"/>
      </w:pPr>
      <w:r>
        <w:rPr>
          <w:rFonts w:ascii="Cambria" w:cs="Cambria" w:eastAsia="Cambria" w:hAnsi="Cambria"/>
          <w:b/>
          <w:bCs/>
          <w:color w:val="17365D"/>
          <w:sz w:val="20"/>
          <w:szCs w:val="20"/>
        </w:rPr>
        <w:t xml:space="preserve">TACE + EBRT</w:t>
      </w:r>
      <w:r>
        <w:rPr>
          <w:b/>
          <w:bCs/>
          <w:color w:val="176A87"/>
          <w:sz w:val="15"/>
          <w:szCs w:val="15"/>
        </w:rPr>
        <w:t xml:space="preserve">   Randomised trial</w:t>
      </w:r>
      <w:r>
        <w:rPr>
          <w:color w:val="5A6069"/>
          <w:sz w:val="15"/>
          <w:szCs w:val="15"/>
        </w:rPr>
        <w:t xml:space="preserve">   PMID 29543938</w:t>
      </w:r>
    </w:p>
    <w:p>
      <w:pPr>
        <w:spacing w:after="50" w:line="276"/>
      </w:pPr>
      <w:r>
        <w:rPr>
          <w:color w:val="5A6069"/>
          <w:sz w:val="17"/>
          <w:szCs w:val="17"/>
        </w:rPr>
        <w:t xml:space="preserve">Efficacy and Safety of Transarterial Chemoembolization Plus External Beam Radiotherapy vs Sorafenib in Hepatocellular Carcinoma With Macroscopic Vascular Invasion: A Randomized Clinical Trial</w:t>
      </w:r>
    </w:p>
    <w:p>
      <w:pPr>
        <w:spacing w:after="50"/>
      </w:pPr>
      <w:r>
        <w:rPr>
          <w:b/>
          <w:bCs/>
          <w:color w:val="176A87"/>
          <w:sz w:val="16"/>
          <w:szCs w:val="16"/>
        </w:rPr>
        <w:t xml:space="preserve">Population. </w:t>
      </w:r>
      <w:r>
        <w:rPr>
          <w:sz w:val="16"/>
          <w:szCs w:val="16"/>
        </w:rPr>
        <w:t xml:space="preserve">90 treatment-naive patients with liver-confined HCC invading at least the first- or second-branch portal vein with preserved unilateral portal flow, Child-Pugh A and ECOG 0 to 1, randomised 1:1 at Asan Medical Center, Seoul between July 2013 and October 2016 to sorafenib (45) or chemoembolisation every 6 weeks plus 3D-conformal radiotherapy to the vascular invasion (45); median maximal tumour diameter was 9.7 cm, 78.9 percent had multiple lesions and 84.4 percent had hepatitis B</w:t>
      </w:r>
    </w:p>
    <w:p>
      <w:pPr>
        <w:spacing w:after="70"/>
      </w:pPr>
      <w:r>
        <w:rPr>
          <w:b/>
          <w:bCs/>
          <w:color w:val="17365D"/>
          <w:sz w:val="16"/>
          <w:szCs w:val="16"/>
        </w:rPr>
        <w:t xml:space="preserve">Bottom line. </w:t>
      </w:r>
      <w:r>
        <w:rPr>
          <w:sz w:val="16"/>
          <w:szCs w:val="16"/>
        </w:rPr>
        <w:t xml:space="preserve">A single-centre randomised trial showing that chemoembolisation plus conformal radiotherapy to the portal invasion beats sorafenib on 12-week progression-free survival (86.7 against 34.3 percent) and on median overall survival (55.0 against 43.0 weeks). The primary endpoint is a 12-week surrogate judged without blinding, 90.7 percent of the sorafenib arm crossed over within 24 weeks so the survival comparison is of two sequences, and the sorafenib arm underperformed its own historical benchmarks.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without blinded response assessment, which the authors state was not feasible because imaging appearances differ after the two treatments</w:t>
            </w:r>
          </w:p>
          <w:p>
            <w:pPr>
              <w:pStyle w:val="ListParagraph"/>
              <w:numPr>
                <w:ilvl w:val="0"/>
                <w:numId w:val="2"/>
              </w:numPr>
              <w:spacing w:after="45"/>
            </w:pPr>
            <w:r>
              <w:rPr>
                <w:sz w:val="15"/>
                <w:szCs w:val="15"/>
              </w:rPr>
              <w:t xml:space="preserve">A hepatitis B-predominant population, which the authors acknowledge limits generalisability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Median time to progression on sorafenib was only 11.7 weeks, shorter than in either pivotal sorafenib trial, so the control arm may have underperformed; 84.4 percent of patients had hepatitis B, a group in which sorafenib outcomes are less favourable</w:t>
            </w:r>
          </w:p>
          <w:p>
            <w:pPr>
              <w:pStyle w:val="ListParagraph"/>
              <w:numPr>
                <w:ilvl w:val="0"/>
                <w:numId w:val="2"/>
              </w:numPr>
              <w:spacing w:after="45"/>
            </w:pPr>
            <w:r>
              <w:rPr>
                <w:sz w:val="15"/>
                <w:szCs w:val="15"/>
              </w:rPr>
              <w:t xml:space="preserve">Overall survival is a secondary endpoint whose upper confidence limit reaches 0.98, and 90.7 percent of the sorafenib arm crossed over to chemoembolisation plus radiotherapy within 24 weeks, so the survival comparison contrasts immediate with deferred locoregional therapy rather than two treatments</w:t>
            </w:r>
          </w:p>
          <w:p>
            <w:pPr>
              <w:pStyle w:val="ListParagraph"/>
              <w:numPr>
                <w:ilvl w:val="0"/>
                <w:numId w:val="2"/>
              </w:numPr>
              <w:spacing w:after="45"/>
            </w:pPr>
            <w:r>
              <w:rPr>
                <w:sz w:val="15"/>
                <w:szCs w:val="15"/>
              </w:rPr>
              <w:t xml:space="preserve">The primary endpoint is a 12-week progression-free survival rate, a short-term surrogate, assessed open-label by the treating centre in a comparison where the post-treatment appearances differ systematically between arms</w:t>
            </w:r>
          </w:p>
          <w:p>
            <w:pPr>
              <w:pStyle w:val="ListParagraph"/>
              <w:numPr>
                <w:ilvl w:val="0"/>
                <w:numId w:val="2"/>
              </w:numPr>
              <w:spacing w:after="45"/>
            </w:pPr>
            <w:r>
              <w:rPr>
                <w:sz w:val="15"/>
                <w:szCs w:val="15"/>
              </w:rPr>
              <w:t xml:space="preserve">The proportion of patients with cirrhosis is never reported, which is the variable that determines whether repeated chemoembolisation plus 45 Gy is safe in another unit's hands, as the accompanying commentary points out</w:t>
            </w:r>
          </w:p>
          <w:p>
            <w:pPr>
              <w:pStyle w:val="ListParagraph"/>
              <w:numPr>
                <w:ilvl w:val="0"/>
                <w:numId w:val="2"/>
              </w:numPr>
              <w:spacing w:after="45"/>
            </w:pPr>
            <w:r>
              <w:rPr>
                <w:sz w:val="15"/>
                <w:szCs w:val="15"/>
              </w:rPr>
              <w:t xml:space="preserve">The protocol is hard to export: cisplatin-based chemoembolisation on a fixed 6-week schedule with gelatin sponge omitted at operator discretion, a median of four sessions in 24 weeks, and a median of 40 Gy in 2.5 to 3.0 Gy fractions by 3D-conformal technique rather than contemporary stereotactic radiotherapy</w:t>
            </w:r>
          </w:p>
          <w:p>
            <w:pPr>
              <w:pStyle w:val="ListParagraph"/>
              <w:numPr>
                <w:ilvl w:val="0"/>
                <w:numId w:val="2"/>
              </w:numPr>
              <w:spacing w:after="45"/>
            </w:pPr>
            <w:r>
              <w:rPr>
                <w:sz w:val="15"/>
                <w:szCs w:val="15"/>
              </w:rPr>
              <w:t xml:space="preserve">The intervention is a two-component regimen and the trial cannot say what each contributes, so the result cannot be read as evidence for radiotherapy or for chemoembolisation separately in portal vein invasion</w:t>
            </w:r>
          </w:p>
          <w:p>
            <w:pPr>
              <w:pStyle w:val="ListParagraph"/>
              <w:numPr>
                <w:ilvl w:val="0"/>
                <w:numId w:val="2"/>
              </w:numPr>
              <w:spacing w:after="45"/>
            </w:pPr>
            <w:r>
              <w:rPr>
                <w:sz w:val="15"/>
                <w:szCs w:val="15"/>
              </w:rPr>
              <w:t xml:space="preserve">Ninety patients at one centre in a population with a median tumour of 9.7 cm and multifocal disease in 79 percent is too small to support the aggressive strategy the trial advocates for patients whose liver is already heavily burdened</w:t>
            </w:r>
          </w:p>
          <w:p>
            <w:pPr>
              <w:pStyle w:val="ListParagraph"/>
              <w:numPr>
                <w:ilvl w:val="0"/>
                <w:numId w:val="2"/>
              </w:numPr>
              <w:spacing w:after="45"/>
            </w:pPr>
            <w:r>
              <w:rPr>
                <w:sz w:val="15"/>
                <w:szCs w:val="15"/>
              </w:rPr>
              <w:t xml:space="preserve">The comparator is no longer first-line, so the trial cannot address whether this regimen should be added to or substituted for an immunotherapy combination in macrovascular invasion</w:t>
            </w:r>
          </w:p>
          <w:p>
            <w:pPr>
              <w:pStyle w:val="ListParagraph"/>
              <w:numPr>
                <w:ilvl w:val="0"/>
                <w:numId w:val="2"/>
              </w:numPr>
              <w:spacing w:after="45"/>
            </w:pPr>
            <w:r>
              <w:rPr>
                <w:sz w:val="15"/>
                <w:szCs w:val="15"/>
              </w:rPr>
              <w:t xml:space="preserve">Patients with main portal vein invasion and preserved flow only on one side were eligible, so the irradiated volume and the embolised territory varied with anatomy in ways the paper does not relate to outcome</w:t>
            </w:r>
          </w:p>
        </w:tc>
      </w:tr>
    </w:tbl>
    <w:p>
      <w:pPr>
        <w:spacing w:after="0" w:line="276"/>
      </w:pPr>
      <w:r>
        <w:rPr>
          <w:color w:val="5A6069"/>
          <w:sz w:val="14"/>
          <w:szCs w:val="14"/>
        </w:rPr>
        <w:t xml:space="preserve">Funding: Publicly and institutionally funded; one author declares advisory and research funding from Bayer, the manufacturer of the comparator drug, and from Gilead</w:t>
      </w:r>
    </w:p>
    <w:p>
      <w:pPr>
        <w:keepNext/>
        <w:spacing w:after="50" w:before="260"/>
      </w:pPr>
      <w:r>
        <w:rPr>
          <w:rFonts w:ascii="Cambria" w:cs="Cambria" w:eastAsia="Cambria" w:hAnsi="Cambria"/>
          <w:b/>
          <w:bCs/>
          <w:color w:val="17365D"/>
          <w:sz w:val="20"/>
          <w:szCs w:val="20"/>
        </w:rPr>
        <w:t xml:space="preserve">TRACE</w:t>
      </w:r>
      <w:r>
        <w:rPr>
          <w:b/>
          <w:bCs/>
          <w:color w:val="176A87"/>
          <w:sz w:val="15"/>
          <w:szCs w:val="15"/>
        </w:rPr>
        <w:t xml:space="preserve">   Randomised trial</w:t>
      </w:r>
      <w:r>
        <w:rPr>
          <w:color w:val="5A6069"/>
          <w:sz w:val="15"/>
          <w:szCs w:val="15"/>
        </w:rPr>
        <w:t xml:space="preserve">   PMID 35258371</w:t>
      </w:r>
    </w:p>
    <w:p>
      <w:pPr>
        <w:spacing w:after="50" w:line="276"/>
      </w:pPr>
      <w:r>
        <w:rPr>
          <w:color w:val="5A6069"/>
          <w:sz w:val="17"/>
          <w:szCs w:val="17"/>
        </w:rPr>
        <w:t xml:space="preserve">90Y Radioembolization versus Drug-eluting Bead Chemoembolization for Unresectable Hepatocellular Carcinoma: Results from the TRACE Phase II Randomized Controlled Trial</w:t>
      </w:r>
    </w:p>
    <w:p>
      <w:pPr>
        <w:spacing w:after="50"/>
      </w:pPr>
      <w:r>
        <w:rPr>
          <w:b/>
          <w:bCs/>
          <w:color w:val="176A87"/>
          <w:sz w:val="16"/>
          <w:szCs w:val="16"/>
        </w:rPr>
        <w:t xml:space="preserve">Population. </w:t>
      </w:r>
      <w:r>
        <w:rPr>
          <w:sz w:val="16"/>
          <w:szCs w:val="16"/>
        </w:rPr>
        <w:t xml:space="preserve">72 of 487 screened patients with BCLC B HCC, extended during the trial to non-surgical BCLC A disease and to ECOG 1 or Child-Pugh 7, allocated by minimisation at Ghent University Hospital between September 2011 and March 2018 to Y-90 glass microsphere radioembolisation (38) or doxorubicin drug-eluting bead chemoembolisation (34); 61 of 72 were BCLC B, 65 of 72 Child-Pugh A and about 70 percent had alcohol-related liver disease</w:t>
      </w:r>
    </w:p>
    <w:p>
      <w:pPr>
        <w:spacing w:after="70"/>
      </w:pPr>
      <w:r>
        <w:rPr>
          <w:b/>
          <w:bCs/>
          <w:color w:val="17365D"/>
          <w:sz w:val="16"/>
          <w:szCs w:val="16"/>
        </w:rPr>
        <w:t xml:space="preserve">Bottom line. </w:t>
      </w:r>
      <w:r>
        <w:rPr>
          <w:sz w:val="16"/>
          <w:szCs w:val="16"/>
        </w:rPr>
        <w:t xml:space="preserve">TRACE found a much longer time to progression (17.1 against 9.5 months) and a doubling of median overall survival (30.2 against 15.6 months) with radioembolisation compared with drug-eluting bead chemoembolisation. It was stopped at a planned interim analysis with 72 of 136 planned patients at a single centre with local unblinded imaging assessment, the control arm was pushed to five sessions of up to 150 mg doxorubicin and suffered three septic deaths, and the two arms treated quite different volumes of liver.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Slow participant accrual required the eligibility criteria to be widened to non-surgical BCLC A disease, which the authors state</w:t>
            </w:r>
          </w:p>
          <w:p>
            <w:pPr>
              <w:pStyle w:val="ListParagraph"/>
              <w:numPr>
                <w:ilvl w:val="0"/>
                <w:numId w:val="2"/>
              </w:numPr>
              <w:spacing w:after="45"/>
            </w:pPr>
            <w:r>
              <w:rPr>
                <w:sz w:val="15"/>
                <w:szCs w:val="15"/>
              </w:rPr>
              <w:t xml:space="preserve">The trial did not apply the personalised dosimetry recommended by expert guidelines released in 2020, which the authors say may have limited the result</w:t>
            </w:r>
          </w:p>
          <w:p>
            <w:pPr>
              <w:pStyle w:val="ListParagraph"/>
              <w:numPr>
                <w:ilvl w:val="0"/>
                <w:numId w:val="2"/>
              </w:numPr>
              <w:spacing w:after="45"/>
            </w:pPr>
            <w:r>
              <w:rPr>
                <w:sz w:val="15"/>
                <w:szCs w:val="15"/>
              </w:rPr>
              <w:t xml:space="preserve">The authors call for a phase 3 trial to confirm the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at a planned interim analysis with 72 of the 136 patients needed, and trials stopped early for benefit systematically overstate effect size, so both the time-to-progression and the survival hazard ratios are likely exaggerated; the observed doubling of median survival is larger than any other randomised comparison of these two modalities has produced</w:t>
            </w:r>
          </w:p>
          <w:p>
            <w:pPr>
              <w:pStyle w:val="ListParagraph"/>
              <w:numPr>
                <w:ilvl w:val="0"/>
                <w:numId w:val="2"/>
              </w:numPr>
              <w:spacing w:after="45"/>
            </w:pPr>
            <w:r>
              <w:rPr>
                <w:sz w:val="15"/>
                <w:szCs w:val="15"/>
              </w:rPr>
              <w:t xml:space="preserve">The control arm may have been harmed rather than the experimental arm helped: the protocol pushed drug-eluting bead chemoembolisation to five sessions with up to 150 mg of doxorubicin each, and the chemoembolisation arm had five grade 5 events including three septic deaths judged definitely treatment-related against one death after radioembolisation</w:t>
            </w:r>
          </w:p>
          <w:p>
            <w:pPr>
              <w:pStyle w:val="ListParagraph"/>
              <w:numPr>
                <w:ilvl w:val="0"/>
                <w:numId w:val="2"/>
              </w:numPr>
              <w:spacing w:after="45"/>
            </w:pPr>
            <w:r>
              <w:rPr>
                <w:sz w:val="15"/>
                <w:szCs w:val="15"/>
              </w:rPr>
              <w:t xml:space="preserve">The two arms treated different volumes of liver: radioembolisation was lobar or whole-liver in 26 of 33 patients (79 percent) while chemoembolisation was superselective in 29 of 36, so the comparison includes a difference in treated peritumoral parenchyma that the authors themselves identify as the probable mechanism of the local-control difference</w:t>
            </w:r>
          </w:p>
          <w:p>
            <w:pPr>
              <w:pStyle w:val="ListParagraph"/>
              <w:numPr>
                <w:ilvl w:val="0"/>
                <w:numId w:val="2"/>
              </w:numPr>
              <w:spacing w:after="45"/>
            </w:pPr>
            <w:r>
              <w:rPr>
                <w:sz w:val="15"/>
                <w:szCs w:val="15"/>
              </w:rPr>
              <w:t xml:space="preserve">Follow-up was unbalanced at a median of 28 months after radioembolisation against 15.6 months after chemoembolisation, and transplantation after downstaging was also unbalanced at 10 against 4 patients; censoring for transplant narrowed but did not remove the survival gap</w:t>
            </w:r>
          </w:p>
          <w:p>
            <w:pPr>
              <w:pStyle w:val="ListParagraph"/>
              <w:numPr>
                <w:ilvl w:val="0"/>
                <w:numId w:val="2"/>
              </w:numPr>
              <w:spacing w:after="45"/>
            </w:pPr>
            <w:r>
              <w:rPr>
                <w:sz w:val="15"/>
                <w:szCs w:val="15"/>
              </w:rPr>
              <w:t xml:space="preserve">Progression was judged locally by the treating team under mRECIST with no blinded central review, in an open-label single-centre trial conducted by one operator group</w:t>
            </w:r>
          </w:p>
          <w:p>
            <w:pPr>
              <w:pStyle w:val="ListParagraph"/>
              <w:numPr>
                <w:ilvl w:val="0"/>
                <w:numId w:val="2"/>
              </w:numPr>
              <w:spacing w:after="45"/>
            </w:pPr>
            <w:r>
              <w:rPr>
                <w:sz w:val="15"/>
                <w:szCs w:val="15"/>
              </w:rPr>
              <w:t xml:space="preserve">The safety population matches neither randomised arm, counting 33 radioembolisation patients (including one treated outside the trial) and 36 chemoembolisation patients (including two who crossed over after incompatible scintigraphy), so the safety and efficacy denominators differ and the crossovers move events between arms</w:t>
            </w:r>
          </w:p>
          <w:p>
            <w:pPr>
              <w:pStyle w:val="ListParagraph"/>
              <w:numPr>
                <w:ilvl w:val="0"/>
                <w:numId w:val="2"/>
              </w:numPr>
              <w:spacing w:after="45"/>
            </w:pPr>
            <w:r>
              <w:rPr>
                <w:sz w:val="15"/>
                <w:szCs w:val="15"/>
              </w:rPr>
              <w:t xml:space="preserve">Entry criteria were widened mid-trial to recruit, producing a mixed early and intermediate population with alcohol-related disease in about 70 percent, so the result does not map onto the BCLC B population for which chemoembolisation is the guideline standard</w:t>
            </w:r>
          </w:p>
          <w:p>
            <w:pPr>
              <w:pStyle w:val="ListParagraph"/>
              <w:numPr>
                <w:ilvl w:val="0"/>
                <w:numId w:val="2"/>
              </w:numPr>
              <w:spacing w:after="45"/>
            </w:pPr>
            <w:r>
              <w:rPr>
                <w:sz w:val="15"/>
                <w:szCs w:val="15"/>
              </w:rPr>
              <w:t xml:space="preserve">The title describes the trial as phase 2 while the text describes a superiority trial with a formal interim stopping rule, and the paper is nonetheless presented as evidence that radioembolisation should replace chemoembolisation</w:t>
            </w:r>
          </w:p>
          <w:p>
            <w:pPr>
              <w:pStyle w:val="ListParagraph"/>
              <w:numPr>
                <w:ilvl w:val="0"/>
                <w:numId w:val="2"/>
              </w:numPr>
              <w:spacing w:after="45"/>
            </w:pPr>
            <w:r>
              <w:rPr>
                <w:sz w:val="15"/>
                <w:szCs w:val="15"/>
              </w:rPr>
              <w:t xml:space="preserve">Standard rather than personalised dosimetry was used at 120 Gy to the treated volume, so a trial whose conclusion favours radioembolisation also undersells it by the standard its own authors invoke</w:t>
            </w:r>
          </w:p>
          <w:p>
            <w:pPr>
              <w:pStyle w:val="ListParagraph"/>
              <w:numPr>
                <w:ilvl w:val="0"/>
                <w:numId w:val="2"/>
              </w:numPr>
              <w:spacing w:after="45"/>
            </w:pPr>
            <w:r>
              <w:rPr>
                <w:sz w:val="15"/>
                <w:szCs w:val="15"/>
              </w:rPr>
              <w:t xml:space="preserve">Unit symbols and inequality signs are corrupted throughout the published text, with micrometres printed as millimoles and bilirubin thresholds in the exclusion criteria printed in different units from the same variable in the baseline table</w:t>
            </w:r>
          </w:p>
        </w:tc>
      </w:tr>
    </w:tbl>
    <w:p>
      <w:pPr>
        <w:spacing w:after="0" w:line="276"/>
      </w:pPr>
      <w:r>
        <w:rPr>
          <w:color w:val="5A6069"/>
          <w:sz w:val="14"/>
          <w:szCs w:val="14"/>
        </w:rPr>
        <w:t xml:space="preserve">Funding: No funding source is identified and no author declared any relevant relationship</w:t>
      </w:r>
    </w:p>
    <w:p>
      <w:pPr>
        <w:keepNext/>
        <w:spacing w:after="50" w:before="260"/>
      </w:pPr>
      <w:r>
        <w:rPr>
          <w:rFonts w:ascii="Cambria" w:cs="Cambria" w:eastAsia="Cambria" w:hAnsi="Cambria"/>
          <w:b/>
          <w:bCs/>
          <w:color w:val="17365D"/>
          <w:sz w:val="20"/>
          <w:szCs w:val="20"/>
        </w:rPr>
        <w:t xml:space="preserve">Xia RCT</w:t>
      </w:r>
      <w:r>
        <w:rPr>
          <w:b/>
          <w:bCs/>
          <w:color w:val="176A87"/>
          <w:sz w:val="15"/>
          <w:szCs w:val="15"/>
        </w:rPr>
        <w:t xml:space="preserve">   Randomised trial</w:t>
      </w:r>
      <w:r>
        <w:rPr>
          <w:color w:val="5A6069"/>
          <w:sz w:val="15"/>
          <w:szCs w:val="15"/>
        </w:rPr>
        <w:t xml:space="preserve">   PMID 31774468</w:t>
      </w:r>
    </w:p>
    <w:p>
      <w:pPr>
        <w:spacing w:after="50" w:line="276"/>
      </w:pPr>
      <w:r>
        <w:rPr>
          <w:color w:val="5A6069"/>
          <w:sz w:val="17"/>
          <w:szCs w:val="17"/>
        </w:rPr>
        <w:t xml:space="preserve">Long-term Effects of Repeat Hepatectomy vs Percutaneous Radiofrequency Ablation Among Patients With Recurrent Hepatocellular Carcinoma: A Randomized Clinical Trial</w:t>
      </w:r>
    </w:p>
    <w:p>
      <w:pPr>
        <w:spacing w:after="50"/>
      </w:pPr>
      <w:r>
        <w:rPr>
          <w:b/>
          <w:bCs/>
          <w:color w:val="176A87"/>
          <w:sz w:val="16"/>
          <w:szCs w:val="16"/>
        </w:rPr>
        <w:t xml:space="preserve">Population. </w:t>
      </w:r>
      <w:r>
        <w:rPr>
          <w:sz w:val="16"/>
          <w:szCs w:val="16"/>
        </w:rPr>
        <w:t xml:space="preserve">240 of 518 screened patients aged 20 to 60 with early-stage recurrent HCC after a previous R0 resection (solitary nodule 5 cm or less, or up to 3 nodules each 3 cm or less), randomised 1:1 at the Eastern Hepatobiliary Surgery Hospital in Shanghai between June 2010 and January 2013; 216 of 240 (90 percent) were men and 217 completed the trial</w:t>
      </w:r>
    </w:p>
    <w:p>
      <w:pPr>
        <w:spacing w:after="70"/>
      </w:pPr>
      <w:r>
        <w:rPr>
          <w:b/>
          <w:bCs/>
          <w:color w:val="17365D"/>
          <w:sz w:val="16"/>
          <w:szCs w:val="16"/>
        </w:rPr>
        <w:t xml:space="preserve">Bottom line. </w:t>
      </w:r>
      <w:r>
        <w:rPr>
          <w:sz w:val="16"/>
          <w:szCs w:val="16"/>
        </w:rPr>
        <w:t xml:space="preserve">The only randomised comparison of repeat hepatectomy with percutaneous ablation for recurrent HCC: 5-year overall survival was 43.6 versus 38.5 percent (HR 1.26, 95% CI 0.91 to 1.76, p = 0.17) with no significant difference, but local repeat recurrence was 21.7 versus 37.8 percent and complications 22.4 versus 7.3 percent. The confidence interval admits a 76 percent higher mortality with ablation, the two subgroup findings the paper is cited for are unadjusted and rest on 50 patients with a nodule above 3 cm, and the eligibility rules excluded every anatomical site where ablation fails.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 institution with an open-label design, which the authors acknowledge leaves residual bias</w:t>
            </w:r>
          </w:p>
          <w:p>
            <w:pPr>
              <w:pStyle w:val="ListParagraph"/>
              <w:numPr>
                <w:ilvl w:val="0"/>
                <w:numId w:val="2"/>
              </w:numPr>
              <w:spacing w:after="45"/>
            </w:pPr>
            <w:r>
              <w:rPr>
                <w:sz w:val="15"/>
                <w:szCs w:val="15"/>
              </w:rPr>
              <w:t xml:space="preserve">The subgroup analyses were not adjusted for multiple testing and may be false-positive, as the authors state</w:t>
            </w:r>
          </w:p>
          <w:p>
            <w:pPr>
              <w:pStyle w:val="ListParagraph"/>
              <w:numPr>
                <w:ilvl w:val="0"/>
                <w:numId w:val="2"/>
              </w:numPr>
              <w:spacing w:after="45"/>
            </w:pPr>
            <w:r>
              <w:rPr>
                <w:sz w:val="15"/>
                <w:szCs w:val="15"/>
              </w:rPr>
              <w:t xml:space="preserve">Nearly all patients had hepatitis B-related disease, which the authors note limits generalisability</w:t>
            </w:r>
          </w:p>
          <w:p>
            <w:pPr>
              <w:pStyle w:val="ListParagraph"/>
              <w:numPr>
                <w:ilvl w:val="0"/>
                <w:numId w:val="2"/>
              </w:numPr>
              <w:spacing w:after="45"/>
            </w:pPr>
            <w:r>
              <w:rPr>
                <w:sz w:val="15"/>
                <w:szCs w:val="15"/>
              </w:rPr>
              <w:t xml:space="preserve">Repeat hepatectomy was open, and the authors call for a comparison against laparoscopic repeat hepatectomy, which has not been studied</w:t>
            </w:r>
          </w:p>
          <w:p>
            <w:pPr>
              <w:pStyle w:val="ListParagraph"/>
              <w:numPr>
                <w:ilvl w:val="0"/>
                <w:numId w:val="2"/>
              </w:numPr>
              <w:spacing w:after="45"/>
            </w:pPr>
            <w:r>
              <w:rPr>
                <w:sz w:val="15"/>
                <w:szCs w:val="15"/>
              </w:rPr>
              <w:t xml:space="preserve">The authors note that a short time to recurrence is associated with recurrence arising from the original tumour rather than de novo, which they could not separate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powered against a surgical result that did not exist: the calculation assumed 5-year survival of 56 percent after repeat hepatectomy and 39 percent after ablation, and the observed figures were 43.6 and 38.5 percent, so the ablation assumption was accurate and the surgical one was 12 points too optimistic</w:t>
            </w:r>
          </w:p>
          <w:p>
            <w:pPr>
              <w:pStyle w:val="ListParagraph"/>
              <w:numPr>
                <w:ilvl w:val="0"/>
                <w:numId w:val="2"/>
              </w:numPr>
              <w:spacing w:after="45"/>
            </w:pPr>
            <w:r>
              <w:rPr>
                <w:sz w:val="15"/>
                <w:szCs w:val="15"/>
              </w:rPr>
              <w:t xml:space="preserve">A hazard ratio of 1.26 with a confidence interval from 0.91 to 1.76 in 240 patients and 140 deaths excludes neither equivalence nor a substantial surgical advantage, yet the title, Key Points and conclusion present the result as no difference in survival</w:t>
            </w:r>
          </w:p>
          <w:p>
            <w:pPr>
              <w:pStyle w:val="ListParagraph"/>
              <w:numPr>
                <w:ilvl w:val="0"/>
                <w:numId w:val="2"/>
              </w:numPr>
              <w:spacing w:after="45"/>
            </w:pPr>
            <w:r>
              <w:rPr>
                <w:sz w:val="15"/>
                <w:szCs w:val="15"/>
              </w:rPr>
              <w:t xml:space="preserve">The primary endpoint is analysed six times in different populations (intention to treat p = 0.17, excluding additional anticancer treatment p = 0.24, minor hepatectomy only p = 0.20, per protocol p = 0.10, and z tests on the 5-year rates p = 0.291 and p = 0.25) with no hierarchy or multiplicity control stated</w:t>
            </w:r>
          </w:p>
          <w:p>
            <w:pPr>
              <w:pStyle w:val="ListParagraph"/>
              <w:numPr>
                <w:ilvl w:val="0"/>
                <w:numId w:val="2"/>
              </w:numPr>
              <w:spacing w:after="45"/>
            </w:pPr>
            <w:r>
              <w:rPr>
                <w:sz w:val="15"/>
                <w:szCs w:val="15"/>
              </w:rPr>
              <w:t xml:space="preserve">The only significant efficacy result in the paper, per-protocol 5-year repeat recurrence-free survival of 36.4 against 28.2 percent (p = 0.04), appears in a supplementary figure and is obtained by removing the crossovers and the patients lost to follow-up from an intention-to-treat comparison that gave p = 0.09</w:t>
            </w:r>
          </w:p>
          <w:p>
            <w:pPr>
              <w:pStyle w:val="ListParagraph"/>
              <w:numPr>
                <w:ilvl w:val="0"/>
                <w:numId w:val="2"/>
              </w:numPr>
              <w:spacing w:after="45"/>
            </w:pPr>
            <w:r>
              <w:rPr>
                <w:sz w:val="15"/>
                <w:szCs w:val="15"/>
              </w:rPr>
              <w:t xml:space="preserve">The subgroup variables were chosen from the independent risk factors identified in the trial's own multivariable model, so the variables were selected after seeing which predicted outcome in these data; no interaction test is reported, only 50 of 240 patients had a nodule above 3 cm, and a published correction was required in January 2020 to fix errors in the subgroup forest plot that carries the paper's practical message</w:t>
            </w:r>
          </w:p>
          <w:p>
            <w:pPr>
              <w:pStyle w:val="ListParagraph"/>
              <w:numPr>
                <w:ilvl w:val="0"/>
                <w:numId w:val="2"/>
              </w:numPr>
              <w:spacing w:after="45"/>
            </w:pPr>
            <w:r>
              <w:rPr>
                <w:sz w:val="15"/>
                <w:szCs w:val="15"/>
              </w:rPr>
              <w:t xml:space="preserve">Eligibility excluded any nodule within 1.0 cm of the gastrointestinal tract, hilum, cava, main hepatic veins, gallbladder or diaphragm, which removes every location in which ablation is known to fail, and ablation still produced nearly twice the local recurrence in that favourable anatomy</w:t>
            </w:r>
          </w:p>
          <w:p>
            <w:pPr>
              <w:pStyle w:val="ListParagraph"/>
              <w:numPr>
                <w:ilvl w:val="0"/>
                <w:numId w:val="2"/>
              </w:numPr>
              <w:spacing w:after="45"/>
            </w:pPr>
            <w:r>
              <w:rPr>
                <w:sz w:val="15"/>
                <w:szCs w:val="15"/>
              </w:rPr>
              <w:t xml:space="preserve">Both arms worked to a 0.5 cm margin standard, below the margin usually recommended for either technique, and 99 of 120 surgical patients had less than a bisegmentectomy, so the surgical arm is mostly limited open resection rather than anatomical re-resection</w:t>
            </w:r>
          </w:p>
          <w:p>
            <w:pPr>
              <w:pStyle w:val="ListParagraph"/>
              <w:numPr>
                <w:ilvl w:val="0"/>
                <w:numId w:val="2"/>
              </w:numPr>
              <w:spacing w:after="45"/>
            </w:pPr>
            <w:r>
              <w:rPr>
                <w:sz w:val="15"/>
                <w:szCs w:val="15"/>
              </w:rPr>
              <w:t xml:space="preserve">Safety is analysed as treated on 116 surgical and 124 ablation patients, different denominators from the efficacy analysis, and the surgical safety group contains one patient who received only intraoperative ablation and two who had resection plus intratumoral ethanol</w:t>
            </w:r>
          </w:p>
          <w:p>
            <w:pPr>
              <w:pStyle w:val="ListParagraph"/>
              <w:numPr>
                <w:ilvl w:val="0"/>
                <w:numId w:val="2"/>
              </w:numPr>
              <w:spacing w:after="45"/>
            </w:pPr>
            <w:r>
              <w:rPr>
                <w:sz w:val="15"/>
                <w:szCs w:val="15"/>
              </w:rPr>
              <w:t xml:space="preserve">Grade 3 or 4 complications were 6.0 against 1.6 percent with p = 0.09, so the severe-complication difference is not significant and the headline 22.4 against 7.3 percent is driven by Clavien-Dindo grade 1 and 2 events that the abstract reports only as a composite</w:t>
            </w:r>
          </w:p>
          <w:p>
            <w:pPr>
              <w:pStyle w:val="ListParagraph"/>
              <w:numPr>
                <w:ilvl w:val="0"/>
                <w:numId w:val="2"/>
              </w:numPr>
              <w:spacing w:after="45"/>
            </w:pPr>
            <w:r>
              <w:rPr>
                <w:sz w:val="15"/>
                <w:szCs w:val="15"/>
              </w:rPr>
              <w:t xml:space="preserve">The cohort is narrow in ways that remove the patients for whom the question is hardest: age capped at 60 with a median of 53, Child-Pugh A with no varices or ascites, platelets above 50 and prothrombin prolongation under 5 seconds, 90 percent male and almost entirely hepatitis B</w:t>
            </w:r>
          </w:p>
          <w:p>
            <w:pPr>
              <w:pStyle w:val="ListParagraph"/>
              <w:numPr>
                <w:ilvl w:val="0"/>
                <w:numId w:val="2"/>
              </w:numPr>
              <w:spacing w:after="45"/>
            </w:pPr>
            <w:r>
              <w:rPr>
                <w:sz w:val="15"/>
                <w:szCs w:val="15"/>
              </w:rPr>
              <w:t xml:space="preserve">Local repeat recurrence, the key secondary endpoint, is defined as disease within 1 cm of the ablation zone or the re-resection margin and was adjudicated by an unmasked treating team on imaging performed only every 4 to 6 months, which is also too coarse for the 12-month early-versus-late recurrence cut-point used as another secondary endpoint</w:t>
            </w:r>
          </w:p>
          <w:p>
            <w:pPr>
              <w:pStyle w:val="ListParagraph"/>
              <w:numPr>
                <w:ilvl w:val="0"/>
                <w:numId w:val="2"/>
              </w:numPr>
              <w:spacing w:after="45"/>
            </w:pPr>
            <w:r>
              <w:rPr>
                <w:sz w:val="15"/>
                <w:szCs w:val="15"/>
              </w:rPr>
              <w:t xml:space="preserve">Recurrence after treatment was managed at clinician discretion and 38 of 73 surgical and 51 of 77 ablation patients received multidisciplinary salvage, so overall survival reflects an unrandomised salvage pathway that was used more often in the ablation arm</w:t>
            </w:r>
          </w:p>
          <w:p>
            <w:pPr>
              <w:pStyle w:val="ListParagraph"/>
              <w:numPr>
                <w:ilvl w:val="0"/>
                <w:numId w:val="2"/>
              </w:numPr>
              <w:spacing w:after="45"/>
            </w:pPr>
            <w:r>
              <w:rPr>
                <w:sz w:val="15"/>
                <w:szCs w:val="15"/>
              </w:rPr>
              <w:t xml:space="preserve">Every patient had already undergone an R0 resection with no residual disease at 2 months, so the trial compares second treatments among patients already proven fit for surgery, and salvage transplantation is not considered anywhere</w:t>
            </w:r>
          </w:p>
          <w:p>
            <w:pPr>
              <w:pStyle w:val="ListParagraph"/>
              <w:numPr>
                <w:ilvl w:val="0"/>
                <w:numId w:val="2"/>
              </w:numPr>
              <w:spacing w:after="45"/>
            </w:pPr>
            <w:r>
              <w:rPr>
                <w:sz w:val="15"/>
                <w:szCs w:val="15"/>
              </w:rPr>
              <w:t xml:space="preserve">The trial was run at the highest-volume liver surgery unit in China with its own national liver cancer centre, so the 22.4 percent complication rate, the absence of perioperative death and the 8-day stay represent the best case for reoperation rather than a transferable estimate</w:t>
            </w:r>
          </w:p>
        </w:tc>
      </w:tr>
    </w:tbl>
    <w:p>
      <w:pPr>
        <w:spacing w:after="0" w:line="276"/>
      </w:pPr>
      <w:r>
        <w:rPr>
          <w:color w:val="5A6069"/>
          <w:sz w:val="14"/>
          <w:szCs w:val="14"/>
        </w:rPr>
        <w:t xml:space="preserve">Funding: Government-funded; the authors declare no conflicts of interest</w:t>
      </w:r>
    </w:p>
    <w:p>
      <w:pPr>
        <w:keepNext/>
        <w:spacing w:after="50" w:before="260"/>
      </w:pPr>
      <w:r>
        <w:rPr>
          <w:rFonts w:ascii="Cambria" w:cs="Cambria" w:eastAsia="Cambria" w:hAnsi="Cambria"/>
          <w:b/>
          <w:bCs/>
          <w:color w:val="17365D"/>
          <w:sz w:val="20"/>
          <w:szCs w:val="20"/>
        </w:rPr>
        <w:t xml:space="preserve">XXL trial</w:t>
      </w:r>
      <w:r>
        <w:rPr>
          <w:b/>
          <w:bCs/>
          <w:color w:val="176A87"/>
          <w:sz w:val="15"/>
          <w:szCs w:val="15"/>
        </w:rPr>
        <w:t xml:space="preserve">   Randomised trial</w:t>
      </w:r>
      <w:r>
        <w:rPr>
          <w:color w:val="5A6069"/>
          <w:sz w:val="15"/>
          <w:szCs w:val="15"/>
        </w:rPr>
        <w:t xml:space="preserve">   PMID 32615109</w:t>
      </w:r>
    </w:p>
    <w:p>
      <w:pPr>
        <w:spacing w:after="50" w:line="276"/>
      </w:pPr>
      <w:r>
        <w:rPr>
          <w:color w:val="5A6069"/>
          <w:sz w:val="17"/>
          <w:szCs w:val="17"/>
        </w:rPr>
        <w:t xml:space="preserve">Liver transplantation in hepatocellular carcinoma after tumour downstaging (XXL): a randomised, controlled, phase 2b/3 trial</w:t>
      </w:r>
    </w:p>
    <w:p>
      <w:pPr>
        <w:spacing w:after="50"/>
      </w:pPr>
      <w:r>
        <w:rPr>
          <w:b/>
          <w:bCs/>
          <w:color w:val="176A87"/>
          <w:sz w:val="16"/>
          <w:szCs w:val="16"/>
        </w:rPr>
        <w:t xml:space="preserve">Population. </w:t>
      </w:r>
      <w:r>
        <w:rPr>
          <w:sz w:val="16"/>
          <w:szCs w:val="16"/>
        </w:rPr>
        <w:t xml:space="preserve">74 patients with HCC beyond Milan criteria and at least 50 percent predicted 5-year post-transplant survival on the Metroticket calculator enrolled at 9 Italian centres between March 2011 and March 2015; 54 (73 percent) were successfully downstaged and 45 randomised, 23 to transplantation (21 actually transplanted) and 22 to non-transplant therapy</w:t>
      </w:r>
    </w:p>
    <w:p>
      <w:pPr>
        <w:spacing w:after="70"/>
      </w:pPr>
      <w:r>
        <w:rPr>
          <w:b/>
          <w:bCs/>
          <w:color w:val="17365D"/>
          <w:sz w:val="16"/>
          <w:szCs w:val="16"/>
        </w:rPr>
        <w:t xml:space="preserve">Bottom line. </w:t>
      </w:r>
      <w:r>
        <w:rPr>
          <w:sz w:val="16"/>
          <w:szCs w:val="16"/>
        </w:rPr>
        <w:t xml:space="preserve">The only randomised trial of transplantation after downstaging: among 45 patients with a sustained mRECIST response, 5-year overall survival was 77.5 percent with transplantation versus 31.2 percent with continued non-transplant therapy (HR 0.22, 95% CI 0.08 to 0.61), a mean survival gain of 14.5 months. It was stopped at 45 of 260 planned patients with 21 of 87 planned deaths, the control arm received only sorafenib-era therapy and was treated only on progression, and explant pathology showed tumour burden back near baseline, so it shows that a graft beats 2011-2015 palliation in a highly selected 61 percent of enrolled patients rather than that downstaging identifies favourable biology.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national change in graft allocation policy and HCC priorities during accrual forced the trial to close at 45 of the planned 260 patients, which the authors state limits the strength of the conclusion</w:t>
            </w:r>
          </w:p>
          <w:p>
            <w:pPr>
              <w:pStyle w:val="ListParagraph"/>
              <w:numPr>
                <w:ilvl w:val="0"/>
                <w:numId w:val="2"/>
              </w:numPr>
              <w:spacing w:after="45"/>
            </w:pPr>
            <w:r>
              <w:rPr>
                <w:sz w:val="15"/>
                <w:szCs w:val="15"/>
              </w:rPr>
              <w:t xml:space="preserve">The authors acknowledge heterogeneity of the applied downstaging protocols, since therapy and schedule were centre-based and unrestricted</w:t>
            </w:r>
          </w:p>
          <w:p>
            <w:pPr>
              <w:pStyle w:val="ListParagraph"/>
              <w:numPr>
                <w:ilvl w:val="0"/>
                <w:numId w:val="2"/>
              </w:numPr>
              <w:spacing w:after="45"/>
            </w:pPr>
            <w:r>
              <w:rPr>
                <w:sz w:val="15"/>
                <w:szCs w:val="15"/>
              </w:rPr>
              <w:t xml:space="preserve">The authors state that predictability of downstaging success was beyond the scope of the study and would need specific protocols, particularly in hepatitis C</w:t>
            </w:r>
          </w:p>
          <w:p>
            <w:pPr>
              <w:pStyle w:val="ListParagraph"/>
              <w:numPr>
                <w:ilvl w:val="0"/>
                <w:numId w:val="2"/>
              </w:numPr>
              <w:spacing w:after="45"/>
            </w:pPr>
            <w:r>
              <w:rPr>
                <w:sz w:val="15"/>
                <w:szCs w:val="15"/>
              </w:rPr>
              <w:t xml:space="preserve">Explant pathology showed a tendency to tumour re-growth even after radiological complete response, which the authors report and attribute to the time to transplantation</w:t>
            </w:r>
          </w:p>
          <w:p>
            <w:pPr>
              <w:pStyle w:val="ListParagraph"/>
              <w:numPr>
                <w:ilvl w:val="0"/>
                <w:numId w:val="2"/>
              </w:numPr>
              <w:spacing w:after="45"/>
            </w:pPr>
            <w:r>
              <w:rPr>
                <w:sz w:val="15"/>
                <w:szCs w:val="15"/>
              </w:rPr>
              <w:t xml:space="preserve">The authors note that transarterial chemoembolisation rarely achieves cure despite radiological complete response, since only 2 of the 4 non-recurring controls were cured and both had ablation or resection</w:t>
            </w:r>
          </w:p>
          <w:p>
            <w:pPr>
              <w:pStyle w:val="ListParagraph"/>
              <w:numPr>
                <w:ilvl w:val="0"/>
                <w:numId w:val="2"/>
              </w:numPr>
              <w:spacing w:after="45"/>
            </w:pPr>
            <w:r>
              <w:rPr>
                <w:sz w:val="15"/>
                <w:szCs w:val="15"/>
              </w:rPr>
              <w:t xml:space="preserve">The subgroup difference in survival benefit between partial and complete responders is reported by the authors as not significant at the 5 percent level (p for interaction 0.105)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conditional power of 98.6 percent is a projection, not evidence: it is the probability that significance would persist if the observed HR of 0.22 attenuated only to the planned 0.50 across a hypothetical further 215 patients, so it assumes the answer and cannot substitute for the 65 deaths that were never observed</w:t>
            </w:r>
          </w:p>
          <w:p>
            <w:pPr>
              <w:pStyle w:val="ListParagraph"/>
              <w:numPr>
                <w:ilvl w:val="0"/>
                <w:numId w:val="2"/>
              </w:numPr>
              <w:spacing w:after="45"/>
            </w:pPr>
            <w:r>
              <w:rPr>
                <w:sz w:val="15"/>
                <w:szCs w:val="15"/>
              </w:rPr>
              <w:t xml:space="preserve">The 2 patients randomised to transplantation who refused it are described as censored in the intervention group according to the intention-to-treat principle, but censoring is not intention to treat: both progressed and died at 17 and 20 months, and removing those deaths from the transplant arm inflates the only outcome the trial reports</w:t>
            </w:r>
          </w:p>
          <w:p>
            <w:pPr>
              <w:pStyle w:val="ListParagraph"/>
              <w:numPr>
                <w:ilvl w:val="0"/>
                <w:numId w:val="2"/>
              </w:numPr>
              <w:spacing w:after="45"/>
            </w:pPr>
            <w:r>
              <w:rPr>
                <w:sz w:val="15"/>
                <w:szCs w:val="15"/>
              </w:rPr>
              <w:t xml:space="preserve">Survival is counted from randomisation, so the 29 of 74 enrolled patients (39 percent) who never reached randomisation, including 22 progressions and 2 deaths during downstaging, appear in no survival analysis; the trial reports no outcome for the downstaging strategy as a whole, which is the question a clinician faces at presentation</w:t>
            </w:r>
          </w:p>
          <w:p>
            <w:pPr>
              <w:pStyle w:val="ListParagraph"/>
              <w:numPr>
                <w:ilvl w:val="0"/>
                <w:numId w:val="2"/>
              </w:numPr>
              <w:spacing w:after="45"/>
            </w:pPr>
            <w:r>
              <w:rPr>
                <w:sz w:val="15"/>
                <w:szCs w:val="15"/>
              </w:rPr>
              <w:t xml:space="preserve">The control arm was treated only at the time of progression, while standard care for intermediate-stage HCC is continued locoregional therapy; the comparison is therefore transplantation versus deferred salvage rather than transplantation versus best available therapy, and best available therapy in 2011 to 2015 meant sorafenib</w:t>
            </w:r>
          </w:p>
          <w:p>
            <w:pPr>
              <w:pStyle w:val="ListParagraph"/>
              <w:numPr>
                <w:ilvl w:val="0"/>
                <w:numId w:val="2"/>
              </w:numPr>
              <w:spacing w:after="45"/>
            </w:pPr>
            <w:r>
              <w:rPr>
                <w:sz w:val="15"/>
                <w:szCs w:val="15"/>
              </w:rPr>
              <w:t xml:space="preserve">Randomisation did not balance the key prognostic variable: residual tumour burden was significantly higher in the transplant arm (p = 0.03) and 9 percent of the transplant arm versus none of the controls were beyond Milan criteria at randomisation, in 45 patients with no adjustment for either</w:t>
            </w:r>
          </w:p>
          <w:p>
            <w:pPr>
              <w:pStyle w:val="ListParagraph"/>
              <w:numPr>
                <w:ilvl w:val="0"/>
                <w:numId w:val="2"/>
              </w:numPr>
              <w:spacing w:after="45"/>
            </w:pPr>
            <w:r>
              <w:rPr>
                <w:sz w:val="15"/>
                <w:szCs w:val="15"/>
              </w:rPr>
              <w:t xml:space="preserve">Explant pathology in the 23 transplant-arm patients showed tumour burden returning from a median of 0 at randomisation to a median of 4.8 (range 0 to 9.6), close to the enrolment median of 7.3, so most grafts went to tumours that were no longer within the criteria the randomisation was based on; the paper reports this as a non-significant trend (p = 0.158)</w:t>
            </w:r>
          </w:p>
          <w:p>
            <w:pPr>
              <w:pStyle w:val="ListParagraph"/>
              <w:numPr>
                <w:ilvl w:val="0"/>
                <w:numId w:val="2"/>
              </w:numPr>
              <w:spacing w:after="45"/>
            </w:pPr>
            <w:r>
              <w:rPr>
                <w:sz w:val="15"/>
                <w:szCs w:val="15"/>
              </w:rPr>
              <w:t xml:space="preserve">Two of the 5 deaths in the transplant arm occurred within 30 days (myocardial infarction on day 10, multiorgan failure on day 20), a 30-day mortality of 2 of 21 transplanted patients, which is never stated as an operative mortality figure in a trial whose purpose is to justify consuming grafts</w:t>
            </w:r>
          </w:p>
          <w:p>
            <w:pPr>
              <w:pStyle w:val="ListParagraph"/>
              <w:numPr>
                <w:ilvl w:val="0"/>
                <w:numId w:val="2"/>
              </w:numPr>
              <w:spacing w:after="45"/>
            </w:pPr>
            <w:r>
              <w:rPr>
                <w:sz w:val="15"/>
                <w:szCs w:val="15"/>
              </w:rPr>
              <w:t xml:space="preserve">The eligibility ceiling was a Metroticket prediction of at least 50 percent 5-year survival, a calculator derived by the senior author from a retrospective series and never validated for prospective patient selection, so the entry criterion is the investigators' own model</w:t>
            </w:r>
          </w:p>
          <w:p>
            <w:pPr>
              <w:pStyle w:val="ListParagraph"/>
              <w:numPr>
                <w:ilvl w:val="0"/>
                <w:numId w:val="2"/>
              </w:numPr>
              <w:spacing w:after="45"/>
            </w:pPr>
            <w:r>
              <w:rPr>
                <w:sz w:val="15"/>
                <w:szCs w:val="15"/>
              </w:rPr>
              <w:t xml:space="preserve">Randomisation was stratified by compliance with sorafenib during downstaging, but sorafenib was non-mandatory and 24 of 54 patients (44 percent) stopped it for intolerance or worsening liver function, so the stratification variable was unstable and the trial has no way to separate the contribution of sorafenib from that of the locoregional treatments</w:t>
            </w:r>
          </w:p>
          <w:p>
            <w:pPr>
              <w:pStyle w:val="ListParagraph"/>
              <w:numPr>
                <w:ilvl w:val="0"/>
                <w:numId w:val="2"/>
              </w:numPr>
              <w:spacing w:after="45"/>
            </w:pPr>
            <w:r>
              <w:rPr>
                <w:sz w:val="15"/>
                <w:szCs w:val="15"/>
              </w:rPr>
              <w:t xml:space="preserve">The co-primary tumour endpoint composites two different events measured differently in the two arms, recurrence after transplantation against progression of residual disease in controls, in an open-label trial with no blinded central imaging review</w:t>
            </w:r>
          </w:p>
          <w:p>
            <w:pPr>
              <w:pStyle w:val="ListParagraph"/>
              <w:numPr>
                <w:ilvl w:val="0"/>
                <w:numId w:val="2"/>
              </w:numPr>
              <w:spacing w:after="45"/>
            </w:pPr>
            <w:r>
              <w:rPr>
                <w:sz w:val="15"/>
                <w:szCs w:val="15"/>
              </w:rPr>
              <w:t xml:space="preserve">The policy proposal in the Discussion, that partially responding tumours be prioritised on the waiting list, rests on a subgroup contrast of 26.5 versus 9.9 months in mean survival benefit whose confidence interval for complete responders crosses zero (-5.5 to 25.3) and whose interaction p value is 0.105</w:t>
            </w:r>
          </w:p>
          <w:p>
            <w:pPr>
              <w:pStyle w:val="ListParagraph"/>
              <w:numPr>
                <w:ilvl w:val="0"/>
                <w:numId w:val="2"/>
              </w:numPr>
              <w:spacing w:after="45"/>
            </w:pPr>
            <w:r>
              <w:rPr>
                <w:sz w:val="15"/>
                <w:szCs w:val="15"/>
              </w:rPr>
              <w:t xml:space="preserve">Two different p values are printed for the same primary comparison, p = 0.004 for the Cox hazard ratio in the abstract and log-rank p = 0.002 in the Discussion, and the Discussion restates the effect inverted as HR 4.50 without saying so</w:t>
            </w:r>
          </w:p>
          <w:p>
            <w:pPr>
              <w:pStyle w:val="ListParagraph"/>
              <w:numPr>
                <w:ilvl w:val="0"/>
                <w:numId w:val="2"/>
              </w:numPr>
              <w:spacing w:after="45"/>
            </w:pPr>
            <w:r>
              <w:rPr>
                <w:sz w:val="15"/>
                <w:szCs w:val="15"/>
              </w:rPr>
              <w:t xml:space="preserve">There was no provision for a formal interim analysis, yet the trial was closed early on the monitoring committee's recommendation and then analysed after four further years of follow-up with the data already in hand, and no alpha adjustment is made for either the data-dependent stopping or the data-dependent analysis time</w:t>
            </w:r>
          </w:p>
          <w:p>
            <w:pPr>
              <w:pStyle w:val="ListParagraph"/>
              <w:numPr>
                <w:ilvl w:val="0"/>
                <w:numId w:val="2"/>
              </w:numPr>
              <w:spacing w:after="45"/>
            </w:pPr>
            <w:r>
              <w:rPr>
                <w:sz w:val="15"/>
                <w:szCs w:val="15"/>
              </w:rPr>
              <w:t xml:space="preserve">The grafts used were not of high quality (median donor age 69 years, range 18 to 84; median D-MELD 594; macrosteatosis of 10 percent or more in 8 of 22 livers) and the trial's own framing is the optimal use of a scarce resource, yet no analysis of what the 21 grafts cost non-cancer candidates is presented</w:t>
            </w:r>
          </w:p>
          <w:p>
            <w:pPr>
              <w:pStyle w:val="ListParagraph"/>
              <w:numPr>
                <w:ilvl w:val="0"/>
                <w:numId w:val="2"/>
              </w:numPr>
              <w:spacing w:after="45"/>
            </w:pPr>
            <w:r>
              <w:rPr>
                <w:sz w:val="15"/>
                <w:szCs w:val="15"/>
              </w:rPr>
              <w:t xml:space="preserve">The authors declare no competing interests, but the senior author wrote the Italian allocation consensus the trial cites, both Metroticket models used for eligibility and prognostication, and the adaptive-allocation proposal the conclusions advance; no intellectual conflict is disclosed</w:t>
            </w:r>
          </w:p>
        </w:tc>
      </w:tr>
    </w:tbl>
    <w:p>
      <w:pPr>
        <w:spacing w:after="0" w:line="276"/>
      </w:pPr>
      <w:r>
        <w:rPr>
          <w:color w:val="5A6069"/>
          <w:sz w:val="14"/>
          <w:szCs w:val="14"/>
        </w:rPr>
        <w:t xml:space="preserve">Funding: Investigator-initiated, funded by the Italian Ministry of Health (Finalized Research Program in Oncology RF-INT-2006-394471) and endorsed by AISF, the North Italian Transplant programme and the Italian National Transplant Centre; no industry support was requested; the authors declare no competing interests</w:t>
      </w:r>
    </w:p>
    <w:p>
      <w:pPr>
        <w:keepNext/>
        <w:spacing w:after="50" w:before="260"/>
      </w:pPr>
      <w:r>
        <w:rPr>
          <w:rFonts w:ascii="Cambria" w:cs="Cambria" w:eastAsia="Cambria" w:hAnsi="Cambria"/>
          <w:b/>
          <w:bCs/>
          <w:color w:val="17365D"/>
          <w:sz w:val="20"/>
          <w:szCs w:val="20"/>
        </w:rPr>
        <w:t xml:space="preserve">Yuan 2024 RCT</w:t>
      </w:r>
      <w:r>
        <w:rPr>
          <w:b/>
          <w:bCs/>
          <w:color w:val="176A87"/>
          <w:sz w:val="15"/>
          <w:szCs w:val="15"/>
        </w:rPr>
        <w:t xml:space="preserve">   Randomised trial</w:t>
      </w:r>
      <w:r>
        <w:rPr>
          <w:color w:val="5A6069"/>
          <w:sz w:val="15"/>
          <w:szCs w:val="15"/>
        </w:rPr>
        <w:t xml:space="preserve">   PMID 39322951</w:t>
      </w:r>
    </w:p>
    <w:p>
      <w:pPr>
        <w:spacing w:after="50" w:line="276"/>
      </w:pPr>
      <w:r>
        <w:rPr>
          <w:color w:val="5A6069"/>
          <w:sz w:val="17"/>
          <w:szCs w:val="17"/>
        </w:rPr>
        <w:t xml:space="preserve">Partial hepatectomy versus interventional treatment in patients with hepatitis B virus-related hepatocellular carcinoma and clinically significant portal hypertension: a randomized comparative clinical trial</w:t>
      </w:r>
    </w:p>
    <w:p>
      <w:pPr>
        <w:spacing w:after="50"/>
      </w:pPr>
      <w:r>
        <w:rPr>
          <w:b/>
          <w:bCs/>
          <w:color w:val="176A87"/>
          <w:sz w:val="16"/>
          <w:szCs w:val="16"/>
        </w:rPr>
        <w:t xml:space="preserve">Population. </w:t>
      </w:r>
      <w:r>
        <w:rPr>
          <w:sz w:val="16"/>
          <w:szCs w:val="16"/>
        </w:rPr>
        <w:t xml:space="preserve">160 of 2,077 screened patients with hepatitis B-related HCC within the Milan criteria, Child-Pugh A or B and clinically significant portal hypertension diagnosed by surrogate criteria, randomised 1:1 at two Guangzhou centres between December 2012 and June 2018 to partial hepatectomy (80) or interventional treatment with microwave or radiofrequency ablation with or without pre-ablation chemoembolisation (80); 98.7 and 96.2 percent were Child-Pugh A and the mean tumour diameter was 2.6 cm</w:t>
      </w:r>
    </w:p>
    <w:p>
      <w:pPr>
        <w:spacing w:after="70"/>
      </w:pPr>
      <w:r>
        <w:rPr>
          <w:b/>
          <w:bCs/>
          <w:color w:val="17365D"/>
          <w:sz w:val="16"/>
          <w:szCs w:val="16"/>
        </w:rPr>
        <w:t xml:space="preserve">Bottom line. </w:t>
      </w:r>
      <w:r>
        <w:rPr>
          <w:sz w:val="16"/>
          <w:szCs w:val="16"/>
        </w:rPr>
        <w:t xml:space="preserve">The only randomised trial to test whether portal hypertension should bar resection, finding no significant difference in overall survival between hepatectomy and ablation-based treatment (5-year 69.3 against 64.9 percent, HR 1.28). It was powered for a superiority difference that did not exist, portal pressure was never measured, nearly all patients were Child-Pugh A with a mean tumour of 2.6 cm, and the authors state that patients at risk of postoperative failure were deliberately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Portal hypertension was diagnosed by surrogate criteria rather than by hepatic venous pressure gradient, which the authors concede</w:t>
            </w:r>
          </w:p>
          <w:p>
            <w:pPr>
              <w:pStyle w:val="ListParagraph"/>
              <w:numPr>
                <w:ilvl w:val="0"/>
                <w:numId w:val="2"/>
              </w:numPr>
              <w:spacing w:after="45"/>
            </w:pPr>
            <w:r>
              <w:rPr>
                <w:sz w:val="15"/>
                <w:szCs w:val="15"/>
              </w:rPr>
              <w:t xml:space="preserve">A hepatitis B-only population at two Chinese centres limits generalisability, and the authors note that postoperative mortality is higher in other aetiologies</w:t>
            </w:r>
          </w:p>
          <w:p>
            <w:pPr>
              <w:pStyle w:val="ListParagraph"/>
              <w:numPr>
                <w:ilvl w:val="0"/>
                <w:numId w:val="2"/>
              </w:numPr>
              <w:spacing w:after="45"/>
            </w:pPr>
            <w:r>
              <w:rPr>
                <w:sz w:val="15"/>
                <w:szCs w:val="15"/>
              </w:rPr>
              <w:t xml:space="preserve">The superiority design was not met</w:t>
            </w:r>
          </w:p>
          <w:p>
            <w:pPr>
              <w:pStyle w:val="ListParagraph"/>
              <w:numPr>
                <w:ilvl w:val="0"/>
                <w:numId w:val="2"/>
              </w:numPr>
              <w:spacing w:after="45"/>
            </w:pPr>
            <w:r>
              <w:rPr>
                <w:sz w:val="15"/>
                <w:szCs w:val="15"/>
              </w:rPr>
              <w:t xml:space="preserve">The authors state that stringent exclusions were applied deliberately to keep patients at risk of postoperative liver failure and bleeding out of the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powered for superiority against the authors' own retrospective 5-year survival figures of 63.9 against 42.6 percent, and the control arm actually reached 64.9 percent, so with 80 patients per arm the confidence interval of 0.78 to 2.12 cannot exclude a twofold difference in either direction and the equivalence reading is an underpowered null</w:t>
            </w:r>
          </w:p>
          <w:p>
            <w:pPr>
              <w:pStyle w:val="ListParagraph"/>
              <w:numPr>
                <w:ilvl w:val="0"/>
                <w:numId w:val="2"/>
              </w:numPr>
              <w:spacing w:after="45"/>
            </w:pPr>
            <w:r>
              <w:rPr>
                <w:sz w:val="15"/>
                <w:szCs w:val="15"/>
              </w:rPr>
              <w:t xml:space="preserve">No portal pressure was measured anywhere in the trial, so a result offered against the 10 mmHg threshold that the BCLC rule rests on is anchored to a different variable entirely: platelet counts, splenomegaly, vessel calibre and varices</w:t>
            </w:r>
          </w:p>
          <w:p>
            <w:pPr>
              <w:pStyle w:val="ListParagraph"/>
              <w:numPr>
                <w:ilvl w:val="0"/>
                <w:numId w:val="2"/>
              </w:numPr>
              <w:spacing w:after="45"/>
            </w:pPr>
            <w:r>
              <w:rPr>
                <w:sz w:val="15"/>
                <w:szCs w:val="15"/>
              </w:rPr>
              <w:t xml:space="preserve">The cohort is far milder than the patients the rule is meant to protect: 98.7 and 96.2 percent Child-Pugh A, mean tumour diameter 2.6 cm, and only 20 percent with a dilated portal or splenic vein, from 2,077 patients screened to find 160</w:t>
            </w:r>
          </w:p>
          <w:p>
            <w:pPr>
              <w:pStyle w:val="ListParagraph"/>
              <w:numPr>
                <w:ilvl w:val="0"/>
                <w:numId w:val="2"/>
              </w:numPr>
              <w:spacing w:after="45"/>
            </w:pPr>
            <w:r>
              <w:rPr>
                <w:sz w:val="15"/>
                <w:szCs w:val="15"/>
              </w:rPr>
              <w:t xml:space="preserve">The authors state that exclusions were applied specifically to keep patients at risk of postoperative liver failure and bleeding out of the trial, which selects for operability and so weakens the inference that portal hypertension is not a contraindication to operating</w:t>
            </w:r>
          </w:p>
          <w:p>
            <w:pPr>
              <w:pStyle w:val="ListParagraph"/>
              <w:numPr>
                <w:ilvl w:val="0"/>
                <w:numId w:val="2"/>
              </w:numPr>
              <w:spacing w:after="45"/>
            </w:pPr>
            <w:r>
              <w:rPr>
                <w:sz w:val="15"/>
                <w:szCs w:val="15"/>
              </w:rPr>
              <w:t xml:space="preserve">The control arm is a composite of ablation alone and chemoembolisation plus ablation, so the trial compares resection with a strategy rather than with a procedure and cannot say which component matters</w:t>
            </w:r>
          </w:p>
          <w:p>
            <w:pPr>
              <w:pStyle w:val="ListParagraph"/>
              <w:numPr>
                <w:ilvl w:val="0"/>
                <w:numId w:val="2"/>
              </w:numPr>
              <w:spacing w:after="45"/>
            </w:pPr>
            <w:r>
              <w:rPr>
                <w:sz w:val="15"/>
                <w:szCs w:val="15"/>
              </w:rPr>
              <w:t xml:space="preserve">Table 2 reports the overall survival hazard ratio as 1.28 (0.77 to 2.12) while the Kaplan-Meier figure gives 1.29 (0.78 to 2.12), both with p = 0.325, so the paper's primary effect estimate appears in two versions</w:t>
            </w:r>
          </w:p>
          <w:p>
            <w:pPr>
              <w:pStyle w:val="ListParagraph"/>
              <w:numPr>
                <w:ilvl w:val="0"/>
                <w:numId w:val="2"/>
              </w:numPr>
              <w:spacing w:after="45"/>
            </w:pPr>
            <w:r>
              <w:rPr>
                <w:sz w:val="15"/>
                <w:szCs w:val="15"/>
              </w:rPr>
              <w:t xml:space="preserve">Every patient had hepatitis B at two Chinese centres with a 2012 to 2018 accrual window, so the result does not address hepatitis C, alcohol-related or metabolic cirrhosis, where the decompensation risk after resection is higher</w:t>
            </w:r>
          </w:p>
          <w:p>
            <w:pPr>
              <w:pStyle w:val="ListParagraph"/>
              <w:numPr>
                <w:ilvl w:val="0"/>
                <w:numId w:val="2"/>
              </w:numPr>
              <w:spacing w:after="45"/>
            </w:pPr>
            <w:r>
              <w:rPr>
                <w:sz w:val="15"/>
                <w:szCs w:val="15"/>
              </w:rPr>
              <w:t xml:space="preserve">The trial is open-label with survival as the primary endpoint, which protects it from assessment bias, but recurrence-free survival and the decompensation outcomes were judged by the unblinded treating teams</w:t>
            </w:r>
          </w:p>
        </w:tc>
      </w:tr>
    </w:tbl>
    <w:p>
      <w:pPr>
        <w:spacing w:after="0" w:line="276"/>
      </w:pPr>
      <w:r>
        <w:rPr>
          <w:color w:val="5A6069"/>
          <w:sz w:val="14"/>
          <w:szCs w:val="14"/>
        </w:rPr>
        <w:t xml:space="preserve">Funding: Funded by the Sun Yat-sen University Clinical Research 5010 Programme and the National Natural Science Foundation of China, with no declared competing interests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EMERALD-1 registry — ClinicalTrials.gov NCT03778957 (EMERALD-1). Final overall-survival analysis did not demonstrate a benefit. Registry or sponsor disclosure; confirm against the peer-reviewed report before use.</w:t>
      </w:r>
    </w:p>
    <w:p>
      <w:pPr>
        <w:pStyle w:val="ListParagraph"/>
        <w:numPr>
          <w:ilvl w:val="0"/>
          <w:numId w:val="2"/>
        </w:numPr>
        <w:spacing w:after="60" w:line="268"/>
      </w:pPr>
      <w:r>
        <w:rPr>
          <w:color w:val="15181F"/>
          <w:sz w:val="16"/>
          <w:szCs w:val="16"/>
        </w:rPr>
        <w:t xml:space="preserve">LEAP-012 registry — ClinicalTrials.gov NCT04246177 (LEAP-012). Final overall-survival results posted to the registry; no overall-survival benefit demonstrated. Registry posting, not peer reviewed at the time of writing.</w:t>
      </w:r>
    </w:p>
    <w:p>
      <w:pPr>
        <w:pStyle w:val="ListParagraph"/>
        <w:numPr>
          <w:ilvl w:val="0"/>
          <w:numId w:val="2"/>
        </w:numPr>
        <w:spacing w:after="60" w:line="268"/>
      </w:pPr>
      <w:r>
        <w:rPr>
          <w:color w:val="15181F"/>
          <w:sz w:val="16"/>
          <w:szCs w:val="16"/>
        </w:rPr>
        <w:t xml:space="preserve">LI-RADS — American College of Radiology. CT/MRI LI-RADS v2018 core, CT/MRI Treatment Response Assessment v2024 (separate nonradiation and radiation algorithms), US LI-RADS Surveillance v2024.</w:t>
      </w:r>
    </w:p>
    <w:p>
      <w:pPr>
        <w:pStyle w:val="ListParagraph"/>
        <w:numPr>
          <w:ilvl w:val="0"/>
          <w:numId w:val="2"/>
        </w:numPr>
        <w:spacing w:after="60" w:line="268"/>
      </w:pPr>
      <w:r>
        <w:rPr>
          <w:color w:val="15181F"/>
          <w:sz w:val="16"/>
          <w:szCs w:val="16"/>
        </w:rPr>
        <w:t xml:space="preserve">NCCN v2.2026 — National Comprehensive Cancer Network. NCCN Clinical Practice Guidelines in Oncology: Hepatocellular Carcinoma. Version 2.2026, 14 August 2026.</w:t>
      </w:r>
    </w:p>
    <w:p>
      <w:pPr>
        <w:pStyle w:val="ListParagraph"/>
        <w:numPr>
          <w:ilvl w:val="0"/>
          <w:numId w:val="2"/>
        </w:numPr>
        <w:spacing w:after="60" w:line="268"/>
      </w:pPr>
      <w:r>
        <w:rPr>
          <w:color w:val="15181F"/>
          <w:sz w:val="16"/>
          <w:szCs w:val="16"/>
        </w:rPr>
        <w:t xml:space="preserve">Ng RCT — Ng KKC, Chok KSH, Chan ACY, et al. Randomized clinical trial of hepatic resection versus radiofrequency ablation for early-stage hepatocellular carcinoma. Br J Surg. 2017.</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Policy 9.5 MELD or PELD score exceptions. HRSA. Verify the current effective version before applying any crite</w:t>
      </w:r>
    </w:p>
    <w:p>
      <w:pPr>
        <w:pStyle w:val="Heading1"/>
        <w:widowControl/>
        <w:keepNext/>
      </w:pPr>
      <w:r>
        <w:t xml:space="preserve">Treatment matrix references</w:t>
      </w:r>
    </w:p>
    <w:p>
      <w:pPr>
        <w:pStyle w:val="Heading2"/>
        <w:widowControl/>
        <w:keepNext/>
      </w:pPr>
      <w:r>
        <w:t xml:space="preserve">Revision note — balanced treatment content</w:t>
      </w:r>
    </w:p>
    <w:p>
      <w:pPr>
        <w:pStyle w:val="Normal"/>
        <w:widowControl/>
        <w:spacing w:after="120"/>
        <w:keepLines/>
      </w:pPr>
      <w:r>
        <w:t xml:space="preserve">2026-10-24 18:49 CDT. Problem: treatment detail was unevenly distributed and repeated in transplant protocols. Correction: matched, cited local and systemic matrices; retained original study critiques without extra emphasis on individual studies; harmonized systemic caveats. Rationale: compare options consistently and keep transplant eligibility separate.</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Sangro, Bruno; Argemi, Josepmaria; Ronot, Maxime; et al. EASL Clinical Practice Guidelines on the management of hepatocellular carcinoma. Journal of Hepatology. 2025; 82(2):315-374. </w:t>
      </w:r>
      <w:hyperlink r:id="rId424">
        <w:r>
          <w:rPr>
            <w:color w:val="0563C1"/>
            <w:u w:val="single"/>
          </w:rPr>
          <w:t>Source</w:t>
        </w:r>
      </w:hyperlink>
      <w:r>
        <w:t xml:space="preserve"> | </w:t>
      </w:r>
      <w:hyperlink r:id="rId425">
        <w:r>
          <w:rPr>
            <w:color w:val="0563C1"/>
            <w:u w:val="single"/>
          </w:rPr>
          <w:t>Full-text access</w:t>
        </w:r>
      </w:hyperlink>
    </w:p>
    <w:p>
      <w:pPr>
        <w:pStyle w:val="Normal"/>
        <w:widowControl/>
        <w:spacing w:after="120"/>
      </w:pPr>
      <w:r>
        <w:t xml:space="preserve"/>
      </w:r>
      <w:r>
        <w:t xml:space="preserve">[V16-2] Cheng, Ann-Lii; Qin, Shukui; Ikeda, Masafumi; et al. Updated efficacy and safety data from IMbrave150: Atezolizumab plus bevacizumab vs. sorafenib for unresectable hepatocellular carcinoma. Journal of Hepatology. 2022; 76(4):862-873. </w:t>
      </w:r>
      <w:hyperlink r:id="rId426">
        <w:r>
          <w:rPr>
            <w:color w:val="0563C1"/>
            <w:u w:val="single"/>
          </w:rPr>
          <w:t>Source</w:t>
        </w:r>
      </w:hyperlink>
      <w:r>
        <w:t xml:space="preserve"> | </w:t>
      </w:r>
      <w:hyperlink r:id="rId427">
        <w:r>
          <w:rPr>
            <w:color w:val="0563C1"/>
            <w:u w:val="single"/>
          </w:rPr>
          <w:t>Full-text access</w:t>
        </w:r>
      </w:hyperlink>
    </w:p>
    <w:p>
      <w:pPr>
        <w:pStyle w:val="Normal"/>
        <w:widowControl/>
        <w:spacing w:after="120"/>
      </w:pPr>
      <w:r>
        <w:t xml:space="preserve"/>
      </w:r>
      <w:r>
        <w:t xml:space="preserve">[V16-3] Genentech. Avastin bevacizumab US prescribing information. US prescribing information. 2022. </w:t>
      </w:r>
      <w:hyperlink r:id="rId428">
        <w:r>
          <w:rPr>
            <w:color w:val="0563C1"/>
            <w:u w:val="single"/>
          </w:rPr>
          <w:t>Source</w:t>
        </w:r>
      </w:hyperlink>
      <w:r>
        <w:t xml:space="preserve"> | </w:t>
      </w:r>
      <w:hyperlink r:id="rId429">
        <w:r>
          <w:rPr>
            <w:color w:val="0563C1"/>
            <w:u w:val="single"/>
          </w:rPr>
          <w:t>Full-text access</w:t>
        </w:r>
      </w:hyperlink>
    </w:p>
    <w:p>
      <w:pPr>
        <w:pStyle w:val="Normal"/>
        <w:widowControl/>
        <w:spacing w:after="120"/>
      </w:pPr>
      <w:r>
        <w:t xml:space="preserve"/>
      </w:r>
      <w:r>
        <w:t xml:space="preserve">[V16-4] Yau, Thomas; Galle, Peter R; Decaens, Thomas; et al. Nivolumab plus ipilimumab versus lenvatinib or sorafenib as first-line treatment for unresectable hepatocellular carcinoma (CheckMate 9DW): an open-label, randomised, phase 3 trial. The Lancet. 2025; 405(10492):1851-1864. </w:t>
      </w:r>
      <w:hyperlink r:id="rId430">
        <w:r>
          <w:rPr>
            <w:color w:val="0563C1"/>
            <w:u w:val="single"/>
          </w:rPr>
          <w:t>Source</w:t>
        </w:r>
      </w:hyperlink>
      <w:r>
        <w:t xml:space="preserve"> | </w:t>
      </w:r>
      <w:hyperlink r:id="rId431">
        <w:r>
          <w:rPr>
            <w:color w:val="0563C1"/>
            <w:u w:val="single"/>
          </w:rPr>
          <w:t>Full-text access</w:t>
        </w:r>
      </w:hyperlink>
    </w:p>
    <w:p>
      <w:pPr>
        <w:pStyle w:val="Normal"/>
        <w:widowControl/>
        <w:spacing w:after="120"/>
      </w:pPr>
      <w:r>
        <w:t xml:space="preserve"/>
      </w:r>
      <w:r>
        <w:t xml:space="preserve">[V16-5] Finn, Richard S.; Qin, Shukui; Ikeda, Masafumi; et al. Atezolizumab plus Bevacizumab in Unresectable Hepatocellular Carcinoma. New England Journal of Medicine. 2020; 382(20):1894-1905. </w:t>
      </w:r>
      <w:hyperlink r:id="rId432">
        <w:r>
          <w:rPr>
            <w:color w:val="0563C1"/>
            <w:u w:val="single"/>
          </w:rPr>
          <w:t>Source</w:t>
        </w:r>
      </w:hyperlink>
      <w:r>
        <w:t xml:space="preserve"> | </w:t>
      </w:r>
      <w:hyperlink r:id="rId433">
        <w:r>
          <w:rPr>
            <w:color w:val="0563C1"/>
            <w:u w:val="single"/>
          </w:rPr>
          <w:t>Full-text access</w:t>
        </w:r>
      </w:hyperlink>
    </w:p>
    <w:p>
      <w:pPr>
        <w:pStyle w:val="Normal"/>
        <w:widowControl/>
        <w:spacing w:after="120"/>
      </w:pPr>
      <w:r>
        <w:t xml:space="preserve"/>
      </w:r>
      <w:r>
        <w:t xml:space="preserve">[V16-6] Abou-Alfa, Ghassan K.; Lau, George; Kudo, Masatoshi; et al. Tremelimumab plus Durvalumab in Unresectable Hepatocellular Carcinoma. NEJM Evidence. 2022; 1(8). </w:t>
      </w:r>
      <w:hyperlink r:id="rId434">
        <w:r>
          <w:rPr>
            <w:color w:val="0563C1"/>
            <w:u w:val="single"/>
          </w:rPr>
          <w:t>Source</w:t>
        </w:r>
      </w:hyperlink>
      <w:r>
        <w:t xml:space="preserve"> | </w:t>
      </w:r>
      <w:hyperlink r:id="rId435">
        <w:r>
          <w:rPr>
            <w:color w:val="0563C1"/>
            <w:u w:val="single"/>
          </w:rPr>
          <w:t>Full-text access</w:t>
        </w:r>
      </w:hyperlink>
    </w:p>
    <w:p>
      <w:pPr>
        <w:pStyle w:val="Normal"/>
        <w:widowControl/>
        <w:spacing w:after="120"/>
      </w:pPr>
      <w:r>
        <w:t xml:space="preserve"/>
      </w:r>
      <w:r>
        <w:t xml:space="preserve">[V16-7] National Comprehensive Cancer Network. NCCN Clinical Practice Guidelines in Oncology: Hepatocellular Carcinoma, Version 2.2026 (14 August 2026). . 2026. </w:t>
      </w:r>
      <w:hyperlink r:id="rId436">
        <w:r>
          <w:rPr>
            <w:color w:val="0563C1"/>
            <w:u w:val="single"/>
          </w:rPr>
          <w:t>Source</w:t>
        </w:r>
      </w:hyperlink>
      <w:r>
        <w:t xml:space="preserve"> | </w:t>
      </w:r>
      <w:hyperlink r:id="rId437">
        <w:r>
          <w:rPr>
            <w:color w:val="0563C1"/>
            <w:u w:val="single"/>
          </w:rPr>
          <w:t>Full-text access</w:t>
        </w:r>
      </w:hyperlink>
    </w:p>
    <w:p>
      <w:pPr>
        <w:pStyle w:val="Normal"/>
        <w:widowControl/>
        <w:spacing w:after="120"/>
      </w:pPr>
      <w:r>
        <w:t xml:space="preserve"/>
      </w:r>
      <w:r>
        <w:t xml:space="preserve">[V16-8] Merck. Keytruda pembrolizumab US prescribing information. US prescribing information. 2025. </w:t>
      </w:r>
      <w:hyperlink r:id="rId438">
        <w:r>
          <w:rPr>
            <w:color w:val="0563C1"/>
            <w:u w:val="single"/>
          </w:rPr>
          <w:t>Source</w:t>
        </w:r>
      </w:hyperlink>
      <w:r>
        <w:t xml:space="preserve"> | </w:t>
      </w:r>
      <w:hyperlink r:id="rId439">
        <w:r>
          <w:rPr>
            <w:color w:val="0563C1"/>
            <w:u w:val="single"/>
          </w:rPr>
          <w:t>Full-text access</w:t>
        </w:r>
      </w:hyperlink>
    </w:p>
    <w:p>
      <w:pPr>
        <w:pStyle w:val="Normal"/>
        <w:widowControl/>
        <w:spacing w:after="120"/>
      </w:pPr>
      <w:r>
        <w:t xml:space="preserve"/>
      </w:r>
      <w:r>
        <w:t xml:space="preserve">[V16-9] Qin, Shukui; Chen, Zhendong; Fang, Weijia; et al. Pembrolizumab Versus Placebo as Second-Line Therapy in Patients From Asia With Advanced Hepatocellular Carcinoma: A Randomized, Double-Blind, Phase III Trial. Journal of Clinical Oncology. 2023; 41(7):1434-1443. </w:t>
      </w:r>
      <w:hyperlink r:id="rId440">
        <w:r>
          <w:rPr>
            <w:color w:val="0563C1"/>
            <w:u w:val="single"/>
          </w:rPr>
          <w:t>Source</w:t>
        </w:r>
      </w:hyperlink>
      <w:r>
        <w:t xml:space="preserve"> | </w:t>
      </w:r>
      <w:hyperlink r:id="rId441">
        <w:r>
          <w:rPr>
            <w:color w:val="0563C1"/>
            <w:u w:val="single"/>
          </w:rPr>
          <w:t>Full-text access</w:t>
        </w:r>
      </w:hyperlink>
    </w:p>
    <w:p>
      <w:pPr>
        <w:pStyle w:val="Normal"/>
        <w:widowControl/>
        <w:spacing w:after="120"/>
      </w:pPr>
      <w:r>
        <w:t xml:space="preserve"/>
      </w:r>
      <w:r>
        <w:t xml:space="preserve">[V16-10] Moeckli, Beat; Wassmer, Charles-Henri; El Hajji, Sofia; et al. Determining safe washout period for immune checkpoint inhibitors prior to liver transplantation: An international retrospective cohort study. Hepatology. 2025; 82(5):1122-1137. </w:t>
      </w:r>
      <w:hyperlink r:id="rId442">
        <w:r>
          <w:rPr>
            <w:color w:val="0563C1"/>
            <w:u w:val="single"/>
          </w:rPr>
          <w:t>Source</w:t>
        </w:r>
      </w:hyperlink>
      <w:r>
        <w:t xml:space="preserve"> | </w:t>
      </w:r>
      <w:hyperlink r:id="rId443">
        <w:r>
          <w:rPr>
            <w:color w:val="0563C1"/>
            <w:u w:val="single"/>
          </w:rPr>
          <w:t>Full-text access</w:t>
        </w:r>
      </w:hyperlink>
    </w:p>
    <w:p>
      <w:pPr>
        <w:pStyle w:val="Normal"/>
        <w:widowControl/>
        <w:spacing w:after="120"/>
      </w:pPr>
      <w:r>
        <w:t xml:space="preserve"/>
      </w:r>
      <w:r>
        <w:t xml:space="preserve">[V16-11] Tabrizian, Parissa; Holzner, Matthew L.; Ajmera, Veeral; et al. Intention-to-treat outcomes of patients with hepatocellular carcinoma receiving immunotherapy before liver transplant: The multicenter VITALITY study. Journal of Hepatology. 2025; 82(3):512-522. </w:t>
      </w:r>
      <w:hyperlink r:id="rId444">
        <w:r>
          <w:rPr>
            <w:color w:val="0563C1"/>
            <w:u w:val="single"/>
          </w:rPr>
          <w:t>Source</w:t>
        </w:r>
      </w:hyperlink>
      <w:r>
        <w:t xml:space="preserve"> | </w:t>
      </w:r>
      <w:hyperlink r:id="rId445">
        <w:r>
          <w:rPr>
            <w:color w:val="0563C1"/>
            <w:u w:val="single"/>
          </w:rPr>
          <w:t>Full-text access</w:t>
        </w:r>
      </w:hyperlink>
    </w:p>
    <w:p>
      <w:pPr>
        <w:pStyle w:val="Normal"/>
        <w:widowControl/>
        <w:spacing w:after="120"/>
      </w:pPr>
      <w:r>
        <w:t xml:space="preserve"/>
      </w:r>
      <w:r>
        <w:t xml:space="preserve">[V16-12] Singal, Amit G; Llovet, Josep M; Yarchoan, Mark; et al. AASLD Practice Guidance on prevention, diagnosis, and treatment of hepatocellular carcinoma. Hepatology (Baltimore, Md.). 2023; 78(6):1922-1965. </w:t>
      </w:r>
      <w:hyperlink r:id="rId446">
        <w:r>
          <w:rPr>
            <w:color w:val="0563C1"/>
            <w:u w:val="single"/>
          </w:rPr>
          <w:t>Source</w:t>
        </w:r>
      </w:hyperlink>
      <w:r>
        <w:t xml:space="preserve"> | </w:t>
      </w:r>
      <w:hyperlink r:id="rId447">
        <w:r>
          <w:rPr>
            <w:color w:val="0563C1"/>
            <w:u w:val="single"/>
          </w:rPr>
          <w:t>Full-text access</w:t>
        </w:r>
      </w:hyperlink>
    </w:p>
    <w:p>
      <w:pPr>
        <w:pStyle w:val="Normal"/>
        <w:widowControl/>
        <w:spacing w:after="120"/>
      </w:pPr>
      <w:r>
        <w:t xml:space="preserve"/>
      </w:r>
      <w:r>
        <w:t xml:space="preserve">[V16-13] Kim, Edward; Sher, Alex; Abboud, Ghadi; et al. Radiation segmentectomy for curative intent of unresectable very early to early stage hepatocellular carcinoma (RASER): a single-centre, single-arm study. The Lancet Gastroenterology &amp; Hepatology. 2022; 7(9):843-850. </w:t>
      </w:r>
      <w:hyperlink r:id="rId448">
        <w:r>
          <w:rPr>
            <w:color w:val="0563C1"/>
            <w:u w:val="single"/>
          </w:rPr>
          <w:t>Source</w:t>
        </w:r>
      </w:hyperlink>
      <w:r>
        <w:t xml:space="preserve"> | </w:t>
      </w:r>
      <w:hyperlink r:id="rId449">
        <w:r>
          <w:rPr>
            <w:color w:val="0563C1"/>
            <w:u w:val="single"/>
          </w:rPr>
          <w:t>Full-text access</w:t>
        </w:r>
      </w:hyperlink>
    </w:p>
    <w:p>
      <w:pPr>
        <w:pStyle w:val="Normal"/>
        <w:widowControl/>
        <w:spacing w:after="120"/>
      </w:pPr>
      <w:r>
        <w:t xml:space="preserve"/>
      </w:r>
      <w:r>
        <w:t xml:space="preserve">[V16-14] Salem, Riad; Johnson, Guy E.; Kim, Edward; et al. Yttrium‐90 Radioembolization for the Treatment of Solitary, Unresectable HCC: The LEGACY Study. Hepatology. 2021; 74(5):2342-2352. </w:t>
      </w:r>
      <w:hyperlink r:id="rId450">
        <w:r>
          <w:rPr>
            <w:color w:val="0563C1"/>
            <w:u w:val="single"/>
          </w:rPr>
          <w:t>Source</w:t>
        </w:r>
      </w:hyperlink>
      <w:r>
        <w:t xml:space="preserve"> | </w:t>
      </w:r>
      <w:hyperlink r:id="rId451">
        <w:r>
          <w:rPr>
            <w:color w:val="0563C1"/>
            <w:u w:val="single"/>
          </w:rPr>
          <w:t>Full-text access</w:t>
        </w:r>
      </w:hyperlink>
    </w:p>
    <w:p>
      <w:pPr>
        <w:pStyle w:val="Normal"/>
        <w:widowControl/>
        <w:spacing w:after="120"/>
      </w:pPr>
      <w:r>
        <w:t xml:space="preserve"/>
      </w:r>
      <w:r>
        <w:t xml:space="preserve">[V16-15] Apisarnthanarax, Smith; Barry, Aisling; Cao, Minsong; et al. External Beam Radiation Therapy for Primary Liver Cancers: An ASTRO Clinical Practice Guideline. Practical Radiation Oncology. 2022; 12(1):28-51. </w:t>
      </w:r>
      <w:hyperlink r:id="rId452">
        <w:r>
          <w:rPr>
            <w:color w:val="0563C1"/>
            <w:u w:val="single"/>
          </w:rPr>
          <w:t>Source</w:t>
        </w:r>
      </w:hyperlink>
      <w:r>
        <w:t xml:space="preserve"> | </w:t>
      </w:r>
      <w:hyperlink r:id="rId453">
        <w:r>
          <w:rPr>
            <w:color w:val="0563C1"/>
            <w:u w:val="single"/>
          </w:rPr>
          <w:t>Full-text access</w:t>
        </w:r>
      </w:hyperlink>
    </w:p>
    <w:p>
      <w:pPr>
        <w:pStyle w:val="Normal"/>
        <w:widowControl/>
        <w:spacing w:after="120"/>
      </w:pPr>
      <w:r>
        <w:t xml:space="preserve"/>
      </w:r>
      <w:r>
        <w:t xml:space="preserve">[V16-16] Lyu, Ning; Wang, Xun; Li, Ji-Bin; et al. Arterial Chemotherapy of Oxaliplatin Plus Fluorouracil Versus Sorafenib in Advanced Hepatocellular Carcinoma: A Biomolecular Exploratory, Randomized, Phase III Trial (FOHAIC-1). Journal of Clinical Oncology. 2022; 40(5):468-480. </w:t>
      </w:r>
      <w:hyperlink r:id="rId454">
        <w:r>
          <w:rPr>
            <w:color w:val="0563C1"/>
            <w:u w:val="single"/>
          </w:rPr>
          <w:t>Source</w:t>
        </w:r>
      </w:hyperlink>
      <w:r>
        <w:t xml:space="preserve"> | </w:t>
      </w:r>
      <w:hyperlink r:id="rId455">
        <w:r>
          <w:rPr>
            <w:color w:val="0563C1"/>
            <w:u w:val="single"/>
          </w:rPr>
          <w:t>Full-text access</w:t>
        </w:r>
      </w:hyperlink>
    </w:p>
    <w:p>
      <w:pPr>
        <w:pStyle w:val="Normal"/>
        <w:widowControl/>
        <w:spacing w:after="120"/>
      </w:pPr>
      <w:r>
        <w:t xml:space="preserve"/>
      </w:r>
      <w:r>
        <w:t xml:space="preserve">[V16-17] Mendiratta-Lala, Mishal; Wiggermann, Philipp; Pech, Maciej; et al. The #HOPE4LIVER Single-Arm Pivotal Trial for Histotripsy of Primary                     and Metastatic Liver Tumors. Radiology. 2024; 312(3):e233051. </w:t>
      </w:r>
      <w:hyperlink r:id="rId456">
        <w:r>
          <w:rPr>
            <w:color w:val="0563C1"/>
            <w:u w:val="single"/>
          </w:rPr>
          <w:t>Source</w:t>
        </w:r>
      </w:hyperlink>
      <w:r>
        <w:t xml:space="preserve"> | </w:t>
      </w:r>
      <w:hyperlink r:id="rId457">
        <w:r>
          <w:rPr>
            <w:color w:val="0563C1"/>
            <w:u w:val="single"/>
          </w:rPr>
          <w:t>Full-text access</w:t>
        </w:r>
      </w:hyperlink>
    </w:p>
    <w:p>
      <w:pPr>
        <w:pStyle w:val="Normal"/>
        <w:widowControl/>
        <w:spacing w:after="120"/>
      </w:pPr>
      <w:r>
        <w:t xml:space="preserve"/>
      </w:r>
      <w:r>
        <w:t xml:space="preserve">[V16-18] AstraZeneca Pharmaceuticals. Imfinzi durvalumab US prescribing information. US prescribing information. 2026. </w:t>
      </w:r>
      <w:hyperlink r:id="rId458">
        <w:r>
          <w:rPr>
            <w:color w:val="0563C1"/>
            <w:u w:val="single"/>
          </w:rPr>
          <w:t>Source</w:t>
        </w:r>
      </w:hyperlink>
      <w:r>
        <w:t xml:space="preserve"> | </w:t>
      </w:r>
      <w:hyperlink r:id="rId459">
        <w:r>
          <w:rPr>
            <w:color w:val="0563C1"/>
            <w:u w:val="single"/>
          </w:rPr>
          <w:t>Full-text access</w:t>
        </w:r>
      </w:hyperlink>
    </w:p>
    <w:p>
      <w:pPr>
        <w:pStyle w:val="Normal"/>
        <w:widowControl/>
        <w:spacing w:after="120"/>
      </w:pPr>
      <w:r>
        <w:t xml:space="preserve"/>
      </w:r>
      <w:r>
        <w:t xml:space="preserve">[V16-19] Bristol Myers Squibb. Opdivo nivolumab US prescribing information. US prescribing information. 2025. </w:t>
      </w:r>
      <w:hyperlink r:id="rId460">
        <w:r>
          <w:rPr>
            <w:color w:val="0563C1"/>
            <w:u w:val="single"/>
          </w:rPr>
          <w:t>Source</w:t>
        </w:r>
      </w:hyperlink>
      <w:r>
        <w:t xml:space="preserve"> | </w:t>
      </w:r>
      <w:hyperlink r:id="rId461">
        <w:r>
          <w:rPr>
            <w:color w:val="0563C1"/>
            <w:u w:val="single"/>
          </w:rPr>
          <w:t>Full-text access</w:t>
        </w:r>
      </w:hyperlink>
    </w:p>
    <w:p>
      <w:pPr>
        <w:pStyle w:val="Normal"/>
        <w:widowControl/>
        <w:spacing w:after="120"/>
      </w:pPr>
      <w:r>
        <w:t xml:space="preserve"/>
      </w:r>
      <w:r>
        <w:t xml:space="preserve">[V16-20] Kudo, Masatoshi; Finn, Richard S; Qin, Shukui; et al. Lenvatinib versus sorafenib in first-line treatment of patients with unresectable hepatocellular carcinoma: a randomised phase 3 non-inferiority trial. The Lancet. 2018; 391(10126):1163-1173. </w:t>
      </w:r>
      <w:hyperlink r:id="rId462">
        <w:r>
          <w:rPr>
            <w:color w:val="0563C1"/>
            <w:u w:val="single"/>
          </w:rPr>
          <w:t>Source</w:t>
        </w:r>
      </w:hyperlink>
      <w:r>
        <w:t xml:space="preserve"> | </w:t>
      </w:r>
      <w:hyperlink r:id="rId463">
        <w:r>
          <w:rPr>
            <w:color w:val="0563C1"/>
            <w:u w:val="single"/>
          </w:rPr>
          <w:t>Full-text access</w:t>
        </w:r>
      </w:hyperlink>
    </w:p>
    <w:p>
      <w:pPr>
        <w:pStyle w:val="Normal"/>
        <w:widowControl/>
        <w:spacing w:after="120"/>
      </w:pPr>
      <w:r>
        <w:t xml:space="preserve"/>
      </w:r>
      <w:r>
        <w:t xml:space="preserve">[V16-21] Llovet, Josep M.; Ricci, Sergio; Mazzaferro, Vincenzo; et al. Sorafenib in Advanced Hepatocellular Carcinoma. New England Journal of Medicine. 2008; 359(4):378-390. </w:t>
      </w:r>
      <w:hyperlink r:id="rId464">
        <w:r>
          <w:rPr>
            <w:color w:val="0563C1"/>
            <w:u w:val="single"/>
          </w:rPr>
          <w:t>Source</w:t>
        </w:r>
      </w:hyperlink>
      <w:r>
        <w:t xml:space="preserve"> | </w:t>
      </w:r>
      <w:hyperlink r:id="rId465">
        <w:r>
          <w:rPr>
            <w:color w:val="0563C1"/>
            <w:u w:val="single"/>
          </w:rPr>
          <w:t>Full-text access</w:t>
        </w:r>
      </w:hyperlink>
    </w:p>
    <w:p>
      <w:pPr>
        <w:pStyle w:val="Normal"/>
        <w:widowControl/>
        <w:spacing w:after="120"/>
      </w:pPr>
      <w:r>
        <w:t xml:space="preserve"/>
      </w:r>
      <w:r>
        <w:t xml:space="preserve">[V16-22] Qin, Shukui; Kudo, Masatoshi; Meyer, Tim; et al. Tislelizumab vs Sorafenib as First-Line Treatment for Unresectable Hepatocellular Carcinoma. JAMA Oncology. 2023; 9(12):1651. </w:t>
      </w:r>
      <w:hyperlink r:id="rId466">
        <w:r>
          <w:rPr>
            <w:color w:val="0563C1"/>
            <w:u w:val="single"/>
          </w:rPr>
          <w:t>Source</w:t>
        </w:r>
      </w:hyperlink>
      <w:r>
        <w:t xml:space="preserve"> | </w:t>
      </w:r>
      <w:hyperlink r:id="rId467">
        <w:r>
          <w:rPr>
            <w:color w:val="0563C1"/>
            <w:u w:val="single"/>
          </w:rPr>
          <w:t>Full-text access</w:t>
        </w:r>
      </w:hyperlink>
    </w:p>
    <w:p>
      <w:pPr>
        <w:pStyle w:val="Normal"/>
        <w:widowControl/>
        <w:spacing w:after="120"/>
      </w:pPr>
      <w:r>
        <w:t xml:space="preserve"/>
      </w:r>
      <w:r>
        <w:t xml:space="preserve">[V16-23] BeOne Medicines. Tevimbra tislelizumab jsgr US prescribing information. US prescribing information. 2026. </w:t>
      </w:r>
      <w:hyperlink r:id="rId468">
        <w:r>
          <w:rPr>
            <w:color w:val="0563C1"/>
            <w:u w:val="single"/>
          </w:rPr>
          <w:t>Source</w:t>
        </w:r>
      </w:hyperlink>
      <w:r>
        <w:t xml:space="preserve"> | </w:t>
      </w:r>
      <w:hyperlink r:id="rId469">
        <w:r>
          <w:rPr>
            <w:color w:val="0563C1"/>
            <w:u w:val="single"/>
          </w:rPr>
          <w:t>Full-text access</w:t>
        </w:r>
      </w:hyperlink>
    </w:p>
    <w:p>
      <w:pPr>
        <w:pStyle w:val="Normal"/>
        <w:widowControl/>
        <w:spacing w:after="120"/>
      </w:pPr>
      <w:r>
        <w:t xml:space="preserve"/>
      </w:r>
      <w:r>
        <w:t xml:space="preserve">[V16-24] Abou-Alfa, Ghassan K.; Meyer, Tim; Cheng, Ann-Lii; et al. Cabozantinib in Patients with Advanced and Progressing Hepatocellular Carcinoma. New England Journal of Medicine. 2018; 379(1):54-63. </w:t>
      </w:r>
      <w:hyperlink r:id="rId470">
        <w:r>
          <w:rPr>
            <w:color w:val="0563C1"/>
            <w:u w:val="single"/>
          </w:rPr>
          <w:t>Source</w:t>
        </w:r>
      </w:hyperlink>
      <w:r>
        <w:t xml:space="preserve"> | </w:t>
      </w:r>
      <w:hyperlink r:id="rId471">
        <w:r>
          <w:rPr>
            <w:color w:val="0563C1"/>
            <w:u w:val="single"/>
          </w:rPr>
          <w:t>Full-text access</w:t>
        </w:r>
      </w:hyperlink>
    </w:p>
    <w:p>
      <w:pPr>
        <w:pStyle w:val="Normal"/>
        <w:widowControl/>
        <w:spacing w:after="120"/>
      </w:pPr>
      <w:r>
        <w:t xml:space="preserve"/>
      </w:r>
      <w:r>
        <w:t xml:space="preserve">[V16-25] Bruix, Jordi; Qin, Shukui; Merle, Philippe; et al. Regorafenib for patients with hepatocellular carcinoma who progressed on sorafenib treatment (RESORCE): a randomised, double-blind, placebo-controlled, phase 3 trial. The Lancet. 2017; 389(10064):56-66. </w:t>
      </w:r>
      <w:hyperlink r:id="rId472">
        <w:r>
          <w:rPr>
            <w:color w:val="0563C1"/>
            <w:u w:val="single"/>
          </w:rPr>
          <w:t>Source</w:t>
        </w:r>
      </w:hyperlink>
      <w:r>
        <w:t xml:space="preserve"> | </w:t>
      </w:r>
      <w:hyperlink r:id="rId473">
        <w:r>
          <w:rPr>
            <w:color w:val="0563C1"/>
            <w:u w:val="single"/>
          </w:rPr>
          <w:t>Full-text access</w:t>
        </w:r>
      </w:hyperlink>
    </w:p>
    <w:p>
      <w:pPr>
        <w:pStyle w:val="Normal"/>
        <w:widowControl/>
        <w:spacing w:after="120"/>
      </w:pPr>
      <w:r>
        <w:t xml:space="preserve"/>
      </w:r>
      <w:r>
        <w:t xml:space="preserve">[V16-26] Zhu, Andrew X; Kang, Yoon-Koo; Yen, Chia-Jui; et al. Ramucirumab after sorafenib in patients with advanced hepatocellular carcinoma and increased α-fetoprotein concentrations (REACH-2): a randomised, double-blind, placebo-controlled, phase 3 trial. The Lancet Oncology. 2019; 20(2):282-296. </w:t>
      </w:r>
      <w:hyperlink r:id="rId474">
        <w:r>
          <w:rPr>
            <w:color w:val="0563C1"/>
            <w:u w:val="single"/>
          </w:rPr>
          <w:t>Source</w:t>
        </w:r>
      </w:hyperlink>
      <w:r>
        <w:t xml:space="preserve"> | </w:t>
      </w:r>
      <w:hyperlink r:id="rId475">
        <w:r>
          <w:rPr>
            <w:color w:val="0563C1"/>
            <w:u w:val="single"/>
          </w:rPr>
          <w:t>Full-text access</w:t>
        </w:r>
      </w:hyperlink>
    </w:p>
    <w:p>
      <w:pPr>
        <w:pStyle w:val="Normal"/>
        <w:widowControl/>
        <w:spacing w:after="120"/>
      </w:pPr>
      <w:r>
        <w:t xml:space="preserve"/>
      </w:r>
      <w:r>
        <w:t xml:space="preserve">[V16-27] Kudo, Masatoshi; Ren, Zhenggang; Guo, Yabing; et al. Transarterial chemoembolisation combined with lenvatinib plus pembrolizumab versus dual placebo for unresectable, non-metastatic hepatocellular carcinoma (LEAP-012): a multicentre, randomised, double-blind, phase 3 study. The Lancet. 2025; 405(10474):203-215. </w:t>
      </w:r>
      <w:hyperlink r:id="rId476">
        <w:r>
          <w:rPr>
            <w:color w:val="0563C1"/>
            <w:u w:val="single"/>
          </w:rPr>
          <w:t>Source</w:t>
        </w:r>
      </w:hyperlink>
      <w:r>
        <w:t xml:space="preserve"> | </w:t>
      </w:r>
      <w:hyperlink r:id="rId477">
        <w:r>
          <w:rPr>
            <w:color w:val="0563C1"/>
            <w:u w:val="single"/>
          </w:rPr>
          <w:t>Full-text access</w:t>
        </w:r>
      </w:hyperlink>
    </w:p>
    <w:p>
      <w:pPr>
        <w:pStyle w:val="Normal"/>
        <w:widowControl/>
        <w:spacing w:after="120"/>
      </w:pPr>
      <w:r>
        <w:t xml:space="preserve"/>
      </w:r>
      <w:r>
        <w:t xml:space="preserve">[V16-28] Sangro, Bruno; Kudo, Masatoshi; Erinjeri, Joseph P; et al. Durvalumab with or without bevacizumab with transarterial chemoembolisation in hepatocellular carcinoma (EMERALD-1): a multiregional, randomised, double-blind, placebo-controlled, phase 3 study. The Lancet. 2025; 405(10474):216-232. </w:t>
      </w:r>
      <w:hyperlink r:id="rId478">
        <w:r>
          <w:rPr>
            <w:color w:val="0563C1"/>
            <w:u w:val="single"/>
          </w:rPr>
          <w:t>Source</w:t>
        </w:r>
      </w:hyperlink>
      <w:r>
        <w:t xml:space="preserve"> | </w:t>
      </w:r>
      <w:hyperlink r:id="rId479">
        <w:r>
          <w:rPr>
            <w:color w:val="0563C1"/>
            <w:u w:val="single"/>
          </w:rPr>
          <w:t>Full-text access</w:t>
        </w:r>
      </w:hyperlink>
    </w:p>
    <w:p>
      <w:pPr>
        <w:pStyle w:val="Normal"/>
        <w:widowControl/>
        <w:spacing w:after="120"/>
      </w:pPr>
      <w:r>
        <w:t xml:space="preserve"/>
      </w:r>
      <w:r>
        <w:t xml:space="preserve">[V16-29] Kudo, Masatoshi; Abou-Alfa, Ghassan K; Ren, Zhenggang; et al. Durvalumab and tremelimumab, with or without lenvatinib, combined with transarterial chemoembolisation in participants with embolisation-eligible hepatocellular carcinoma (EMERALD-3): a global, randomised, open-label, sponsor-blinded, phase 3 study. The Lancet Oncology. 2026; 27(9):1077-1093. </w:t>
      </w:r>
      <w:hyperlink r:id="rId480">
        <w:r>
          <w:rPr>
            <w:color w:val="0563C1"/>
            <w:u w:val="single"/>
          </w:rPr>
          <w:t>Source</w:t>
        </w:r>
      </w:hyperlink>
      <w:r>
        <w:t xml:space="preserve"> | </w:t>
      </w:r>
      <w:hyperlink r:id="rId481">
        <w:r>
          <w:rPr>
            <w:color w:val="0563C1"/>
            <w:u w:val="single"/>
          </w:rPr>
          <w:t>Full-text access</w:t>
        </w:r>
      </w:hyperlink>
    </w:p>
    <w:p>
      <w:pPr>
        <w:pStyle w:val="Normal"/>
        <w:widowControl/>
        <w:spacing w:after="120"/>
      </w:pPr>
      <w:r>
        <w:t xml:space="preserve"/>
      </w:r>
      <w:r>
        <w:t xml:space="preserve">[V16-30] Mehta N; Dodge JL; Roberts JP; et al. Alpha-Fetoprotein Decrease from &gt; 1,000 to &lt; 500 ng/mL in Patients with Hepatocellular Carcinoma Leads to Improved Posttransplant Outcomes.. Hepatology (Baltimore, Md.). 2019; 69(3):1193-1205. </w:t>
      </w:r>
      <w:hyperlink r:id="rId482">
        <w:r>
          <w:rPr>
            <w:color w:val="0563C1"/>
            <w:u w:val="single"/>
          </w:rPr>
          <w:t>Source</w:t>
        </w:r>
      </w:hyperlink>
      <w:r>
        <w:t xml:space="preserve"> | </w:t>
      </w:r>
      <w:hyperlink r:id="rId483">
        <w:r>
          <w:rPr>
            <w:color w:val="0563C1"/>
            <w:u w:val="single"/>
          </w:rPr>
          <w:t>Full-text access</w:t>
        </w:r>
      </w:hyperlink>
    </w:p>
    <w:p>
      <w:pPr>
        <w:pStyle w:val="Normal"/>
        <w:widowControl/>
        <w:spacing w:after="120"/>
      </w:pPr>
      <w:r>
        <w:t xml:space="preserve"/>
      </w:r>
      <w:r>
        <w:t xml:space="preserve">[V16-31]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484">
        <w:r>
          <w:rPr>
            <w:color w:val="0563C1"/>
            <w:u w:val="single"/>
          </w:rPr>
          <w:t>Source</w:t>
        </w:r>
      </w:hyperlink>
      <w:r>
        <w:t xml:space="preserve"> | </w:t>
      </w:r>
      <w:hyperlink r:id="rId485">
        <w:r>
          <w:rPr>
            <w:color w:val="0563C1"/>
            <w:u w:val="single"/>
          </w:rPr>
          <w:t>Full-text access</w:t>
        </w:r>
      </w:hyperlink>
    </w:p>
    <w:p>
      <w:pPr>
        <w:pStyle w:val="Normal"/>
        <w:widowControl/>
        <w:spacing w:after="120"/>
      </w:pPr>
      <w:r>
        <w:t xml:space="preserve"/>
      </w:r>
      <w:r>
        <w:t xml:space="preserve">[V16-32] Giard JM; Mehta N; Dodge JL; et al. Alpha-Fetoprotein Slope &gt;7.5 ng/mL per Month Predicts Microvascular Invasion and Tumor Recurrence After Liver Transplantation for Hepatocellular Carcinoma.. Transplantation. 2018; 102(5):816-822. </w:t>
      </w:r>
      <w:hyperlink r:id="rId486">
        <w:r>
          <w:rPr>
            <w:color w:val="0563C1"/>
            <w:u w:val="single"/>
          </w:rPr>
          <w:t>Source</w:t>
        </w:r>
      </w:hyperlink>
      <w:r>
        <w:t xml:space="preserve"> | </w:t>
      </w:r>
      <w:hyperlink r:id="rId487">
        <w:r>
          <w:rPr>
            <w:color w:val="0563C1"/>
            <w:u w:val="single"/>
          </w:rPr>
          <w:t>Full-text access</w:t>
        </w:r>
      </w:hyperlink>
    </w:p>
    <w:p>
      <w:pPr>
        <w:pStyle w:val="Normal"/>
        <w:widowControl/>
        <w:spacing w:after="120"/>
      </w:pPr>
      <w:r>
        <w:t xml:space="preserve"/>
      </w:r>
      <w:r>
        <w:t xml:space="preserve">[V16-33] Halazun KJ; Rosenblatt RE; Mehta N; et al. Dynamic α-Fetoprotein Response and Outcomes After Liver Transplant for Hepatocellular Carcinoma.. JAMA surgery. 2021; 156(6):559-567. </w:t>
      </w:r>
      <w:hyperlink r:id="rId488">
        <w:r>
          <w:rPr>
            <w:color w:val="0563C1"/>
            <w:u w:val="single"/>
          </w:rPr>
          <w:t>Source</w:t>
        </w:r>
      </w:hyperlink>
      <w:r>
        <w:t xml:space="preserve"> | </w:t>
      </w:r>
      <w:hyperlink r:id="rId489">
        <w:r>
          <w:rPr>
            <w:color w:val="0563C1"/>
            <w:u w:val="single"/>
          </w:rPr>
          <w:t>Full-text access</w:t>
        </w:r>
      </w:hyperlink>
    </w:p>
    <w:p>
      <w:pPr>
        <w:pStyle w:val="Normal"/>
        <w:widowControl/>
        <w:spacing w:after="120"/>
      </w:pPr>
      <w:r>
        <w:t xml:space="preserve"/>
      </w:r>
      <w:r>
        <w:t xml:space="preserve">[V16-34] Moriyama M; Tateishi R; Matsushita Y; et al. Management and Prognosis of HCC Patients With Elevated Tumor Markers but no Imaging Recurrence After Radiofrequency Ablation.. Cancer medicine. 2026; 15(4):e71812. </w:t>
      </w:r>
      <w:hyperlink r:id="rId490">
        <w:r>
          <w:rPr>
            <w:color w:val="0563C1"/>
            <w:u w:val="single"/>
          </w:rPr>
          <w:t>Source</w:t>
        </w:r>
      </w:hyperlink>
      <w:r>
        <w:t xml:space="preserve"> | </w:t>
      </w:r>
      <w:hyperlink r:id="rId491">
        <w:r>
          <w:rPr>
            <w:color w:val="0563C1"/>
            <w:u w:val="single"/>
          </w:rPr>
          <w:t>Full-text access</w:t>
        </w:r>
      </w:hyperlink>
    </w:p>
    <w:p>
      <w:pPr>
        <w:pStyle w:val="Normal"/>
        <w:widowControl/>
        <w:spacing w:after="120"/>
      </w:pPr>
      <w:r>
        <w:t xml:space="preserve"/>
      </w:r>
      <w:r>
        <w:t xml:space="preserve">[V16-35] Yopp, Adam; Chen, Minshan; Cheng, Ann-Lii; et al. Updated data from IMbrave050: Adjuvant atezolizumab plus bevacizumab for high-risk hepatocellular carcinoma. Journal of Hepatology. 2026; 84(6):1102-1111. </w:t>
      </w:r>
      <w:hyperlink r:id="rId492">
        <w:r>
          <w:rPr>
            <w:color w:val="0563C1"/>
            <w:u w:val="single"/>
          </w:rPr>
          <w:t>Source</w:t>
        </w:r>
      </w:hyperlink>
      <w:r>
        <w:t xml:space="preserve"> | </w:t>
      </w:r>
      <w:hyperlink r:id="rId493">
        <w:r>
          <w:rPr>
            <w:color w:val="0563C1"/>
            <w:u w:val="single"/>
          </w:rPr>
          <w:t>Full-text access</w:t>
        </w:r>
      </w:hyperlink>
    </w:p>
    <w:p>
      <w:pPr>
        <w:pStyle w:val="Normal"/>
        <w:widowControl/>
        <w:spacing w:after="120"/>
      </w:pPr>
      <w:r>
        <w:t xml:space="preserve"/>
      </w:r>
      <w:r>
        <w:t xml:space="preserve">[V16-36] Taddei, Tamar H.; Brown, Daniel B.; Yarchoan, Mark; et al. Critical Update: AASLD Practice Guidance on prevention, diagnosis, and treatment of hepatocellular carcinoma. Hepatology. 2025; 82(1):272-274. </w:t>
      </w:r>
      <w:hyperlink r:id="rId494">
        <w:r>
          <w:rPr>
            <w:color w:val="0563C1"/>
            <w:u w:val="single"/>
          </w:rPr>
          <w:t>Source</w:t>
        </w:r>
      </w:hyperlink>
      <w:r>
        <w:t xml:space="preserve"> | </w:t>
      </w:r>
      <w:hyperlink r:id="rId495">
        <w:r>
          <w:rPr>
            <w:color w:val="0563C1"/>
            <w:u w:val="single"/>
          </w:rPr>
          <w:t>Full-text access</w:t>
        </w:r>
      </w:hyperlink>
    </w:p>
    <w:p>
      <w:pPr>
        <w:pStyle w:val="Normal"/>
        <w:widowControl/>
        <w:spacing w:after="120"/>
      </w:pPr>
      <w:r>
        <w:t xml:space="preserve"/>
      </w:r>
      <w:r>
        <w:t xml:space="preserve">[V16-37] Wassmer, Charles-Henri; El Hajji, Sofia; Papazarkadas, Xenofon; et al. Immunotherapy and Liver Transplantation: A Narrative Review of Basic and Clinical Data. Cancers. 2023; 15(18):4574. </w:t>
      </w:r>
      <w:hyperlink r:id="rId496">
        <w:r>
          <w:rPr>
            <w:color w:val="0563C1"/>
            <w:u w:val="single"/>
          </w:rPr>
          <w:t>Source</w:t>
        </w:r>
      </w:hyperlink>
      <w:r>
        <w:t xml:space="preserve"> | </w:t>
      </w:r>
      <w:hyperlink r:id="rId497">
        <w:r>
          <w:rPr>
            <w:color w:val="0563C1"/>
            <w:u w:val="single"/>
          </w:rPr>
          <w:t>Full-text access</w:t>
        </w:r>
      </w:hyperlink>
    </w:p>
    <w:p>
      <w:pPr>
        <w:pStyle w:val="Normal"/>
        <w:widowControl/>
        <w:spacing w:after="120"/>
      </w:pPr>
      <w:r>
        <w:t xml:space="preserve"/>
      </w:r>
      <w:r>
        <w:t xml:space="preserve">[V16-38] American College of Radiology. LI RADS CT MRI Radiation Treatment Response Assessment version 2024 Core. ACR. 2024. </w:t>
      </w:r>
      <w:hyperlink r:id="rId498">
        <w:r>
          <w:rPr>
            <w:color w:val="0563C1"/>
            <w:u w:val="single"/>
          </w:rPr>
          <w:t>Source</w:t>
        </w:r>
      </w:hyperlink>
      <w:r>
        <w:t xml:space="preserve"> | </w:t>
      </w:r>
      <w:hyperlink r:id="rId499">
        <w:r>
          <w:rPr>
            <w:color w:val="0563C1"/>
            <w:u w:val="single"/>
          </w:rPr>
          <w:t>Full-text access</w:t>
        </w:r>
      </w:hyperlink>
    </w:p>
    <w:p>
      <w:pPr>
        <w:pStyle w:val="Normal"/>
        <w:widowControl/>
        <w:spacing w:after="120"/>
      </w:pPr>
      <w:r>
        <w:t xml:space="preserve"/>
      </w:r>
      <w:r>
        <w:t xml:space="preserve">[V16-39] Akahoshi, Keiichi; Shindoh, Junichi; Tanabe, Minoru; et al. Oncological Resectability Criteria for Hepatocellular Carcinoma in the Era of Novel Systemic Therapies: The Japan Liver Cancer Association and Japanese Society of Hepato-Biliary-Pancreatic Surgery Expert Consensus Statement 2023. Liver cancer. 2024; 13(6):0-10. </w:t>
      </w:r>
      <w:hyperlink r:id="rId500">
        <w:r>
          <w:rPr>
            <w:color w:val="0563C1"/>
            <w:u w:val="single"/>
          </w:rPr>
          <w:t>Source</w:t>
        </w:r>
      </w:hyperlink>
      <w:r>
        <w:t xml:space="preserve"> | Local PDF not available in this update</w:t>
      </w:r>
    </w:p>
    <w:p>
      <w:pPr>
        <w:pStyle w:val="Normal"/>
        <w:widowControl/>
        <w:spacing w:after="120"/>
      </w:pPr>
      <w:r>
        <w:t xml:space="preserve"/>
      </w:r>
      <w:r>
        <w:t xml:space="preserve">[V16-40] Zhang, Xiaoshi; Zhu, Xiaodong; Zhong, Jianhong; et al. Surgical treatment improves overall survival of hepatocellular carcinoma with extrahepatic metastases after conversion therapy: a multicenter retrospective study. Scientific reports. 2024; 14(1):9745. </w:t>
      </w:r>
      <w:hyperlink r:id="rId501">
        <w:r>
          <w:rPr>
            <w:color w:val="0563C1"/>
            <w:u w:val="single"/>
          </w:rPr>
          <w:t>Source</w:t>
        </w:r>
      </w:hyperlink>
      <w:r>
        <w:t xml:space="preserve"> | Local PDF not available in this update</w:t>
      </w:r>
    </w:p>
    <w:p>
      <w:pPr>
        <w:pStyle w:val="Normal"/>
        <w:widowControl/>
        <w:spacing w:after="120"/>
      </w:pPr>
      <w:r>
        <w:t xml:space="preserve"/>
      </w:r>
      <w:r>
        <w:t xml:space="preserve">[V16-41] Choi, Gwang Hyeon; Kim, Hyun-Seok; Luu, Michael; et al. Curative Treatment after Immunotherapy Leads to Excellent Outcomes in Patients with Hepatocellular Carcinoma. Liver cancer. 2025; 15(2):193-204. </w:t>
      </w:r>
      <w:hyperlink r:id="rId502">
        <w:r>
          <w:rPr>
            <w:color w:val="0563C1"/>
            <w:u w:val="single"/>
          </w:rPr>
          <w:t>Source</w:t>
        </w:r>
      </w:hyperlink>
      <w:r>
        <w:t xml:space="preserve"> | Local PDF not available in this update</w:t>
      </w:r>
    </w:p>
    <w:p>
      <w:pPr>
        <w:pStyle w:val="Normal"/>
        <w:widowControl/>
        <w:spacing w:after="120"/>
      </w:pPr>
      <w:r>
        <w:t xml:space="preserve"/>
      </w:r>
      <w:r>
        <w:t xml:space="preserve">[V16-42] Hasegawa, Kiyoshi; Makuuchi, Masatoshi; Kokudo, Norihiro; et al. Impact of histologically confirmed lymph node metastases on patient survival after surgical resection for hepatocellular carcinoma: report of a Japanese nationwide survey. Annals of surgery. 2014; 259(1):166-70. </w:t>
      </w:r>
      <w:hyperlink r:id="rId503">
        <w:r>
          <w:rPr>
            <w:color w:val="0563C1"/>
            <w:u w:val="single"/>
          </w:rPr>
          <w:t>Source</w:t>
        </w:r>
      </w:hyperlink>
      <w:r>
        <w:t xml:space="preserve"> | Local PDF not available in this update</w:t>
      </w:r>
    </w:p>
    <w:p>
      <w:pPr>
        <w:pStyle w:val="Normal"/>
        <w:widowControl/>
        <w:spacing w:after="120"/>
      </w:pPr>
      <w:r>
        <w:t xml:space="preserve"/>
      </w:r>
      <w:r>
        <w:t xml:space="preserve">[V16-43] Midorikawa, Yutaka; Takayama, Tadatoshi; Nakayama, Hisashi; et al. Favorable outcomes of surgical resection for extrahepatic recurrent hepatocellular carcinoma. Hepatology research : the official journal of the Japan Society of Hepatology. 2020; 50(8):978-984. </w:t>
      </w:r>
      <w:hyperlink r:id="rId504">
        <w:r>
          <w:rPr>
            <w:color w:val="0563C1"/>
            <w:u w:val="single"/>
          </w:rPr>
          <w:t>Source</w:t>
        </w:r>
      </w:hyperlink>
      <w:r>
        <w:t xml:space="preserve"> | Local PDF not available in this update</w:t>
      </w:r>
    </w:p>
    <w:p>
      <w:pPr>
        <w:pStyle w:val="Normal"/>
        <w:widowControl/>
        <w:spacing w:after="120"/>
      </w:pPr>
      <w:r>
        <w:t xml:space="preserve"/>
      </w:r>
      <w:r>
        <w:t xml:space="preserve">[V16-44] Choi, Seo Hee; Lee, Byung Min; Kim, Jina; et al. Efficacy of stereotactic ablative radiotherapy in patients with oligometastatic hepatocellular carcinoma: A phase II study. Journal of hepatology. 2024; 81(1):84-92. </w:t>
      </w:r>
      <w:hyperlink r:id="rId505">
        <w:r>
          <w:rPr>
            <w:color w:val="0563C1"/>
            <w:u w:val="single"/>
          </w:rPr>
          <w:t>Source</w:t>
        </w:r>
      </w:hyperlink>
      <w:r>
        <w:t xml:space="preserve"> | Local PDF not available in this update</w:t>
      </w:r>
    </w:p>
    <w:p>
      <w:pPr>
        <w:pStyle w:val="Normal"/>
        <w:widowControl/>
        <w:spacing w:after="120"/>
      </w:pPr>
      <w:r>
        <w:t xml:space="preserve"/>
      </w:r>
      <w:r>
        <w:t xml:space="preserve">[V16-45] Shin, Young Seob; Yun, Jae Kwang; Jung, Jinhong; et al. Comparison of Metastasectomy and Stereotactic Body Radiation Therapy for Pulmonary Oligometastasis From Hepatocellular Carcinoma: A Propensity Score-Weighted Analysis. International journal of radiation oncology, biology, physics. 2024; 121(2):432-441. </w:t>
      </w:r>
      <w:hyperlink r:id="rId506">
        <w:r>
          <w:rPr>
            <w:color w:val="0563C1"/>
            <w:u w:val="single"/>
          </w:rPr>
          <w:t>Source</w:t>
        </w:r>
      </w:hyperlink>
      <w:r>
        <w:t xml:space="preserve"> | Local PDF not available in this update</w:t>
      </w:r>
    </w:p>
    <w:p>
      <w:pPr>
        <w:pStyle w:val="Normal"/>
        <w:widowControl/>
        <w:spacing w:after="120"/>
      </w:pPr>
      <w:r>
        <w:t xml:space="preserve"/>
      </w:r>
      <w:r>
        <w:t xml:space="preserve">[V16-46] Shindoh, Junichi; Matsumura, Masaru; Komatsu, Shohei; et al. Prognostic factors and clinical significance of preoperative systemic therapy in patients with borderline resectable hepatocellular carcinoma: A JSHBPS project study 2023, Part 2. Journal of hepato-biliary-pancreatic sciences. 2025; 32(5):374-384. </w:t>
      </w:r>
      <w:hyperlink r:id="rId507">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HCC-R1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5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HCC system roadmap V16 · Balanced treatment matrices, 24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abstractNum w:abstractNumId="7">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j.jhep.2024.08.028"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56/NEJMoa1915745"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56/EVIDoa2100070"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www.nccn.org/professionals/physician_gls/pdf/hcc.pdf#page=10"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www.accessdata.fda.gov/drugsatfda_docs/label/2025/125514s178lbl.pdf"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200/JCO.22.00620"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edge.sitecorecloud.io/americancoldf5f-acrorgf92a-productioncb02-3650/media/ACR/Files/RADS/LI-RADS/LI-RADS-CTMR-Radiation-TRA-v2024-Core.pdf"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097/HEP.0000000000000466"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16/S2468-1253(22)00091-7"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02/hep.31819"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16/j.prro.2021.09.004"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200/JCO.21.01963"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148/radiol.233051"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www.hrsa.gov/sites/default/files/hrsa/optn/adult-meld-exception-transplant-oncology-review-guidance.pdf"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www.gene.com/download/pdf/avastin_prescribing.pdf"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www.accessdata.fda.gov/drugsatfda_docs/label/2025/125554s129lbl.pdf"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16/j.jhep.2021.11.030"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16/S0140-6736(25)00403-9"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www.accessdata.fda.gov/drugsatfda_docs/label/2026/761232s018lbl.pdf"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56/NEJMoa1717002"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S0140-6736(16)32453-9"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016/S1470-2045(18)30937-9"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0140-6736(24)02575-3"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S0140-6736(24)02551-0"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016/S1470-2045(26)00278-0"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doi.org/10.1097/HEP.0000000000001269"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016/j.jhep.2026.01.006"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016/j.jhep.2024.06.042"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097/HEP.0000000000001289"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016/j.jhep.2024.09.003"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97/HEP.0000000000000466"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www.nccn.org/professionals/physician_gls/pdf/hcc.pdf#page=10"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www.nccn.org/professionals/physician_gls/pdf/hcc.pdf#page=10"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097/HEP.0000000000000466"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www.nccn.org/professionals/physician_gls/pdf/hcc.pdf#page=10"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16/S2468-1253(22)00091-7"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02/hep.31819"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www.nccn.org/professionals/physician_gls/pdf/hcc.pdf#page=10"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16/j.prro.2021.09.004"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www.nccn.org/professionals/physician_gls/pdf/hcc.pdf#page=10"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97/HEP.0000000000000466"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www.nccn.org/professionals/physician_gls/pdf/hcc.pdf#page=10"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200/JCO.21.01963"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www.nccn.org/professionals/physician_gls/pdf/hcc.pdf#page=10"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148/radiol.233051"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16/j.jhep.2021.11.030"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doi.org/10.1016/j.jhep.2024.08.028"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www.gene.com/download/pdf/avastin_prescribing.pdf"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oi.org/10.1056/EVIDoa2100070"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ailymed.nlm.nih.gov/dailymed/drugInfo.cfm?setid=8baba4ea-2855-42fa-9bd9-5a7548d4cec3"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16/S0140-6736(25)00403-9"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www.accessdata.fda.gov/drugsatfda_docs/label/2025/125554s129lbl.pdf"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16/S0140-6736(18)30207-1"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www.nccn.org/professionals/physician_gls/pdf/hcc.pdf#page=10"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56/NEJMoa0708857" TargetMode="External"/><Relationship Id="rId118" Type="http://schemas.openxmlformats.org/officeDocument/2006/relationships/hyperlink" Target="https://doi.org/10.1097/HEP.0000000000000466"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56/EVIDoa2100070"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www.nccn.org/professionals/physician_gls/pdf/hcc.pdf#page=10"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ailymed.nlm.nih.gov/dailymed/drugInfo.cfm?setid=8baba4ea-2855-42fa-9bd9-5a7548d4cec3"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001/jamaoncol.2023.4003"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www.nccn.org/professionals/physician_gls/pdf/hcc.pdf#page=10"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www.accessdata.fda.gov/drugsatfda_docs/label/2026/761232s018lbl.pdf"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nccn.org/professionals/physician_gls/pdf/hcc.pdf#page=10"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www.accessdata.fda.gov/drugsatfda_docs/label/2025/125514s178lbl.pdf"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56/NEJMoa1717002"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www.nccn.org/professionals/physician_gls/pdf/hcc.pdf#page=10"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16/S0140-6736(16)32453-9"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www.nccn.org/professionals/physician_gls/pdf/hcc.pdf#page=10"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16/S1470-2045(18)30937-9"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www.nccn.org/professionals/physician_gls/pdf/hcc.pdf#page=10"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200/JCO.22.00620"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www.accessdata.fda.gov/drugsatfda_docs/label/2025/125514s178lbl.pdf"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www.nccn.org/professionals/physician_gls/pdf/hcc.pdf#page=10"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doi.org/10.1016/j.jhep.2024.08.028"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www.nccn.org/professionals/physician_gls/pdf/hcc.pdf#page=10"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www.accessdata.fda.gov/drugsatfda_docs/label/2025/125554s129lbl.pdf"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www.nccn.org/professionals/physician_gls/pdf/hcc.pdf#page=10"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www.accessdata.fda.gov/drugsatfda_docs/label/2025/125514s178lbl.pdf"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www.nccn.org/professionals/physician_gls/pdf/hcc.pdf#page=10"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www.nccn.org/professionals/physician_gls/pdf/hcc.pdf#page=10"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16/S0140-6736(24)02575-3"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016/S0140-6736(24)02551-0"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16/S1470-2045(26)00278-0"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1016/j.jhep.2024.08.028"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016/j.jhep.2021.11.030"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www.gene.com/download/pdf/avastin_prescribing.pdf"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16/S0140-6736(25)00403-9"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56/NEJMoa1915745"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56/EVIDoa2100070"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www.nccn.org/professionals/physician_gls/pdf/hcc.pdf#page=10"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www.accessdata.fda.gov/drugsatfda_docs/label/2025/125514s178lbl.pdf"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200/JCO.22.00620"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1097/HEP.0000000000001289"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16/j.jhep.2024.09.003"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097/HEP.0000000000000466"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oi.org/10.1016/S2468-1253(22)00091-7"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doi.org/10.1002/hep.31819"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016/j.prro.2021.09.004"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200/JCO.21.01963"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148/radiol.233051"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ailymed.nlm.nih.gov/dailymed/drugInfo.cfm?setid=8baba4ea-2855-42fa-9bd9-5a7548d4cec3"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www.accessdata.fda.gov/drugsatfda_docs/label/2025/125554s129lbl.pdf"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16/S0140-6736(18)30207-1"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056/NEJMoa0708857" TargetMode="External"/><Relationship Id="rId215" Type="http://schemas.openxmlformats.org/officeDocument/2006/relationships/hyperlink" Target="https://doi.org/10.1001/jamaoncol.2023.4003"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www.accessdata.fda.gov/drugsatfda_docs/label/2026/761232s018lbl.pdf"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56/NEJMoa1717002"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doi.org/10.1016/S0140-6736(16)32453-9"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1016/S1470-2045(18)30937-9"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doi.org/10.1016/S0140-6736(24)02575-3"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16/S0140-6736(24)02551-0"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16/S1470-2045(26)00278-0"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16/j.jhep.2026.01.006"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097/HEP.0000000000001269"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pubmed.ncbi.nlm.nih.gov/37760542"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edge.sitecorecloud.io/americancoldf5f-acrorgf92a-productioncb02-3650/media/ACR/Files/RADS/LI-RADS/LI-RADS-CTMR-Radiation-TRA-v2024-Core.pdf"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016/j.jhep.2021.11.030"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doi.org/10.1016/j.jhep.2024.08.028"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www.gene.com/download/pdf/avastin_prescribing.pdf"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1056/EVIDoa2100070"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ailymed.nlm.nih.gov/dailymed/drugInfo.cfm?setid=8baba4ea-2855-42fa-9bd9-5a7548d4cec3"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1016/S0140-6736(25)00403-9"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www.accessdata.fda.gov/drugsatfda_docs/label/2025/125554s129lbl.pdf"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doi.org/10.1016/S0140-6736(18)30207-1" TargetMode="External"/><Relationship Id="rId255" Type="http://schemas.openxmlformats.org/officeDocument/2006/relationships/hyperlink" Target="https://drliuhao.github.io/mh-liver-pathways/evidence-libraries/" TargetMode="External"/><Relationship Id="rId256" Type="http://schemas.openxmlformats.org/officeDocument/2006/relationships/hyperlink" Target="https://www.nccn.org/professionals/physician_gls/pdf/hcc.pdf#page=10"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doi.org/10.1056/NEJMoa0708857" TargetMode="External"/><Relationship Id="rId259" Type="http://schemas.openxmlformats.org/officeDocument/2006/relationships/hyperlink" Target="https://drliuhao.github.io/mh-liver-pathways/evidence-libraries/" TargetMode="External"/><Relationship Id="rId260" Type="http://schemas.openxmlformats.org/officeDocument/2006/relationships/hyperlink" Target="https://doi.org/10.1097/HEP.0000000000000466"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doi.org/10.1056/EVIDoa2100070"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www.nccn.org/professionals/physician_gls/pdf/hcc.pdf#page=10"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ailymed.nlm.nih.gov/dailymed/drugInfo.cfm?setid=8baba4ea-2855-42fa-9bd9-5a7548d4cec3" TargetMode="External"/><Relationship Id="rId267" Type="http://schemas.openxmlformats.org/officeDocument/2006/relationships/hyperlink" Target="https://drliuhao.github.io/mh-liver-pathways/evidence-libraries/" TargetMode="External"/><Relationship Id="rId268" Type="http://schemas.openxmlformats.org/officeDocument/2006/relationships/hyperlink" Target="https://doi.org/10.1001/jamaoncol.2023.4003" TargetMode="External"/><Relationship Id="rId269" Type="http://schemas.openxmlformats.org/officeDocument/2006/relationships/hyperlink" Target="https://drliuhao.github.io/mh-liver-pathways/evidence-libraries/" TargetMode="External"/><Relationship Id="rId270" Type="http://schemas.openxmlformats.org/officeDocument/2006/relationships/hyperlink" Target="https://www.nccn.org/professionals/physician_gls/pdf/hcc.pdf#page=10" TargetMode="External"/><Relationship Id="rId271" Type="http://schemas.openxmlformats.org/officeDocument/2006/relationships/hyperlink" Target="https://drliuhao.github.io/mh-liver-pathways/evidence-libraries/" TargetMode="External"/><Relationship Id="rId272" Type="http://schemas.openxmlformats.org/officeDocument/2006/relationships/hyperlink" Target="https://www.accessdata.fda.gov/drugsatfda_docs/label/2026/761232s018lbl.pdf" TargetMode="External"/><Relationship Id="rId273" Type="http://schemas.openxmlformats.org/officeDocument/2006/relationships/hyperlink" Target="https://drliuhao.github.io/mh-liver-pathways/evidence-libraries/" TargetMode="External"/><Relationship Id="rId274" Type="http://schemas.openxmlformats.org/officeDocument/2006/relationships/hyperlink" Target="https://www.nccn.org/professionals/physician_gls/pdf/hcc.pdf#page=10" TargetMode="External"/><Relationship Id="rId275" Type="http://schemas.openxmlformats.org/officeDocument/2006/relationships/hyperlink" Target="https://drliuhao.github.io/mh-liver-pathways/evidence-libraries/" TargetMode="External"/><Relationship Id="rId276" Type="http://schemas.openxmlformats.org/officeDocument/2006/relationships/hyperlink" Target="https://www.accessdata.fda.gov/drugsatfda_docs/label/2025/125514s178lbl.pdf" TargetMode="External"/><Relationship Id="rId277" Type="http://schemas.openxmlformats.org/officeDocument/2006/relationships/hyperlink" Target="https://drliuhao.github.io/mh-liver-pathways/evidence-libraries/" TargetMode="External"/><Relationship Id="rId278" Type="http://schemas.openxmlformats.org/officeDocument/2006/relationships/hyperlink" Target="https://doi.org/10.1056/NEJMoa1717002" TargetMode="External"/><Relationship Id="rId279" Type="http://schemas.openxmlformats.org/officeDocument/2006/relationships/hyperlink" Target="https://drliuhao.github.io/mh-liver-pathways/evidence-libraries/" TargetMode="External"/><Relationship Id="rId280" Type="http://schemas.openxmlformats.org/officeDocument/2006/relationships/hyperlink" Target="https://www.nccn.org/professionals/physician_gls/pdf/hcc.pdf#page=10" TargetMode="External"/><Relationship Id="rId281" Type="http://schemas.openxmlformats.org/officeDocument/2006/relationships/hyperlink" Target="https://drliuhao.github.io/mh-liver-pathways/evidence-libraries/" TargetMode="External"/><Relationship Id="rId282" Type="http://schemas.openxmlformats.org/officeDocument/2006/relationships/hyperlink" Target="https://doi.org/10.1016/S0140-6736(16)32453-9" TargetMode="External"/><Relationship Id="rId283" Type="http://schemas.openxmlformats.org/officeDocument/2006/relationships/hyperlink" Target="https://drliuhao.github.io/mh-liver-pathways/evidence-libraries/" TargetMode="External"/><Relationship Id="rId284" Type="http://schemas.openxmlformats.org/officeDocument/2006/relationships/hyperlink" Target="https://www.nccn.org/professionals/physician_gls/pdf/hcc.pdf#page=10" TargetMode="External"/><Relationship Id="rId285" Type="http://schemas.openxmlformats.org/officeDocument/2006/relationships/hyperlink" Target="https://drliuhao.github.io/mh-liver-pathways/evidence-libraries/" TargetMode="External"/><Relationship Id="rId286" Type="http://schemas.openxmlformats.org/officeDocument/2006/relationships/hyperlink" Target="https://doi.org/10.1016/S1470-2045(18)30937-9" TargetMode="External"/><Relationship Id="rId287" Type="http://schemas.openxmlformats.org/officeDocument/2006/relationships/hyperlink" Target="https://drliuhao.github.io/mh-liver-pathways/evidence-libraries/" TargetMode="External"/><Relationship Id="rId288" Type="http://schemas.openxmlformats.org/officeDocument/2006/relationships/hyperlink" Target="https://www.nccn.org/professionals/physician_gls/pdf/hcc.pdf#page=10" TargetMode="External"/><Relationship Id="rId289" Type="http://schemas.openxmlformats.org/officeDocument/2006/relationships/hyperlink" Target="https://drliuhao.github.io/mh-liver-pathways/evidence-libraries/" TargetMode="External"/><Relationship Id="rId290" Type="http://schemas.openxmlformats.org/officeDocument/2006/relationships/hyperlink" Target="https://doi.org/10.1200/JCO.22.00620" TargetMode="External"/><Relationship Id="rId291" Type="http://schemas.openxmlformats.org/officeDocument/2006/relationships/hyperlink" Target="https://drliuhao.github.io/mh-liver-pathways/evidence-libraries/" TargetMode="External"/><Relationship Id="rId292" Type="http://schemas.openxmlformats.org/officeDocument/2006/relationships/hyperlink" Target="https://www.accessdata.fda.gov/drugsatfda_docs/label/2025/125514s178lbl.pdf" TargetMode="External"/><Relationship Id="rId293" Type="http://schemas.openxmlformats.org/officeDocument/2006/relationships/hyperlink" Target="https://drliuhao.github.io/mh-liver-pathways/evidence-libraries/" TargetMode="External"/><Relationship Id="rId294" Type="http://schemas.openxmlformats.org/officeDocument/2006/relationships/hyperlink" Target="https://www.nccn.org/professionals/physician_gls/pdf/hcc.pdf#page=10" TargetMode="External"/><Relationship Id="rId295" Type="http://schemas.openxmlformats.org/officeDocument/2006/relationships/hyperlink" Target="https://drliuhao.github.io/mh-liver-pathways/evidence-libraries/" TargetMode="External"/><Relationship Id="rId296" Type="http://schemas.openxmlformats.org/officeDocument/2006/relationships/hyperlink" Target="https://doi.org/10.1016/j.jhep.2024.08.028" TargetMode="External"/><Relationship Id="rId297" Type="http://schemas.openxmlformats.org/officeDocument/2006/relationships/hyperlink" Target="https://drliuhao.github.io/mh-liver-pathways/evidence-libraries/" TargetMode="External"/><Relationship Id="rId298" Type="http://schemas.openxmlformats.org/officeDocument/2006/relationships/hyperlink" Target="https://www.nccn.org/professionals/physician_gls/pdf/hcc.pdf#page=10" TargetMode="External"/><Relationship Id="rId299" Type="http://schemas.openxmlformats.org/officeDocument/2006/relationships/hyperlink" Target="https://drliuhao.github.io/mh-liver-pathways/evidence-libraries/" TargetMode="External"/><Relationship Id="rId300" Type="http://schemas.openxmlformats.org/officeDocument/2006/relationships/hyperlink" Target="https://www.accessdata.fda.gov/drugsatfda_docs/label/2025/125554s129lbl.pdf" TargetMode="External"/><Relationship Id="rId301" Type="http://schemas.openxmlformats.org/officeDocument/2006/relationships/hyperlink" Target="https://drliuhao.github.io/mh-liver-pathways/evidence-libraries/" TargetMode="External"/><Relationship Id="rId302" Type="http://schemas.openxmlformats.org/officeDocument/2006/relationships/hyperlink" Target="https://www.nccn.org/professionals/physician_gls/pdf/hcc.pdf#page=10" TargetMode="External"/><Relationship Id="rId303" Type="http://schemas.openxmlformats.org/officeDocument/2006/relationships/hyperlink" Target="https://drliuhao.github.io/mh-liver-pathways/evidence-libraries/" TargetMode="External"/><Relationship Id="rId304" Type="http://schemas.openxmlformats.org/officeDocument/2006/relationships/hyperlink" Target="https://www.accessdata.fda.gov/drugsatfda_docs/label/2025/125514s178lbl.pdf" TargetMode="External"/><Relationship Id="rId305" Type="http://schemas.openxmlformats.org/officeDocument/2006/relationships/hyperlink" Target="https://drliuhao.github.io/mh-liver-pathways/evidence-libraries/" TargetMode="External"/><Relationship Id="rId306" Type="http://schemas.openxmlformats.org/officeDocument/2006/relationships/hyperlink" Target="https://www.nccn.org/professionals/physician_gls/pdf/hcc.pdf#page=10" TargetMode="External"/><Relationship Id="rId307" Type="http://schemas.openxmlformats.org/officeDocument/2006/relationships/hyperlink" Target="https://drliuhao.github.io/mh-liver-pathways/evidence-libraries/" TargetMode="External"/><Relationship Id="rId308" Type="http://schemas.openxmlformats.org/officeDocument/2006/relationships/hyperlink" Target="https://www.nccn.org/professionals/physician_gls/pdf/hcc.pdf#page=10" TargetMode="External"/><Relationship Id="rId309" Type="http://schemas.openxmlformats.org/officeDocument/2006/relationships/hyperlink" Target="https://drliuhao.github.io/mh-liver-pathways/evidence-libraries/" TargetMode="External"/><Relationship Id="rId310" Type="http://schemas.openxmlformats.org/officeDocument/2006/relationships/hyperlink" Target="https://doi.org/10.1016/S0140-6736(24)02575-3" TargetMode="External"/><Relationship Id="rId311" Type="http://schemas.openxmlformats.org/officeDocument/2006/relationships/hyperlink" Target="https://drliuhao.github.io/mh-liver-pathways/evidence-libraries/" TargetMode="External"/><Relationship Id="rId312" Type="http://schemas.openxmlformats.org/officeDocument/2006/relationships/hyperlink" Target="https://doi.org/10.1016/S0140-6736(24)02551-0" TargetMode="External"/><Relationship Id="rId313" Type="http://schemas.openxmlformats.org/officeDocument/2006/relationships/hyperlink" Target="https://drliuhao.github.io/mh-liver-pathways/evidence-libraries/" TargetMode="External"/><Relationship Id="rId314" Type="http://schemas.openxmlformats.org/officeDocument/2006/relationships/hyperlink" Target="https://doi.org/10.1016/S1470-2045(26)00278-0" TargetMode="External"/><Relationship Id="rId315" Type="http://schemas.openxmlformats.org/officeDocument/2006/relationships/hyperlink" Target="https://drliuhao.github.io/mh-liver-pathways/evidence-libraries/" TargetMode="External"/><Relationship Id="rId316" Type="http://schemas.openxmlformats.org/officeDocument/2006/relationships/hyperlink" Target="https://doi.org/10.1002/hep.30413" TargetMode="External"/><Relationship Id="rId317" Type="http://schemas.openxmlformats.org/officeDocument/2006/relationships/hyperlink" Target="https://drliuhao.github.io/mh-liver-pathways/evidence-libraries/" TargetMode="External"/><Relationship Id="rId318" Type="http://schemas.openxmlformats.org/officeDocument/2006/relationships/hyperlink" Target="https://doi.org/10.1002/lt.26392" TargetMode="External"/><Relationship Id="rId319" Type="http://schemas.openxmlformats.org/officeDocument/2006/relationships/hyperlink" Target="https://drliuhao.github.io/mh-liver-pathways/evidence-libraries/" TargetMode="External"/><Relationship Id="rId320" Type="http://schemas.openxmlformats.org/officeDocument/2006/relationships/hyperlink" Target="https://doi.org/10.1097/TP.0000000000002094" TargetMode="External"/><Relationship Id="rId321" Type="http://schemas.openxmlformats.org/officeDocument/2006/relationships/hyperlink" Target="https://drliuhao.github.io/mh-liver-pathways/evidence-libraries/" TargetMode="External"/><Relationship Id="rId322" Type="http://schemas.openxmlformats.org/officeDocument/2006/relationships/hyperlink" Target="https://doi.org/10.1001/jamasurg.2021.0954"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doi.org/10.1002/cam4.71812" TargetMode="External"/><Relationship Id="rId325" Type="http://schemas.openxmlformats.org/officeDocument/2006/relationships/hyperlink" Target="https://drliuhao.github.io/mh-liver-pathways/evidence-libraries/" TargetMode="External"/><Relationship Id="rId326" Type="http://schemas.openxmlformats.org/officeDocument/2006/relationships/hyperlink" Target="https://doi.org/10.1056/NEJMoa0708857" TargetMode="External"/><Relationship Id="rId327" Type="http://schemas.openxmlformats.org/officeDocument/2006/relationships/hyperlink" Target="https://drliuhao.github.io/mh-liver-pathways/evidence-libraries/" TargetMode="External"/><Relationship Id="rId328" Type="http://schemas.openxmlformats.org/officeDocument/2006/relationships/hyperlink" Target="https://doi.org/10.1002/hep.30413" TargetMode="External"/><Relationship Id="rId329" Type="http://schemas.openxmlformats.org/officeDocument/2006/relationships/hyperlink" Target="https://drliuhao.github.io/mh-liver-pathways/evidence-libraries/" TargetMode="External"/><Relationship Id="rId330" Type="http://schemas.openxmlformats.org/officeDocument/2006/relationships/hyperlink" Target="https://doi.org/10.1002/lt.26392" TargetMode="External"/><Relationship Id="rId331" Type="http://schemas.openxmlformats.org/officeDocument/2006/relationships/hyperlink" Target="https://drliuhao.github.io/mh-liver-pathways/evidence-libraries/" TargetMode="External"/><Relationship Id="rId332" Type="http://schemas.openxmlformats.org/officeDocument/2006/relationships/hyperlink" Target="https://doi.org/10.1097/TP.0000000000002094" TargetMode="External"/><Relationship Id="rId333" Type="http://schemas.openxmlformats.org/officeDocument/2006/relationships/hyperlink" Target="https://drliuhao.github.io/mh-liver-pathways/evidence-libraries/" TargetMode="External"/><Relationship Id="rId334" Type="http://schemas.openxmlformats.org/officeDocument/2006/relationships/hyperlink" Target="https://doi.org/10.1001/jamasurg.2021.0954" TargetMode="External"/><Relationship Id="rId335" Type="http://schemas.openxmlformats.org/officeDocument/2006/relationships/hyperlink" Target="https://drliuhao.github.io/mh-liver-pathways/evidence-libraries/" TargetMode="External"/><Relationship Id="rId336" Type="http://schemas.openxmlformats.org/officeDocument/2006/relationships/hyperlink" Target="https://doi.org/10.1002/cam4.71812" TargetMode="External"/><Relationship Id="rId337" Type="http://schemas.openxmlformats.org/officeDocument/2006/relationships/hyperlink" Target="https://drliuhao.github.io/mh-liver-pathways/evidence-libraries/" TargetMode="External"/><Relationship Id="rId338" Type="http://schemas.openxmlformats.org/officeDocument/2006/relationships/hyperlink" Target="https://doi.org/10.1016/j.jhep.2024.08.028" TargetMode="External"/><Relationship Id="rId339" Type="http://schemas.openxmlformats.org/officeDocument/2006/relationships/hyperlink" Target="https://drliuhao.github.io/mh-liver-pathways/evidence-libraries/" TargetMode="External"/><Relationship Id="rId340" Type="http://schemas.openxmlformats.org/officeDocument/2006/relationships/hyperlink" Target="https://doi.org/10.1016/j.jhep.2021.11.030" TargetMode="External"/><Relationship Id="rId341" Type="http://schemas.openxmlformats.org/officeDocument/2006/relationships/hyperlink" Target="https://drliuhao.github.io/mh-liver-pathways/evidence-libraries/" TargetMode="External"/><Relationship Id="rId342" Type="http://schemas.openxmlformats.org/officeDocument/2006/relationships/hyperlink" Target="https://www.gene.com/download/pdf/avastin_prescribing.pdf" TargetMode="External"/><Relationship Id="rId343" Type="http://schemas.openxmlformats.org/officeDocument/2006/relationships/hyperlink" Target="https://drliuhao.github.io/mh-liver-pathways/evidence-libraries/" TargetMode="External"/><Relationship Id="rId344" Type="http://schemas.openxmlformats.org/officeDocument/2006/relationships/hyperlink" Target="https://doi.org/10.1016/S0140-6736(25)00403-9" TargetMode="External"/><Relationship Id="rId345" Type="http://schemas.openxmlformats.org/officeDocument/2006/relationships/hyperlink" Target="https://drliuhao.github.io/mh-liver-pathways/evidence-libraries/" TargetMode="External"/><Relationship Id="rId346" Type="http://schemas.openxmlformats.org/officeDocument/2006/relationships/hyperlink" Target="https://doi.org/10.1056/NEJMoa1915745" TargetMode="External"/><Relationship Id="rId347" Type="http://schemas.openxmlformats.org/officeDocument/2006/relationships/hyperlink" Target="https://drliuhao.github.io/mh-liver-pathways/evidence-libraries/" TargetMode="External"/><Relationship Id="rId348" Type="http://schemas.openxmlformats.org/officeDocument/2006/relationships/hyperlink" Target="https://doi.org/10.1056/EVIDoa2100070"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www.nccn.org/professionals/physician_gls/pdf/hcc.pdf#page=10" TargetMode="External"/><Relationship Id="rId351" Type="http://schemas.openxmlformats.org/officeDocument/2006/relationships/hyperlink" Target="https://drliuhao.github.io/mh-liver-pathways/evidence-libraries/" TargetMode="External"/><Relationship Id="rId352" Type="http://schemas.openxmlformats.org/officeDocument/2006/relationships/hyperlink" Target="https://www.accessdata.fda.gov/drugsatfda_docs/label/2025/125514s178lbl.pdf" TargetMode="External"/><Relationship Id="rId353" Type="http://schemas.openxmlformats.org/officeDocument/2006/relationships/hyperlink" Target="https://drliuhao.github.io/mh-liver-pathways/evidence-libraries/" TargetMode="External"/><Relationship Id="rId354" Type="http://schemas.openxmlformats.org/officeDocument/2006/relationships/hyperlink" Target="https://doi.org/10.1200/JCO.22.00620" TargetMode="External"/><Relationship Id="rId355" Type="http://schemas.openxmlformats.org/officeDocument/2006/relationships/hyperlink" Target="https://drliuhao.github.io/mh-liver-pathways/evidence-libraries/" TargetMode="External"/><Relationship Id="rId356" Type="http://schemas.openxmlformats.org/officeDocument/2006/relationships/hyperlink" Target="https://doi.org/10.1097/HEP.0000000000001289" TargetMode="External"/><Relationship Id="rId357" Type="http://schemas.openxmlformats.org/officeDocument/2006/relationships/hyperlink" Target="https://drliuhao.github.io/mh-liver-pathways/evidence-libraries/" TargetMode="External"/><Relationship Id="rId358" Type="http://schemas.openxmlformats.org/officeDocument/2006/relationships/hyperlink" Target="https://doi.org/10.1016/j.jhep.2024.09.003" TargetMode="External"/><Relationship Id="rId359" Type="http://schemas.openxmlformats.org/officeDocument/2006/relationships/hyperlink" Target="https://drliuhao.github.io/mh-liver-pathways/evidence-libraries/" TargetMode="External"/><Relationship Id="rId360" Type="http://schemas.openxmlformats.org/officeDocument/2006/relationships/hyperlink" Target="https://doi.org/10.1097/HEP.0000000000000466" TargetMode="External"/><Relationship Id="rId361" Type="http://schemas.openxmlformats.org/officeDocument/2006/relationships/hyperlink" Target="https://drliuhao.github.io/mh-liver-pathways/evidence-libraries/" TargetMode="External"/><Relationship Id="rId362" Type="http://schemas.openxmlformats.org/officeDocument/2006/relationships/hyperlink" Target="https://doi.org/10.1016/S2468-1253(22)00091-7" TargetMode="External"/><Relationship Id="rId363" Type="http://schemas.openxmlformats.org/officeDocument/2006/relationships/hyperlink" Target="https://drliuhao.github.io/mh-liver-pathways/evidence-libraries/" TargetMode="External"/><Relationship Id="rId364" Type="http://schemas.openxmlformats.org/officeDocument/2006/relationships/hyperlink" Target="https://doi.org/10.1002/hep.31819" TargetMode="External"/><Relationship Id="rId365" Type="http://schemas.openxmlformats.org/officeDocument/2006/relationships/hyperlink" Target="https://drliuhao.github.io/mh-liver-pathways/evidence-libraries/" TargetMode="External"/><Relationship Id="rId366" Type="http://schemas.openxmlformats.org/officeDocument/2006/relationships/hyperlink" Target="https://doi.org/10.1016/j.prro.2021.09.004" TargetMode="External"/><Relationship Id="rId367" Type="http://schemas.openxmlformats.org/officeDocument/2006/relationships/hyperlink" Target="https://drliuhao.github.io/mh-liver-pathways/evidence-libraries/" TargetMode="External"/><Relationship Id="rId368" Type="http://schemas.openxmlformats.org/officeDocument/2006/relationships/hyperlink" Target="https://doi.org/10.1200/JCO.21.01963" TargetMode="External"/><Relationship Id="rId369" Type="http://schemas.openxmlformats.org/officeDocument/2006/relationships/hyperlink" Target="https://drliuhao.github.io/mh-liver-pathways/evidence-libraries/" TargetMode="External"/><Relationship Id="rId370" Type="http://schemas.openxmlformats.org/officeDocument/2006/relationships/hyperlink" Target="https://doi.org/10.1148/radiol.233051" TargetMode="External"/><Relationship Id="rId371" Type="http://schemas.openxmlformats.org/officeDocument/2006/relationships/hyperlink" Target="https://drliuhao.github.io/mh-liver-pathways/evidence-libraries/" TargetMode="External"/><Relationship Id="rId372" Type="http://schemas.openxmlformats.org/officeDocument/2006/relationships/hyperlink" Target="https://dailymed.nlm.nih.gov/dailymed/drugInfo.cfm?setid=8baba4ea-2855-42fa-9bd9-5a7548d4cec3" TargetMode="External"/><Relationship Id="rId373" Type="http://schemas.openxmlformats.org/officeDocument/2006/relationships/hyperlink" Target="https://drliuhao.github.io/mh-liver-pathways/evidence-libraries/" TargetMode="External"/><Relationship Id="rId374" Type="http://schemas.openxmlformats.org/officeDocument/2006/relationships/hyperlink" Target="https://www.accessdata.fda.gov/drugsatfda_docs/label/2025/125554s129lbl.pdf" TargetMode="External"/><Relationship Id="rId375" Type="http://schemas.openxmlformats.org/officeDocument/2006/relationships/hyperlink" Target="https://drliuhao.github.io/mh-liver-pathways/evidence-libraries/" TargetMode="External"/><Relationship Id="rId376" Type="http://schemas.openxmlformats.org/officeDocument/2006/relationships/hyperlink" Target="https://doi.org/10.1016/S0140-6736(18)30207-1" TargetMode="External"/><Relationship Id="rId377" Type="http://schemas.openxmlformats.org/officeDocument/2006/relationships/hyperlink" Target="https://drliuhao.github.io/mh-liver-pathways/evidence-libraries/" TargetMode="External"/><Relationship Id="rId378" Type="http://schemas.openxmlformats.org/officeDocument/2006/relationships/hyperlink" Target="https://doi.org/10.1056/NEJMoa0708857" TargetMode="External"/><Relationship Id="rId379" Type="http://schemas.openxmlformats.org/officeDocument/2006/relationships/hyperlink" Target="https://drliuhao.github.io/mh-liver-pathways/evidence-libraries/" TargetMode="External"/><Relationship Id="rId380" Type="http://schemas.openxmlformats.org/officeDocument/2006/relationships/hyperlink" Target="https://doi.org/10.1001/jamaoncol.2023.4003" TargetMode="External"/><Relationship Id="rId381" Type="http://schemas.openxmlformats.org/officeDocument/2006/relationships/hyperlink" Target="https://drliuhao.github.io/mh-liver-pathways/evidence-libraries/" TargetMode="External"/><Relationship Id="rId382" Type="http://schemas.openxmlformats.org/officeDocument/2006/relationships/hyperlink" Target="https://www.accessdata.fda.gov/drugsatfda_docs/label/2026/761232s018lbl.pdf" TargetMode="External"/><Relationship Id="rId383" Type="http://schemas.openxmlformats.org/officeDocument/2006/relationships/hyperlink" Target="https://drliuhao.github.io/mh-liver-pathways/evidence-libraries/" TargetMode="External"/><Relationship Id="rId384" Type="http://schemas.openxmlformats.org/officeDocument/2006/relationships/hyperlink" Target="https://doi.org/10.1056/NEJMoa1717002" TargetMode="External"/><Relationship Id="rId385" Type="http://schemas.openxmlformats.org/officeDocument/2006/relationships/hyperlink" Target="https://drliuhao.github.io/mh-liver-pathways/evidence-libraries/" TargetMode="External"/><Relationship Id="rId386" Type="http://schemas.openxmlformats.org/officeDocument/2006/relationships/hyperlink" Target="https://doi.org/10.1016/S0140-6736(16)32453-9" TargetMode="External"/><Relationship Id="rId387" Type="http://schemas.openxmlformats.org/officeDocument/2006/relationships/hyperlink" Target="https://drliuhao.github.io/mh-liver-pathways/evidence-libraries/" TargetMode="External"/><Relationship Id="rId388" Type="http://schemas.openxmlformats.org/officeDocument/2006/relationships/hyperlink" Target="https://doi.org/10.1016/S1470-2045(18)30937-9" TargetMode="External"/><Relationship Id="rId389" Type="http://schemas.openxmlformats.org/officeDocument/2006/relationships/hyperlink" Target="https://drliuhao.github.io/mh-liver-pathways/evidence-libraries/" TargetMode="External"/><Relationship Id="rId390" Type="http://schemas.openxmlformats.org/officeDocument/2006/relationships/hyperlink" Target="https://doi.org/10.1016/S0140-6736(24)02575-3" TargetMode="External"/><Relationship Id="rId391" Type="http://schemas.openxmlformats.org/officeDocument/2006/relationships/hyperlink" Target="https://drliuhao.github.io/mh-liver-pathways/evidence-libraries/" TargetMode="External"/><Relationship Id="rId392" Type="http://schemas.openxmlformats.org/officeDocument/2006/relationships/hyperlink" Target="https://doi.org/10.1016/S0140-6736(24)02551-0" TargetMode="External"/><Relationship Id="rId393" Type="http://schemas.openxmlformats.org/officeDocument/2006/relationships/hyperlink" Target="https://drliuhao.github.io/mh-liver-pathways/evidence-libraries/" TargetMode="External"/><Relationship Id="rId394" Type="http://schemas.openxmlformats.org/officeDocument/2006/relationships/hyperlink" Target="https://doi.org/10.1016/S1470-2045(26)00278-0" TargetMode="External"/><Relationship Id="rId395" Type="http://schemas.openxmlformats.org/officeDocument/2006/relationships/hyperlink" Target="https://drliuhao.github.io/mh-liver-pathways/evidence-libraries/" TargetMode="External"/><Relationship Id="rId396" Type="http://schemas.openxmlformats.org/officeDocument/2006/relationships/hyperlink" Target="https://doi.org/10.1002/hep.30413" TargetMode="External"/><Relationship Id="rId397" Type="http://schemas.openxmlformats.org/officeDocument/2006/relationships/hyperlink" Target="https://drliuhao.github.io/mh-liver-pathways/evidence-libraries/" TargetMode="External"/><Relationship Id="rId398" Type="http://schemas.openxmlformats.org/officeDocument/2006/relationships/hyperlink" Target="https://doi.org/10.1002/lt.26392" TargetMode="External"/><Relationship Id="rId399" Type="http://schemas.openxmlformats.org/officeDocument/2006/relationships/hyperlink" Target="https://drliuhao.github.io/mh-liver-pathways/evidence-libraries/" TargetMode="External"/><Relationship Id="rId400" Type="http://schemas.openxmlformats.org/officeDocument/2006/relationships/hyperlink" Target="https://doi.org/10.1097/TP.0000000000002094" TargetMode="External"/><Relationship Id="rId401" Type="http://schemas.openxmlformats.org/officeDocument/2006/relationships/hyperlink" Target="https://drliuhao.github.io/mh-liver-pathways/evidence-libraries/" TargetMode="External"/><Relationship Id="rId402" Type="http://schemas.openxmlformats.org/officeDocument/2006/relationships/hyperlink" Target="https://doi.org/10.1001/jamasurg.2021.0954" TargetMode="External"/><Relationship Id="rId403" Type="http://schemas.openxmlformats.org/officeDocument/2006/relationships/hyperlink" Target="https://drliuhao.github.io/mh-liver-pathways/evidence-libraries/" TargetMode="External"/><Relationship Id="rId404" Type="http://schemas.openxmlformats.org/officeDocument/2006/relationships/hyperlink" Target="https://doi.org/10.1002/cam4.71812" TargetMode="External"/><Relationship Id="rId405" Type="http://schemas.openxmlformats.org/officeDocument/2006/relationships/hyperlink" Target="https://drliuhao.github.io/mh-liver-pathways/evidence-libraries/" TargetMode="External"/><Relationship Id="rId406" Type="http://schemas.openxmlformats.org/officeDocument/2006/relationships/hyperlink" Target="https://doi.org/10.1016/j.jhep.2026.01.006" TargetMode="External"/><Relationship Id="rId407" Type="http://schemas.openxmlformats.org/officeDocument/2006/relationships/hyperlink" Target="https://drliuhao.github.io/mh-liver-pathways/evidence-libraries/" TargetMode="External"/><Relationship Id="rId408" Type="http://schemas.openxmlformats.org/officeDocument/2006/relationships/hyperlink" Target="https://doi.org/10.1097/HEP.0000000000001269" TargetMode="External"/><Relationship Id="rId409" Type="http://schemas.openxmlformats.org/officeDocument/2006/relationships/hyperlink" Target="https://drliuhao.github.io/mh-liver-pathways/evidence-libraries/" TargetMode="External"/><Relationship Id="rId410" Type="http://schemas.openxmlformats.org/officeDocument/2006/relationships/hyperlink" Target="https://pubmed.ncbi.nlm.nih.gov/37760542" TargetMode="External"/><Relationship Id="rId411" Type="http://schemas.openxmlformats.org/officeDocument/2006/relationships/hyperlink" Target="https://drliuhao.github.io/mh-liver-pathways/evidence-libraries/" TargetMode="External"/><Relationship Id="rId412" Type="http://schemas.openxmlformats.org/officeDocument/2006/relationships/hyperlink" Target="https://edge.sitecorecloud.io/americancoldf5f-acrorgf92a-productioncb02-3650/media/ACR/Files/RADS/LI-RADS/LI-RADS-CTMR-Radiation-TRA-v2024-Core.pdf" TargetMode="External"/><Relationship Id="rId413" Type="http://schemas.openxmlformats.org/officeDocument/2006/relationships/hyperlink" Target="https://drliuhao.github.io/mh-liver-pathways/evidence-libraries/" TargetMode="External"/><Relationship Id="rId414" Type="http://schemas.openxmlformats.org/officeDocument/2006/relationships/hyperlink" Target="https://doi.org/10.1159/000538627" TargetMode="External"/><Relationship Id="rId415" Type="http://schemas.openxmlformats.org/officeDocument/2006/relationships/hyperlink" Target="https://doi.org/10.1038/s41598-024-60379-x" TargetMode="External"/><Relationship Id="rId416" Type="http://schemas.openxmlformats.org/officeDocument/2006/relationships/hyperlink" Target="https://doi.org/10.1159/000547230" TargetMode="External"/><Relationship Id="rId417" Type="http://schemas.openxmlformats.org/officeDocument/2006/relationships/hyperlink" Target="https://doi.org/10.1097/SLA.0b013e31828d4960" TargetMode="External"/><Relationship Id="rId418" Type="http://schemas.openxmlformats.org/officeDocument/2006/relationships/hyperlink" Target="https://doi.org/10.1111/hepr.13526" TargetMode="External"/><Relationship Id="rId419" Type="http://schemas.openxmlformats.org/officeDocument/2006/relationships/hyperlink" Target="https://doi.org/10.1016/j.jhep.2024.03.003" TargetMode="External"/><Relationship Id="rId420" Type="http://schemas.openxmlformats.org/officeDocument/2006/relationships/hyperlink" Target="https://doi.org/10.1016/j.ijrobp.2024.09.022" TargetMode="External"/><Relationship Id="rId421" Type="http://schemas.openxmlformats.org/officeDocument/2006/relationships/hyperlink" Target="https://doi.org/10.1002/jhbp.12138" TargetMode="External"/><Relationship Id="rId422" Type="http://schemas.openxmlformats.org/officeDocument/2006/relationships/hyperlink" Target="https://doi.org/10.1097/HEP.0000000000000466" TargetMode="External"/><Relationship Id="rId423" Type="http://schemas.openxmlformats.org/officeDocument/2006/relationships/hyperlink" Target="https://drliuhao.github.io/mh-liver-pathways/evidence-libraries/" TargetMode="External"/><Relationship Id="rId424" Type="http://schemas.openxmlformats.org/officeDocument/2006/relationships/hyperlink" Target="https://doi.org/10.1016/j.jhep.2024.08.028" TargetMode="External"/><Relationship Id="rId425" Type="http://schemas.openxmlformats.org/officeDocument/2006/relationships/hyperlink" Target="https://drliuhao.github.io/mh-liver-pathways/evidence-libraries/" TargetMode="External"/><Relationship Id="rId426" Type="http://schemas.openxmlformats.org/officeDocument/2006/relationships/hyperlink" Target="https://doi.org/10.1016/j.jhep.2021.11.030" TargetMode="External"/><Relationship Id="rId427" Type="http://schemas.openxmlformats.org/officeDocument/2006/relationships/hyperlink" Target="https://drliuhao.github.io/mh-liver-pathways/evidence-libraries/" TargetMode="External"/><Relationship Id="rId428" Type="http://schemas.openxmlformats.org/officeDocument/2006/relationships/hyperlink" Target="https://www.gene.com/download/pdf/avastin_prescribing.pdf" TargetMode="External"/><Relationship Id="rId429" Type="http://schemas.openxmlformats.org/officeDocument/2006/relationships/hyperlink" Target="https://drliuhao.github.io/mh-liver-pathways/evidence-libraries/" TargetMode="External"/><Relationship Id="rId430" Type="http://schemas.openxmlformats.org/officeDocument/2006/relationships/hyperlink" Target="https://doi.org/10.1016/S0140-6736(25)00403-9" TargetMode="External"/><Relationship Id="rId431" Type="http://schemas.openxmlformats.org/officeDocument/2006/relationships/hyperlink" Target="https://drliuhao.github.io/mh-liver-pathways/evidence-libraries/" TargetMode="External"/><Relationship Id="rId432" Type="http://schemas.openxmlformats.org/officeDocument/2006/relationships/hyperlink" Target="https://doi.org/10.1056/NEJMoa1915745" TargetMode="External"/><Relationship Id="rId433" Type="http://schemas.openxmlformats.org/officeDocument/2006/relationships/hyperlink" Target="https://drliuhao.github.io/mh-liver-pathways/evidence-libraries/" TargetMode="External"/><Relationship Id="rId434" Type="http://schemas.openxmlformats.org/officeDocument/2006/relationships/hyperlink" Target="https://doi.org/10.1056/EVIDoa2100070" TargetMode="External"/><Relationship Id="rId435" Type="http://schemas.openxmlformats.org/officeDocument/2006/relationships/hyperlink" Target="https://drliuhao.github.io/mh-liver-pathways/evidence-libraries/" TargetMode="External"/><Relationship Id="rId436" Type="http://schemas.openxmlformats.org/officeDocument/2006/relationships/hyperlink" Target="https://www.nccn.org/professionals/physician_gls/pdf/hcc.pdf#page=10" TargetMode="External"/><Relationship Id="rId437" Type="http://schemas.openxmlformats.org/officeDocument/2006/relationships/hyperlink" Target="https://drliuhao.github.io/mh-liver-pathways/evidence-libraries/" TargetMode="External"/><Relationship Id="rId438" Type="http://schemas.openxmlformats.org/officeDocument/2006/relationships/hyperlink" Target="https://www.accessdata.fda.gov/drugsatfda_docs/label/2025/125514s178lbl.pdf" TargetMode="External"/><Relationship Id="rId439" Type="http://schemas.openxmlformats.org/officeDocument/2006/relationships/hyperlink" Target="https://drliuhao.github.io/mh-liver-pathways/evidence-libraries/" TargetMode="External"/><Relationship Id="rId440" Type="http://schemas.openxmlformats.org/officeDocument/2006/relationships/hyperlink" Target="https://doi.org/10.1200/JCO.22.00620" TargetMode="External"/><Relationship Id="rId441" Type="http://schemas.openxmlformats.org/officeDocument/2006/relationships/hyperlink" Target="https://drliuhao.github.io/mh-liver-pathways/evidence-libraries/" TargetMode="External"/><Relationship Id="rId442" Type="http://schemas.openxmlformats.org/officeDocument/2006/relationships/hyperlink" Target="https://doi.org/10.1097/HEP.0000000000001289" TargetMode="External"/><Relationship Id="rId443" Type="http://schemas.openxmlformats.org/officeDocument/2006/relationships/hyperlink" Target="https://drliuhao.github.io/mh-liver-pathways/evidence-libraries/" TargetMode="External"/><Relationship Id="rId444" Type="http://schemas.openxmlformats.org/officeDocument/2006/relationships/hyperlink" Target="https://doi.org/10.1016/j.jhep.2024.09.003" TargetMode="External"/><Relationship Id="rId445" Type="http://schemas.openxmlformats.org/officeDocument/2006/relationships/hyperlink" Target="https://drliuhao.github.io/mh-liver-pathways/evidence-libraries/" TargetMode="External"/><Relationship Id="rId446" Type="http://schemas.openxmlformats.org/officeDocument/2006/relationships/hyperlink" Target="https://doi.org/10.1097/HEP.0000000000000466" TargetMode="External"/><Relationship Id="rId447" Type="http://schemas.openxmlformats.org/officeDocument/2006/relationships/hyperlink" Target="https://drliuhao.github.io/mh-liver-pathways/evidence-libraries/" TargetMode="External"/><Relationship Id="rId448" Type="http://schemas.openxmlformats.org/officeDocument/2006/relationships/hyperlink" Target="https://doi.org/10.1016/S2468-1253(22)00091-7" TargetMode="External"/><Relationship Id="rId449" Type="http://schemas.openxmlformats.org/officeDocument/2006/relationships/hyperlink" Target="https://drliuhao.github.io/mh-liver-pathways/evidence-libraries/" TargetMode="External"/><Relationship Id="rId450" Type="http://schemas.openxmlformats.org/officeDocument/2006/relationships/hyperlink" Target="https://doi.org/10.1002/hep.31819" TargetMode="External"/><Relationship Id="rId451" Type="http://schemas.openxmlformats.org/officeDocument/2006/relationships/hyperlink" Target="https://drliuhao.github.io/mh-liver-pathways/evidence-libraries/" TargetMode="External"/><Relationship Id="rId452" Type="http://schemas.openxmlformats.org/officeDocument/2006/relationships/hyperlink" Target="https://doi.org/10.1016/j.prro.2021.09.004" TargetMode="External"/><Relationship Id="rId453" Type="http://schemas.openxmlformats.org/officeDocument/2006/relationships/hyperlink" Target="https://drliuhao.github.io/mh-liver-pathways/evidence-libraries/" TargetMode="External"/><Relationship Id="rId454" Type="http://schemas.openxmlformats.org/officeDocument/2006/relationships/hyperlink" Target="https://doi.org/10.1200/JCO.21.01963" TargetMode="External"/><Relationship Id="rId455" Type="http://schemas.openxmlformats.org/officeDocument/2006/relationships/hyperlink" Target="https://drliuhao.github.io/mh-liver-pathways/evidence-libraries/" TargetMode="External"/><Relationship Id="rId456" Type="http://schemas.openxmlformats.org/officeDocument/2006/relationships/hyperlink" Target="https://doi.org/10.1148/radiol.233051" TargetMode="External"/><Relationship Id="rId457" Type="http://schemas.openxmlformats.org/officeDocument/2006/relationships/hyperlink" Target="https://drliuhao.github.io/mh-liver-pathways/evidence-libraries/" TargetMode="External"/><Relationship Id="rId458" Type="http://schemas.openxmlformats.org/officeDocument/2006/relationships/hyperlink" Target="https://dailymed.nlm.nih.gov/dailymed/drugInfo.cfm?setid=8baba4ea-2855-42fa-9bd9-5a7548d4cec3" TargetMode="External"/><Relationship Id="rId459" Type="http://schemas.openxmlformats.org/officeDocument/2006/relationships/hyperlink" Target="https://drliuhao.github.io/mh-liver-pathways/evidence-libraries/" TargetMode="External"/><Relationship Id="rId460" Type="http://schemas.openxmlformats.org/officeDocument/2006/relationships/hyperlink" Target="https://www.accessdata.fda.gov/drugsatfda_docs/label/2025/125554s129lbl.pdf" TargetMode="External"/><Relationship Id="rId461" Type="http://schemas.openxmlformats.org/officeDocument/2006/relationships/hyperlink" Target="https://drliuhao.github.io/mh-liver-pathways/evidence-libraries/" TargetMode="External"/><Relationship Id="rId462" Type="http://schemas.openxmlformats.org/officeDocument/2006/relationships/hyperlink" Target="https://doi.org/10.1016/S0140-6736(18)30207-1" TargetMode="External"/><Relationship Id="rId463" Type="http://schemas.openxmlformats.org/officeDocument/2006/relationships/hyperlink" Target="https://drliuhao.github.io/mh-liver-pathways/evidence-libraries/" TargetMode="External"/><Relationship Id="rId464" Type="http://schemas.openxmlformats.org/officeDocument/2006/relationships/hyperlink" Target="https://doi.org/10.1056/NEJMoa0708857" TargetMode="External"/><Relationship Id="rId465" Type="http://schemas.openxmlformats.org/officeDocument/2006/relationships/hyperlink" Target="https://drliuhao.github.io/mh-liver-pathways/evidence-libraries/" TargetMode="External"/><Relationship Id="rId466" Type="http://schemas.openxmlformats.org/officeDocument/2006/relationships/hyperlink" Target="https://doi.org/10.1001/jamaoncol.2023.4003" TargetMode="External"/><Relationship Id="rId467" Type="http://schemas.openxmlformats.org/officeDocument/2006/relationships/hyperlink" Target="https://drliuhao.github.io/mh-liver-pathways/evidence-libraries/" TargetMode="External"/><Relationship Id="rId468" Type="http://schemas.openxmlformats.org/officeDocument/2006/relationships/hyperlink" Target="https://www.accessdata.fda.gov/drugsatfda_docs/label/2026/761232s018lbl.pdf" TargetMode="External"/><Relationship Id="rId469" Type="http://schemas.openxmlformats.org/officeDocument/2006/relationships/hyperlink" Target="https://drliuhao.github.io/mh-liver-pathways/evidence-libraries/" TargetMode="External"/><Relationship Id="rId470" Type="http://schemas.openxmlformats.org/officeDocument/2006/relationships/hyperlink" Target="https://doi.org/10.1056/NEJMoa1717002" TargetMode="External"/><Relationship Id="rId471" Type="http://schemas.openxmlformats.org/officeDocument/2006/relationships/hyperlink" Target="https://drliuhao.github.io/mh-liver-pathways/evidence-libraries/" TargetMode="External"/><Relationship Id="rId472" Type="http://schemas.openxmlformats.org/officeDocument/2006/relationships/hyperlink" Target="https://doi.org/10.1016/S0140-6736(16)32453-9" TargetMode="External"/><Relationship Id="rId473" Type="http://schemas.openxmlformats.org/officeDocument/2006/relationships/hyperlink" Target="https://drliuhao.github.io/mh-liver-pathways/evidence-libraries/" TargetMode="External"/><Relationship Id="rId474" Type="http://schemas.openxmlformats.org/officeDocument/2006/relationships/hyperlink" Target="https://doi.org/10.1016/S1470-2045(18)30937-9" TargetMode="External"/><Relationship Id="rId475" Type="http://schemas.openxmlformats.org/officeDocument/2006/relationships/hyperlink" Target="https://drliuhao.github.io/mh-liver-pathways/evidence-libraries/" TargetMode="External"/><Relationship Id="rId476" Type="http://schemas.openxmlformats.org/officeDocument/2006/relationships/hyperlink" Target="https://doi.org/10.1016/S0140-6736(24)02575-3" TargetMode="External"/><Relationship Id="rId477" Type="http://schemas.openxmlformats.org/officeDocument/2006/relationships/hyperlink" Target="https://drliuhao.github.io/mh-liver-pathways/evidence-libraries/" TargetMode="External"/><Relationship Id="rId478" Type="http://schemas.openxmlformats.org/officeDocument/2006/relationships/hyperlink" Target="https://doi.org/10.1016/S0140-6736(24)02551-0" TargetMode="External"/><Relationship Id="rId479" Type="http://schemas.openxmlformats.org/officeDocument/2006/relationships/hyperlink" Target="https://drliuhao.github.io/mh-liver-pathways/evidence-libraries/" TargetMode="External"/><Relationship Id="rId480" Type="http://schemas.openxmlformats.org/officeDocument/2006/relationships/hyperlink" Target="https://doi.org/10.1016/S1470-2045(26)00278-0" TargetMode="External"/><Relationship Id="rId481" Type="http://schemas.openxmlformats.org/officeDocument/2006/relationships/hyperlink" Target="https://drliuhao.github.io/mh-liver-pathways/evidence-libraries/" TargetMode="External"/><Relationship Id="rId482" Type="http://schemas.openxmlformats.org/officeDocument/2006/relationships/hyperlink" Target="https://doi.org/10.1002/hep.30413" TargetMode="External"/><Relationship Id="rId483" Type="http://schemas.openxmlformats.org/officeDocument/2006/relationships/hyperlink" Target="https://drliuhao.github.io/mh-liver-pathways/evidence-libraries/" TargetMode="External"/><Relationship Id="rId484" Type="http://schemas.openxmlformats.org/officeDocument/2006/relationships/hyperlink" Target="https://doi.org/10.1002/lt.26392" TargetMode="External"/><Relationship Id="rId485" Type="http://schemas.openxmlformats.org/officeDocument/2006/relationships/hyperlink" Target="https://drliuhao.github.io/mh-liver-pathways/evidence-libraries/" TargetMode="External"/><Relationship Id="rId486" Type="http://schemas.openxmlformats.org/officeDocument/2006/relationships/hyperlink" Target="https://doi.org/10.1097/TP.0000000000002094" TargetMode="External"/><Relationship Id="rId487" Type="http://schemas.openxmlformats.org/officeDocument/2006/relationships/hyperlink" Target="https://drliuhao.github.io/mh-liver-pathways/evidence-libraries/" TargetMode="External"/><Relationship Id="rId488" Type="http://schemas.openxmlformats.org/officeDocument/2006/relationships/hyperlink" Target="https://doi.org/10.1001/jamasurg.2021.0954" TargetMode="External"/><Relationship Id="rId489" Type="http://schemas.openxmlformats.org/officeDocument/2006/relationships/hyperlink" Target="https://drliuhao.github.io/mh-liver-pathways/evidence-libraries/" TargetMode="External"/><Relationship Id="rId490" Type="http://schemas.openxmlformats.org/officeDocument/2006/relationships/hyperlink" Target="https://doi.org/10.1002/cam4.71812" TargetMode="External"/><Relationship Id="rId491" Type="http://schemas.openxmlformats.org/officeDocument/2006/relationships/hyperlink" Target="https://drliuhao.github.io/mh-liver-pathways/evidence-libraries/" TargetMode="External"/><Relationship Id="rId492" Type="http://schemas.openxmlformats.org/officeDocument/2006/relationships/hyperlink" Target="https://doi.org/10.1016/j.jhep.2026.01.006" TargetMode="External"/><Relationship Id="rId493" Type="http://schemas.openxmlformats.org/officeDocument/2006/relationships/hyperlink" Target="https://drliuhao.github.io/mh-liver-pathways/evidence-libraries/" TargetMode="External"/><Relationship Id="rId494" Type="http://schemas.openxmlformats.org/officeDocument/2006/relationships/hyperlink" Target="https://doi.org/10.1097/HEP.0000000000001269" TargetMode="External"/><Relationship Id="rId495" Type="http://schemas.openxmlformats.org/officeDocument/2006/relationships/hyperlink" Target="https://drliuhao.github.io/mh-liver-pathways/evidence-libraries/" TargetMode="External"/><Relationship Id="rId496" Type="http://schemas.openxmlformats.org/officeDocument/2006/relationships/hyperlink" Target="https://pubmed.ncbi.nlm.nih.gov/37760542" TargetMode="External"/><Relationship Id="rId497" Type="http://schemas.openxmlformats.org/officeDocument/2006/relationships/hyperlink" Target="https://drliuhao.github.io/mh-liver-pathways/evidence-libraries/" TargetMode="External"/><Relationship Id="rId498" Type="http://schemas.openxmlformats.org/officeDocument/2006/relationships/hyperlink" Target="https://edge.sitecorecloud.io/americancoldf5f-acrorgf92a-productioncb02-3650/media/ACR/Files/RADS/LI-RADS/LI-RADS-CTMR-Radiation-TRA-v2024-Core.pdf" TargetMode="External"/><Relationship Id="rId499" Type="http://schemas.openxmlformats.org/officeDocument/2006/relationships/hyperlink" Target="https://drliuhao.github.io/mh-liver-pathways/evidence-libraries/" TargetMode="External"/><Relationship Id="rId500" Type="http://schemas.openxmlformats.org/officeDocument/2006/relationships/hyperlink" Target="https://doi.org/10.1159/000538627" TargetMode="External"/><Relationship Id="rId501" Type="http://schemas.openxmlformats.org/officeDocument/2006/relationships/hyperlink" Target="https://doi.org/10.1038/s41598-024-60379-x" TargetMode="External"/><Relationship Id="rId502" Type="http://schemas.openxmlformats.org/officeDocument/2006/relationships/hyperlink" Target="https://doi.org/10.1159/000547230" TargetMode="External"/><Relationship Id="rId503" Type="http://schemas.openxmlformats.org/officeDocument/2006/relationships/hyperlink" Target="https://doi.org/10.1097/SLA.0b013e31828d4960" TargetMode="External"/><Relationship Id="rId504" Type="http://schemas.openxmlformats.org/officeDocument/2006/relationships/hyperlink" Target="https://doi.org/10.1111/hepr.13526" TargetMode="External"/><Relationship Id="rId505" Type="http://schemas.openxmlformats.org/officeDocument/2006/relationships/hyperlink" Target="https://doi.org/10.1016/j.jhep.2024.03.003" TargetMode="External"/><Relationship Id="rId506" Type="http://schemas.openxmlformats.org/officeDocument/2006/relationships/hyperlink" Target="https://doi.org/10.1016/j.ijrobp.2024.09.022" TargetMode="External"/><Relationship Id="rId507" Type="http://schemas.openxmlformats.org/officeDocument/2006/relationships/hyperlink" Target="https://doi.org/10.1002/jhbp.12138"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