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line="252" w:lineRule="auto" w:after="120"/>
      </w:pPr>
      <w:r>
        <w:rPr>
          <w:b w:val="0"/>
          <w:i w:val="0"/>
          <w:sz w:val="44"/>
        </w:rPr>
        <w:t>Hepatic epithelioid hemangioendothelioma — Standard transplant pathway: questions for consensus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UTHealth Houston and Memorial Hermann · HPB oncology · 29 October 2026 · V17 standardized documents</w:t>
      </w:r>
    </w:p>
    <w:p>
      <w:pPr>
        <w:spacing w:after="80"/>
      </w:pPr>
      <w:r>
        <w:rPr>
          <w:b w:val="0"/>
          <w:i w:val="0"/>
        </w:rPr>
        <w:t>Every question in the standard transplant pathway that still needs a consensus answer. Each one shows what guidelines, trials and papers say, our proposed selection, and space for the group decision. All proposals are OPEN; nothing in this document is activated or approved.</w:t>
      </w:r>
    </w:p>
    <w:p>
      <w:pPr>
        <w:spacing w:after="80"/>
      </w:pPr>
      <w:r>
        <w:rPr>
          <w:b w:val="0"/>
          <w:i w:val="0"/>
        </w:rPr>
        <w:t>Web page: https://drliuhao.github.io/mh-liver-pathways/transplant/hehe/#meeting</w:t>
      </w:r>
    </w:p>
    <w:p>
      <w:pPr>
        <w:spacing w:after="160"/>
      </w:pPr>
      <w:r>
        <w:rPr>
          <w:b/>
          <w:i w:val="0"/>
        </w:rPr>
        <w:t xml:space="preserve">Companion files: </w:t>
      </w:r>
      <w:r>
        <w:rPr>
          <w:b w:val="0"/>
          <w:i w:val="0"/>
          <w:sz w:val="20"/>
        </w:rPr>
        <w:t xml:space="preserve">Full content: </w:t>
      </w:r>
      <w:r>
        <w:rPr>
          <w:b w:val="0"/>
          <w:i/>
        </w:rPr>
        <w:t>HEHE_3_Standard_Transplant_Protocol.docx</w:t>
      </w:r>
      <w:r>
        <w:rPr>
          <w:b w:val="0"/>
          <w:i w:val="0"/>
          <w:sz w:val="20"/>
        </w:rPr>
        <w:t xml:space="preserve"> · Decision discussion for all settings: </w:t>
      </w:r>
      <w:r>
        <w:rPr>
          <w:b w:val="0"/>
          <w:i/>
        </w:rPr>
        <w:t>HEHE_7_Decision_Discussion.docx</w:t>
      </w:r>
    </w:p>
    <w:p>
      <w:pPr>
        <w:pStyle w:val="Heading1"/>
        <w:keepNext/>
        <w:spacing w:before="280" w:after="80"/>
      </w:pPr>
      <w:r>
        <w:rPr>
          <w:b w:val="0"/>
          <w:i w:val="0"/>
        </w:rPr>
        <w:t>Summary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300"/>
        <w:gridCol w:w="3500"/>
        <w:gridCol w:w="3780"/>
        <w:gridCol w:w="1500"/>
      </w:tblGrid>
      <w:tr>
        <w:trPr>
          <w:tblHeader/>
        </w:trPr>
        <w:tc>
          <w:tcPr>
            <w:tcW w:type="dxa" w:w="2520"/>
            <w:tcW w:w="13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ID</w:t>
            </w:r>
          </w:p>
        </w:tc>
        <w:tc>
          <w:tcPr>
            <w:tcW w:type="dxa" w:w="2520"/>
            <w:tcW w:w="35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Question</w:t>
            </w:r>
          </w:p>
        </w:tc>
        <w:tc>
          <w:tcPr>
            <w:tcW w:type="dxa" w:w="2520"/>
            <w:tcW w:w="37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Proposed selection (summary)</w:t>
            </w:r>
          </w:p>
        </w:tc>
        <w:tc>
          <w:tcPr>
            <w:tcW w:type="dxa" w:w="2520"/>
            <w:tcW w:w="15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HEHE G1</w:t>
            </w:r>
          </w:p>
        </w:tc>
        <w:tc>
          <w:tcPr>
            <w:tcW w:type="dxa" w:w="2520"/>
            <w:tcW w:w="3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What level of expert pathology confirmation is required?</w:t>
            </w:r>
          </w:p>
        </w:tc>
        <w:tc>
          <w:tcPr>
            <w:tcW w:type="dxa" w:w="2520"/>
            <w:tcW w:w="37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Require documented expert pathology review before transplant selection and resolve mimics with additional testing as needed.</w:t>
            </w:r>
          </w:p>
        </w:tc>
        <w:tc>
          <w:tcPr>
            <w:tcW w:type="dxa" w:w="2520"/>
            <w:tcW w:w="1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HEHE G2</w:t>
            </w:r>
          </w:p>
        </w:tc>
        <w:tc>
          <w:tcPr>
            <w:tcW w:type="dxa" w:w="2520"/>
            <w:tcW w:w="3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Which extrahepatic disease patterns are acceptable locally?</w:t>
            </w:r>
          </w:p>
        </w:tc>
        <w:tc>
          <w:tcPr>
            <w:tcW w:type="dxa" w:w="2520"/>
            <w:tcW w:w="37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Describe every extrahepatic site and tempo; obtain explicit selection approval rather than importing HCC/CRLM exclusions.</w:t>
            </w:r>
          </w:p>
        </w:tc>
        <w:tc>
          <w:tcPr>
            <w:tcW w:type="dxa" w:w="2520"/>
            <w:tcW w:w="1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HEHE G3</w:t>
            </w:r>
          </w:p>
        </w:tc>
        <w:tc>
          <w:tcPr>
            <w:tcW w:type="dxa" w:w="2520"/>
            <w:tcW w:w="3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Can HEHE-LT risk estimates be used before transplant?</w:t>
            </w:r>
          </w:p>
        </w:tc>
        <w:tc>
          <w:tcPr>
            <w:tcW w:type="dxa" w:w="2520"/>
            <w:tcW w:w="37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Label uncertain variables and do not convert the retrospective score into an allocation or automatic eligibility score.</w:t>
            </w:r>
          </w:p>
        </w:tc>
        <w:tc>
          <w:tcPr>
            <w:tcW w:type="dxa" w:w="2520"/>
            <w:tcW w:w="1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HEHE G4</w:t>
            </w:r>
          </w:p>
        </w:tc>
        <w:tc>
          <w:tcPr>
            <w:tcW w:type="dxa" w:w="2520"/>
            <w:tcW w:w="3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When does transplant offer enough benefit over observation or other therapy?</w:t>
            </w:r>
          </w:p>
        </w:tc>
        <w:tc>
          <w:tcPr>
            <w:tcW w:type="dxa" w:w="2520"/>
            <w:tcW w:w="37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Document disease tempo, symptoms, alternatives and expected benefit before approval of the transplant plan; choose observation selectively, without imposing a universal mandatory observation interval.</w:t>
            </w:r>
          </w:p>
        </w:tc>
        <w:tc>
          <w:tcPr>
            <w:tcW w:type="dxa" w:w="2520"/>
            <w:tcW w:w="1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HEHE G5</w:t>
            </w:r>
          </w:p>
        </w:tc>
        <w:tc>
          <w:tcPr>
            <w:tcW w:type="dxa" w:w="2520"/>
            <w:tcW w:w="3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Who verifies each component of the nonstandard request?</w:t>
            </w:r>
          </w:p>
        </w:tc>
        <w:tc>
          <w:tcPr>
            <w:tcW w:type="dxa" w:w="2520"/>
            <w:tcW w:w="37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Assign pathology, imaging and allocation owners and explicitly document any extrahepatic disease decision.</w:t>
            </w:r>
          </w:p>
        </w:tc>
        <w:tc>
          <w:tcPr>
            <w:tcW w:type="dxa" w:w="2520"/>
            <w:tcW w:w="1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HEHE G6</w:t>
            </w:r>
          </w:p>
        </w:tc>
        <w:tc>
          <w:tcPr>
            <w:tcW w:type="dxa" w:w="2520"/>
            <w:tcW w:w="3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What risk-adapted post-transplant follow-up will be adopted?</w:t>
            </w:r>
          </w:p>
        </w:tc>
        <w:tc>
          <w:tcPr>
            <w:tcW w:type="dxa" w:w="2520"/>
            <w:tcW w:w="37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Ratify a joint sarcoma/transplant schedule, updated by explant risk and previous extrahepatic disease.</w:t>
            </w:r>
          </w:p>
        </w:tc>
        <w:tc>
          <w:tcPr>
            <w:tcW w:type="dxa" w:w="2520"/>
            <w:tcW w:w="1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80"/>
      </w:pPr>
      <w:r>
        <w:rPr>
          <w:b w:val="0"/>
          <w:i w:val="0"/>
        </w:rPr>
        <w:t>Questions</w:t>
      </w:r>
    </w:p>
    <w:p>
      <w:pPr>
        <w:pStyle w:val="Heading2"/>
        <w:keepNext/>
        <w:spacing w:before="200" w:after="80"/>
      </w:pPr>
      <w:r>
        <w:rPr>
          <w:b w:val="0"/>
          <w:i w:val="0"/>
        </w:rPr>
        <w:t>HEHE G1 — What level of expert pathology confirmation is required?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6">
        <w:r>
          <w:rPr>
            <w:color w:val="0563C1"/>
            <w:u w:val="single"/>
          </w:rPr>
          <w:t xml:space="preserve">Verify diagnosis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9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HEHE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“Biopsy proven diagnosis of HEHE and exclude hemangiosarcoma.”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HEHE criteria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EHE · consensus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International consensus supports expert diagnosis of this ultra-rare tumor.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ESMO Open · 2021 · liver-specific / transplant management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Require documented expert pathology review before transplant selection and resolve mimics with additional testing as needed.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A mistaken rare-tumor diagnosis changes prognosis and candidacy substantially.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Pathology · sarcoma oncology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HEHE G1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HEHE G2 — Which extrahepatic disease patterns are acceptable locally?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10">
        <w:r>
          <w:rPr>
            <w:color w:val="0563C1"/>
            <w:u w:val="single"/>
          </w:rPr>
          <w:t xml:space="preserve">Stage and compare options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11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HEHE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“The presence of extrahepatic disease is not an absolute contraindication.”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HEHE guidance — MELD-exception consideration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EHE · consensus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Tumor distribution, symptoms and behavior inform individualized liver-transplant discussion.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ESMO Open · 2021 · liver-specific / transplant management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Describe every extrahepatic site and tempo; obtain explicit selection approval rather than importing HCC/CRLM exclusions.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HEHE has a distinct biological and allocation framework.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Sarcoma oncology · transplant governance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HEHE G2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HEHE G3 — Can HEHE-LT risk estimates be used before transplant?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12">
        <w:r>
          <w:rPr>
            <w:color w:val="0563C1"/>
            <w:u w:val="single"/>
          </w:rPr>
          <w:t xml:space="preserve">Assess benefit and risk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13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HEHE-LT · cohort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Registry-derived risk is prognostic; some features may only be established reliably on pathology.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Lai et al. · Transplantation · 2017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HEHE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“Absence of macrovascular invasion on biopsy or imaging.”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HEHE criterion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Label uncertain variables and do not convert the retrospective score into an allocation or automatic eligibility score.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Prognosis, eligibility and allocation priority are different concepts.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Transplant surgery · pathology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HEHE G3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HEHE G4 — When does transplant offer enough benefit over observation or other therapy?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12">
        <w:r>
          <w:rPr>
            <w:color w:val="0563C1"/>
            <w:u w:val="single"/>
          </w:rPr>
          <w:t xml:space="preserve">Assess benefit and risk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14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EHE · consensus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The natural history is heterogeneous and management depends on clinical behavior.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ESMO Open · 2021 · liver-specific / transplant management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HEHE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“Lesions are unresectable.”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HEHE criterion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Document disease tempo, symptoms, alternatives and expected benefit before approval of the transplant plan; choose observation selectively, without imposing a universal mandatory observation interval.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Unresectability alone does not resolve the whole clinical benefit-risk decision.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Selection committee · sarcoma oncology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HEHE G4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HEHE G5 — Who verifies each component of the nonstandard request?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15">
        <w:r>
          <w:rPr>
            <w:color w:val="0563C1"/>
            <w:u w:val="single"/>
          </w:rPr>
          <w:t xml:space="preserve">Submit and reassess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16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HEHE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The guidance lists biopsy diagnosis, absent macrovascular invasion and unresectability for consideration at MMaT−3.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December 2025 · pp.10–11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Assign pathology, imaging and allocation owners and explicitly document any extrahepatic disease decision.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Rare-disease exceptions need a transparent patient-specific narrative.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Coordinator · transplant physician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HEHE G5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HEHE G6 — What risk-adapted post-transplant follow-up will be adopted?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17">
        <w:r>
          <w:rPr>
            <w:color w:val="0563C1"/>
            <w:u w:val="single"/>
          </w:rPr>
          <w:t xml:space="preserve">Transplant and follow-up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18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HEHE-LT · cohort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Registry data identify recurrence-risk differences.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Lai et al. · Transplantation · 2017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HEHE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No universal post-transplant surveillance interval is specified in this guidance.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December 2025 · pp.10–11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Ratify a joint sarcoma/transplant schedule, updated by explant risk and previous extrahepatic disease.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Do not present a local surveillance interval as national policy.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Oncology · transplant team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HEHE G6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1"/>
        <w:keepNext/>
        <w:spacing w:before="280" w:after="80"/>
      </w:pPr>
      <w:r>
        <w:rPr>
          <w:b w:val="0"/>
          <w:i w:val="0"/>
        </w:rPr>
        <w:t>Sources</w:t>
      </w:r>
    </w:p>
    <w:p>
      <w:pPr>
        <w:spacing w:after="60"/>
      </w:pPr>
      <w:r>
        <w:rPr>
          <w:b/>
          <w:i w:val="0"/>
          <w:sz w:val="19"/>
        </w:rPr>
        <w:t>EHE · consensus</w:t>
      </w:r>
      <w:r>
        <w:rPr>
          <w:b w:val="0"/>
          <w:i w:val="0"/>
          <w:sz w:val="19"/>
        </w:rPr>
        <w:t xml:space="preserve"> — Epithelioid hemangioendothelioma: international consensus</w:t>
      </w:r>
      <w:r>
        <w:rPr>
          <w:b w:val="0"/>
          <w:i w:val="0"/>
          <w:sz w:val="19"/>
        </w:rPr>
        <w:t xml:space="preserve">  </w:t>
      </w:r>
      <w:hyperlink r:id="rId19">
        <w:r>
          <w:rPr>
            <w:color w:val="0563C1"/>
            <w:u w:val="single"/>
            <w:sz w:val="19"/>
          </w:rPr>
          <w:t xml:space="preserve">Source</w:t>
        </w:r>
      </w:hyperlink>
    </w:p>
    <w:p>
      <w:pPr>
        <w:spacing w:after="60"/>
      </w:pPr>
      <w:r>
        <w:rPr>
          <w:b/>
          <w:i w:val="0"/>
          <w:sz w:val="19"/>
        </w:rPr>
        <w:t>HEHE-LT · cohort</w:t>
      </w:r>
      <w:r>
        <w:rPr>
          <w:b w:val="0"/>
          <w:i w:val="0"/>
          <w:sz w:val="19"/>
        </w:rPr>
        <w:t xml:space="preserve"> — HEHE and adult LT: a prognostic score based on the ELTR-ELITA registry</w:t>
      </w:r>
      <w:r>
        <w:rPr>
          <w:b w:val="0"/>
          <w:i w:val="0"/>
          <w:sz w:val="19"/>
        </w:rPr>
        <w:t xml:space="preserve">  </w:t>
      </w:r>
      <w:hyperlink r:id="rId20">
        <w:r>
          <w:rPr>
            <w:color w:val="0563C1"/>
            <w:u w:val="single"/>
            <w:sz w:val="19"/>
          </w:rPr>
          <w:t xml:space="preserve">Source</w:t>
        </w:r>
      </w:hyperlink>
    </w:p>
    <w:p>
      <w:pPr>
        <w:spacing w:after="60"/>
      </w:pPr>
      <w:r>
        <w:rPr>
          <w:b/>
          <w:i w:val="0"/>
          <w:sz w:val="19"/>
        </w:rPr>
        <w:t>NLRB · HEHE</w:t>
      </w:r>
      <w:r>
        <w:rPr>
          <w:b w:val="0"/>
          <w:i w:val="0"/>
          <w:sz w:val="19"/>
        </w:rPr>
        <w:t xml:space="preserve"> — Adult MELD exception review guidance — HEHE</w:t>
      </w:r>
      <w:r>
        <w:rPr>
          <w:b w:val="0"/>
          <w:i w:val="0"/>
          <w:sz w:val="19"/>
        </w:rPr>
        <w:t xml:space="preserve">  </w:t>
      </w:r>
      <w:hyperlink r:id="rId21">
        <w:r>
          <w:rPr>
            <w:color w:val="0563C1"/>
            <w:u w:val="single"/>
            <w:sz w:val="19"/>
          </w:rPr>
          <w:t xml:space="preserve">Source</w:t>
        </w:r>
      </w:hyperlink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5A6069"/>
        <w:sz w:val="15"/>
        <w:szCs w:val="15"/>
      </w:rPr>
      <w:t xml:space="preserve">HPB oncology working reference  |  </w:t>
    </w:r>
    <w:r>
      <w:rPr>
        <w:sz w:val="15"/>
        <w:szCs w:val="15"/>
      </w:rPr>
      <w:t xml:space="preserve"/>
    </w:r>
    <w:r>
      <w:rPr>
        <w:color w:val="5A606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–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abstractNum w:abstractNumId="4">
    <w:multiLevelType w:val="multilevel"/>
    <w:lvl w:ilvl="0">
      <w:start w:val="1"/>
      <w:numFmt w:val="bullet"/>
      <w:lvlText w:val="•"/>
      <w:lvlJc w:val="left"/>
      <w:pPr>
        <w:ind w:left="360" w:hanging="180"/>
      </w:pPr>
    </w:lvl>
    <w:lvl w:ilvl="1">
      <w:start w:val="1"/>
      <w:numFmt w:val="bullet"/>
      <w:lvlText w:val="•"/>
      <w:lvlJc w:val="left"/>
      <w:pPr>
        <w:ind w:left="720" w:hanging="180"/>
      </w:pPr>
    </w:lvl>
    <w:lvl w:ilvl="2">
      <w:start w:val="1"/>
      <w:numFmt w:val="bullet"/>
      <w:lvlText w:val="•"/>
      <w:lvlJc w:val="left"/>
      <w:pPr>
        <w:ind w:left="1080" w:hanging="180"/>
      </w:pPr>
    </w:lvl>
  </w:abstractNum>
  <w:num w:numId="3">
    <w:abstractNumId w:val="4"/>
  </w:num>
  <w:abstractNum w:abstractNumId="5">
    <w:multiLevelType w:val="multilevel"/>
    <w:lvl w:ilvl="0">
      <w:start w:val="1"/>
      <w:numFmt w:val="bullet"/>
      <w:lvlText w:val="•"/>
      <w:lvlJc w:val="left"/>
      <w:pPr>
        <w:ind w:left="360" w:hanging="180"/>
      </w:pPr>
    </w:lvl>
    <w:lvl w:ilvl="1">
      <w:start w:val="1"/>
      <w:numFmt w:val="bullet"/>
      <w:lvlText w:val="•"/>
      <w:lvlJc w:val="left"/>
      <w:pPr>
        <w:ind w:left="720" w:hanging="180"/>
      </w:pPr>
    </w:lvl>
    <w:lvl w:ilvl="2">
      <w:start w:val="1"/>
      <w:numFmt w:val="bullet"/>
      <w:lvlText w:val="•"/>
      <w:lvlJc w:val="left"/>
      <w:pPr>
        <w:ind w:left="1080" w:hanging="180"/>
      </w:pPr>
    </w:lvl>
  </w:abstractNum>
  <w:num w:numId="4">
    <w:abstractNumId w:val="5"/>
  </w:num>
  <w:abstractNum w:abstractNumId="6">
    <w:multiLevelType w:val="multilevel"/>
    <w:lvl w:ilvl="0">
      <w:start w:val="1"/>
      <w:numFmt w:val="bullet"/>
      <w:lvlText w:val="•"/>
      <w:lvlJc w:val="left"/>
      <w:pPr>
        <w:ind w:left="360" w:hanging="180"/>
      </w:pPr>
    </w:lvl>
    <w:lvl w:ilvl="1">
      <w:start w:val="1"/>
      <w:numFmt w:val="bullet"/>
      <w:lvlText w:val="•"/>
      <w:lvlJc w:val="left"/>
      <w:pPr>
        <w:ind w:left="720" w:hanging="180"/>
      </w:pPr>
    </w:lvl>
    <w:lvl w:ilvl="2">
      <w:start w:val="1"/>
      <w:numFmt w:val="bullet"/>
      <w:lvlText w:val="•"/>
      <w:lvlJc w:val="left"/>
      <w:pPr>
        <w:ind w:left="1080" w:hanging="180"/>
      </w:pPr>
    </w:lvl>
  </w:abstractNum>
  <w:num w:numId="5">
    <w:abstractNumId w:val="6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5181F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  <w:color w:val="000000"/>
      <w:u w:val="none"/>
    </w:rPr>
  </w:style>
  <w:style w:type="paragraph" w:styleId="Heading1">
    <w:name w:val="Heading 1"/>
    <w:basedOn w:val="Normal"/>
    <w:next w:val="Normal"/>
    <w:qFormat/>
    <w:rPr>
      <w:rFonts w:ascii="Cambria" w:cs="Cambria" w:eastAsia="Cambria" w:hAnsi="Cambria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mbria" w:cs="Cambria" w:eastAsia="Cambria" w:hAnsi="Cambria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mbria" w:cs="Cambria" w:eastAsia="Cambria" w:hAnsi="Cambria"/>
      <w:b/>
      <w:bCs/>
      <w:color w:val="17365D"/>
      <w:sz w:val="22"/>
      <w:szCs w:val="22"/>
    </w:rPr>
  </w:style>
  <w:style w:type="paragraph" w:styleId="Heading4">
    <w:name w:val="Heading 4"/>
    <w:basedOn w:val="Normal"/>
    <w:next w:val="Normal"/>
    <w:qFormat/>
    <w:rPr>
      <w:rFonts w:ascii="Calibri" w:cs="Calibri" w:eastAsia="Calibri" w:hAnsi="Calibri"/>
      <w:b/>
      <w:bCs/>
      <w:color w:val="176A87"/>
      <w:sz w:val="20"/>
      <w:szCs w:val="20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6" Type="http://schemas.openxmlformats.org/officeDocument/2006/relationships/hyperlink" Target="https://drliuhao.github.io/mh-liver-pathways/transplant/hehe/#diagnosis" TargetMode="External"/><Relationship Id="rId9" Type="http://schemas.openxmlformats.org/officeDocument/2006/relationships/hyperlink" Target="https://drliuhao.github.io/mh-liver-pathways/transplant/hehe/#meeting-diagnosis" TargetMode="External"/><Relationship Id="rId10" Type="http://schemas.openxmlformats.org/officeDocument/2006/relationships/hyperlink" Target="https://drliuhao.github.io/mh-liver-pathways/transplant/hehe/#stage" TargetMode="External"/><Relationship Id="rId11" Type="http://schemas.openxmlformats.org/officeDocument/2006/relationships/hyperlink" Target="https://drliuhao.github.io/mh-liver-pathways/transplant/hehe/#meeting-extrahepatic" TargetMode="External"/><Relationship Id="rId12" Type="http://schemas.openxmlformats.org/officeDocument/2006/relationships/hyperlink" Target="https://drliuhao.github.io/mh-liver-pathways/transplant/hehe/#risk" TargetMode="External"/><Relationship Id="rId13" Type="http://schemas.openxmlformats.org/officeDocument/2006/relationships/hyperlink" Target="https://drliuhao.github.io/mh-liver-pathways/transplant/hehe/#meeting-risk-score" TargetMode="External"/><Relationship Id="rId14" Type="http://schemas.openxmlformats.org/officeDocument/2006/relationships/hyperlink" Target="https://drliuhao.github.io/mh-liver-pathways/transplant/hehe/#meeting-governance" TargetMode="External"/><Relationship Id="rId15" Type="http://schemas.openxmlformats.org/officeDocument/2006/relationships/hyperlink" Target="https://drliuhao.github.io/mh-liver-pathways/transplant/hehe/#review" TargetMode="External"/><Relationship Id="rId16" Type="http://schemas.openxmlformats.org/officeDocument/2006/relationships/hyperlink" Target="https://drliuhao.github.io/mh-liver-pathways/transplant/hehe/#meeting-submission" TargetMode="External"/><Relationship Id="rId17" Type="http://schemas.openxmlformats.org/officeDocument/2006/relationships/hyperlink" Target="https://drliuhao.github.io/mh-liver-pathways/transplant/hehe/#follow-up" TargetMode="External"/><Relationship Id="rId18" Type="http://schemas.openxmlformats.org/officeDocument/2006/relationships/hyperlink" Target="https://drliuhao.github.io/mh-liver-pathways/transplant/hehe/#meeting-surveillance" TargetMode="External"/><Relationship Id="rId19" Type="http://schemas.openxmlformats.org/officeDocument/2006/relationships/hyperlink" Target="https://doi.org/10.1016/j.esmoop.2021.100170" TargetMode="External"/><Relationship Id="rId20" Type="http://schemas.openxmlformats.org/officeDocument/2006/relationships/hyperlink" Target="https://doi.org/10.1097/TP.0000000000001603" TargetMode="External"/><Relationship Id="rId21" Type="http://schemas.openxmlformats.org/officeDocument/2006/relationships/hyperlink" Target="https://www.hrsa.gov/sites/default/files/hrsa/optn/adult-meld-exception-transplant-oncology-review-guidance.pdf#page=10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Memorial Hermann HCC system roadmap v0.9</dc:title>
  <dc:subject>Hepatocellular carcinoma</dc:subject>
  <dc:creator>Memorial Hermann / UTHealth Houston tumour roadmap programme</dc:creator>
  <dc:description>Draft under development. Not ratified clinical policy.</dc:description>
  <cp:lastModifiedBy>Un-named</cp:lastModifiedBy>
  <cp:revision>1</cp:revision>
  <dcterms:created xsi:type="dcterms:W3CDTF">2026-10-10T04:29:15.270Z</dcterms:created>
  <dcterms:modified xsi:type="dcterms:W3CDTF">2026-10-29T14:21:32Z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